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FORM 6-K/A</w:t>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Report of Foreign Private Issuer</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Rule 13a - 16 under</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Exchange Act of 1934</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 the quarterly period ended November 30, 2005</w:t>
      </w:r>
    </w:p>
    <w:p>
      <w:pPr>
        <w:spacing w:after="0" w:line="200" w:lineRule="exact"/>
        <w:rPr>
          <w:sz w:val="24"/>
          <w:szCs w:val="24"/>
          <w:color w:val="auto"/>
        </w:rPr>
      </w:pPr>
    </w:p>
    <w:p>
      <w:pPr>
        <w:spacing w:after="0" w:line="327"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ICON plc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name)</w:t>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0-29714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(Commission file number)</w:t>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South County Business Park, Leopardstown, Dublin 18, Ireland.</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Form 20-F or Form 40-F.</w:t>
      </w:r>
    </w:p>
    <w:p>
      <w:pPr>
        <w:spacing w:after="0" w:line="303" w:lineRule="exact"/>
        <w:rPr>
          <w:sz w:val="24"/>
          <w:szCs w:val="24"/>
          <w:color w:val="auto"/>
        </w:rPr>
      </w:pPr>
    </w:p>
    <w:p>
      <w:pPr>
        <w:ind w:left="3980"/>
        <w:spacing w:after="0"/>
        <w:tabs>
          <w:tab w:leader="none" w:pos="7540" w:val="left"/>
        </w:tabs>
        <w:rPr>
          <w:sz w:val="20"/>
          <w:szCs w:val="20"/>
          <w:color w:val="auto"/>
        </w:rPr>
      </w:pPr>
      <w:r>
        <w:rPr>
          <w:rFonts w:ascii="Arial" w:cs="Arial" w:eastAsia="Arial" w:hAnsi="Arial"/>
          <w:sz w:val="17"/>
          <w:szCs w:val="17"/>
          <w:color w:val="auto"/>
        </w:rPr>
        <w:t>Yes___</w:t>
      </w:r>
      <w:r>
        <w:rPr>
          <w:rFonts w:ascii="Arial" w:cs="Arial" w:eastAsia="Arial" w:hAnsi="Arial"/>
          <w:sz w:val="17"/>
          <w:szCs w:val="17"/>
          <w:b w:val="1"/>
          <w:bCs w:val="1"/>
          <w:u w:val="single" w:color="auto"/>
          <w:color w:val="auto"/>
        </w:rPr>
        <w:t>X</w:t>
      </w:r>
      <w:r>
        <w:rPr>
          <w:rFonts w:ascii="Arial" w:cs="Arial" w:eastAsia="Arial" w:hAnsi="Arial"/>
          <w:sz w:val="17"/>
          <w:szCs w:val="17"/>
          <w:color w:val="auto"/>
        </w:rPr>
        <w:t>___</w:t>
      </w:r>
      <w:r>
        <w:rPr>
          <w:sz w:val="20"/>
          <w:szCs w:val="20"/>
          <w:color w:val="auto"/>
        </w:rPr>
        <w:tab/>
      </w:r>
      <w:r>
        <w:rPr>
          <w:rFonts w:ascii="Arial" w:cs="Arial" w:eastAsia="Arial" w:hAnsi="Arial"/>
          <w:sz w:val="15"/>
          <w:szCs w:val="15"/>
          <w:color w:val="auto"/>
        </w:rPr>
        <w:t>No___</w:t>
      </w:r>
      <w:r>
        <w:rPr>
          <w:rFonts w:ascii="Arial" w:cs="Arial" w:eastAsia="Arial" w:hAnsi="Arial"/>
          <w:sz w:val="15"/>
          <w:szCs w:val="15"/>
          <w:b w:val="1"/>
          <w:bCs w:val="1"/>
          <w:color w:val="auto"/>
        </w:rPr>
        <w:t>_</w:t>
      </w:r>
      <w:r>
        <w:rPr>
          <w:rFonts w:ascii="Arial" w:cs="Arial" w:eastAsia="Arial" w:hAnsi="Arial"/>
          <w:sz w:val="15"/>
          <w:szCs w:val="15"/>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submitting the Form 6-K in paper as permitted by Regulation S-T Rule 101(b)(1):</w:t>
      </w:r>
    </w:p>
    <w:p>
      <w:pPr>
        <w:spacing w:after="0" w:line="303" w:lineRule="exact"/>
        <w:rPr>
          <w:sz w:val="24"/>
          <w:szCs w:val="24"/>
          <w:color w:val="auto"/>
        </w:rPr>
      </w:pPr>
    </w:p>
    <w:p>
      <w:pPr>
        <w:ind w:left="4020"/>
        <w:spacing w:after="0"/>
        <w:tabs>
          <w:tab w:leader="none" w:pos="7460" w:val="left"/>
        </w:tabs>
        <w:rPr>
          <w:sz w:val="20"/>
          <w:szCs w:val="20"/>
          <w:color w:val="auto"/>
        </w:rPr>
      </w:pPr>
      <w:r>
        <w:rPr>
          <w:rFonts w:ascii="Arial" w:cs="Arial" w:eastAsia="Arial" w:hAnsi="Arial"/>
          <w:sz w:val="17"/>
          <w:szCs w:val="17"/>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submitting the Form 6-K in paper as permitted by Regulation S-T Rule 101(b)(7):</w:t>
      </w:r>
    </w:p>
    <w:p>
      <w:pPr>
        <w:spacing w:after="0" w:line="303" w:lineRule="exact"/>
        <w:rPr>
          <w:sz w:val="24"/>
          <w:szCs w:val="24"/>
          <w:color w:val="auto"/>
        </w:rPr>
      </w:pPr>
    </w:p>
    <w:p>
      <w:pPr>
        <w:ind w:left="4020"/>
        <w:spacing w:after="0"/>
        <w:tabs>
          <w:tab w:leader="none" w:pos="7460" w:val="left"/>
        </w:tabs>
        <w:rPr>
          <w:sz w:val="20"/>
          <w:szCs w:val="20"/>
          <w:color w:val="auto"/>
        </w:rPr>
      </w:pPr>
      <w:r>
        <w:rPr>
          <w:rFonts w:ascii="Arial" w:cs="Arial" w:eastAsia="Arial" w:hAnsi="Arial"/>
          <w:sz w:val="17"/>
          <w:szCs w:val="17"/>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u w:val="single" w:color="auto"/>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line="283"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ind w:left="3980"/>
              <w:spacing w:after="0"/>
              <w:rPr>
                <w:sz w:val="20"/>
                <w:szCs w:val="20"/>
                <w:color w:val="auto"/>
              </w:rPr>
            </w:pPr>
            <w:r>
              <w:rPr>
                <w:rFonts w:ascii="Arial" w:cs="Arial" w:eastAsia="Arial" w:hAnsi="Arial"/>
                <w:sz w:val="17"/>
                <w:szCs w:val="17"/>
                <w:color w:val="auto"/>
              </w:rPr>
              <w:t>Yes___</w:t>
            </w:r>
            <w:r>
              <w:rPr>
                <w:rFonts w:ascii="Arial" w:cs="Arial" w:eastAsia="Arial" w:hAnsi="Arial"/>
                <w:sz w:val="17"/>
                <w:szCs w:val="17"/>
                <w:b w:val="1"/>
                <w:bCs w:val="1"/>
                <w:color w:val="auto"/>
              </w:rPr>
              <w:t>_</w:t>
            </w:r>
            <w:r>
              <w:rPr>
                <w:rFonts w:ascii="Arial" w:cs="Arial" w:eastAsia="Arial" w:hAnsi="Arial"/>
                <w:sz w:val="17"/>
                <w:szCs w:val="17"/>
                <w:color w:val="auto"/>
              </w:rPr>
              <w:t>___</w:t>
            </w:r>
          </w:p>
        </w:tc>
        <w:tc>
          <w:tcPr>
            <w:tcW w:w="2360" w:type="dxa"/>
            <w:vAlign w:val="bottom"/>
            <w:gridSpan w:val="3"/>
          </w:tcPr>
          <w:p>
            <w:pPr>
              <w:ind w:left="1340"/>
              <w:spacing w:after="0"/>
              <w:rPr>
                <w:sz w:val="20"/>
                <w:szCs w:val="20"/>
                <w:color w:val="auto"/>
              </w:rPr>
            </w:pP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tc>
        <w:tc>
          <w:tcPr>
            <w:tcW w:w="2880" w:type="dxa"/>
            <w:vAlign w:val="bottom"/>
          </w:tcPr>
          <w:p>
            <w:pPr>
              <w:spacing w:after="0"/>
              <w:rPr>
                <w:sz w:val="16"/>
                <w:szCs w:val="16"/>
                <w:color w:val="auto"/>
              </w:rPr>
            </w:pPr>
          </w:p>
        </w:tc>
      </w:tr>
      <w:tr>
        <w:trPr>
          <w:trHeight w:val="536"/>
        </w:trPr>
        <w:tc>
          <w:tcPr>
            <w:tcW w:w="8000" w:type="dxa"/>
            <w:vAlign w:val="bottom"/>
            <w:gridSpan w:val="2"/>
          </w:tcPr>
          <w:p>
            <w:pPr>
              <w:spacing w:after="0"/>
              <w:rPr>
                <w:sz w:val="20"/>
                <w:szCs w:val="20"/>
                <w:color w:val="auto"/>
              </w:rPr>
            </w:pPr>
            <w:r>
              <w:rPr>
                <w:rFonts w:ascii="Arial" w:cs="Arial" w:eastAsia="Arial" w:hAnsi="Arial"/>
                <w:sz w:val="17"/>
                <w:szCs w:val="17"/>
                <w:color w:val="auto"/>
                <w:w w:val="94"/>
              </w:rPr>
              <w:t>If “Yes” is marked, indicate below the file number assigned to the registrant in connection with Rule 12g3-2(b):82</w:t>
            </w:r>
          </w:p>
        </w:tc>
        <w:tc>
          <w:tcPr>
            <w:tcW w:w="1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7"/>
                <w:szCs w:val="17"/>
                <w:b w:val="1"/>
                <w:bCs w:val="1"/>
                <w:color w:val="auto"/>
              </w:rPr>
              <w:t>N/A</w:t>
            </w:r>
          </w:p>
        </w:tc>
      </w:tr>
      <w:tr>
        <w:trPr>
          <w:trHeight w:val="358"/>
        </w:trPr>
        <w:tc>
          <w:tcPr>
            <w:tcW w:w="618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 w:name="page2"/>
    <w:bookmarkEnd w:id="1"/>
    <w:p>
      <w:pPr>
        <w:jc w:val="center"/>
        <w:ind w:right="-99"/>
        <w:spacing w:after="0"/>
        <w:rPr>
          <w:sz w:val="20"/>
          <w:szCs w:val="20"/>
          <w:color w:val="auto"/>
        </w:rPr>
      </w:pPr>
      <w:r>
        <w:rPr>
          <w:rFonts w:ascii="Arial" w:cs="Arial" w:eastAsia="Arial" w:hAnsi="Arial"/>
          <w:sz w:val="16"/>
          <w:szCs w:val="16"/>
          <w:b w:val="1"/>
          <w:bCs w:val="1"/>
          <w:color w:val="auto"/>
        </w:rPr>
        <w:t>EXPLANATORY NOTE</w:t>
      </w:r>
    </w:p>
    <w:p>
      <w:pPr>
        <w:spacing w:after="0" w:line="249" w:lineRule="exact"/>
        <w:rPr>
          <w:sz w:val="20"/>
          <w:szCs w:val="20"/>
          <w:color w:val="auto"/>
        </w:rPr>
      </w:pPr>
    </w:p>
    <w:p>
      <w:pPr>
        <w:jc w:val="both"/>
        <w:ind w:firstLine="776"/>
        <w:spacing w:after="0" w:line="261" w:lineRule="auto"/>
        <w:rPr>
          <w:sz w:val="20"/>
          <w:szCs w:val="20"/>
          <w:color w:val="auto"/>
        </w:rPr>
      </w:pPr>
      <w:r>
        <w:rPr>
          <w:rFonts w:ascii="Arial" w:cs="Arial" w:eastAsia="Arial" w:hAnsi="Arial"/>
          <w:sz w:val="16"/>
          <w:szCs w:val="16"/>
          <w:color w:val="auto"/>
        </w:rPr>
        <w:t>This amendment is being filed to correct a typographical error made in the Current Report on Form 6-K for the quarterly period ended November 30, 2005 filed by ICON plc with the Securities and Exchange Commission on February 3, 2006. The heading of the far right column on page 2 was incorrectly labeled and has been corrected to indicate that the data represented in that column is as of May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352425</wp:posOffset>
            </wp:positionV>
            <wp:extent cx="725678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20"/>
          </w:cols>
          <w:pgMar w:left="240" w:top="5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600" w:type="dxa"/>
            <w:vAlign w:val="bottom"/>
          </w:tcPr>
          <w:p>
            <w:pPr>
              <w:jc w:val="center"/>
              <w:ind w:left="2714"/>
              <w:spacing w:after="0"/>
              <w:rPr>
                <w:sz w:val="20"/>
                <w:szCs w:val="20"/>
                <w:color w:val="auto"/>
              </w:rPr>
            </w:pPr>
            <w:r>
              <w:rPr>
                <w:rFonts w:ascii="Arial" w:cs="Arial" w:eastAsia="Arial" w:hAnsi="Arial"/>
                <w:sz w:val="17"/>
                <w:szCs w:val="17"/>
                <w:b w:val="1"/>
                <w:bCs w:val="1"/>
                <w:color w:val="auto"/>
              </w:rPr>
              <w:t>ICON plc</w:t>
            </w: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600" w:type="dxa"/>
            <w:vAlign w:val="bottom"/>
          </w:tcPr>
          <w:p>
            <w:pPr>
              <w:jc w:val="center"/>
              <w:ind w:left="2714"/>
              <w:spacing w:after="0"/>
              <w:rPr>
                <w:sz w:val="20"/>
                <w:szCs w:val="20"/>
                <w:color w:val="auto"/>
              </w:rPr>
            </w:pPr>
            <w:r>
              <w:rPr>
                <w:rFonts w:ascii="Arial" w:cs="Arial" w:eastAsia="Arial" w:hAnsi="Arial"/>
                <w:sz w:val="17"/>
                <w:szCs w:val="17"/>
                <w:b w:val="1"/>
                <w:bCs w:val="1"/>
                <w:color w:val="auto"/>
                <w:w w:val="92"/>
              </w:rPr>
              <w:t>Quarterly Period Ended November 30, 2005</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4"/>
        </w:trPr>
        <w:tc>
          <w:tcPr>
            <w:tcW w:w="8620" w:type="dxa"/>
            <w:vAlign w:val="bottom"/>
            <w:gridSpan w:val="2"/>
          </w:tcPr>
          <w:p>
            <w:pPr>
              <w:spacing w:after="0"/>
              <w:rPr>
                <w:sz w:val="20"/>
                <w:szCs w:val="20"/>
                <w:color w:val="auto"/>
              </w:rPr>
            </w:pPr>
            <w:r>
              <w:rPr>
                <w:rFonts w:ascii="Arial" w:cs="Arial" w:eastAsia="Arial" w:hAnsi="Arial"/>
                <w:sz w:val="17"/>
                <w:szCs w:val="17"/>
                <w:b w:val="1"/>
                <w:bCs w:val="1"/>
                <w:color w:val="auto"/>
              </w:rPr>
              <w:t>CONTENTS</w:t>
            </w:r>
          </w:p>
        </w:tc>
        <w:tc>
          <w:tcPr>
            <w:tcW w:w="2800" w:type="dxa"/>
            <w:vAlign w:val="bottom"/>
          </w:tcPr>
          <w:p>
            <w:pPr>
              <w:ind w:left="128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860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General</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Balance Sheets as at</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November 30, 2005 and May 31, 2005</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Operations for</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the three and six months ended November 30, 2005 and 2004</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Cash Flows for</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the six months ended November 30, 2005 and 2004</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Condensed Consolidated Statements of Shareholders’</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Equity and Comprehensive Income</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Notes to the Condensed Consolidated Financial Statements</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Management’s Discussion and Analysis of</w:t>
            </w:r>
          </w:p>
        </w:tc>
        <w:tc>
          <w:tcPr>
            <w:tcW w:w="2800" w:type="dxa"/>
            <w:vAlign w:val="bottom"/>
            <w:shd w:val="clear" w:color="auto" w:fill="E2EEF6"/>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Financial Condition and Results of Operations</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33"/>
        </w:trPr>
        <w:tc>
          <w:tcPr>
            <w:tcW w:w="20" w:type="dxa"/>
            <w:vAlign w:val="bottom"/>
            <w:vMerge w:val="restart"/>
          </w:tcPr>
          <w:p>
            <w:pPr>
              <w:spacing w:after="0"/>
              <w:rPr>
                <w:sz w:val="20"/>
                <w:szCs w:val="20"/>
                <w:color w:val="auto"/>
              </w:rPr>
            </w:pPr>
          </w:p>
        </w:tc>
        <w:tc>
          <w:tcPr>
            <w:tcW w:w="86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8600" w:type="dxa"/>
            <w:vAlign w:val="bottom"/>
            <w:shd w:val="clear" w:color="auto" w:fill="E2EEF6"/>
          </w:tcPr>
          <w:p>
            <w:pPr>
              <w:spacing w:after="0"/>
              <w:rPr>
                <w:sz w:val="20"/>
                <w:szCs w:val="20"/>
                <w:color w:val="auto"/>
              </w:rPr>
            </w:pPr>
            <w:r>
              <w:rPr>
                <w:rFonts w:ascii="Arial" w:cs="Arial" w:eastAsia="Arial" w:hAnsi="Arial"/>
                <w:sz w:val="17"/>
                <w:szCs w:val="17"/>
                <w:color w:val="auto"/>
              </w:rPr>
              <w:t>Signature Page</w:t>
            </w:r>
          </w:p>
        </w:tc>
        <w:tc>
          <w:tcPr>
            <w:tcW w:w="2800" w:type="dxa"/>
            <w:vAlign w:val="bottom"/>
            <w:shd w:val="clear" w:color="auto" w:fill="E2EEF6"/>
          </w:tcPr>
          <w:p>
            <w:pPr>
              <w:ind w:left="15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“ICON”, the “Company” and “we” refer to ICON plc and its consolidated subsidiaries, unless the context requires otherwise.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w:t>
      </w: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3,000 employees worldwide, with operations in 39 locations in 25 countries, including the United States and major markets in Europe and Rest of World and have managed clinical trials in over 55 countries. For the six months ended November 30, 2005, we derived approximately 57.1%, 35.2%, and 7.7% of our net revenue in the United States, Europe and Rest of World,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Headquartered in Dublin, Ireland, we began operations in 1990 and have expanded our business through internal growth and strategic acquisitions.</w:t>
      </w:r>
    </w:p>
    <w:p>
      <w:pPr>
        <w:spacing w:after="0" w:line="270"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color w:val="auto"/>
        </w:rPr>
        <w:t>On July 27, 2005 the Board of Directors of the Company approved a change of the Company’s fiscal year end from a twelve-month period ending on May 31 to a twelve-month period ending on December 31. The Company is making this change in order to align its fiscal year end with the majority of other contract research organizations. As a requirement of this change, the Company will report results for the seven-month period from June 1, 2005 to December 31, 2005 as a separate transition period in a Transition Report filed on Form 20-F. Going forward, the Company’s fiscal quarters will end on the last day of March, June, September and December of each year.</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AT NOVEMBER 30, 2005 AND MAY 31, 2005</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7"/>
              </w:rPr>
              <w:t>(Unaudited)</w:t>
            </w:r>
          </w:p>
        </w:tc>
        <w:tc>
          <w:tcPr>
            <w:tcW w:w="7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8"/>
              </w:rPr>
              <w:t>(Audited)</w:t>
            </w:r>
          </w:p>
        </w:tc>
        <w:tc>
          <w:tcPr>
            <w:tcW w:w="1000" w:type="dxa"/>
            <w:vAlign w:val="bottom"/>
            <w:gridSpan w:val="2"/>
          </w:tcPr>
          <w:p>
            <w:pPr>
              <w:spacing w:after="0"/>
              <w:rPr>
                <w:sz w:val="16"/>
                <w:szCs w:val="16"/>
                <w:color w:val="auto"/>
              </w:rPr>
            </w:pPr>
          </w:p>
        </w:tc>
      </w:tr>
      <w:tr>
        <w:trPr>
          <w:trHeight w:val="213"/>
        </w:trPr>
        <w:tc>
          <w:tcPr>
            <w:tcW w:w="8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85"/>
              </w:rPr>
              <w:t>November 30,</w:t>
            </w: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89"/>
              </w:rPr>
              <w:t>May 31,</w:t>
            </w:r>
          </w:p>
        </w:tc>
        <w:tc>
          <w:tcPr>
            <w:tcW w:w="1100" w:type="dxa"/>
            <w:vAlign w:val="bottom"/>
            <w:gridSpan w:val="3"/>
          </w:tcPr>
          <w:p>
            <w:pPr>
              <w:spacing w:after="0"/>
              <w:rPr>
                <w:sz w:val="18"/>
                <w:szCs w:val="18"/>
                <w:color w:val="auto"/>
              </w:rPr>
            </w:pPr>
          </w:p>
        </w:tc>
      </w:tr>
      <w:tr>
        <w:trPr>
          <w:trHeight w:val="213"/>
        </w:trPr>
        <w:tc>
          <w:tcPr>
            <w:tcW w:w="8120" w:type="dxa"/>
            <w:vAlign w:val="bottom"/>
          </w:tcPr>
          <w:p>
            <w:pPr>
              <w:spacing w:after="0"/>
              <w:rPr>
                <w:sz w:val="18"/>
                <w:szCs w:val="18"/>
                <w:color w:val="auto"/>
              </w:rPr>
            </w:pPr>
          </w:p>
        </w:tc>
        <w:tc>
          <w:tcPr>
            <w:tcW w:w="840" w:type="dxa"/>
            <w:vAlign w:val="bottom"/>
            <w:gridSpan w:val="4"/>
          </w:tcPr>
          <w:p>
            <w:pPr>
              <w:ind w:left="40"/>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gridSpan w:val="3"/>
          </w:tcPr>
          <w:p>
            <w:pPr>
              <w:ind w:left="40"/>
              <w:spacing w:after="0"/>
              <w:rPr>
                <w:sz w:val="20"/>
                <w:szCs w:val="20"/>
                <w:color w:val="auto"/>
              </w:rPr>
            </w:pPr>
            <w:r>
              <w:rPr>
                <w:rFonts w:ascii="Arial" w:cs="Arial" w:eastAsia="Arial" w:hAnsi="Arial"/>
                <w:sz w:val="16"/>
                <w:szCs w:val="16"/>
                <w:b w:val="1"/>
                <w:bCs w:val="1"/>
                <w:color w:val="auto"/>
                <w:w w:val="84"/>
              </w:rPr>
              <w:t>2005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6"/>
        </w:trPr>
        <w:tc>
          <w:tcPr>
            <w:tcW w:w="8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80" w:type="dxa"/>
            <w:vAlign w:val="bottom"/>
            <w:gridSpan w:val="3"/>
          </w:tcPr>
          <w:p>
            <w:pPr>
              <w:ind w:left="28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2"/>
        </w:trPr>
        <w:tc>
          <w:tcPr>
            <w:tcW w:w="8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ASSETS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Current Assets: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Cash and cash equivalents</w:t>
            </w:r>
          </w:p>
        </w:tc>
        <w:tc>
          <w:tcPr>
            <w:tcW w:w="840" w:type="dxa"/>
            <w:vAlign w:val="bottom"/>
            <w:gridSpan w:val="4"/>
            <w:shd w:val="clear" w:color="auto" w:fill="E2EEF6"/>
          </w:tcPr>
          <w:p>
            <w:pPr>
              <w:ind w:left="220"/>
              <w:spacing w:after="0"/>
              <w:rPr>
                <w:sz w:val="20"/>
                <w:szCs w:val="20"/>
                <w:color w:val="auto"/>
              </w:rPr>
            </w:pPr>
            <w:r>
              <w:rPr>
                <w:rFonts w:ascii="Arial" w:cs="Arial" w:eastAsia="Arial" w:hAnsi="Arial"/>
                <w:sz w:val="17"/>
                <w:szCs w:val="17"/>
                <w:color w:val="auto"/>
                <w:w w:val="90"/>
              </w:rPr>
              <w:t>$ 56,430</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220"/>
              <w:spacing w:after="0"/>
              <w:rPr>
                <w:sz w:val="20"/>
                <w:szCs w:val="20"/>
                <w:color w:val="auto"/>
              </w:rPr>
            </w:pPr>
            <w:r>
              <w:rPr>
                <w:rFonts w:ascii="Arial" w:cs="Arial" w:eastAsia="Arial" w:hAnsi="Arial"/>
                <w:sz w:val="17"/>
                <w:szCs w:val="17"/>
                <w:color w:val="auto"/>
              </w:rPr>
              <w:t>$56,341</w:t>
            </w: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Short term investments - available for sale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25,812</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22,034</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Accounts receivable</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63,727</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320"/>
              <w:spacing w:after="0"/>
              <w:rPr>
                <w:sz w:val="20"/>
                <w:szCs w:val="20"/>
                <w:color w:val="auto"/>
              </w:rPr>
            </w:pPr>
            <w:r>
              <w:rPr>
                <w:rFonts w:ascii="Arial" w:cs="Arial" w:eastAsia="Arial" w:hAnsi="Arial"/>
                <w:sz w:val="17"/>
                <w:szCs w:val="17"/>
                <w:color w:val="auto"/>
              </w:rPr>
              <w:t>80,486</w:t>
            </w: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Unbilled revenue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75,589</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56,762</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receivables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6,079</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320"/>
              <w:spacing w:after="0"/>
              <w:rPr>
                <w:sz w:val="20"/>
                <w:szCs w:val="20"/>
                <w:color w:val="auto"/>
              </w:rPr>
            </w:pPr>
            <w:r>
              <w:rPr>
                <w:rFonts w:ascii="Arial" w:cs="Arial" w:eastAsia="Arial" w:hAnsi="Arial"/>
                <w:sz w:val="17"/>
                <w:szCs w:val="17"/>
                <w:color w:val="auto"/>
              </w:rPr>
              <w:t>5,662</w:t>
            </w: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Deferred tax asset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2,637</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2,637</w:t>
            </w:r>
          </w:p>
        </w:tc>
        <w:tc>
          <w:tcPr>
            <w:tcW w:w="100" w:type="dxa"/>
            <w:vAlign w:val="bottom"/>
          </w:tcPr>
          <w:p>
            <w:pPr>
              <w:spacing w:after="0"/>
              <w:rPr>
                <w:sz w:val="20"/>
                <w:szCs w:val="20"/>
                <w:color w:val="auto"/>
              </w:rPr>
            </w:pPr>
          </w:p>
        </w:tc>
      </w:tr>
      <w:tr>
        <w:trPr>
          <w:trHeight w:val="264"/>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Prepayments and other current assets</w:t>
            </w:r>
          </w:p>
        </w:tc>
        <w:tc>
          <w:tcPr>
            <w:tcW w:w="220" w:type="dxa"/>
            <w:vAlign w:val="bottom"/>
            <w:tcBorders>
              <w:bottom w:val="single" w:sz="8" w:color="E2EEF6"/>
            </w:tcBorders>
            <w:gridSpan w:val="2"/>
            <w:shd w:val="clear" w:color="auto" w:fill="E2EEF6"/>
          </w:tcPr>
          <w:p>
            <w:pPr>
              <w:spacing w:after="0"/>
              <w:rPr>
                <w:sz w:val="22"/>
                <w:szCs w:val="22"/>
                <w:color w:val="auto"/>
              </w:rPr>
            </w:pPr>
          </w:p>
        </w:tc>
        <w:tc>
          <w:tcPr>
            <w:tcW w:w="620" w:type="dxa"/>
            <w:vAlign w:val="bottom"/>
            <w:tcBorders>
              <w:bottom w:val="single" w:sz="8" w:color="E2EEF6"/>
            </w:tcBorders>
            <w:gridSpan w:val="2"/>
            <w:shd w:val="clear" w:color="auto" w:fill="E2EEF6"/>
          </w:tcPr>
          <w:p>
            <w:pPr>
              <w:ind w:left="120"/>
              <w:spacing w:after="0"/>
              <w:rPr>
                <w:sz w:val="20"/>
                <w:szCs w:val="20"/>
                <w:color w:val="auto"/>
              </w:rPr>
            </w:pPr>
            <w:r>
              <w:rPr>
                <w:rFonts w:ascii="Arial" w:cs="Arial" w:eastAsia="Arial" w:hAnsi="Arial"/>
                <w:sz w:val="17"/>
                <w:szCs w:val="17"/>
                <w:color w:val="auto"/>
                <w:w w:val="92"/>
              </w:rPr>
              <w:t>11,093</w:t>
            </w:r>
          </w:p>
        </w:tc>
        <w:tc>
          <w:tcPr>
            <w:tcW w:w="120" w:type="dxa"/>
            <w:vAlign w:val="bottom"/>
            <w:tcBorders>
              <w:bottom w:val="single" w:sz="8" w:color="E2EEF6"/>
            </w:tcBorders>
            <w:shd w:val="clear" w:color="auto" w:fill="E2EEF6"/>
          </w:tcPr>
          <w:p>
            <w:pPr>
              <w:spacing w:after="0"/>
              <w:rPr>
                <w:sz w:val="22"/>
                <w:szCs w:val="22"/>
                <w:color w:val="auto"/>
              </w:rPr>
            </w:pPr>
          </w:p>
        </w:tc>
        <w:tc>
          <w:tcPr>
            <w:tcW w:w="660" w:type="dxa"/>
            <w:vAlign w:val="bottom"/>
            <w:tcBorders>
              <w:bottom w:val="single" w:sz="8" w:color="E2EEF6"/>
            </w:tcBorders>
            <w:shd w:val="clear" w:color="auto" w:fill="E2EEF6"/>
          </w:tcPr>
          <w:p>
            <w:pPr>
              <w:spacing w:after="0"/>
              <w:rPr>
                <w:sz w:val="22"/>
                <w:szCs w:val="22"/>
                <w:color w:val="auto"/>
              </w:rPr>
            </w:pPr>
          </w:p>
        </w:tc>
        <w:tc>
          <w:tcPr>
            <w:tcW w:w="1580" w:type="dxa"/>
            <w:vAlign w:val="bottom"/>
            <w:tcBorders>
              <w:bottom w:val="single" w:sz="8" w:color="E2EEF6"/>
            </w:tcBorders>
            <w:gridSpan w:val="6"/>
            <w:shd w:val="clear" w:color="auto" w:fill="E2EEF6"/>
          </w:tcPr>
          <w:p>
            <w:pPr>
              <w:ind w:left="320"/>
              <w:spacing w:after="0"/>
              <w:rPr>
                <w:sz w:val="20"/>
                <w:szCs w:val="20"/>
                <w:color w:val="auto"/>
              </w:rPr>
            </w:pPr>
            <w:r>
              <w:rPr>
                <w:rFonts w:ascii="Arial" w:cs="Arial" w:eastAsia="Arial" w:hAnsi="Arial"/>
                <w:sz w:val="17"/>
                <w:szCs w:val="17"/>
                <w:color w:val="auto"/>
              </w:rPr>
              <w:t>10,717</w:t>
            </w:r>
          </w:p>
        </w:tc>
        <w:tc>
          <w:tcPr>
            <w:tcW w:w="100" w:type="dxa"/>
            <w:vAlign w:val="bottom"/>
            <w:tcBorders>
              <w:bottom w:val="single" w:sz="8" w:color="E2EEF6"/>
            </w:tcBorders>
            <w:shd w:val="clear" w:color="auto" w:fill="E2EEF6"/>
          </w:tcPr>
          <w:p>
            <w:pPr>
              <w:spacing w:after="0"/>
              <w:rPr>
                <w:sz w:val="22"/>
                <w:szCs w:val="22"/>
                <w:color w:val="auto"/>
              </w:rPr>
            </w:pPr>
          </w:p>
        </w:tc>
      </w:tr>
      <w:tr>
        <w:trPr>
          <w:trHeight w:val="252"/>
        </w:trPr>
        <w:tc>
          <w:tcPr>
            <w:tcW w:w="8120" w:type="dxa"/>
            <w:vAlign w:val="bottom"/>
            <w:tcBorders>
              <w:top w:val="single" w:sz="8" w:color="E2EEF6"/>
            </w:tcBorders>
          </w:tcPr>
          <w:p>
            <w:pPr>
              <w:spacing w:after="0"/>
              <w:rPr>
                <w:sz w:val="20"/>
                <w:szCs w:val="20"/>
                <w:color w:val="auto"/>
              </w:rPr>
            </w:pPr>
            <w:r>
              <w:rPr>
                <w:rFonts w:ascii="Arial" w:cs="Arial" w:eastAsia="Arial" w:hAnsi="Arial"/>
                <w:sz w:val="17"/>
                <w:szCs w:val="17"/>
                <w:color w:val="auto"/>
              </w:rPr>
              <w:t>Total current assets</w:t>
            </w:r>
          </w:p>
        </w:tc>
        <w:tc>
          <w:tcPr>
            <w:tcW w:w="220" w:type="dxa"/>
            <w:vAlign w:val="bottom"/>
            <w:tcBorders>
              <w:top w:val="single" w:sz="8" w:color="E2EEF6"/>
            </w:tcBorders>
            <w:gridSpan w:val="2"/>
          </w:tcPr>
          <w:p>
            <w:pPr>
              <w:spacing w:after="0"/>
              <w:rPr>
                <w:sz w:val="21"/>
                <w:szCs w:val="21"/>
                <w:color w:val="auto"/>
              </w:rPr>
            </w:pPr>
          </w:p>
        </w:tc>
        <w:tc>
          <w:tcPr>
            <w:tcW w:w="740" w:type="dxa"/>
            <w:vAlign w:val="bottom"/>
            <w:tcBorders>
              <w:top w:val="single" w:sz="8" w:color="auto"/>
            </w:tcBorders>
            <w:gridSpan w:val="3"/>
          </w:tcPr>
          <w:p>
            <w:pPr>
              <w:ind w:left="120"/>
              <w:spacing w:after="0"/>
              <w:rPr>
                <w:sz w:val="20"/>
                <w:szCs w:val="20"/>
                <w:color w:val="auto"/>
              </w:rPr>
            </w:pPr>
            <w:r>
              <w:rPr>
                <w:rFonts w:ascii="Arial" w:cs="Arial" w:eastAsia="Arial" w:hAnsi="Arial"/>
                <w:sz w:val="17"/>
                <w:szCs w:val="17"/>
                <w:color w:val="auto"/>
                <w:w w:val="97"/>
              </w:rPr>
              <w:t>241,367</w:t>
            </w:r>
          </w:p>
        </w:tc>
        <w:tc>
          <w:tcPr>
            <w:tcW w:w="660" w:type="dxa"/>
            <w:vAlign w:val="bottom"/>
            <w:tcBorders>
              <w:top w:val="single" w:sz="8" w:color="auto"/>
            </w:tcBorders>
          </w:tcPr>
          <w:p>
            <w:pPr>
              <w:spacing w:after="0"/>
              <w:rPr>
                <w:sz w:val="21"/>
                <w:szCs w:val="21"/>
                <w:color w:val="auto"/>
              </w:rPr>
            </w:pPr>
          </w:p>
        </w:tc>
        <w:tc>
          <w:tcPr>
            <w:tcW w:w="220" w:type="dxa"/>
            <w:vAlign w:val="bottom"/>
            <w:tcBorders>
              <w:top w:val="single" w:sz="8" w:color="E2EEF6"/>
            </w:tcBorders>
            <w:gridSpan w:val="2"/>
          </w:tcPr>
          <w:p>
            <w:pPr>
              <w:spacing w:after="0"/>
              <w:rPr>
                <w:sz w:val="21"/>
                <w:szCs w:val="21"/>
                <w:color w:val="auto"/>
              </w:rPr>
            </w:pPr>
          </w:p>
        </w:tc>
        <w:tc>
          <w:tcPr>
            <w:tcW w:w="1360" w:type="dxa"/>
            <w:vAlign w:val="bottom"/>
            <w:tcBorders>
              <w:top w:val="single" w:sz="8" w:color="auto"/>
            </w:tcBorders>
            <w:gridSpan w:val="4"/>
          </w:tcPr>
          <w:p>
            <w:pPr>
              <w:ind w:left="100"/>
              <w:spacing w:after="0"/>
              <w:rPr>
                <w:sz w:val="20"/>
                <w:szCs w:val="20"/>
                <w:color w:val="auto"/>
              </w:rPr>
            </w:pPr>
            <w:r>
              <w:rPr>
                <w:rFonts w:ascii="Arial" w:cs="Arial" w:eastAsia="Arial" w:hAnsi="Arial"/>
                <w:sz w:val="17"/>
                <w:szCs w:val="17"/>
                <w:color w:val="auto"/>
              </w:rPr>
              <w:t>234,639</w:t>
            </w:r>
          </w:p>
        </w:tc>
        <w:tc>
          <w:tcPr>
            <w:tcW w:w="100" w:type="dxa"/>
            <w:vAlign w:val="bottom"/>
            <w:tcBorders>
              <w:top w:val="single" w:sz="8" w:color="E2EEF6"/>
            </w:tcBorders>
          </w:tcPr>
          <w:p>
            <w:pPr>
              <w:spacing w:after="0"/>
              <w:rPr>
                <w:sz w:val="21"/>
                <w:szCs w:val="21"/>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Assets: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47,616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45,286</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Goodwill</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65,763</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320"/>
              <w:spacing w:after="0"/>
              <w:rPr>
                <w:sz w:val="20"/>
                <w:szCs w:val="20"/>
                <w:color w:val="auto"/>
              </w:rPr>
            </w:pPr>
            <w:r>
              <w:rPr>
                <w:rFonts w:ascii="Arial" w:cs="Arial" w:eastAsia="Arial" w:hAnsi="Arial"/>
                <w:sz w:val="17"/>
                <w:szCs w:val="17"/>
                <w:color w:val="auto"/>
              </w:rPr>
              <w:t>67,440</w:t>
            </w:r>
          </w:p>
        </w:tc>
        <w:tc>
          <w:tcPr>
            <w:tcW w:w="100" w:type="dxa"/>
            <w:vAlign w:val="bottom"/>
            <w:shd w:val="clear" w:color="auto" w:fill="E2EEF6"/>
          </w:tcPr>
          <w:p>
            <w:pPr>
              <w:spacing w:after="0"/>
              <w:rPr>
                <w:sz w:val="20"/>
                <w:szCs w:val="20"/>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Intangible assets</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gridSpan w:val="5"/>
          </w:tcPr>
          <w:p>
            <w:pPr>
              <w:ind w:left="320"/>
              <w:spacing w:after="0"/>
              <w:rPr>
                <w:sz w:val="20"/>
                <w:szCs w:val="20"/>
                <w:color w:val="auto"/>
              </w:rPr>
            </w:pPr>
            <w:r>
              <w:rPr>
                <w:rFonts w:ascii="Arial" w:cs="Arial" w:eastAsia="Arial" w:hAnsi="Arial"/>
                <w:sz w:val="17"/>
                <w:szCs w:val="17"/>
                <w:color w:val="auto"/>
              </w:rPr>
              <w:t>188</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6"/>
        </w:trPr>
        <w:tc>
          <w:tcPr>
            <w:tcW w:w="812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500" w:type="dxa"/>
            <w:vAlign w:val="bottom"/>
            <w:tcBorders>
              <w:top w:val="single" w:sz="8" w:color="auto"/>
            </w:tcBorders>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660" w:type="dxa"/>
            <w:vAlign w:val="bottom"/>
            <w:tcBorders>
              <w:top w:val="single" w:sz="8" w:color="auto"/>
            </w:tcBorders>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220" w:type="dxa"/>
            <w:vAlign w:val="bottom"/>
            <w:tcBorders>
              <w:top w:val="single" w:sz="8" w:color="auto"/>
            </w:tcBorders>
            <w:shd w:val="clear" w:color="auto" w:fill="E2EEF6"/>
          </w:tcPr>
          <w:p>
            <w:pPr>
              <w:spacing w:after="0"/>
              <w:rPr>
                <w:sz w:val="19"/>
                <w:szCs w:val="19"/>
                <w:color w:val="auto"/>
              </w:rPr>
            </w:pPr>
          </w:p>
        </w:tc>
        <w:tc>
          <w:tcPr>
            <w:tcW w:w="100" w:type="dxa"/>
            <w:vAlign w:val="bottom"/>
            <w:tcBorders>
              <w:top w:val="single" w:sz="8" w:color="auto"/>
            </w:tcBorders>
            <w:shd w:val="clear" w:color="auto" w:fill="E2EEF6"/>
          </w:tcPr>
          <w:p>
            <w:pPr>
              <w:spacing w:after="0"/>
              <w:rPr>
                <w:sz w:val="19"/>
                <w:szCs w:val="19"/>
                <w:color w:val="auto"/>
              </w:rPr>
            </w:pPr>
          </w:p>
        </w:tc>
        <w:tc>
          <w:tcPr>
            <w:tcW w:w="900" w:type="dxa"/>
            <w:vAlign w:val="bottom"/>
            <w:tcBorders>
              <w:top w:val="single" w:sz="8" w:color="auto"/>
            </w:tcBorders>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Total Assets</w:t>
            </w:r>
          </w:p>
        </w:tc>
        <w:tc>
          <w:tcPr>
            <w:tcW w:w="960" w:type="dxa"/>
            <w:vAlign w:val="bottom"/>
            <w:gridSpan w:val="5"/>
          </w:tcPr>
          <w:p>
            <w:pPr>
              <w:ind w:left="220"/>
              <w:spacing w:after="0"/>
              <w:rPr>
                <w:sz w:val="20"/>
                <w:szCs w:val="20"/>
                <w:color w:val="auto"/>
              </w:rPr>
            </w:pPr>
            <w:r>
              <w:rPr>
                <w:rFonts w:ascii="Arial" w:cs="Arial" w:eastAsia="Arial" w:hAnsi="Arial"/>
                <w:sz w:val="17"/>
                <w:szCs w:val="17"/>
                <w:color w:val="auto"/>
                <w:w w:val="95"/>
              </w:rPr>
              <w:t>$ 354,872</w:t>
            </w:r>
          </w:p>
        </w:tc>
        <w:tc>
          <w:tcPr>
            <w:tcW w:w="660" w:type="dxa"/>
            <w:vAlign w:val="bottom"/>
          </w:tcPr>
          <w:p>
            <w:pPr>
              <w:spacing w:after="0"/>
              <w:rPr>
                <w:sz w:val="22"/>
                <w:szCs w:val="22"/>
                <w:color w:val="auto"/>
              </w:rPr>
            </w:pPr>
          </w:p>
        </w:tc>
        <w:tc>
          <w:tcPr>
            <w:tcW w:w="1580" w:type="dxa"/>
            <w:vAlign w:val="bottom"/>
            <w:gridSpan w:val="6"/>
          </w:tcPr>
          <w:p>
            <w:pPr>
              <w:ind w:left="220"/>
              <w:spacing w:after="0"/>
              <w:rPr>
                <w:sz w:val="20"/>
                <w:szCs w:val="20"/>
                <w:color w:val="auto"/>
              </w:rPr>
            </w:pPr>
            <w:r>
              <w:rPr>
                <w:rFonts w:ascii="Arial" w:cs="Arial" w:eastAsia="Arial" w:hAnsi="Arial"/>
                <w:sz w:val="17"/>
                <w:szCs w:val="17"/>
                <w:color w:val="auto"/>
              </w:rPr>
              <w:t>$347,553</w:t>
            </w:r>
          </w:p>
        </w:tc>
        <w:tc>
          <w:tcPr>
            <w:tcW w:w="100" w:type="dxa"/>
            <w:vAlign w:val="bottom"/>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4"/>
        </w:trPr>
        <w:tc>
          <w:tcPr>
            <w:tcW w:w="812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40" w:type="dxa"/>
            <w:vAlign w:val="bottom"/>
            <w:shd w:val="clear" w:color="auto" w:fill="E2EEF6"/>
          </w:tcPr>
          <w:p>
            <w:pPr>
              <w:spacing w:after="0"/>
              <w:rPr>
                <w:sz w:val="24"/>
                <w:szCs w:val="24"/>
                <w:color w:val="auto"/>
              </w:rPr>
            </w:pPr>
          </w:p>
        </w:tc>
        <w:tc>
          <w:tcPr>
            <w:tcW w:w="180" w:type="dxa"/>
            <w:vAlign w:val="bottom"/>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500" w:type="dxa"/>
            <w:vAlign w:val="bottom"/>
            <w:shd w:val="clear" w:color="auto" w:fill="E2EEF6"/>
          </w:tcPr>
          <w:p>
            <w:pPr>
              <w:spacing w:after="0"/>
              <w:rPr>
                <w:sz w:val="24"/>
                <w:szCs w:val="24"/>
                <w:color w:val="auto"/>
              </w:rPr>
            </w:pPr>
          </w:p>
        </w:tc>
        <w:tc>
          <w:tcPr>
            <w:tcW w:w="120" w:type="dxa"/>
            <w:vAlign w:val="bottom"/>
            <w:shd w:val="clear" w:color="auto" w:fill="E2EEF6"/>
          </w:tcPr>
          <w:p>
            <w:pPr>
              <w:spacing w:after="0"/>
              <w:rPr>
                <w:sz w:val="24"/>
                <w:szCs w:val="24"/>
                <w:color w:val="auto"/>
              </w:rPr>
            </w:pPr>
          </w:p>
        </w:tc>
        <w:tc>
          <w:tcPr>
            <w:tcW w:w="660" w:type="dxa"/>
            <w:vAlign w:val="bottom"/>
            <w:shd w:val="clear" w:color="auto" w:fill="E2EEF6"/>
          </w:tcPr>
          <w:p>
            <w:pPr>
              <w:spacing w:after="0"/>
              <w:rPr>
                <w:sz w:val="24"/>
                <w:szCs w:val="24"/>
                <w:color w:val="auto"/>
              </w:rPr>
            </w:pPr>
          </w:p>
        </w:tc>
        <w:tc>
          <w:tcPr>
            <w:tcW w:w="40" w:type="dxa"/>
            <w:vAlign w:val="bottom"/>
            <w:shd w:val="clear" w:color="auto" w:fill="E2EEF6"/>
          </w:tcPr>
          <w:p>
            <w:pPr>
              <w:spacing w:after="0"/>
              <w:rPr>
                <w:sz w:val="24"/>
                <w:szCs w:val="24"/>
                <w:color w:val="auto"/>
              </w:rPr>
            </w:pPr>
          </w:p>
        </w:tc>
        <w:tc>
          <w:tcPr>
            <w:tcW w:w="1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2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90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Current Liabilities: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Accounts payable</w:t>
            </w:r>
          </w:p>
        </w:tc>
        <w:tc>
          <w:tcPr>
            <w:tcW w:w="840" w:type="dxa"/>
            <w:vAlign w:val="bottom"/>
            <w:gridSpan w:val="4"/>
            <w:shd w:val="clear" w:color="auto" w:fill="E2EEF6"/>
          </w:tcPr>
          <w:p>
            <w:pPr>
              <w:ind w:left="220"/>
              <w:spacing w:after="0"/>
              <w:rPr>
                <w:sz w:val="20"/>
                <w:szCs w:val="20"/>
                <w:color w:val="auto"/>
              </w:rPr>
            </w:pPr>
            <w:r>
              <w:rPr>
                <w:rFonts w:ascii="Arial" w:cs="Arial" w:eastAsia="Arial" w:hAnsi="Arial"/>
                <w:sz w:val="17"/>
                <w:szCs w:val="17"/>
                <w:color w:val="auto"/>
              </w:rPr>
              <w:t>$ 7,962</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220"/>
              <w:spacing w:after="0"/>
              <w:rPr>
                <w:sz w:val="20"/>
                <w:szCs w:val="20"/>
                <w:color w:val="auto"/>
              </w:rPr>
            </w:pPr>
            <w:r>
              <w:rPr>
                <w:rFonts w:ascii="Arial" w:cs="Arial" w:eastAsia="Arial" w:hAnsi="Arial"/>
                <w:sz w:val="17"/>
                <w:szCs w:val="17"/>
                <w:color w:val="auto"/>
              </w:rPr>
              <w:t>$10,379</w:t>
            </w: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Payments on account</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w w:val="92"/>
              </w:rPr>
              <w:t>50,926</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52,583</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liabilities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w w:val="92"/>
              </w:rPr>
              <w:t>37,912</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1580" w:type="dxa"/>
            <w:vAlign w:val="bottom"/>
            <w:gridSpan w:val="6"/>
            <w:shd w:val="clear" w:color="auto" w:fill="E2EEF6"/>
          </w:tcPr>
          <w:p>
            <w:pPr>
              <w:ind w:left="320"/>
              <w:spacing w:after="0"/>
              <w:rPr>
                <w:sz w:val="20"/>
                <w:szCs w:val="20"/>
                <w:color w:val="auto"/>
              </w:rPr>
            </w:pPr>
            <w:r>
              <w:rPr>
                <w:rFonts w:ascii="Arial" w:cs="Arial" w:eastAsia="Arial" w:hAnsi="Arial"/>
                <w:sz w:val="17"/>
                <w:szCs w:val="17"/>
                <w:color w:val="auto"/>
              </w:rPr>
              <w:t>39,890</w:t>
            </w: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Deferred tax liability</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310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gridSpan w:val="5"/>
          </w:tcPr>
          <w:p>
            <w:pPr>
              <w:ind w:left="320"/>
              <w:spacing w:after="0"/>
              <w:rPr>
                <w:sz w:val="20"/>
                <w:szCs w:val="20"/>
                <w:color w:val="auto"/>
              </w:rPr>
            </w:pPr>
            <w:r>
              <w:rPr>
                <w:rFonts w:ascii="Arial" w:cs="Arial" w:eastAsia="Arial" w:hAnsi="Arial"/>
                <w:sz w:val="17"/>
                <w:szCs w:val="17"/>
                <w:color w:val="auto"/>
              </w:rPr>
              <w:t>310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Bank creditlines and loan facilities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3,000</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580" w:type="dxa"/>
            <w:vAlign w:val="bottom"/>
            <w:gridSpan w:val="4"/>
            <w:shd w:val="clear" w:color="auto" w:fill="E2EEF6"/>
          </w:tcPr>
          <w:p>
            <w:pPr>
              <w:ind w:lef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Income taxes payable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7,851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6,189</w:t>
            </w:r>
          </w:p>
        </w:tc>
        <w:tc>
          <w:tcPr>
            <w:tcW w:w="100" w:type="dxa"/>
            <w:vAlign w:val="bottom"/>
          </w:tcPr>
          <w:p>
            <w:pPr>
              <w:spacing w:after="0"/>
              <w:rPr>
                <w:sz w:val="20"/>
                <w:szCs w:val="20"/>
                <w:color w:val="auto"/>
              </w:rPr>
            </w:pPr>
          </w:p>
        </w:tc>
      </w:tr>
      <w:tr>
        <w:trPr>
          <w:trHeight w:val="226"/>
        </w:trPr>
        <w:tc>
          <w:tcPr>
            <w:tcW w:w="812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500" w:type="dxa"/>
            <w:vAlign w:val="bottom"/>
            <w:tcBorders>
              <w:top w:val="single" w:sz="8" w:color="auto"/>
            </w:tcBorders>
            <w:shd w:val="clear" w:color="auto" w:fill="E2EEF6"/>
          </w:tcPr>
          <w:p>
            <w:pPr>
              <w:spacing w:after="0"/>
              <w:rPr>
                <w:sz w:val="19"/>
                <w:szCs w:val="19"/>
                <w:color w:val="auto"/>
              </w:rPr>
            </w:pPr>
          </w:p>
        </w:tc>
        <w:tc>
          <w:tcPr>
            <w:tcW w:w="120" w:type="dxa"/>
            <w:vAlign w:val="bottom"/>
            <w:tcBorders>
              <w:top w:val="single" w:sz="8" w:color="auto"/>
            </w:tcBorders>
            <w:shd w:val="clear" w:color="auto" w:fill="E2EEF6"/>
          </w:tcPr>
          <w:p>
            <w:pPr>
              <w:spacing w:after="0"/>
              <w:rPr>
                <w:sz w:val="19"/>
                <w:szCs w:val="19"/>
                <w:color w:val="auto"/>
              </w:rPr>
            </w:pPr>
          </w:p>
        </w:tc>
        <w:tc>
          <w:tcPr>
            <w:tcW w:w="660" w:type="dxa"/>
            <w:vAlign w:val="bottom"/>
            <w:tcBorders>
              <w:top w:val="single" w:sz="8" w:color="auto"/>
            </w:tcBorders>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220" w:type="dxa"/>
            <w:vAlign w:val="bottom"/>
            <w:tcBorders>
              <w:top w:val="single" w:sz="8" w:color="auto"/>
            </w:tcBorders>
            <w:shd w:val="clear" w:color="auto" w:fill="E2EEF6"/>
          </w:tcPr>
          <w:p>
            <w:pPr>
              <w:spacing w:after="0"/>
              <w:rPr>
                <w:sz w:val="19"/>
                <w:szCs w:val="19"/>
                <w:color w:val="auto"/>
              </w:rPr>
            </w:pPr>
          </w:p>
        </w:tc>
        <w:tc>
          <w:tcPr>
            <w:tcW w:w="100" w:type="dxa"/>
            <w:vAlign w:val="bottom"/>
            <w:tcBorders>
              <w:top w:val="single" w:sz="8" w:color="auto"/>
            </w:tcBorders>
            <w:shd w:val="clear" w:color="auto" w:fill="E2EEF6"/>
          </w:tcPr>
          <w:p>
            <w:pPr>
              <w:spacing w:after="0"/>
              <w:rPr>
                <w:sz w:val="19"/>
                <w:szCs w:val="19"/>
                <w:color w:val="auto"/>
              </w:rPr>
            </w:pPr>
          </w:p>
        </w:tc>
        <w:tc>
          <w:tcPr>
            <w:tcW w:w="900" w:type="dxa"/>
            <w:vAlign w:val="bottom"/>
            <w:tcBorders>
              <w:top w:val="single" w:sz="8" w:color="auto"/>
            </w:tcBorders>
            <w:shd w:val="clear" w:color="auto" w:fill="E2EEF6"/>
          </w:tcPr>
          <w:p>
            <w:pPr>
              <w:spacing w:after="0"/>
              <w:rPr>
                <w:sz w:val="19"/>
                <w:szCs w:val="19"/>
                <w:color w:val="auto"/>
              </w:rPr>
            </w:pPr>
          </w:p>
        </w:tc>
        <w:tc>
          <w:tcPr>
            <w:tcW w:w="100" w:type="dxa"/>
            <w:vAlign w:val="bottom"/>
            <w:shd w:val="clear" w:color="auto" w:fill="E2EEF6"/>
          </w:tcPr>
          <w:p>
            <w:pPr>
              <w:spacing w:after="0"/>
              <w:rPr>
                <w:sz w:val="19"/>
                <w:szCs w:val="19"/>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960" w:type="dxa"/>
            <w:vAlign w:val="bottom"/>
            <w:gridSpan w:val="5"/>
          </w:tcPr>
          <w:p>
            <w:pPr>
              <w:ind w:left="340"/>
              <w:spacing w:after="0"/>
              <w:rPr>
                <w:sz w:val="20"/>
                <w:szCs w:val="20"/>
                <w:color w:val="auto"/>
              </w:rPr>
            </w:pPr>
            <w:r>
              <w:rPr>
                <w:rFonts w:ascii="Arial" w:cs="Arial" w:eastAsia="Arial" w:hAnsi="Arial"/>
                <w:sz w:val="17"/>
                <w:szCs w:val="17"/>
                <w:color w:val="auto"/>
                <w:w w:val="97"/>
              </w:rPr>
              <w:t>107,961</w:t>
            </w:r>
          </w:p>
        </w:tc>
        <w:tc>
          <w:tcPr>
            <w:tcW w:w="660" w:type="dxa"/>
            <w:vAlign w:val="bottom"/>
          </w:tcPr>
          <w:p>
            <w:pPr>
              <w:spacing w:after="0"/>
              <w:rPr>
                <w:sz w:val="22"/>
                <w:szCs w:val="22"/>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109,351</w:t>
            </w:r>
          </w:p>
        </w:tc>
        <w:tc>
          <w:tcPr>
            <w:tcW w:w="100" w:type="dxa"/>
            <w:vAlign w:val="bottom"/>
          </w:tcPr>
          <w:p>
            <w:pPr>
              <w:spacing w:after="0"/>
              <w:rPr>
                <w:sz w:val="22"/>
                <w:szCs w:val="2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Other Liabilities:</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Long term government grants</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1,073</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1,257</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Long term finance leases</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165</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248</w:t>
            </w: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Non-current deferred tax liability</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2,840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2,747</w:t>
            </w: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874</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884</w:t>
            </w: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Shareholders' Equity:</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Ordinary shares, par value 6 euro cents per share; 20,000,000 shares authorized,</w:t>
            </w: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5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14,017,012 shares issued and outstanding at November 30, 2005 and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13,899,096 shares issued and outstanding at May 31, 2005</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993</w:t>
            </w:r>
          </w:p>
        </w:tc>
        <w:tc>
          <w:tcPr>
            <w:tcW w:w="120" w:type="dxa"/>
            <w:vAlign w:val="bottom"/>
            <w:shd w:val="clear" w:color="auto" w:fill="E2EEF6"/>
          </w:tcPr>
          <w:p>
            <w:pPr>
              <w:spacing w:after="0"/>
              <w:rPr>
                <w:sz w:val="20"/>
                <w:szCs w:val="20"/>
                <w:color w:val="auto"/>
              </w:rPr>
            </w:pPr>
          </w:p>
        </w:tc>
        <w:tc>
          <w:tcPr>
            <w:tcW w:w="660" w:type="dxa"/>
            <w:vAlign w:val="bottom"/>
            <w:shd w:val="clear" w:color="auto" w:fill="E2EEF6"/>
          </w:tcPr>
          <w:p>
            <w:pPr>
              <w:spacing w:after="0"/>
              <w:rPr>
                <w:sz w:val="20"/>
                <w:szCs w:val="20"/>
                <w:color w:val="auto"/>
              </w:rPr>
            </w:pPr>
          </w:p>
        </w:tc>
        <w:tc>
          <w:tcPr>
            <w:tcW w:w="680" w:type="dxa"/>
            <w:vAlign w:val="bottom"/>
            <w:gridSpan w:val="5"/>
            <w:shd w:val="clear" w:color="auto" w:fill="E2EEF6"/>
          </w:tcPr>
          <w:p>
            <w:pPr>
              <w:ind w:left="320"/>
              <w:spacing w:after="0"/>
              <w:rPr>
                <w:sz w:val="20"/>
                <w:szCs w:val="20"/>
                <w:color w:val="auto"/>
              </w:rPr>
            </w:pPr>
            <w:r>
              <w:rPr>
                <w:rFonts w:ascii="Arial" w:cs="Arial" w:eastAsia="Arial" w:hAnsi="Arial"/>
                <w:sz w:val="17"/>
                <w:szCs w:val="17"/>
                <w:color w:val="auto"/>
              </w:rPr>
              <w:t>985</w:t>
            </w:r>
          </w:p>
        </w:tc>
        <w:tc>
          <w:tcPr>
            <w:tcW w:w="90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960" w:type="dxa"/>
            <w:vAlign w:val="bottom"/>
            <w:gridSpan w:val="5"/>
          </w:tcPr>
          <w:p>
            <w:pPr>
              <w:ind w:left="340"/>
              <w:spacing w:after="0"/>
              <w:rPr>
                <w:sz w:val="20"/>
                <w:szCs w:val="20"/>
                <w:color w:val="auto"/>
              </w:rPr>
            </w:pPr>
            <w:r>
              <w:rPr>
                <w:rFonts w:ascii="Arial" w:cs="Arial" w:eastAsia="Arial" w:hAnsi="Arial"/>
                <w:sz w:val="17"/>
                <w:szCs w:val="17"/>
                <w:color w:val="auto"/>
                <w:w w:val="97"/>
              </w:rPr>
              <w:t>116,296</w:t>
            </w:r>
          </w:p>
        </w:tc>
        <w:tc>
          <w:tcPr>
            <w:tcW w:w="660" w:type="dxa"/>
            <w:vAlign w:val="bottom"/>
          </w:tcPr>
          <w:p>
            <w:pPr>
              <w:spacing w:after="0"/>
              <w:rPr>
                <w:sz w:val="22"/>
                <w:szCs w:val="22"/>
                <w:color w:val="auto"/>
              </w:rPr>
            </w:pPr>
          </w:p>
        </w:tc>
        <w:tc>
          <w:tcPr>
            <w:tcW w:w="1580" w:type="dxa"/>
            <w:vAlign w:val="bottom"/>
            <w:gridSpan w:val="6"/>
          </w:tcPr>
          <w:p>
            <w:pPr>
              <w:ind w:left="320"/>
              <w:spacing w:after="0"/>
              <w:rPr>
                <w:sz w:val="20"/>
                <w:szCs w:val="20"/>
                <w:color w:val="auto"/>
              </w:rPr>
            </w:pPr>
            <w:r>
              <w:rPr>
                <w:rFonts w:ascii="Arial" w:cs="Arial" w:eastAsia="Arial" w:hAnsi="Arial"/>
                <w:sz w:val="17"/>
                <w:szCs w:val="17"/>
                <w:color w:val="auto"/>
              </w:rPr>
              <w:t>114,447</w:t>
            </w:r>
          </w:p>
        </w:tc>
        <w:tc>
          <w:tcPr>
            <w:tcW w:w="100" w:type="dxa"/>
            <w:vAlign w:val="bottom"/>
          </w:tcPr>
          <w:p>
            <w:pPr>
              <w:spacing w:after="0"/>
              <w:rPr>
                <w:sz w:val="22"/>
                <w:szCs w:val="22"/>
                <w:color w:val="auto"/>
              </w:rPr>
            </w:pPr>
          </w:p>
        </w:tc>
      </w:tr>
      <w:tr>
        <w:trPr>
          <w:trHeight w:val="25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Accumulated other comprehensive income</w:t>
            </w:r>
          </w:p>
        </w:tc>
        <w:tc>
          <w:tcPr>
            <w:tcW w:w="840" w:type="dxa"/>
            <w:vAlign w:val="bottom"/>
            <w:gridSpan w:val="4"/>
            <w:shd w:val="clear" w:color="auto" w:fill="E2EEF6"/>
          </w:tcPr>
          <w:p>
            <w:pPr>
              <w:ind w:left="340"/>
              <w:spacing w:after="0"/>
              <w:rPr>
                <w:sz w:val="20"/>
                <w:szCs w:val="20"/>
                <w:color w:val="auto"/>
              </w:rPr>
            </w:pPr>
            <w:r>
              <w:rPr>
                <w:rFonts w:ascii="Arial" w:cs="Arial" w:eastAsia="Arial" w:hAnsi="Arial"/>
                <w:sz w:val="17"/>
                <w:szCs w:val="17"/>
                <w:color w:val="auto"/>
              </w:rPr>
              <w:t>4,929</w:t>
            </w:r>
          </w:p>
        </w:tc>
        <w:tc>
          <w:tcPr>
            <w:tcW w:w="120" w:type="dxa"/>
            <w:vAlign w:val="bottom"/>
            <w:shd w:val="clear" w:color="auto" w:fill="E2EEF6"/>
          </w:tcPr>
          <w:p>
            <w:pPr>
              <w:spacing w:after="0"/>
              <w:rPr>
                <w:sz w:val="22"/>
                <w:szCs w:val="22"/>
                <w:color w:val="auto"/>
              </w:rPr>
            </w:pPr>
          </w:p>
        </w:tc>
        <w:tc>
          <w:tcPr>
            <w:tcW w:w="660" w:type="dxa"/>
            <w:vAlign w:val="bottom"/>
            <w:shd w:val="clear" w:color="auto" w:fill="E2EEF6"/>
          </w:tcPr>
          <w:p>
            <w:pPr>
              <w:spacing w:after="0"/>
              <w:rPr>
                <w:sz w:val="22"/>
                <w:szCs w:val="22"/>
                <w:color w:val="auto"/>
              </w:rPr>
            </w:pPr>
          </w:p>
        </w:tc>
        <w:tc>
          <w:tcPr>
            <w:tcW w:w="1580" w:type="dxa"/>
            <w:vAlign w:val="bottom"/>
            <w:gridSpan w:val="6"/>
            <w:shd w:val="clear" w:color="auto" w:fill="E2EEF6"/>
          </w:tcPr>
          <w:p>
            <w:pPr>
              <w:ind w:left="320"/>
              <w:spacing w:after="0"/>
              <w:rPr>
                <w:sz w:val="20"/>
                <w:szCs w:val="20"/>
                <w:color w:val="auto"/>
              </w:rPr>
            </w:pPr>
            <w:r>
              <w:rPr>
                <w:rFonts w:ascii="Arial" w:cs="Arial" w:eastAsia="Arial" w:hAnsi="Arial"/>
                <w:sz w:val="17"/>
                <w:szCs w:val="17"/>
                <w:color w:val="auto"/>
              </w:rPr>
              <w:t>11,229</w:t>
            </w:r>
          </w:p>
        </w:tc>
        <w:tc>
          <w:tcPr>
            <w:tcW w:w="100" w:type="dxa"/>
            <w:vAlign w:val="bottom"/>
            <w:shd w:val="clear" w:color="auto" w:fill="E2EEF6"/>
          </w:tcPr>
          <w:p>
            <w:pPr>
              <w:spacing w:after="0"/>
              <w:rPr>
                <w:sz w:val="22"/>
                <w:szCs w:val="22"/>
                <w:color w:val="auto"/>
              </w:rPr>
            </w:pPr>
          </w:p>
        </w:tc>
      </w:tr>
      <w:tr>
        <w:trPr>
          <w:trHeight w:val="259"/>
        </w:trPr>
        <w:tc>
          <w:tcPr>
            <w:tcW w:w="8120" w:type="dxa"/>
            <w:vAlign w:val="bottom"/>
          </w:tcPr>
          <w:p>
            <w:pPr>
              <w:spacing w:after="0"/>
              <w:rPr>
                <w:sz w:val="20"/>
                <w:szCs w:val="20"/>
                <w:color w:val="auto"/>
              </w:rPr>
            </w:pPr>
            <w:r>
              <w:rPr>
                <w:rFonts w:ascii="Arial" w:cs="Arial" w:eastAsia="Arial" w:hAnsi="Arial"/>
                <w:sz w:val="17"/>
                <w:szCs w:val="17"/>
                <w:color w:val="auto"/>
              </w:rPr>
              <w:t>Merger reserve</w:t>
            </w:r>
          </w:p>
        </w:tc>
        <w:tc>
          <w:tcPr>
            <w:tcW w:w="840" w:type="dxa"/>
            <w:vAlign w:val="bottom"/>
            <w:gridSpan w:val="4"/>
          </w:tcPr>
          <w:p>
            <w:pPr>
              <w:ind w:left="340"/>
              <w:spacing w:after="0"/>
              <w:rPr>
                <w:sz w:val="20"/>
                <w:szCs w:val="20"/>
                <w:color w:val="auto"/>
              </w:rPr>
            </w:pPr>
            <w:r>
              <w:rPr>
                <w:rFonts w:ascii="Arial" w:cs="Arial" w:eastAsia="Arial" w:hAnsi="Arial"/>
                <w:sz w:val="17"/>
                <w:szCs w:val="17"/>
                <w:color w:val="auto"/>
              </w:rPr>
              <w:t>47</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gridSpan w:val="4"/>
          </w:tcPr>
          <w:p>
            <w:pPr>
              <w:ind w:left="32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5"/>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740" w:type="dxa"/>
            <w:vAlign w:val="bottom"/>
            <w:tcBorders>
              <w:bottom w:val="single" w:sz="8" w:color="auto"/>
            </w:tcBorders>
            <w:gridSpan w:val="3"/>
            <w:shd w:val="clear" w:color="auto" w:fill="E2EEF6"/>
          </w:tcPr>
          <w:p>
            <w:pPr>
              <w:ind w:left="120"/>
              <w:spacing w:after="0"/>
              <w:rPr>
                <w:sz w:val="20"/>
                <w:szCs w:val="20"/>
                <w:color w:val="auto"/>
              </w:rPr>
            </w:pPr>
            <w:r>
              <w:rPr>
                <w:rFonts w:ascii="Arial" w:cs="Arial" w:eastAsia="Arial" w:hAnsi="Arial"/>
                <w:sz w:val="17"/>
                <w:szCs w:val="17"/>
                <w:color w:val="auto"/>
                <w:w w:val="97"/>
              </w:rPr>
              <w:t>119,694</w:t>
            </w:r>
          </w:p>
        </w:tc>
        <w:tc>
          <w:tcPr>
            <w:tcW w:w="660" w:type="dxa"/>
            <w:vAlign w:val="bottom"/>
            <w:tcBorders>
              <w:bottom w:val="single" w:sz="8" w:color="auto"/>
            </w:tcBorders>
            <w:shd w:val="clear" w:color="auto" w:fill="E2EEF6"/>
          </w:tcPr>
          <w:p>
            <w:pPr>
              <w:spacing w:after="0"/>
              <w:rPr>
                <w:sz w:val="24"/>
                <w:szCs w:val="24"/>
                <w:color w:val="auto"/>
              </w:rPr>
            </w:pP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1360" w:type="dxa"/>
            <w:vAlign w:val="bottom"/>
            <w:tcBorders>
              <w:bottom w:val="single" w:sz="8" w:color="auto"/>
            </w:tcBorders>
            <w:gridSpan w:val="4"/>
            <w:shd w:val="clear" w:color="auto" w:fill="E2EEF6"/>
          </w:tcPr>
          <w:p>
            <w:pPr>
              <w:ind w:left="100"/>
              <w:spacing w:after="0"/>
              <w:rPr>
                <w:sz w:val="20"/>
                <w:szCs w:val="20"/>
                <w:color w:val="auto"/>
              </w:rPr>
            </w:pPr>
            <w:r>
              <w:rPr>
                <w:rFonts w:ascii="Arial" w:cs="Arial" w:eastAsia="Arial" w:hAnsi="Arial"/>
                <w:sz w:val="17"/>
                <w:szCs w:val="17"/>
                <w:color w:val="auto"/>
              </w:rPr>
              <w:t>106,358</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6"/>
        </w:trPr>
        <w:tc>
          <w:tcPr>
            <w:tcW w:w="8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0"/>
        </w:trPr>
        <w:tc>
          <w:tcPr>
            <w:tcW w:w="812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E2EEF6"/>
            </w:tcBorders>
            <w:gridSpan w:val="2"/>
            <w:shd w:val="clear" w:color="auto" w:fill="E2EEF6"/>
          </w:tcPr>
          <w:p>
            <w:pPr>
              <w:spacing w:after="0"/>
              <w:rPr>
                <w:sz w:val="24"/>
                <w:szCs w:val="24"/>
                <w:color w:val="auto"/>
              </w:rPr>
            </w:pPr>
          </w:p>
        </w:tc>
        <w:tc>
          <w:tcPr>
            <w:tcW w:w="740" w:type="dxa"/>
            <w:vAlign w:val="bottom"/>
            <w:tcBorders>
              <w:bottom w:val="single" w:sz="8" w:color="E2EEF6"/>
            </w:tcBorders>
            <w:gridSpan w:val="3"/>
            <w:shd w:val="clear" w:color="auto" w:fill="E2EEF6"/>
          </w:tcPr>
          <w:p>
            <w:pPr>
              <w:ind w:left="120"/>
              <w:spacing w:after="0"/>
              <w:rPr>
                <w:sz w:val="20"/>
                <w:szCs w:val="20"/>
                <w:color w:val="auto"/>
              </w:rPr>
            </w:pPr>
            <w:r>
              <w:rPr>
                <w:rFonts w:ascii="Arial" w:cs="Arial" w:eastAsia="Arial" w:hAnsi="Arial"/>
                <w:sz w:val="17"/>
                <w:szCs w:val="17"/>
                <w:color w:val="auto"/>
                <w:w w:val="97"/>
              </w:rPr>
              <w:t>241,959</w:t>
            </w:r>
          </w:p>
        </w:tc>
        <w:tc>
          <w:tcPr>
            <w:tcW w:w="660" w:type="dxa"/>
            <w:vAlign w:val="bottom"/>
            <w:tcBorders>
              <w:bottom w:val="single" w:sz="8" w:color="E2EEF6"/>
            </w:tcBorders>
            <w:shd w:val="clear" w:color="auto" w:fill="E2EEF6"/>
          </w:tcPr>
          <w:p>
            <w:pPr>
              <w:spacing w:after="0"/>
              <w:rPr>
                <w:sz w:val="24"/>
                <w:szCs w:val="24"/>
                <w:color w:val="auto"/>
              </w:rPr>
            </w:pPr>
          </w:p>
        </w:tc>
        <w:tc>
          <w:tcPr>
            <w:tcW w:w="1580" w:type="dxa"/>
            <w:vAlign w:val="bottom"/>
            <w:tcBorders>
              <w:bottom w:val="single" w:sz="8" w:color="E2EEF6"/>
            </w:tcBorders>
            <w:gridSpan w:val="6"/>
            <w:shd w:val="clear" w:color="auto" w:fill="E2EEF6"/>
          </w:tcPr>
          <w:p>
            <w:pPr>
              <w:ind w:left="320"/>
              <w:spacing w:after="0"/>
              <w:rPr>
                <w:sz w:val="20"/>
                <w:szCs w:val="20"/>
                <w:color w:val="auto"/>
              </w:rPr>
            </w:pPr>
            <w:r>
              <w:rPr>
                <w:rFonts w:ascii="Arial" w:cs="Arial" w:eastAsia="Arial" w:hAnsi="Arial"/>
                <w:sz w:val="17"/>
                <w:szCs w:val="17"/>
                <w:color w:val="auto"/>
              </w:rPr>
              <w:t>233,066</w:t>
            </w:r>
          </w:p>
        </w:tc>
        <w:tc>
          <w:tcPr>
            <w:tcW w:w="100" w:type="dxa"/>
            <w:vAlign w:val="bottom"/>
            <w:tcBorders>
              <w:bottom w:val="single" w:sz="8" w:color="E2EEF6"/>
            </w:tcBorders>
            <w:shd w:val="clear" w:color="auto" w:fill="E2EEF6"/>
          </w:tcPr>
          <w:p>
            <w:pPr>
              <w:spacing w:after="0"/>
              <w:rPr>
                <w:sz w:val="24"/>
                <w:szCs w:val="24"/>
                <w:color w:val="auto"/>
              </w:rPr>
            </w:pPr>
          </w:p>
        </w:tc>
      </w:tr>
      <w:tr>
        <w:trPr>
          <w:trHeight w:val="226"/>
        </w:trPr>
        <w:tc>
          <w:tcPr>
            <w:tcW w:w="8120" w:type="dxa"/>
            <w:vAlign w:val="bottom"/>
            <w:tcBorders>
              <w:top w:val="single" w:sz="8" w:color="E2EEF6"/>
            </w:tcBorders>
          </w:tcPr>
          <w:p>
            <w:pPr>
              <w:spacing w:after="0"/>
              <w:rPr>
                <w:sz w:val="19"/>
                <w:szCs w:val="19"/>
                <w:color w:val="auto"/>
              </w:rPr>
            </w:pPr>
          </w:p>
        </w:tc>
        <w:tc>
          <w:tcPr>
            <w:tcW w:w="40" w:type="dxa"/>
            <w:vAlign w:val="bottom"/>
            <w:tcBorders>
              <w:top w:val="single" w:sz="8" w:color="E2EEF6"/>
            </w:tcBorders>
          </w:tcPr>
          <w:p>
            <w:pPr>
              <w:spacing w:after="0"/>
              <w:rPr>
                <w:sz w:val="19"/>
                <w:szCs w:val="19"/>
                <w:color w:val="auto"/>
              </w:rPr>
            </w:pPr>
          </w:p>
        </w:tc>
        <w:tc>
          <w:tcPr>
            <w:tcW w:w="180" w:type="dxa"/>
            <w:vAlign w:val="bottom"/>
            <w:tcBorders>
              <w:top w:val="single" w:sz="8" w:color="E2EEF6"/>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E2EEF6"/>
            </w:tcBorders>
          </w:tcPr>
          <w:p>
            <w:pPr>
              <w:spacing w:after="0"/>
              <w:rPr>
                <w:sz w:val="19"/>
                <w:szCs w:val="19"/>
                <w:color w:val="auto"/>
              </w:rPr>
            </w:pPr>
          </w:p>
        </w:tc>
        <w:tc>
          <w:tcPr>
            <w:tcW w:w="180" w:type="dxa"/>
            <w:vAlign w:val="bottom"/>
            <w:tcBorders>
              <w:top w:val="single" w:sz="8" w:color="E2EEF6"/>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Borders>
              <w:top w:val="single" w:sz="8" w:color="E2EEF6"/>
            </w:tcBorders>
          </w:tcPr>
          <w:p>
            <w:pPr>
              <w:spacing w:after="0"/>
              <w:rPr>
                <w:sz w:val="19"/>
                <w:szCs w:val="19"/>
                <w:color w:val="auto"/>
              </w:rPr>
            </w:pPr>
          </w:p>
        </w:tc>
      </w:tr>
      <w:tr>
        <w:trPr>
          <w:trHeight w:val="29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 Liabilities and Shareholders' Equity</w:t>
            </w:r>
          </w:p>
        </w:tc>
        <w:tc>
          <w:tcPr>
            <w:tcW w:w="960" w:type="dxa"/>
            <w:vAlign w:val="bottom"/>
            <w:gridSpan w:val="5"/>
            <w:shd w:val="clear" w:color="auto" w:fill="E2EEF6"/>
          </w:tcPr>
          <w:p>
            <w:pPr>
              <w:ind w:left="220"/>
              <w:spacing w:after="0"/>
              <w:rPr>
                <w:sz w:val="20"/>
                <w:szCs w:val="20"/>
                <w:color w:val="auto"/>
              </w:rPr>
            </w:pPr>
            <w:r>
              <w:rPr>
                <w:rFonts w:ascii="Arial" w:cs="Arial" w:eastAsia="Arial" w:hAnsi="Arial"/>
                <w:sz w:val="17"/>
                <w:szCs w:val="17"/>
                <w:color w:val="auto"/>
                <w:w w:val="95"/>
              </w:rPr>
              <w:t>$ 354,872</w:t>
            </w:r>
          </w:p>
        </w:tc>
        <w:tc>
          <w:tcPr>
            <w:tcW w:w="660" w:type="dxa"/>
            <w:vAlign w:val="bottom"/>
            <w:shd w:val="clear" w:color="auto" w:fill="E2EEF6"/>
          </w:tcPr>
          <w:p>
            <w:pPr>
              <w:spacing w:after="0"/>
              <w:rPr>
                <w:sz w:val="24"/>
                <w:szCs w:val="24"/>
                <w:color w:val="auto"/>
              </w:rPr>
            </w:pPr>
          </w:p>
        </w:tc>
        <w:tc>
          <w:tcPr>
            <w:tcW w:w="1580" w:type="dxa"/>
            <w:vAlign w:val="bottom"/>
            <w:gridSpan w:val="6"/>
            <w:shd w:val="clear" w:color="auto" w:fill="E2EEF6"/>
          </w:tcPr>
          <w:p>
            <w:pPr>
              <w:ind w:left="220"/>
              <w:spacing w:after="0"/>
              <w:rPr>
                <w:sz w:val="20"/>
                <w:szCs w:val="20"/>
                <w:color w:val="auto"/>
              </w:rPr>
            </w:pPr>
            <w:r>
              <w:rPr>
                <w:rFonts w:ascii="Arial" w:cs="Arial" w:eastAsia="Arial" w:hAnsi="Arial"/>
                <w:sz w:val="17"/>
                <w:szCs w:val="17"/>
                <w:color w:val="auto"/>
              </w:rPr>
              <w:t>$347,553</w:t>
            </w:r>
          </w:p>
        </w:tc>
        <w:tc>
          <w:tcPr>
            <w:tcW w:w="100" w:type="dxa"/>
            <w:vAlign w:val="bottom"/>
            <w:shd w:val="clear" w:color="auto" w:fill="E2EEF6"/>
          </w:tcPr>
          <w:p>
            <w:pPr>
              <w:spacing w:after="0"/>
              <w:rPr>
                <w:sz w:val="24"/>
                <w:szCs w:val="24"/>
                <w:color w:val="auto"/>
              </w:rPr>
            </w:pPr>
          </w:p>
        </w:tc>
      </w:tr>
      <w:tr>
        <w:trPr>
          <w:trHeight w:val="445"/>
        </w:trPr>
        <w:tc>
          <w:tcPr>
            <w:tcW w:w="8120" w:type="dxa"/>
            <w:vAlign w:val="bottom"/>
            <w:tcBorders>
              <w:top w:val="single" w:sz="8" w:color="E2EEF6"/>
            </w:tcBorders>
          </w:tcPr>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tc>
        <w:tc>
          <w:tcPr>
            <w:tcW w:w="40" w:type="dxa"/>
            <w:vAlign w:val="bottom"/>
            <w:tcBorders>
              <w:top w:val="single" w:sz="8" w:color="E2EEF6"/>
            </w:tcBorders>
          </w:tcPr>
          <w:p>
            <w:pPr>
              <w:spacing w:after="0"/>
              <w:rPr>
                <w:sz w:val="24"/>
                <w:szCs w:val="24"/>
                <w:color w:val="auto"/>
              </w:rPr>
            </w:pPr>
          </w:p>
        </w:tc>
        <w:tc>
          <w:tcPr>
            <w:tcW w:w="180" w:type="dxa"/>
            <w:vAlign w:val="bottom"/>
            <w:tcBorders>
              <w:top w:val="single" w:sz="8" w:color="E2EEF6"/>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E2EEF6"/>
            </w:tcBorders>
          </w:tcPr>
          <w:p>
            <w:pPr>
              <w:spacing w:after="0"/>
              <w:rPr>
                <w:sz w:val="24"/>
                <w:szCs w:val="24"/>
                <w:color w:val="auto"/>
              </w:rPr>
            </w:pPr>
          </w:p>
        </w:tc>
        <w:tc>
          <w:tcPr>
            <w:tcW w:w="180" w:type="dxa"/>
            <w:vAlign w:val="bottom"/>
            <w:tcBorders>
              <w:top w:val="single" w:sz="8" w:color="E2EEF6"/>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54" w:right="239" w:bottom="1440" w:gutter="0" w:footer="0" w:header="0"/>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CONDENSED CONSOLIDATED STATEMENTS OF OPERATIONS FOR THE THREE AND SIX MONTHS ENDED NOVEMBER 30, 2005 AND 2004 (UNAUDITED)</w:t>
      </w:r>
    </w:p>
    <w:p>
      <w:pPr>
        <w:spacing w:after="0" w:line="215" w:lineRule="exact"/>
        <w:rPr>
          <w:sz w:val="20"/>
          <w:szCs w:val="20"/>
          <w:color w:val="auto"/>
        </w:rPr>
      </w:pPr>
    </w:p>
    <w:tbl>
      <w:tblPr>
        <w:tblLayout w:type="fixed"/>
        <w:tblInd w:w="5720" w:type="dxa"/>
        <w:tblCellMar>
          <w:top w:w="0" w:type="dxa"/>
          <w:left w:w="0" w:type="dxa"/>
          <w:bottom w:w="0" w:type="dxa"/>
          <w:right w:w="0" w:type="dxa"/>
        </w:tblCellMar>
      </w:tblPr>
      <w:tr>
        <w:trPr>
          <w:trHeight w:val="226"/>
        </w:trPr>
        <w:tc>
          <w:tcPr>
            <w:tcW w:w="2520" w:type="dxa"/>
            <w:vAlign w:val="bottom"/>
            <w:gridSpan w:val="9"/>
          </w:tcPr>
          <w:p>
            <w:pPr>
              <w:spacing w:after="0"/>
              <w:rPr>
                <w:sz w:val="20"/>
                <w:szCs w:val="20"/>
                <w:color w:val="auto"/>
              </w:rPr>
            </w:pPr>
            <w:r>
              <w:rPr>
                <w:rFonts w:ascii="Arial" w:cs="Arial" w:eastAsia="Arial" w:hAnsi="Arial"/>
                <w:sz w:val="17"/>
                <w:szCs w:val="17"/>
                <w:b w:val="1"/>
                <w:bCs w:val="1"/>
                <w:color w:val="auto"/>
              </w:rPr>
              <w:t>Three Months Ended</w:t>
            </w:r>
          </w:p>
        </w:tc>
        <w:tc>
          <w:tcPr>
            <w:tcW w:w="1720" w:type="dxa"/>
            <w:vAlign w:val="bottom"/>
            <w:gridSpan w:val="5"/>
          </w:tcPr>
          <w:p>
            <w:pPr>
              <w:ind w:left="320"/>
              <w:spacing w:after="0"/>
              <w:rPr>
                <w:sz w:val="20"/>
                <w:szCs w:val="20"/>
                <w:color w:val="auto"/>
              </w:rPr>
            </w:pPr>
            <w:r>
              <w:rPr>
                <w:rFonts w:ascii="Arial" w:cs="Arial" w:eastAsia="Arial" w:hAnsi="Arial"/>
                <w:sz w:val="17"/>
                <w:szCs w:val="17"/>
                <w:b w:val="1"/>
                <w:bCs w:val="1"/>
                <w:color w:val="auto"/>
                <w:w w:val="93"/>
              </w:rPr>
              <w:t>Six Months Ended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1100" w:type="dxa"/>
            <w:vAlign w:val="bottom"/>
            <w:gridSpan w:val="4"/>
          </w:tcPr>
          <w:p>
            <w:pPr>
              <w:spacing w:after="0"/>
              <w:rPr>
                <w:sz w:val="20"/>
                <w:szCs w:val="20"/>
                <w:color w:val="auto"/>
              </w:rPr>
            </w:pPr>
            <w:r>
              <w:rPr>
                <w:rFonts w:ascii="Arial" w:cs="Arial" w:eastAsia="Arial" w:hAnsi="Arial"/>
                <w:sz w:val="17"/>
                <w:szCs w:val="17"/>
                <w:b w:val="1"/>
                <w:bCs w:val="1"/>
                <w:color w:val="auto"/>
              </w:rPr>
              <w:t>November</w:t>
            </w:r>
          </w:p>
        </w:tc>
        <w:tc>
          <w:tcPr>
            <w:tcW w:w="1420" w:type="dxa"/>
            <w:vAlign w:val="bottom"/>
            <w:gridSpan w:val="5"/>
          </w:tcPr>
          <w:p>
            <w:pPr>
              <w:ind w:left="320"/>
              <w:spacing w:after="0"/>
              <w:rPr>
                <w:sz w:val="20"/>
                <w:szCs w:val="20"/>
                <w:color w:val="auto"/>
              </w:rPr>
            </w:pPr>
            <w:r>
              <w:rPr>
                <w:rFonts w:ascii="Arial" w:cs="Arial" w:eastAsia="Arial" w:hAnsi="Arial"/>
                <w:sz w:val="17"/>
                <w:szCs w:val="17"/>
                <w:b w:val="1"/>
                <w:bCs w:val="1"/>
                <w:color w:val="auto"/>
              </w:rPr>
              <w:t>November</w:t>
            </w:r>
          </w:p>
        </w:tc>
        <w:tc>
          <w:tcPr>
            <w:tcW w:w="1720" w:type="dxa"/>
            <w:vAlign w:val="bottom"/>
            <w:gridSpan w:val="5"/>
          </w:tcPr>
          <w:p>
            <w:pPr>
              <w:ind w:left="320"/>
              <w:spacing w:after="0"/>
              <w:rPr>
                <w:sz w:val="20"/>
                <w:szCs w:val="20"/>
                <w:color w:val="auto"/>
              </w:rPr>
            </w:pPr>
            <w:r>
              <w:rPr>
                <w:rFonts w:ascii="Arial" w:cs="Arial" w:eastAsia="Arial" w:hAnsi="Arial"/>
                <w:sz w:val="17"/>
                <w:szCs w:val="17"/>
                <w:b w:val="1"/>
                <w:bCs w:val="1"/>
                <w:color w:val="auto"/>
              </w:rPr>
              <w:t>November</w:t>
            </w:r>
          </w:p>
        </w:tc>
        <w:tc>
          <w:tcPr>
            <w:tcW w:w="800" w:type="dxa"/>
            <w:vAlign w:val="bottom"/>
            <w:gridSpan w:val="4"/>
          </w:tcPr>
          <w:p>
            <w:pPr>
              <w:ind w:left="20"/>
              <w:spacing w:after="0"/>
              <w:rPr>
                <w:sz w:val="20"/>
                <w:szCs w:val="20"/>
                <w:color w:val="auto"/>
              </w:rPr>
            </w:pPr>
            <w:r>
              <w:rPr>
                <w:rFonts w:ascii="Arial" w:cs="Arial" w:eastAsia="Arial" w:hAnsi="Arial"/>
                <w:sz w:val="17"/>
                <w:szCs w:val="17"/>
                <w:b w:val="1"/>
                <w:bCs w:val="1"/>
                <w:color w:val="auto"/>
                <w:w w:val="91"/>
              </w:rPr>
              <w:t>November</w:t>
            </w:r>
          </w:p>
        </w:tc>
      </w:tr>
      <w:tr>
        <w:trPr>
          <w:trHeight w:val="187"/>
        </w:trPr>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line="187" w:lineRule="exact"/>
              <w:rPr>
                <w:sz w:val="20"/>
                <w:szCs w:val="20"/>
                <w:color w:val="auto"/>
              </w:rPr>
            </w:pPr>
            <w:r>
              <w:rPr>
                <w:rFonts w:ascii="Arial" w:cs="Arial" w:eastAsia="Arial" w:hAnsi="Arial"/>
                <w:sz w:val="17"/>
                <w:szCs w:val="17"/>
                <w:b w:val="1"/>
                <w:bCs w:val="1"/>
                <w:color w:val="auto"/>
                <w:w w:val="84"/>
              </w:rPr>
              <w:t>30</w:t>
            </w: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r>
      <w:tr>
        <w:trPr>
          <w:trHeight w:val="187"/>
        </w:trPr>
        <w:tc>
          <w:tcPr>
            <w:tcW w:w="34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4"/>
              </w:rPr>
              <w:t>2005</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4"/>
              </w:rPr>
              <w:t>2004</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9"/>
              </w:rPr>
              <w:t>2005</w:t>
            </w: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gridSpan w:val="2"/>
          </w:tcPr>
          <w:p>
            <w:pPr>
              <w:spacing w:after="0" w:line="187" w:lineRule="exact"/>
              <w:rPr>
                <w:sz w:val="20"/>
                <w:szCs w:val="20"/>
                <w:color w:val="auto"/>
              </w:rPr>
            </w:pPr>
            <w:r>
              <w:rPr>
                <w:rFonts w:ascii="Arial" w:cs="Arial" w:eastAsia="Arial" w:hAnsi="Arial"/>
                <w:sz w:val="17"/>
                <w:szCs w:val="17"/>
                <w:b w:val="1"/>
                <w:bCs w:val="1"/>
                <w:color w:val="auto"/>
                <w:w w:val="89"/>
              </w:rPr>
              <w:t>2004</w:t>
            </w:r>
          </w:p>
        </w:tc>
        <w:tc>
          <w:tcPr>
            <w:tcW w:w="420" w:type="dxa"/>
            <w:vAlign w:val="bottom"/>
          </w:tcPr>
          <w:p>
            <w:pPr>
              <w:spacing w:after="0"/>
              <w:rPr>
                <w:sz w:val="16"/>
                <w:szCs w:val="16"/>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gridSpan w:val="6"/>
          </w:tcPr>
          <w:p>
            <w:pPr>
              <w:ind w:left="200"/>
              <w:spacing w:after="0"/>
              <w:rPr>
                <w:sz w:val="20"/>
                <w:szCs w:val="20"/>
                <w:color w:val="auto"/>
              </w:rPr>
            </w:pPr>
            <w:r>
              <w:rPr>
                <w:rFonts w:ascii="Arial" w:cs="Arial" w:eastAsia="Arial" w:hAnsi="Arial"/>
                <w:sz w:val="17"/>
                <w:szCs w:val="17"/>
                <w:b w:val="1"/>
                <w:bCs w:val="1"/>
                <w:color w:val="auto"/>
                <w:w w:val="93"/>
              </w:rPr>
              <w:t>(in thousands except share and per share data)</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8"/>
        </w:trPr>
        <w:tc>
          <w:tcPr>
            <w:tcW w:w="5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3"/>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Revenue:</w:t>
            </w:r>
          </w:p>
        </w:tc>
        <w:tc>
          <w:tcPr>
            <w:tcW w:w="760" w:type="dxa"/>
            <w:vAlign w:val="bottom"/>
            <w:tcBorders>
              <w:right w:val="single" w:sz="8" w:color="E2EEF6"/>
            </w:tcBorders>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102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33"/>
        </w:trPr>
        <w:tc>
          <w:tcPr>
            <w:tcW w:w="5780" w:type="dxa"/>
            <w:vAlign w:val="bottom"/>
          </w:tcPr>
          <w:p>
            <w:pPr>
              <w:spacing w:after="0"/>
              <w:rPr>
                <w:sz w:val="20"/>
                <w:szCs w:val="20"/>
                <w:color w:val="auto"/>
              </w:rPr>
            </w:pPr>
            <w:r>
              <w:rPr>
                <w:rFonts w:ascii="Arial" w:cs="Arial" w:eastAsia="Arial" w:hAnsi="Arial"/>
                <w:sz w:val="17"/>
                <w:szCs w:val="17"/>
                <w:color w:val="auto"/>
              </w:rPr>
              <w:t>Gross revenue</w:t>
            </w:r>
          </w:p>
        </w:tc>
        <w:tc>
          <w:tcPr>
            <w:tcW w:w="760" w:type="dxa"/>
            <w:vAlign w:val="bottom"/>
          </w:tcPr>
          <w:p>
            <w:pPr>
              <w:spacing w:after="0"/>
              <w:rPr>
                <w:sz w:val="20"/>
                <w:szCs w:val="20"/>
                <w:color w:val="auto"/>
              </w:rPr>
            </w:pPr>
            <w:r>
              <w:rPr>
                <w:rFonts w:ascii="Arial" w:cs="Arial" w:eastAsia="Arial" w:hAnsi="Arial"/>
                <w:sz w:val="17"/>
                <w:szCs w:val="17"/>
                <w:color w:val="auto"/>
                <w:w w:val="95"/>
              </w:rPr>
              <w:t>$ 120,344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$ 117,068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$ 235,696</w:t>
            </w: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$ 234,263</w:t>
            </w:r>
          </w:p>
        </w:tc>
        <w:tc>
          <w:tcPr>
            <w:tcW w:w="120" w:type="dxa"/>
            <w:vAlign w:val="bottom"/>
          </w:tcPr>
          <w:p>
            <w:pPr>
              <w:spacing w:after="0"/>
              <w:rPr>
                <w:sz w:val="20"/>
                <w:szCs w:val="20"/>
                <w:color w:val="auto"/>
              </w:rPr>
            </w:pPr>
          </w:p>
        </w:tc>
      </w:tr>
      <w:tr>
        <w:trPr>
          <w:trHeight w:val="285"/>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Subcontractor costs</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(32,272</w:t>
            </w:r>
          </w:p>
        </w:tc>
        <w:tc>
          <w:tcPr>
            <w:tcW w:w="1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(37,573</w:t>
            </w:r>
          </w:p>
        </w:tc>
        <w:tc>
          <w:tcPr>
            <w:tcW w:w="2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(61,703</w:t>
            </w:r>
          </w:p>
        </w:tc>
        <w:tc>
          <w:tcPr>
            <w:tcW w:w="1020" w:type="dxa"/>
            <w:vAlign w:val="bottom"/>
            <w:shd w:val="clear" w:color="auto" w:fill="E2EEF6"/>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(76,429</w:t>
            </w:r>
          </w:p>
        </w:tc>
        <w:tc>
          <w:tcPr>
            <w:tcW w:w="120" w:type="dxa"/>
            <w:vAlign w:val="bottom"/>
            <w:shd w:val="clear" w:color="auto" w:fill="E2EEF6"/>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tcBorders>
              <w:top w:val="single" w:sz="8" w:color="E2EEF6"/>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c>
          <w:tcPr>
            <w:tcW w:w="900" w:type="dxa"/>
            <w:vAlign w:val="bottom"/>
            <w:tcBorders>
              <w:top w:val="single" w:sz="8" w:color="E2EEF6"/>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20" w:type="dxa"/>
            <w:vAlign w:val="bottom"/>
            <w:tcBorders>
              <w:top w:val="single" w:sz="8" w:color="E2EEF6"/>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E2EEF6"/>
            </w:tcBorders>
          </w:tcPr>
          <w:p>
            <w:pPr>
              <w:spacing w:after="0"/>
              <w:rPr>
                <w:sz w:val="19"/>
                <w:szCs w:val="19"/>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88,072</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79,495</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173,993</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157,834</w:t>
            </w:r>
          </w:p>
        </w:tc>
        <w:tc>
          <w:tcPr>
            <w:tcW w:w="120" w:type="dxa"/>
            <w:vAlign w:val="bottom"/>
            <w:shd w:val="clear" w:color="auto" w:fill="E2EEF6"/>
          </w:tcPr>
          <w:p>
            <w:pPr>
              <w:spacing w:after="0"/>
              <w:rPr>
                <w:sz w:val="22"/>
                <w:szCs w:val="22"/>
                <w:color w:val="auto"/>
              </w:rPr>
            </w:pPr>
          </w:p>
        </w:tc>
      </w:tr>
      <w:tr>
        <w:trPr>
          <w:trHeight w:val="233"/>
        </w:trPr>
        <w:tc>
          <w:tcPr>
            <w:tcW w:w="5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Costs and expenses:</w:t>
            </w:r>
          </w:p>
        </w:tc>
        <w:tc>
          <w:tcPr>
            <w:tcW w:w="760" w:type="dxa"/>
            <w:vAlign w:val="bottom"/>
            <w:tcBorders>
              <w:right w:val="single" w:sz="8" w:color="E2EEF6"/>
            </w:tcBorders>
            <w:shd w:val="clear" w:color="auto" w:fill="E2EEF6"/>
          </w:tcPr>
          <w:p>
            <w:pPr>
              <w:spacing w:after="0"/>
              <w:rPr>
                <w:sz w:val="20"/>
                <w:szCs w:val="20"/>
                <w:color w:val="auto"/>
              </w:rPr>
            </w:pPr>
          </w:p>
        </w:tc>
        <w:tc>
          <w:tcPr>
            <w:tcW w:w="120" w:type="dxa"/>
            <w:vAlign w:val="bottom"/>
            <w:tcBorders>
              <w:right w:val="single" w:sz="8" w:color="E2EEF6"/>
            </w:tcBorders>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9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1020" w:type="dxa"/>
            <w:vAlign w:val="bottom"/>
            <w:shd w:val="clear" w:color="auto" w:fill="E2EEF6"/>
          </w:tcPr>
          <w:p>
            <w:pPr>
              <w:spacing w:after="0"/>
              <w:rPr>
                <w:sz w:val="20"/>
                <w:szCs w:val="20"/>
                <w:color w:val="auto"/>
              </w:rPr>
            </w:pPr>
          </w:p>
        </w:tc>
        <w:tc>
          <w:tcPr>
            <w:tcW w:w="84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Direct costs</w:t>
            </w:r>
          </w:p>
        </w:tc>
        <w:tc>
          <w:tcPr>
            <w:tcW w:w="760" w:type="dxa"/>
            <w:vAlign w:val="bottom"/>
          </w:tcPr>
          <w:p>
            <w:pPr>
              <w:ind w:left="100"/>
              <w:spacing w:after="0"/>
              <w:rPr>
                <w:sz w:val="20"/>
                <w:szCs w:val="20"/>
                <w:color w:val="auto"/>
              </w:rPr>
            </w:pPr>
            <w:r>
              <w:rPr>
                <w:rFonts w:ascii="Arial" w:cs="Arial" w:eastAsia="Arial" w:hAnsi="Arial"/>
                <w:sz w:val="17"/>
                <w:szCs w:val="17"/>
                <w:color w:val="auto"/>
              </w:rPr>
              <w:t>48,721</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43,671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96,031</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86,124</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Selling, general and administrative expense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26,824</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25,520</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53,633</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48,859</w:t>
            </w:r>
          </w:p>
        </w:tc>
        <w:tc>
          <w:tcPr>
            <w:tcW w:w="120" w:type="dxa"/>
            <w:vAlign w:val="bottom"/>
            <w:shd w:val="clear" w:color="auto" w:fill="E2EEF6"/>
          </w:tcPr>
          <w:p>
            <w:pPr>
              <w:spacing w:after="0"/>
              <w:rPr>
                <w:sz w:val="22"/>
                <w:szCs w:val="22"/>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760" w:type="dxa"/>
            <w:vAlign w:val="bottom"/>
          </w:tcPr>
          <w:p>
            <w:pPr>
              <w:ind w:left="100"/>
              <w:spacing w:after="0"/>
              <w:rPr>
                <w:sz w:val="20"/>
                <w:szCs w:val="20"/>
                <w:color w:val="auto"/>
              </w:rPr>
            </w:pPr>
            <w:r>
              <w:rPr>
                <w:rFonts w:ascii="Arial" w:cs="Arial" w:eastAsia="Arial" w:hAnsi="Arial"/>
                <w:sz w:val="17"/>
                <w:szCs w:val="17"/>
                <w:color w:val="auto"/>
              </w:rPr>
              <w:t>3,509</w:t>
            </w:r>
          </w:p>
        </w:tc>
        <w:tc>
          <w:tcPr>
            <w:tcW w:w="1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3,296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6,943</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6,358</w:t>
            </w:r>
          </w:p>
        </w:tc>
        <w:tc>
          <w:tcPr>
            <w:tcW w:w="120" w:type="dxa"/>
            <w:vAlign w:val="bottom"/>
          </w:tcPr>
          <w:p>
            <w:pPr>
              <w:spacing w:after="0"/>
              <w:rPr>
                <w:sz w:val="24"/>
                <w:szCs w:val="24"/>
                <w:color w:val="auto"/>
              </w:rPr>
            </w:pP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Total costs and expenses</w:t>
            </w:r>
          </w:p>
        </w:tc>
        <w:tc>
          <w:tcPr>
            <w:tcW w:w="760" w:type="dxa"/>
            <w:vAlign w:val="bottom"/>
          </w:tcPr>
          <w:p>
            <w:pPr>
              <w:ind w:left="100"/>
              <w:spacing w:after="0"/>
              <w:rPr>
                <w:sz w:val="20"/>
                <w:szCs w:val="20"/>
                <w:color w:val="auto"/>
              </w:rPr>
            </w:pPr>
            <w:r>
              <w:rPr>
                <w:rFonts w:ascii="Arial" w:cs="Arial" w:eastAsia="Arial" w:hAnsi="Arial"/>
                <w:sz w:val="17"/>
                <w:szCs w:val="17"/>
                <w:color w:val="auto"/>
              </w:rPr>
              <w:t>79,054</w:t>
            </w:r>
          </w:p>
        </w:tc>
        <w:tc>
          <w:tcPr>
            <w:tcW w:w="120" w:type="dxa"/>
            <w:vAlign w:val="bottom"/>
          </w:tcPr>
          <w:p>
            <w:pPr>
              <w:spacing w:after="0"/>
              <w:rPr>
                <w:sz w:val="24"/>
                <w:szCs w:val="24"/>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72,487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156,607</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141,341</w:t>
            </w:r>
          </w:p>
        </w:tc>
        <w:tc>
          <w:tcPr>
            <w:tcW w:w="120" w:type="dxa"/>
            <w:vAlign w:val="bottom"/>
          </w:tcPr>
          <w:p>
            <w:pPr>
              <w:spacing w:after="0"/>
              <w:rPr>
                <w:sz w:val="24"/>
                <w:szCs w:val="24"/>
                <w:color w:val="auto"/>
              </w:rPr>
            </w:pP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60" w:type="dxa"/>
            <w:vAlign w:val="bottom"/>
          </w:tcPr>
          <w:p>
            <w:pPr>
              <w:ind w:left="100"/>
              <w:spacing w:after="0"/>
              <w:rPr>
                <w:sz w:val="20"/>
                <w:szCs w:val="20"/>
                <w:color w:val="auto"/>
              </w:rPr>
            </w:pPr>
            <w:r>
              <w:rPr>
                <w:rFonts w:ascii="Arial" w:cs="Arial" w:eastAsia="Arial" w:hAnsi="Arial"/>
                <w:sz w:val="17"/>
                <w:szCs w:val="17"/>
                <w:color w:val="auto"/>
              </w:rPr>
              <w:t>9,018</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7,008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17,386</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16,493</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Interest income</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622</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270</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1,049</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467</w:t>
            </w:r>
          </w:p>
        </w:tc>
        <w:tc>
          <w:tcPr>
            <w:tcW w:w="120" w:type="dxa"/>
            <w:vAlign w:val="bottom"/>
            <w:shd w:val="clear" w:color="auto" w:fill="E2EEF6"/>
          </w:tcPr>
          <w:p>
            <w:pPr>
              <w:spacing w:after="0"/>
              <w:rPr>
                <w:sz w:val="22"/>
                <w:szCs w:val="22"/>
                <w:color w:val="auto"/>
              </w:rPr>
            </w:pP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ind w:left="100"/>
              <w:spacing w:after="0"/>
              <w:rPr>
                <w:sz w:val="20"/>
                <w:szCs w:val="20"/>
                <w:color w:val="auto"/>
              </w:rPr>
            </w:pPr>
            <w:r>
              <w:rPr>
                <w:rFonts w:ascii="Arial" w:cs="Arial" w:eastAsia="Arial" w:hAnsi="Arial"/>
                <w:sz w:val="17"/>
                <w:szCs w:val="17"/>
                <w:color w:val="auto"/>
              </w:rPr>
              <w:t>(19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20"/>
              <w:spacing w:after="0"/>
              <w:rPr>
                <w:sz w:val="20"/>
                <w:szCs w:val="20"/>
                <w:color w:val="auto"/>
              </w:rPr>
            </w:pPr>
            <w:r>
              <w:rPr>
                <w:rFonts w:ascii="Arial" w:cs="Arial" w:eastAsia="Arial" w:hAnsi="Arial"/>
                <w:sz w:val="17"/>
                <w:szCs w:val="17"/>
                <w:color w:val="auto"/>
              </w:rPr>
              <w:t>(91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(31</w:t>
            </w:r>
          </w:p>
        </w:tc>
        <w:tc>
          <w:tcPr>
            <w:tcW w:w="1020" w:type="dxa"/>
            <w:vAlign w:val="bottom"/>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40"/>
              <w:spacing w:after="0"/>
              <w:rPr>
                <w:sz w:val="20"/>
                <w:szCs w:val="20"/>
                <w:color w:val="auto"/>
              </w:rPr>
            </w:pPr>
            <w:r>
              <w:rPr>
                <w:rFonts w:ascii="Arial" w:cs="Arial" w:eastAsia="Arial" w:hAnsi="Arial"/>
                <w:sz w:val="17"/>
                <w:szCs w:val="17"/>
                <w:color w:val="auto"/>
              </w:rPr>
              <w:t>(124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Income before provision for income taxes</w:t>
            </w:r>
          </w:p>
        </w:tc>
        <w:tc>
          <w:tcPr>
            <w:tcW w:w="760" w:type="dxa"/>
            <w:vAlign w:val="bottom"/>
          </w:tcPr>
          <w:p>
            <w:pPr>
              <w:ind w:left="100"/>
              <w:spacing w:after="0"/>
              <w:rPr>
                <w:sz w:val="20"/>
                <w:szCs w:val="20"/>
                <w:color w:val="auto"/>
              </w:rPr>
            </w:pPr>
            <w:r>
              <w:rPr>
                <w:rFonts w:ascii="Arial" w:cs="Arial" w:eastAsia="Arial" w:hAnsi="Arial"/>
                <w:sz w:val="17"/>
                <w:szCs w:val="17"/>
                <w:color w:val="auto"/>
              </w:rPr>
              <w:t>9,621</w:t>
            </w:r>
          </w:p>
        </w:tc>
        <w:tc>
          <w:tcPr>
            <w:tcW w:w="120" w:type="dxa"/>
            <w:vAlign w:val="bottom"/>
          </w:tcPr>
          <w:p>
            <w:pPr>
              <w:spacing w:after="0"/>
              <w:rPr>
                <w:sz w:val="22"/>
                <w:szCs w:val="22"/>
                <w:color w:val="auto"/>
              </w:rPr>
            </w:pPr>
          </w:p>
        </w:tc>
        <w:tc>
          <w:tcPr>
            <w:tcW w:w="840" w:type="dxa"/>
            <w:vAlign w:val="bottom"/>
          </w:tcPr>
          <w:p>
            <w:pPr>
              <w:ind w:left="120"/>
              <w:spacing w:after="0"/>
              <w:rPr>
                <w:sz w:val="20"/>
                <w:szCs w:val="20"/>
                <w:color w:val="auto"/>
              </w:rPr>
            </w:pPr>
            <w:r>
              <w:rPr>
                <w:rFonts w:ascii="Arial" w:cs="Arial" w:eastAsia="Arial" w:hAnsi="Arial"/>
                <w:sz w:val="17"/>
                <w:szCs w:val="17"/>
                <w:color w:val="auto"/>
              </w:rPr>
              <w:t>7,187</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18,404</w:t>
            </w:r>
          </w:p>
        </w:tc>
        <w:tc>
          <w:tcPr>
            <w:tcW w:w="1020" w:type="dxa"/>
            <w:vAlign w:val="bottom"/>
          </w:tcPr>
          <w:p>
            <w:pPr>
              <w:spacing w:after="0"/>
              <w:rPr>
                <w:sz w:val="22"/>
                <w:szCs w:val="22"/>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16,836</w:t>
            </w:r>
          </w:p>
        </w:tc>
        <w:tc>
          <w:tcPr>
            <w:tcW w:w="120" w:type="dxa"/>
            <w:vAlign w:val="bottom"/>
          </w:tcPr>
          <w:p>
            <w:pPr>
              <w:spacing w:after="0"/>
              <w:rPr>
                <w:sz w:val="22"/>
                <w:szCs w:val="22"/>
                <w:color w:val="auto"/>
              </w:rPr>
            </w:pPr>
          </w:p>
        </w:tc>
      </w:tr>
      <w:tr>
        <w:trPr>
          <w:trHeight w:val="259"/>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Provision for income taxes</w:t>
            </w:r>
          </w:p>
        </w:tc>
        <w:tc>
          <w:tcPr>
            <w:tcW w:w="760" w:type="dxa"/>
            <w:vAlign w:val="bottom"/>
            <w:tcBorders>
              <w:right w:val="single" w:sz="8" w:color="E2EEF6"/>
            </w:tcBorders>
            <w:shd w:val="clear" w:color="auto" w:fill="E2EEF6"/>
          </w:tcPr>
          <w:p>
            <w:pPr>
              <w:ind w:left="100"/>
              <w:spacing w:after="0"/>
              <w:rPr>
                <w:sz w:val="20"/>
                <w:szCs w:val="20"/>
                <w:color w:val="auto"/>
              </w:rPr>
            </w:pPr>
            <w:r>
              <w:rPr>
                <w:rFonts w:ascii="Arial" w:cs="Arial" w:eastAsia="Arial" w:hAnsi="Arial"/>
                <w:sz w:val="17"/>
                <w:szCs w:val="17"/>
                <w:color w:val="auto"/>
              </w:rPr>
              <w:t>(2,618</w:t>
            </w:r>
          </w:p>
        </w:tc>
        <w:tc>
          <w:tcPr>
            <w:tcW w:w="120" w:type="dxa"/>
            <w:vAlign w:val="bottom"/>
            <w:tcBorders>
              <w:right w:val="single" w:sz="8" w:color="E2EEF6"/>
            </w:tcBorders>
            <w:shd w:val="clear" w:color="auto" w:fill="E2EEF6"/>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20"/>
              <w:spacing w:after="0"/>
              <w:rPr>
                <w:sz w:val="20"/>
                <w:szCs w:val="20"/>
                <w:color w:val="auto"/>
              </w:rPr>
            </w:pPr>
            <w:r>
              <w:rPr>
                <w:rFonts w:ascii="Arial" w:cs="Arial" w:eastAsia="Arial" w:hAnsi="Arial"/>
                <w:sz w:val="17"/>
                <w:szCs w:val="17"/>
                <w:color w:val="auto"/>
              </w:rPr>
              <w:t>(1,310</w:t>
            </w:r>
          </w:p>
        </w:tc>
        <w:tc>
          <w:tcPr>
            <w:tcW w:w="260" w:type="dxa"/>
            <w:vAlign w:val="bottom"/>
            <w:gridSpan w:val="2"/>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E2EEF6"/>
          </w:tcPr>
          <w:p>
            <w:pPr>
              <w:ind w:left="1020"/>
              <w:spacing w:after="0"/>
              <w:rPr>
                <w:sz w:val="20"/>
                <w:szCs w:val="20"/>
                <w:color w:val="auto"/>
              </w:rPr>
            </w:pPr>
            <w:r>
              <w:rPr>
                <w:rFonts w:ascii="Arial" w:cs="Arial" w:eastAsia="Arial" w:hAnsi="Arial"/>
                <w:sz w:val="17"/>
                <w:szCs w:val="17"/>
                <w:color w:val="auto"/>
              </w:rPr>
              <w:t>(5,077</w:t>
            </w:r>
          </w:p>
        </w:tc>
        <w:tc>
          <w:tcPr>
            <w:tcW w:w="1020" w:type="dxa"/>
            <w:vAlign w:val="bottom"/>
            <w:shd w:val="clear" w:color="auto" w:fill="E2EEF6"/>
          </w:tcPr>
          <w:p>
            <w:pPr>
              <w:jc w:val="right"/>
              <w:ind w:right="879"/>
              <w:spacing w:after="0"/>
              <w:rPr>
                <w:sz w:val="20"/>
                <w:szCs w:val="20"/>
                <w:color w:val="auto"/>
              </w:rPr>
            </w:pPr>
            <w:r>
              <w:rPr>
                <w:rFonts w:ascii="Arial" w:cs="Arial" w:eastAsia="Arial" w:hAnsi="Arial"/>
                <w:sz w:val="16"/>
                <w:szCs w:val="16"/>
                <w:color w:val="auto"/>
                <w:w w:val="74"/>
              </w:rPr>
              <w:t>)</w:t>
            </w:r>
          </w:p>
        </w:tc>
        <w:tc>
          <w:tcPr>
            <w:tcW w:w="840" w:type="dxa"/>
            <w:vAlign w:val="bottom"/>
            <w:shd w:val="clear" w:color="auto" w:fill="E2EEF6"/>
          </w:tcPr>
          <w:p>
            <w:pPr>
              <w:ind w:left="140"/>
              <w:spacing w:after="0"/>
              <w:rPr>
                <w:sz w:val="20"/>
                <w:szCs w:val="20"/>
                <w:color w:val="auto"/>
              </w:rPr>
            </w:pPr>
            <w:r>
              <w:rPr>
                <w:rFonts w:ascii="Arial" w:cs="Arial" w:eastAsia="Arial" w:hAnsi="Arial"/>
                <w:sz w:val="17"/>
                <w:szCs w:val="17"/>
                <w:color w:val="auto"/>
              </w:rPr>
              <w:t>(3,632</w:t>
            </w:r>
          </w:p>
        </w:tc>
        <w:tc>
          <w:tcPr>
            <w:tcW w:w="120" w:type="dxa"/>
            <w:vAlign w:val="bottom"/>
            <w:shd w:val="clear" w:color="auto" w:fill="E2EEF6"/>
          </w:tcPr>
          <w:p>
            <w:pPr>
              <w:jc w:val="right"/>
              <w:spacing w:after="0"/>
              <w:rPr>
                <w:sz w:val="20"/>
                <w:szCs w:val="20"/>
                <w:color w:val="auto"/>
              </w:rPr>
            </w:pPr>
            <w:r>
              <w:rPr>
                <w:rFonts w:ascii="Arial" w:cs="Arial" w:eastAsia="Arial" w:hAnsi="Arial"/>
                <w:sz w:val="16"/>
                <w:szCs w:val="16"/>
                <w:color w:val="auto"/>
                <w:w w:val="74"/>
              </w:rPr>
              <w:t>)</w:t>
            </w:r>
          </w:p>
        </w:tc>
      </w:tr>
      <w:tr>
        <w:trPr>
          <w:trHeight w:val="285"/>
        </w:trPr>
        <w:tc>
          <w:tcPr>
            <w:tcW w:w="5780" w:type="dxa"/>
            <w:vAlign w:val="bottom"/>
          </w:tcPr>
          <w:p>
            <w:pPr>
              <w:spacing w:after="0"/>
              <w:rPr>
                <w:sz w:val="20"/>
                <w:szCs w:val="20"/>
                <w:color w:val="auto"/>
              </w:rPr>
            </w:pPr>
            <w:r>
              <w:rPr>
                <w:rFonts w:ascii="Arial" w:cs="Arial" w:eastAsia="Arial" w:hAnsi="Arial"/>
                <w:sz w:val="17"/>
                <w:szCs w:val="17"/>
                <w:color w:val="auto"/>
              </w:rPr>
              <w:t>Minority interest</w:t>
            </w:r>
          </w:p>
        </w:tc>
        <w:tc>
          <w:tcPr>
            <w:tcW w:w="760" w:type="dxa"/>
            <w:vAlign w:val="bottom"/>
          </w:tcPr>
          <w:p>
            <w:pPr>
              <w:ind w:left="100"/>
              <w:spacing w:after="0"/>
              <w:rPr>
                <w:sz w:val="20"/>
                <w:szCs w:val="20"/>
                <w:color w:val="auto"/>
              </w:rPr>
            </w:pPr>
            <w:r>
              <w:rPr>
                <w:rFonts w:ascii="Arial" w:cs="Arial" w:eastAsia="Arial" w:hAnsi="Arial"/>
                <w:sz w:val="17"/>
                <w:szCs w:val="17"/>
                <w:color w:val="auto"/>
              </w:rPr>
              <w:t>(50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40" w:type="dxa"/>
            <w:vAlign w:val="bottom"/>
          </w:tcPr>
          <w:p>
            <w:pPr>
              <w:ind w:left="120"/>
              <w:spacing w:after="0"/>
              <w:rPr>
                <w:sz w:val="20"/>
                <w:szCs w:val="20"/>
                <w:color w:val="auto"/>
              </w:rPr>
            </w:pPr>
            <w:r>
              <w:rPr>
                <w:rFonts w:ascii="Arial" w:cs="Arial" w:eastAsia="Arial" w:hAnsi="Arial"/>
                <w:sz w:val="17"/>
                <w:szCs w:val="17"/>
                <w:color w:val="auto"/>
              </w:rPr>
              <w:t>(58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1020"/>
              <w:spacing w:after="0"/>
              <w:rPr>
                <w:sz w:val="20"/>
                <w:szCs w:val="20"/>
                <w:color w:val="auto"/>
              </w:rPr>
            </w:pPr>
            <w:r>
              <w:rPr>
                <w:rFonts w:ascii="Arial" w:cs="Arial" w:eastAsia="Arial" w:hAnsi="Arial"/>
                <w:sz w:val="17"/>
                <w:szCs w:val="17"/>
                <w:color w:val="auto"/>
              </w:rPr>
              <w:t>9</w:t>
            </w:r>
          </w:p>
        </w:tc>
        <w:tc>
          <w:tcPr>
            <w:tcW w:w="102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Arial" w:cs="Arial" w:eastAsia="Arial" w:hAnsi="Arial"/>
                <w:sz w:val="17"/>
                <w:szCs w:val="17"/>
                <w:color w:val="auto"/>
              </w:rPr>
              <w:t>(80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6"/>
        </w:trPr>
        <w:tc>
          <w:tcPr>
            <w:tcW w:w="5780" w:type="dxa"/>
            <w:vAlign w:val="bottom"/>
            <w:shd w:val="clear" w:color="auto" w:fill="E2EEF6"/>
          </w:tcPr>
          <w:p>
            <w:pPr>
              <w:spacing w:after="0"/>
              <w:rPr>
                <w:sz w:val="19"/>
                <w:szCs w:val="19"/>
                <w:color w:val="auto"/>
              </w:rPr>
            </w:pPr>
          </w:p>
        </w:tc>
        <w:tc>
          <w:tcPr>
            <w:tcW w:w="760" w:type="dxa"/>
            <w:vAlign w:val="bottom"/>
            <w:tcBorders>
              <w:top w:val="single" w:sz="8" w:color="auto"/>
              <w:right w:val="single" w:sz="8" w:color="E2EEF6"/>
            </w:tcBorders>
            <w:shd w:val="clear" w:color="auto" w:fill="E2EEF6"/>
          </w:tcPr>
          <w:p>
            <w:pPr>
              <w:spacing w:after="0"/>
              <w:rPr>
                <w:sz w:val="19"/>
                <w:szCs w:val="19"/>
                <w:color w:val="auto"/>
              </w:rPr>
            </w:pPr>
          </w:p>
        </w:tc>
        <w:tc>
          <w:tcPr>
            <w:tcW w:w="120" w:type="dxa"/>
            <w:vAlign w:val="bottom"/>
            <w:tcBorders>
              <w:right w:val="single" w:sz="8" w:color="E2EEF6"/>
            </w:tcBorders>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900" w:type="dxa"/>
            <w:vAlign w:val="bottom"/>
            <w:shd w:val="clear" w:color="auto" w:fill="E2EEF6"/>
          </w:tcPr>
          <w:p>
            <w:pPr>
              <w:spacing w:after="0"/>
              <w:rPr>
                <w:sz w:val="19"/>
                <w:szCs w:val="19"/>
                <w:color w:val="auto"/>
              </w:rPr>
            </w:pPr>
          </w:p>
        </w:tc>
        <w:tc>
          <w:tcPr>
            <w:tcW w:w="780" w:type="dxa"/>
            <w:vAlign w:val="bottom"/>
            <w:tcBorders>
              <w:top w:val="single" w:sz="8" w:color="auto"/>
            </w:tcBorders>
            <w:shd w:val="clear" w:color="auto" w:fill="E2EEF6"/>
          </w:tcPr>
          <w:p>
            <w:pPr>
              <w:spacing w:after="0"/>
              <w:rPr>
                <w:sz w:val="19"/>
                <w:szCs w:val="19"/>
                <w:color w:val="auto"/>
              </w:rPr>
            </w:pPr>
          </w:p>
        </w:tc>
        <w:tc>
          <w:tcPr>
            <w:tcW w:w="1020" w:type="dxa"/>
            <w:vAlign w:val="bottom"/>
            <w:shd w:val="clear" w:color="auto" w:fill="E2EEF6"/>
          </w:tcPr>
          <w:p>
            <w:pPr>
              <w:spacing w:after="0"/>
              <w:rPr>
                <w:sz w:val="19"/>
                <w:szCs w:val="19"/>
                <w:color w:val="auto"/>
              </w:rPr>
            </w:pPr>
          </w:p>
        </w:tc>
        <w:tc>
          <w:tcPr>
            <w:tcW w:w="84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Net income</w:t>
            </w:r>
          </w:p>
        </w:tc>
        <w:tc>
          <w:tcPr>
            <w:tcW w:w="760" w:type="dxa"/>
            <w:vAlign w:val="bottom"/>
          </w:tcPr>
          <w:p>
            <w:pPr>
              <w:spacing w:after="0"/>
              <w:rPr>
                <w:sz w:val="20"/>
                <w:szCs w:val="20"/>
                <w:color w:val="auto"/>
              </w:rPr>
            </w:pPr>
            <w:r>
              <w:rPr>
                <w:rFonts w:ascii="Arial" w:cs="Arial" w:eastAsia="Arial" w:hAnsi="Arial"/>
                <w:sz w:val="17"/>
                <w:szCs w:val="17"/>
                <w:color w:val="auto"/>
              </w:rPr>
              <w:t>$ 6,953</w:t>
            </w:r>
          </w:p>
        </w:tc>
        <w:tc>
          <w:tcPr>
            <w:tcW w:w="1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$ 5,819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$ 13,336</w:t>
            </w:r>
          </w:p>
        </w:tc>
        <w:tc>
          <w:tcPr>
            <w:tcW w:w="10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$ 13,124</w:t>
            </w:r>
          </w:p>
        </w:tc>
        <w:tc>
          <w:tcPr>
            <w:tcW w:w="120" w:type="dxa"/>
            <w:vAlign w:val="bottom"/>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2"/>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Net income per Ordinary Share:</w:t>
            </w:r>
          </w:p>
        </w:tc>
        <w:tc>
          <w:tcPr>
            <w:tcW w:w="760" w:type="dxa"/>
            <w:vAlign w:val="bottom"/>
            <w:tcBorders>
              <w:right w:val="single" w:sz="8" w:color="E2EEF6"/>
            </w:tcBorders>
            <w:shd w:val="clear" w:color="auto" w:fill="E2EEF6"/>
          </w:tcPr>
          <w:p>
            <w:pPr>
              <w:spacing w:after="0"/>
              <w:rPr>
                <w:sz w:val="18"/>
                <w:szCs w:val="18"/>
                <w:color w:val="auto"/>
              </w:rPr>
            </w:pPr>
          </w:p>
        </w:tc>
        <w:tc>
          <w:tcPr>
            <w:tcW w:w="120" w:type="dxa"/>
            <w:vAlign w:val="bottom"/>
            <w:tcBorders>
              <w:right w:val="single" w:sz="8" w:color="E2EEF6"/>
            </w:tcBorders>
            <w:shd w:val="clear" w:color="auto" w:fill="E2EEF6"/>
          </w:tcPr>
          <w:p>
            <w:pPr>
              <w:spacing w:after="0"/>
              <w:rPr>
                <w:sz w:val="18"/>
                <w:szCs w:val="18"/>
                <w:color w:val="auto"/>
              </w:rPr>
            </w:pPr>
          </w:p>
        </w:tc>
        <w:tc>
          <w:tcPr>
            <w:tcW w:w="84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900" w:type="dxa"/>
            <w:vAlign w:val="bottom"/>
            <w:shd w:val="clear" w:color="auto" w:fill="E2EEF6"/>
          </w:tcPr>
          <w:p>
            <w:pPr>
              <w:spacing w:after="0"/>
              <w:rPr>
                <w:sz w:val="18"/>
                <w:szCs w:val="18"/>
                <w:color w:val="auto"/>
              </w:rPr>
            </w:pPr>
          </w:p>
        </w:tc>
        <w:tc>
          <w:tcPr>
            <w:tcW w:w="780" w:type="dxa"/>
            <w:vAlign w:val="bottom"/>
            <w:shd w:val="clear" w:color="auto" w:fill="E2EEF6"/>
          </w:tcPr>
          <w:p>
            <w:pPr>
              <w:spacing w:after="0"/>
              <w:rPr>
                <w:sz w:val="18"/>
                <w:szCs w:val="18"/>
                <w:color w:val="auto"/>
              </w:rPr>
            </w:pPr>
          </w:p>
        </w:tc>
        <w:tc>
          <w:tcPr>
            <w:tcW w:w="1020" w:type="dxa"/>
            <w:vAlign w:val="bottom"/>
            <w:shd w:val="clear" w:color="auto" w:fill="E2EEF6"/>
          </w:tcPr>
          <w:p>
            <w:pPr>
              <w:spacing w:after="0"/>
              <w:rPr>
                <w:sz w:val="18"/>
                <w:szCs w:val="18"/>
                <w:color w:val="auto"/>
              </w:rPr>
            </w:pPr>
          </w:p>
        </w:tc>
        <w:tc>
          <w:tcPr>
            <w:tcW w:w="84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r>
      <w:tr>
        <w:trPr>
          <w:trHeight w:val="259"/>
        </w:trPr>
        <w:tc>
          <w:tcPr>
            <w:tcW w:w="5780" w:type="dxa"/>
            <w:vAlign w:val="bottom"/>
          </w:tcPr>
          <w:p>
            <w:pPr>
              <w:spacing w:after="0"/>
              <w:rPr>
                <w:sz w:val="20"/>
                <w:szCs w:val="20"/>
                <w:color w:val="auto"/>
              </w:rPr>
            </w:pPr>
            <w:r>
              <w:rPr>
                <w:rFonts w:ascii="Arial" w:cs="Arial" w:eastAsia="Arial" w:hAnsi="Arial"/>
                <w:sz w:val="17"/>
                <w:szCs w:val="17"/>
                <w:color w:val="auto"/>
              </w:rPr>
              <w:t>Basic</w:t>
            </w:r>
          </w:p>
        </w:tc>
        <w:tc>
          <w:tcPr>
            <w:tcW w:w="760" w:type="dxa"/>
            <w:vAlign w:val="bottom"/>
          </w:tcPr>
          <w:p>
            <w:pPr>
              <w:spacing w:after="0"/>
              <w:rPr>
                <w:sz w:val="20"/>
                <w:szCs w:val="20"/>
                <w:color w:val="auto"/>
              </w:rPr>
            </w:pPr>
            <w:r>
              <w:rPr>
                <w:rFonts w:ascii="Arial" w:cs="Arial" w:eastAsia="Arial" w:hAnsi="Arial"/>
                <w:sz w:val="17"/>
                <w:szCs w:val="17"/>
                <w:color w:val="auto"/>
              </w:rPr>
              <w:t>$ 0.50</w:t>
            </w:r>
          </w:p>
        </w:tc>
        <w:tc>
          <w:tcPr>
            <w:tcW w:w="1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$ 0.42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2"/>
          </w:tcPr>
          <w:p>
            <w:pPr>
              <w:ind w:left="900"/>
              <w:spacing w:after="0"/>
              <w:rPr>
                <w:sz w:val="20"/>
                <w:szCs w:val="20"/>
                <w:color w:val="auto"/>
              </w:rPr>
            </w:pPr>
            <w:r>
              <w:rPr>
                <w:rFonts w:ascii="Arial" w:cs="Arial" w:eastAsia="Arial" w:hAnsi="Arial"/>
                <w:sz w:val="17"/>
                <w:szCs w:val="17"/>
                <w:color w:val="auto"/>
              </w:rPr>
              <w:t>$ 0.95</w:t>
            </w:r>
          </w:p>
        </w:tc>
        <w:tc>
          <w:tcPr>
            <w:tcW w:w="1020" w:type="dxa"/>
            <w:vAlign w:val="bottom"/>
          </w:tcPr>
          <w:p>
            <w:pPr>
              <w:spacing w:after="0"/>
              <w:rPr>
                <w:sz w:val="22"/>
                <w:szCs w:val="22"/>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$ 0.95</w:t>
            </w:r>
          </w:p>
        </w:tc>
        <w:tc>
          <w:tcPr>
            <w:tcW w:w="120" w:type="dxa"/>
            <w:vAlign w:val="bottom"/>
          </w:tcPr>
          <w:p>
            <w:pPr>
              <w:spacing w:after="0"/>
              <w:rPr>
                <w:sz w:val="22"/>
                <w:szCs w:val="22"/>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5780" w:type="dxa"/>
            <w:vAlign w:val="bottom"/>
            <w:shd w:val="clear" w:color="auto" w:fill="E2EEF6"/>
          </w:tcPr>
          <w:p>
            <w:pPr>
              <w:spacing w:after="0"/>
              <w:rPr>
                <w:sz w:val="20"/>
                <w:szCs w:val="20"/>
                <w:color w:val="auto"/>
              </w:rPr>
            </w:pPr>
            <w:r>
              <w:rPr>
                <w:rFonts w:ascii="Arial" w:cs="Arial" w:eastAsia="Arial" w:hAnsi="Arial"/>
                <w:sz w:val="17"/>
                <w:szCs w:val="17"/>
                <w:color w:val="auto"/>
              </w:rPr>
              <w:t>Diluted</w:t>
            </w:r>
          </w:p>
        </w:tc>
        <w:tc>
          <w:tcPr>
            <w:tcW w:w="760" w:type="dxa"/>
            <w:vAlign w:val="bottom"/>
            <w:tcBorders>
              <w:right w:val="single" w:sz="8" w:color="E2EEF6"/>
            </w:tcBorders>
            <w:shd w:val="clear" w:color="auto" w:fill="E2EEF6"/>
          </w:tcPr>
          <w:p>
            <w:pPr>
              <w:spacing w:after="0"/>
              <w:rPr>
                <w:sz w:val="20"/>
                <w:szCs w:val="20"/>
                <w:color w:val="auto"/>
              </w:rPr>
            </w:pPr>
            <w:r>
              <w:rPr>
                <w:rFonts w:ascii="Arial" w:cs="Arial" w:eastAsia="Arial" w:hAnsi="Arial"/>
                <w:sz w:val="17"/>
                <w:szCs w:val="17"/>
                <w:color w:val="auto"/>
              </w:rPr>
              <w:t>$ 0.49</w:t>
            </w:r>
          </w:p>
        </w:tc>
        <w:tc>
          <w:tcPr>
            <w:tcW w:w="120" w:type="dxa"/>
            <w:vAlign w:val="bottom"/>
            <w:tcBorders>
              <w:right w:val="single" w:sz="8" w:color="E2EEF6"/>
            </w:tcBorders>
            <w:shd w:val="clear" w:color="auto" w:fill="E2EEF6"/>
          </w:tcPr>
          <w:p>
            <w:pPr>
              <w:spacing w:after="0"/>
              <w:rPr>
                <w:sz w:val="22"/>
                <w:szCs w:val="22"/>
                <w:color w:val="auto"/>
              </w:rPr>
            </w:pPr>
          </w:p>
        </w:tc>
        <w:tc>
          <w:tcPr>
            <w:tcW w:w="840" w:type="dxa"/>
            <w:vAlign w:val="bottom"/>
            <w:shd w:val="clear" w:color="auto" w:fill="E2EEF6"/>
          </w:tcPr>
          <w:p>
            <w:pPr>
              <w:spacing w:after="0"/>
              <w:rPr>
                <w:sz w:val="20"/>
                <w:szCs w:val="20"/>
                <w:color w:val="auto"/>
              </w:rPr>
            </w:pPr>
            <w:r>
              <w:rPr>
                <w:rFonts w:ascii="Arial" w:cs="Arial" w:eastAsia="Arial" w:hAnsi="Arial"/>
                <w:sz w:val="17"/>
                <w:szCs w:val="17"/>
                <w:color w:val="auto"/>
              </w:rPr>
              <w:t>$ 0.41</w:t>
            </w:r>
          </w:p>
        </w:tc>
        <w:tc>
          <w:tcPr>
            <w:tcW w:w="14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680" w:type="dxa"/>
            <w:vAlign w:val="bottom"/>
            <w:gridSpan w:val="2"/>
            <w:shd w:val="clear" w:color="auto" w:fill="E2EEF6"/>
          </w:tcPr>
          <w:p>
            <w:pPr>
              <w:ind w:left="900"/>
              <w:spacing w:after="0"/>
              <w:rPr>
                <w:sz w:val="20"/>
                <w:szCs w:val="20"/>
                <w:color w:val="auto"/>
              </w:rPr>
            </w:pPr>
            <w:r>
              <w:rPr>
                <w:rFonts w:ascii="Arial" w:cs="Arial" w:eastAsia="Arial" w:hAnsi="Arial"/>
                <w:sz w:val="17"/>
                <w:szCs w:val="17"/>
                <w:color w:val="auto"/>
              </w:rPr>
              <w:t>$ 0.94</w:t>
            </w:r>
          </w:p>
        </w:tc>
        <w:tc>
          <w:tcPr>
            <w:tcW w:w="1020" w:type="dxa"/>
            <w:vAlign w:val="bottom"/>
            <w:shd w:val="clear" w:color="auto" w:fill="E2EEF6"/>
          </w:tcPr>
          <w:p>
            <w:pPr>
              <w:spacing w:after="0"/>
              <w:rPr>
                <w:sz w:val="22"/>
                <w:szCs w:val="22"/>
                <w:color w:val="auto"/>
              </w:rPr>
            </w:pPr>
          </w:p>
        </w:tc>
        <w:tc>
          <w:tcPr>
            <w:tcW w:w="840" w:type="dxa"/>
            <w:vAlign w:val="bottom"/>
            <w:shd w:val="clear" w:color="auto" w:fill="E2EEF6"/>
          </w:tcPr>
          <w:p>
            <w:pPr>
              <w:spacing w:after="0"/>
              <w:rPr>
                <w:sz w:val="20"/>
                <w:szCs w:val="20"/>
                <w:color w:val="auto"/>
              </w:rPr>
            </w:pPr>
            <w:r>
              <w:rPr>
                <w:rFonts w:ascii="Arial" w:cs="Arial" w:eastAsia="Arial" w:hAnsi="Arial"/>
                <w:sz w:val="17"/>
                <w:szCs w:val="17"/>
                <w:color w:val="auto"/>
              </w:rPr>
              <w:t>$ 0.93</w:t>
            </w:r>
          </w:p>
        </w:tc>
        <w:tc>
          <w:tcPr>
            <w:tcW w:w="120" w:type="dxa"/>
            <w:vAlign w:val="bottom"/>
            <w:shd w:val="clear" w:color="auto" w:fill="E2EEF6"/>
          </w:tcPr>
          <w:p>
            <w:pPr>
              <w:spacing w:after="0"/>
              <w:rPr>
                <w:sz w:val="22"/>
                <w:szCs w:val="22"/>
                <w:color w:val="auto"/>
              </w:rPr>
            </w:pPr>
          </w:p>
        </w:tc>
      </w:tr>
      <w:tr>
        <w:trPr>
          <w:trHeight w:val="20"/>
        </w:trPr>
        <w:tc>
          <w:tcPr>
            <w:tcW w:w="5780" w:type="dxa"/>
            <w:vAlign w:val="bottom"/>
            <w:tcBorders>
              <w:top w:val="single" w:sz="8" w:color="E2EEF6"/>
            </w:tcBorders>
            <w:shd w:val="clear" w:color="auto" w:fill="E2EEF6"/>
          </w:tcPr>
          <w:p>
            <w:pPr>
              <w:spacing w:after="0" w:line="20" w:lineRule="exact"/>
              <w:rPr>
                <w:sz w:val="1"/>
                <w:szCs w:val="1"/>
                <w:color w:val="auto"/>
              </w:rPr>
            </w:pPr>
          </w:p>
        </w:tc>
        <w:tc>
          <w:tcPr>
            <w:tcW w:w="7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right w:val="single" w:sz="8" w:color="E2EEF6"/>
            </w:tcBorders>
            <w:shd w:val="clear" w:color="auto" w:fill="E2EEF6"/>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c>
          <w:tcPr>
            <w:tcW w:w="900" w:type="dxa"/>
            <w:vAlign w:val="bottom"/>
            <w:tcBorders>
              <w:top w:val="single" w:sz="8" w:color="E2EEF6"/>
            </w:tcBorders>
            <w:shd w:val="clear" w:color="auto" w:fill="E2EEF6"/>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E2EEF6"/>
            </w:tcBorders>
            <w:shd w:val="clear" w:color="auto" w:fill="E2EEF6"/>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tcBorders>
            <w:shd w:val="clear" w:color="auto" w:fill="E2EEF6"/>
          </w:tcPr>
          <w:p>
            <w:pPr>
              <w:spacing w:after="0" w:line="20" w:lineRule="exact"/>
              <w:rPr>
                <w:sz w:val="1"/>
                <w:szCs w:val="1"/>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80" w:type="dxa"/>
            <w:vAlign w:val="bottom"/>
            <w:shd w:val="clear" w:color="auto" w:fill="E2EEF6"/>
          </w:tcPr>
          <w:p>
            <w:pPr>
              <w:spacing w:after="0"/>
              <w:rPr>
                <w:sz w:val="20"/>
                <w:szCs w:val="20"/>
                <w:color w:val="auto"/>
              </w:rPr>
            </w:pPr>
            <w:r>
              <w:rPr>
                <w:rFonts w:ascii="Arial" w:cs="Arial" w:eastAsia="Arial" w:hAnsi="Arial"/>
                <w:sz w:val="17"/>
                <w:szCs w:val="17"/>
                <w:color w:val="auto"/>
              </w:rPr>
              <w:t>Weighted average number of Ordinary Shares outstanding:</w:t>
            </w:r>
          </w:p>
        </w:tc>
        <w:tc>
          <w:tcPr>
            <w:tcW w:w="1840" w:type="dxa"/>
            <w:vAlign w:val="bottom"/>
            <w:shd w:val="clear" w:color="auto" w:fill="E2EEF6"/>
          </w:tcPr>
          <w:p>
            <w:pPr>
              <w:spacing w:after="0"/>
              <w:rPr>
                <w:sz w:val="20"/>
                <w:szCs w:val="20"/>
                <w:color w:val="auto"/>
              </w:rPr>
            </w:pPr>
          </w:p>
        </w:tc>
        <w:tc>
          <w:tcPr>
            <w:tcW w:w="9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2340" w:type="dxa"/>
            <w:vAlign w:val="bottom"/>
            <w:shd w:val="clear" w:color="auto" w:fill="E2EEF6"/>
          </w:tcPr>
          <w:p>
            <w:pPr>
              <w:spacing w:after="0"/>
              <w:rPr>
                <w:sz w:val="20"/>
                <w:szCs w:val="20"/>
                <w:color w:val="auto"/>
              </w:rPr>
            </w:pPr>
          </w:p>
        </w:tc>
        <w:tc>
          <w:tcPr>
            <w:tcW w:w="1320" w:type="dxa"/>
            <w:vAlign w:val="bottom"/>
            <w:shd w:val="clear" w:color="auto" w:fill="E2EEF6"/>
          </w:tcPr>
          <w:p>
            <w:pPr>
              <w:spacing w:after="0"/>
              <w:rPr>
                <w:sz w:val="20"/>
                <w:szCs w:val="20"/>
                <w:color w:val="auto"/>
              </w:rPr>
            </w:pPr>
          </w:p>
        </w:tc>
      </w:tr>
      <w:tr>
        <w:trPr>
          <w:trHeight w:val="492"/>
        </w:trPr>
        <w:tc>
          <w:tcPr>
            <w:tcW w:w="4880" w:type="dxa"/>
            <w:vAlign w:val="bottom"/>
          </w:tcPr>
          <w:p>
            <w:pPr>
              <w:spacing w:after="0"/>
              <w:rPr>
                <w:sz w:val="20"/>
                <w:szCs w:val="20"/>
                <w:color w:val="auto"/>
              </w:rPr>
            </w:pPr>
            <w:r>
              <w:rPr>
                <w:rFonts w:ascii="Arial" w:cs="Arial" w:eastAsia="Arial" w:hAnsi="Arial"/>
                <w:sz w:val="17"/>
                <w:szCs w:val="17"/>
                <w:color w:val="auto"/>
              </w:rPr>
              <w:t>Basic</w:t>
            </w:r>
          </w:p>
        </w:tc>
        <w:tc>
          <w:tcPr>
            <w:tcW w:w="1840" w:type="dxa"/>
            <w:vAlign w:val="bottom"/>
          </w:tcPr>
          <w:p>
            <w:pPr>
              <w:jc w:val="right"/>
              <w:spacing w:after="0"/>
              <w:rPr>
                <w:sz w:val="20"/>
                <w:szCs w:val="20"/>
                <w:color w:val="auto"/>
              </w:rPr>
            </w:pPr>
            <w:r>
              <w:rPr>
                <w:rFonts w:ascii="Arial" w:cs="Arial" w:eastAsia="Arial" w:hAnsi="Arial"/>
                <w:sz w:val="17"/>
                <w:szCs w:val="17"/>
                <w:color w:val="auto"/>
              </w:rPr>
              <w:t>14,005,454</w:t>
            </w:r>
          </w:p>
        </w:tc>
        <w:tc>
          <w:tcPr>
            <w:tcW w:w="920" w:type="dxa"/>
            <w:vAlign w:val="bottom"/>
          </w:tcPr>
          <w:p>
            <w:pPr>
              <w:jc w:val="right"/>
              <w:spacing w:after="0"/>
              <w:rPr>
                <w:sz w:val="20"/>
                <w:szCs w:val="20"/>
                <w:color w:val="auto"/>
              </w:rPr>
            </w:pPr>
            <w:r>
              <w:rPr>
                <w:rFonts w:ascii="Arial" w:cs="Arial" w:eastAsia="Arial" w:hAnsi="Arial"/>
                <w:sz w:val="17"/>
                <w:szCs w:val="17"/>
                <w:color w:val="auto"/>
                <w:w w:val="96"/>
              </w:rPr>
              <w:t>13,847,689</w:t>
            </w:r>
          </w:p>
        </w:tc>
        <w:tc>
          <w:tcPr>
            <w:tcW w:w="2460" w:type="dxa"/>
            <w:vAlign w:val="bottom"/>
            <w:gridSpan w:val="2"/>
          </w:tcPr>
          <w:p>
            <w:pPr>
              <w:jc w:val="right"/>
              <w:ind w:right="454"/>
              <w:spacing w:after="0"/>
              <w:rPr>
                <w:sz w:val="20"/>
                <w:szCs w:val="20"/>
                <w:color w:val="auto"/>
              </w:rPr>
            </w:pPr>
            <w:r>
              <w:rPr>
                <w:rFonts w:ascii="Arial" w:cs="Arial" w:eastAsia="Arial" w:hAnsi="Arial"/>
                <w:sz w:val="17"/>
                <w:szCs w:val="17"/>
                <w:color w:val="auto"/>
              </w:rPr>
              <w:t>14,027,564</w:t>
            </w:r>
          </w:p>
        </w:tc>
        <w:tc>
          <w:tcPr>
            <w:tcW w:w="1320" w:type="dxa"/>
            <w:vAlign w:val="bottom"/>
          </w:tcPr>
          <w:p>
            <w:pPr>
              <w:jc w:val="right"/>
              <w:spacing w:after="0"/>
              <w:rPr>
                <w:sz w:val="20"/>
                <w:szCs w:val="20"/>
                <w:color w:val="auto"/>
              </w:rPr>
            </w:pPr>
            <w:r>
              <w:rPr>
                <w:rFonts w:ascii="Arial" w:cs="Arial" w:eastAsia="Arial" w:hAnsi="Arial"/>
                <w:sz w:val="17"/>
                <w:szCs w:val="17"/>
                <w:color w:val="auto"/>
              </w:rPr>
              <w:t>13,839,857</w:t>
            </w:r>
          </w:p>
        </w:tc>
      </w:tr>
      <w:tr>
        <w:trPr>
          <w:trHeight w:val="20"/>
        </w:trPr>
        <w:tc>
          <w:tcPr>
            <w:tcW w:w="488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0"/>
        </w:trPr>
        <w:tc>
          <w:tcPr>
            <w:tcW w:w="488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Diluted</w:t>
            </w:r>
          </w:p>
        </w:tc>
        <w:tc>
          <w:tcPr>
            <w:tcW w:w="184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14,261,734</w:t>
            </w:r>
          </w:p>
        </w:tc>
        <w:tc>
          <w:tcPr>
            <w:tcW w:w="9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w w:val="96"/>
              </w:rPr>
              <w:t>14,067,079</w:t>
            </w:r>
          </w:p>
        </w:tc>
        <w:tc>
          <w:tcPr>
            <w:tcW w:w="120" w:type="dxa"/>
            <w:vAlign w:val="bottom"/>
            <w:tcBorders>
              <w:bottom w:val="single" w:sz="8" w:color="E2EEF6"/>
            </w:tcBorders>
            <w:shd w:val="clear" w:color="auto" w:fill="E2EEF6"/>
          </w:tcPr>
          <w:p>
            <w:pPr>
              <w:spacing w:after="0"/>
              <w:rPr>
                <w:sz w:val="24"/>
                <w:szCs w:val="24"/>
                <w:color w:val="auto"/>
              </w:rPr>
            </w:pPr>
          </w:p>
        </w:tc>
        <w:tc>
          <w:tcPr>
            <w:tcW w:w="2340" w:type="dxa"/>
            <w:vAlign w:val="bottom"/>
            <w:tcBorders>
              <w:bottom w:val="single" w:sz="8" w:color="auto"/>
            </w:tcBorders>
            <w:shd w:val="clear" w:color="auto" w:fill="E2EEF6"/>
          </w:tcPr>
          <w:p>
            <w:pPr>
              <w:jc w:val="right"/>
              <w:ind w:right="454"/>
              <w:spacing w:after="0"/>
              <w:rPr>
                <w:sz w:val="20"/>
                <w:szCs w:val="20"/>
                <w:color w:val="auto"/>
              </w:rPr>
            </w:pPr>
            <w:r>
              <w:rPr>
                <w:rFonts w:ascii="Arial" w:cs="Arial" w:eastAsia="Arial" w:hAnsi="Arial"/>
                <w:sz w:val="17"/>
                <w:szCs w:val="17"/>
                <w:color w:val="auto"/>
              </w:rPr>
              <w:t>14,234,326</w:t>
            </w:r>
          </w:p>
        </w:tc>
        <w:tc>
          <w:tcPr>
            <w:tcW w:w="1320" w:type="dxa"/>
            <w:vAlign w:val="bottom"/>
            <w:tcBorders>
              <w:bottom w:val="single" w:sz="8" w:color="auto"/>
            </w:tcBorders>
            <w:shd w:val="clear" w:color="auto" w:fill="E2EEF6"/>
          </w:tcPr>
          <w:p>
            <w:pPr>
              <w:jc w:val="right"/>
              <w:spacing w:after="0"/>
              <w:rPr>
                <w:sz w:val="20"/>
                <w:szCs w:val="20"/>
                <w:color w:val="auto"/>
              </w:rPr>
            </w:pPr>
            <w:r>
              <w:rPr>
                <w:rFonts w:ascii="Arial" w:cs="Arial" w:eastAsia="Arial" w:hAnsi="Arial"/>
                <w:sz w:val="17"/>
                <w:szCs w:val="17"/>
                <w:color w:val="auto"/>
              </w:rPr>
              <w:t>14,088,030</w:t>
            </w: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NOVEMBER 30, 2005 AND 2004</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92"/>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November 30,</w:t>
            </w:r>
          </w:p>
        </w:tc>
        <w:tc>
          <w:tcPr>
            <w:tcW w:w="1420" w:type="dxa"/>
            <w:vAlign w:val="bottom"/>
            <w:gridSpan w:val="6"/>
          </w:tcPr>
          <w:p>
            <w:pPr>
              <w:ind w:left="400"/>
              <w:spacing w:after="0" w:line="187" w:lineRule="exact"/>
              <w:rPr>
                <w:sz w:val="20"/>
                <w:szCs w:val="20"/>
                <w:color w:val="auto"/>
              </w:rPr>
            </w:pPr>
            <w:r>
              <w:rPr>
                <w:rFonts w:ascii="Arial" w:cs="Arial" w:eastAsia="Arial" w:hAnsi="Arial"/>
                <w:sz w:val="17"/>
                <w:szCs w:val="17"/>
                <w:b w:val="1"/>
                <w:bCs w:val="1"/>
                <w:color w:val="auto"/>
                <w:w w:val="89"/>
              </w:rPr>
              <w:t>November 30,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360" w:type="dxa"/>
            <w:vAlign w:val="bottom"/>
          </w:tcPr>
          <w:p>
            <w:pPr>
              <w:spacing w:after="0"/>
              <w:rPr>
                <w:sz w:val="16"/>
                <w:szCs w:val="16"/>
                <w:color w:val="auto"/>
              </w:rPr>
            </w:pPr>
          </w:p>
        </w:tc>
        <w:tc>
          <w:tcPr>
            <w:tcW w:w="1620" w:type="dxa"/>
            <w:vAlign w:val="bottom"/>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right"/>
              <w:spacing w:after="0" w:line="187" w:lineRule="exact"/>
              <w:rPr>
                <w:sz w:val="20"/>
                <w:szCs w:val="20"/>
                <w:color w:val="auto"/>
              </w:rPr>
            </w:pPr>
            <w:r>
              <w:rPr>
                <w:rFonts w:ascii="Arial" w:cs="Arial" w:eastAsia="Arial" w:hAnsi="Arial"/>
                <w:sz w:val="17"/>
                <w:szCs w:val="17"/>
                <w:b w:val="1"/>
                <w:bCs w:val="1"/>
                <w:color w:val="auto"/>
                <w:w w:val="84"/>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6"/>
          </w:tcPr>
          <w:p>
            <w:pPr>
              <w:jc w:val="center"/>
              <w:ind w:right="400"/>
              <w:spacing w:after="0"/>
              <w:rPr>
                <w:sz w:val="20"/>
                <w:szCs w:val="20"/>
                <w:color w:val="auto"/>
              </w:rPr>
            </w:pPr>
            <w:r>
              <w:rPr>
                <w:rFonts w:ascii="Arial" w:cs="Arial" w:eastAsia="Arial" w:hAnsi="Arial"/>
                <w:sz w:val="17"/>
                <w:szCs w:val="17"/>
                <w:b w:val="1"/>
                <w:bCs w:val="1"/>
                <w:color w:val="auto"/>
                <w:w w:val="88"/>
              </w:rPr>
              <w:t>(in thousands)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6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600" w:type="dxa"/>
            <w:vAlign w:val="bottom"/>
          </w:tcPr>
          <w:p>
            <w:pPr>
              <w:spacing w:after="0"/>
              <w:rPr>
                <w:sz w:val="20"/>
                <w:szCs w:val="20"/>
                <w:color w:val="auto"/>
              </w:rPr>
            </w:pPr>
            <w:r>
              <w:rPr>
                <w:rFonts w:ascii="Arial" w:cs="Arial" w:eastAsia="Arial" w:hAnsi="Arial"/>
                <w:sz w:val="17"/>
                <w:szCs w:val="17"/>
                <w:color w:val="auto"/>
                <w:w w:val="94"/>
              </w:rPr>
              <w:t>$13,336</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420"/>
              <w:spacing w:after="0"/>
              <w:rPr>
                <w:sz w:val="20"/>
                <w:szCs w:val="20"/>
                <w:color w:val="auto"/>
              </w:rPr>
            </w:pPr>
            <w:r>
              <w:rPr>
                <w:rFonts w:ascii="Arial" w:cs="Arial" w:eastAsia="Arial" w:hAnsi="Arial"/>
                <w:sz w:val="17"/>
                <w:szCs w:val="17"/>
                <w:color w:val="auto"/>
                <w:w w:val="96"/>
              </w:rPr>
              <w:t>$ 13,124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Adjustments to reconcile net income to net cash provided by/(used in) operating activities:</w:t>
            </w:r>
          </w:p>
        </w:tc>
        <w:tc>
          <w:tcPr>
            <w:tcW w:w="60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420" w:type="dxa"/>
            <w:vAlign w:val="bottom"/>
            <w:shd w:val="clear" w:color="auto" w:fill="E2EEF6"/>
          </w:tcPr>
          <w:p>
            <w:pPr>
              <w:spacing w:after="0"/>
              <w:rPr>
                <w:sz w:val="22"/>
                <w:szCs w:val="22"/>
                <w:color w:val="auto"/>
              </w:rPr>
            </w:pPr>
          </w:p>
        </w:tc>
        <w:tc>
          <w:tcPr>
            <w:tcW w:w="12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400" w:type="dxa"/>
            <w:vAlign w:val="bottom"/>
            <w:shd w:val="clear" w:color="auto" w:fill="E2EEF6"/>
          </w:tcPr>
          <w:p>
            <w:pPr>
              <w:spacing w:after="0"/>
              <w:rPr>
                <w:sz w:val="22"/>
                <w:szCs w:val="22"/>
                <w:color w:val="auto"/>
              </w:rPr>
            </w:pP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Gain on disposal of property, plant and equipment</w:t>
            </w:r>
          </w:p>
        </w:tc>
        <w:tc>
          <w:tcPr>
            <w:tcW w:w="600" w:type="dxa"/>
            <w:vAlign w:val="bottom"/>
          </w:tcPr>
          <w:p>
            <w:pPr>
              <w:spacing w:after="0"/>
              <w:rPr>
                <w:sz w:val="20"/>
                <w:szCs w:val="20"/>
                <w:color w:val="auto"/>
              </w:rPr>
            </w:pPr>
            <w:r>
              <w:rPr>
                <w:rFonts w:ascii="Arial" w:cs="Arial" w:eastAsia="Arial" w:hAnsi="Arial"/>
                <w:sz w:val="17"/>
                <w:szCs w:val="17"/>
                <w:color w:val="auto"/>
              </w:rPr>
              <w:t>2</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46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6,943</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6,358</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Amortization of grants</w:t>
            </w:r>
          </w:p>
        </w:tc>
        <w:tc>
          <w:tcPr>
            <w:tcW w:w="600" w:type="dxa"/>
            <w:vAlign w:val="bottom"/>
          </w:tcPr>
          <w:p>
            <w:pPr>
              <w:spacing w:after="0"/>
              <w:rPr>
                <w:sz w:val="20"/>
                <w:szCs w:val="20"/>
                <w:color w:val="auto"/>
              </w:rPr>
            </w:pPr>
            <w:r>
              <w:rPr>
                <w:rFonts w:ascii="Arial" w:cs="Arial" w:eastAsia="Arial" w:hAnsi="Arial"/>
                <w:sz w:val="17"/>
                <w:szCs w:val="17"/>
                <w:color w:val="auto"/>
              </w:rPr>
              <w:t>(96)</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(97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Minority interest</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(9)</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80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7"/>
                <w:szCs w:val="17"/>
                <w:color w:val="auto"/>
              </w:rPr>
              <w:t>Changes in assets and liabilities: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Decrease/(increase) in accounts receivable</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15,128</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(14,141</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 in unbilled revenue</w:t>
            </w:r>
          </w:p>
        </w:tc>
        <w:tc>
          <w:tcPr>
            <w:tcW w:w="600" w:type="dxa"/>
            <w:vAlign w:val="bottom"/>
          </w:tcPr>
          <w:p>
            <w:pPr>
              <w:spacing w:after="0"/>
              <w:rPr>
                <w:sz w:val="20"/>
                <w:szCs w:val="20"/>
                <w:color w:val="auto"/>
              </w:rPr>
            </w:pPr>
            <w:r>
              <w:rPr>
                <w:rFonts w:ascii="Arial" w:cs="Arial" w:eastAsia="Arial" w:hAnsi="Arial"/>
                <w:sz w:val="17"/>
                <w:szCs w:val="17"/>
                <w:color w:val="auto"/>
                <w:w w:val="91"/>
              </w:rPr>
              <w:t>(19,313)</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w w:val="90"/>
              </w:rPr>
              <w:t>(11,617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(Increase)/decrease in other receivables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(1,239)</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6,115</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(Increase)/decrease in prepayments and other current assets</w:t>
            </w:r>
          </w:p>
        </w:tc>
        <w:tc>
          <w:tcPr>
            <w:tcW w:w="600" w:type="dxa"/>
            <w:vAlign w:val="bottom"/>
          </w:tcPr>
          <w:p>
            <w:pPr>
              <w:spacing w:after="0"/>
              <w:rPr>
                <w:sz w:val="20"/>
                <w:szCs w:val="20"/>
                <w:color w:val="auto"/>
              </w:rPr>
            </w:pPr>
            <w:r>
              <w:rPr>
                <w:rFonts w:ascii="Arial" w:cs="Arial" w:eastAsia="Arial" w:hAnsi="Arial"/>
                <w:sz w:val="17"/>
                <w:szCs w:val="17"/>
                <w:color w:val="auto"/>
              </w:rPr>
              <w:t>(719)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632</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 in payments on account</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(1,417)</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11,910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Increase/(decrease) in other liabilities</w:t>
            </w:r>
          </w:p>
        </w:tc>
        <w:tc>
          <w:tcPr>
            <w:tcW w:w="600" w:type="dxa"/>
            <w:vAlign w:val="bottom"/>
          </w:tcPr>
          <w:p>
            <w:pPr>
              <w:spacing w:after="0"/>
              <w:rPr>
                <w:sz w:val="20"/>
                <w:szCs w:val="20"/>
                <w:color w:val="auto"/>
              </w:rPr>
            </w:pPr>
            <w:r>
              <w:rPr>
                <w:rFonts w:ascii="Arial" w:cs="Arial" w:eastAsia="Arial" w:hAnsi="Arial"/>
                <w:sz w:val="17"/>
                <w:szCs w:val="17"/>
                <w:color w:val="auto"/>
              </w:rPr>
              <w:t>2,095</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(8,825</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Increase in income taxes payable</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1,990</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1,999</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Decrease in accounts payable</w:t>
            </w:r>
          </w:p>
        </w:tc>
        <w:tc>
          <w:tcPr>
            <w:tcW w:w="600" w:type="dxa"/>
            <w:vAlign w:val="bottom"/>
          </w:tcPr>
          <w:p>
            <w:pPr>
              <w:spacing w:after="0"/>
              <w:rPr>
                <w:sz w:val="20"/>
                <w:szCs w:val="20"/>
                <w:color w:val="auto"/>
              </w:rPr>
            </w:pPr>
            <w:r>
              <w:rPr>
                <w:rFonts w:ascii="Arial" w:cs="Arial" w:eastAsia="Arial" w:hAnsi="Arial"/>
                <w:sz w:val="17"/>
                <w:szCs w:val="17"/>
                <w:color w:val="auto"/>
              </w:rPr>
              <w:t>(2,200)</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(7,587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shd w:val="clear" w:color="auto" w:fill="E2EEF6"/>
          </w:tcPr>
          <w:p>
            <w:pPr>
              <w:spacing w:after="0"/>
              <w:rPr>
                <w:sz w:val="19"/>
                <w:szCs w:val="19"/>
                <w:color w:val="auto"/>
              </w:rPr>
            </w:pPr>
          </w:p>
        </w:tc>
        <w:tc>
          <w:tcPr>
            <w:tcW w:w="60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42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400" w:type="dxa"/>
            <w:vAlign w:val="bottom"/>
            <w:tcBorders>
              <w:top w:val="single" w:sz="8" w:color="auto"/>
            </w:tcBorders>
            <w:shd w:val="clear" w:color="auto" w:fill="E2EEF6"/>
          </w:tcPr>
          <w:p>
            <w:pPr>
              <w:spacing w:after="0"/>
              <w:rPr>
                <w:sz w:val="19"/>
                <w:szCs w:val="19"/>
                <w:color w:val="auto"/>
              </w:rPr>
            </w:pPr>
          </w:p>
        </w:tc>
        <w:tc>
          <w:tcPr>
            <w:tcW w:w="20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Net cash provided by/(used in) operating activities</w:t>
            </w:r>
          </w:p>
        </w:tc>
        <w:tc>
          <w:tcPr>
            <w:tcW w:w="600" w:type="dxa"/>
            <w:vAlign w:val="bottom"/>
          </w:tcPr>
          <w:p>
            <w:pPr>
              <w:spacing w:after="0"/>
              <w:rPr>
                <w:sz w:val="20"/>
                <w:szCs w:val="20"/>
                <w:color w:val="auto"/>
              </w:rPr>
            </w:pPr>
            <w:r>
              <w:rPr>
                <w:rFonts w:ascii="Arial" w:cs="Arial" w:eastAsia="Arial" w:hAnsi="Arial"/>
                <w:sz w:val="17"/>
                <w:szCs w:val="17"/>
                <w:color w:val="auto"/>
              </w:rPr>
              <w:t>14,501</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(2,003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6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Purchase of property, plant and equipment</w:t>
            </w:r>
          </w:p>
        </w:tc>
        <w:tc>
          <w:tcPr>
            <w:tcW w:w="600" w:type="dxa"/>
            <w:vAlign w:val="bottom"/>
          </w:tcPr>
          <w:p>
            <w:pPr>
              <w:spacing w:after="0"/>
              <w:rPr>
                <w:sz w:val="20"/>
                <w:szCs w:val="20"/>
                <w:color w:val="auto"/>
              </w:rPr>
            </w:pPr>
            <w:r>
              <w:rPr>
                <w:rFonts w:ascii="Arial" w:cs="Arial" w:eastAsia="Arial" w:hAnsi="Arial"/>
                <w:sz w:val="17"/>
                <w:szCs w:val="17"/>
                <w:color w:val="auto"/>
                <w:w w:val="91"/>
              </w:rPr>
              <w:t>(11,033)</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(7,491</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Purchase of subsidiary undertakings and acquisition costs.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w:t>
            </w: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(10,010</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Cash acquired with subsidiary undertakings</w:t>
            </w:r>
          </w:p>
        </w:tc>
        <w:tc>
          <w:tcPr>
            <w:tcW w:w="60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1,658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Purchase of short term investments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w w:val="91"/>
              </w:rPr>
              <w:t>(11,787)</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(5,960</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Sale of short term investments</w:t>
            </w:r>
          </w:p>
        </w:tc>
        <w:tc>
          <w:tcPr>
            <w:tcW w:w="600" w:type="dxa"/>
            <w:vAlign w:val="bottom"/>
          </w:tcPr>
          <w:p>
            <w:pPr>
              <w:spacing w:after="0"/>
              <w:rPr>
                <w:sz w:val="20"/>
                <w:szCs w:val="20"/>
                <w:color w:val="auto"/>
              </w:rPr>
            </w:pPr>
            <w:r>
              <w:rPr>
                <w:rFonts w:ascii="Arial" w:cs="Arial" w:eastAsia="Arial" w:hAnsi="Arial"/>
                <w:sz w:val="17"/>
                <w:szCs w:val="17"/>
                <w:color w:val="auto"/>
              </w:rPr>
              <w:t>8,009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gridSpan w:val="3"/>
          </w:tcPr>
          <w:p>
            <w:pPr>
              <w:ind w:left="54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3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Deferred payments in respect of prior year acquisitions</w:t>
            </w:r>
          </w:p>
        </w:tc>
        <w:tc>
          <w:tcPr>
            <w:tcW w:w="60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(3,374)</w:t>
            </w:r>
          </w:p>
        </w:tc>
        <w:tc>
          <w:tcPr>
            <w:tcW w:w="34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E2EEF6"/>
            </w:tcBorders>
            <w:shd w:val="clear" w:color="auto" w:fill="E2EEF6"/>
          </w:tcPr>
          <w:p>
            <w:pPr>
              <w:spacing w:after="0"/>
              <w:rPr>
                <w:sz w:val="24"/>
                <w:szCs w:val="24"/>
                <w:color w:val="auto"/>
              </w:rPr>
            </w:pPr>
          </w:p>
        </w:tc>
        <w:tc>
          <w:tcPr>
            <w:tcW w:w="340" w:type="dxa"/>
            <w:vAlign w:val="bottom"/>
            <w:tcBorders>
              <w:bottom w:val="single" w:sz="8" w:color="E2EEF6"/>
            </w:tcBorders>
            <w:shd w:val="clear" w:color="auto" w:fill="E2EEF6"/>
          </w:tcPr>
          <w:p>
            <w:pPr>
              <w:spacing w:after="0"/>
              <w:rPr>
                <w:sz w:val="24"/>
                <w:szCs w:val="24"/>
                <w:color w:val="auto"/>
              </w:rPr>
            </w:pPr>
          </w:p>
        </w:tc>
        <w:tc>
          <w:tcPr>
            <w:tcW w:w="1080" w:type="dxa"/>
            <w:vAlign w:val="bottom"/>
            <w:tcBorders>
              <w:bottom w:val="single" w:sz="8" w:color="E2EEF6"/>
            </w:tcBorders>
            <w:gridSpan w:val="4"/>
            <w:shd w:val="clear" w:color="auto" w:fill="E2EEF6"/>
          </w:tcPr>
          <w:p>
            <w:pPr>
              <w:ind w:left="540"/>
              <w:spacing w:after="0"/>
              <w:rPr>
                <w:sz w:val="20"/>
                <w:szCs w:val="20"/>
                <w:color w:val="auto"/>
              </w:rPr>
            </w:pPr>
            <w:r>
              <w:rPr>
                <w:rFonts w:ascii="Arial" w:cs="Arial" w:eastAsia="Arial" w:hAnsi="Arial"/>
                <w:sz w:val="17"/>
                <w:szCs w:val="17"/>
                <w:color w:val="auto"/>
              </w:rPr>
              <w:t>(972</w:t>
            </w:r>
          </w:p>
        </w:tc>
        <w:tc>
          <w:tcPr>
            <w:tcW w:w="340" w:type="dxa"/>
            <w:vAlign w:val="bottom"/>
            <w:tcBorders>
              <w:bottom w:val="single" w:sz="8" w:color="E2EEF6"/>
            </w:tcBorders>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tcBorders>
              <w:top w:val="single" w:sz="8" w:color="E2EEF6"/>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E2EEF6"/>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Net cash used in investing activities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w w:val="91"/>
              </w:rPr>
              <w:t>(18,185)</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(22,775</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3"/>
        </w:trPr>
        <w:tc>
          <w:tcPr>
            <w:tcW w:w="83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Proceeds from bank creditlines and loan facilities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3,000</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10,000</w:t>
            </w:r>
          </w:p>
        </w:tc>
        <w:tc>
          <w:tcPr>
            <w:tcW w:w="200" w:type="dxa"/>
            <w:vAlign w:val="bottom"/>
            <w:shd w:val="clear" w:color="auto" w:fill="E2EEF6"/>
          </w:tcPr>
          <w:p>
            <w:pPr>
              <w:spacing w:after="0"/>
              <w:rPr>
                <w:sz w:val="22"/>
                <w:szCs w:val="22"/>
                <w:color w:val="auto"/>
              </w:rPr>
            </w:pPr>
          </w:p>
        </w:tc>
        <w:tc>
          <w:tcPr>
            <w:tcW w:w="140" w:type="dxa"/>
            <w:vAlign w:val="bottom"/>
            <w:shd w:val="clear" w:color="auto" w:fill="E2EEF6"/>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color w:val="auto"/>
              </w:rPr>
              <w:t>Proceeds from exercise of share options</w:t>
            </w:r>
          </w:p>
        </w:tc>
        <w:tc>
          <w:tcPr>
            <w:tcW w:w="600" w:type="dxa"/>
            <w:vAlign w:val="bottom"/>
          </w:tcPr>
          <w:p>
            <w:pPr>
              <w:spacing w:after="0"/>
              <w:rPr>
                <w:sz w:val="20"/>
                <w:szCs w:val="20"/>
                <w:color w:val="auto"/>
              </w:rPr>
            </w:pPr>
            <w:r>
              <w:rPr>
                <w:rFonts w:ascii="Arial" w:cs="Arial" w:eastAsia="Arial" w:hAnsi="Arial"/>
                <w:sz w:val="17"/>
                <w:szCs w:val="17"/>
                <w:color w:val="auto"/>
              </w:rPr>
              <w:t>1,879</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rPr>
              <w:t>488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Share issuance costs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(22)</w:t>
            </w: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340" w:type="dxa"/>
            <w:vAlign w:val="bottom"/>
            <w:shd w:val="clear" w:color="auto" w:fill="E2EEF6"/>
          </w:tcPr>
          <w:p>
            <w:pPr>
              <w:spacing w:after="0"/>
              <w:rPr>
                <w:sz w:val="22"/>
                <w:szCs w:val="22"/>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rPr>
              <w:t>(168</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Repayment of other liabilities</w:t>
            </w: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(83)</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(152</w:t>
            </w:r>
          </w:p>
        </w:tc>
        <w:tc>
          <w:tcPr>
            <w:tcW w:w="200" w:type="dxa"/>
            <w:vAlign w:val="bottom"/>
            <w:tcBorders>
              <w:bottom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color w:val="auto"/>
              </w:rPr>
              <w:t>Net cash provided by financing activities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4,774</w:t>
            </w:r>
          </w:p>
        </w:tc>
        <w:tc>
          <w:tcPr>
            <w:tcW w:w="34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340" w:type="dxa"/>
            <w:vAlign w:val="bottom"/>
            <w:shd w:val="clear" w:color="auto" w:fill="E2EEF6"/>
          </w:tcPr>
          <w:p>
            <w:pPr>
              <w:spacing w:after="0"/>
              <w:rPr>
                <w:sz w:val="21"/>
                <w:szCs w:val="21"/>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9"/>
              </w:rPr>
              <w:t>10,168</w:t>
            </w:r>
          </w:p>
        </w:tc>
        <w:tc>
          <w:tcPr>
            <w:tcW w:w="200" w:type="dxa"/>
            <w:vAlign w:val="bottom"/>
            <w:shd w:val="clear" w:color="auto" w:fill="E2EEF6"/>
          </w:tcPr>
          <w:p>
            <w:pPr>
              <w:spacing w:after="0"/>
              <w:rPr>
                <w:sz w:val="21"/>
                <w:szCs w:val="21"/>
                <w:color w:val="auto"/>
              </w:rPr>
            </w:pPr>
          </w:p>
        </w:tc>
        <w:tc>
          <w:tcPr>
            <w:tcW w:w="140" w:type="dxa"/>
            <w:vAlign w:val="bottom"/>
            <w:shd w:val="clear" w:color="auto" w:fill="E2EEF6"/>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Effect of exchange rate movements on cash</w:t>
            </w: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(1,001)</w:t>
            </w: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907</w:t>
            </w:r>
          </w:p>
        </w:tc>
        <w:tc>
          <w:tcPr>
            <w:tcW w:w="2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0" w:type="dxa"/>
            <w:vAlign w:val="bottom"/>
          </w:tcPr>
          <w:p>
            <w:pPr>
              <w:spacing w:after="0"/>
              <w:rPr>
                <w:sz w:val="24"/>
                <w:szCs w:val="24"/>
                <w:color w:val="auto"/>
              </w:rPr>
            </w:pPr>
          </w:p>
        </w:tc>
        <w:tc>
          <w:tcPr>
            <w:tcW w:w="836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Net increase/(decrease) in cash and cash equivalents</w:t>
            </w:r>
          </w:p>
        </w:tc>
        <w:tc>
          <w:tcPr>
            <w:tcW w:w="600" w:type="dxa"/>
            <w:vAlign w:val="bottom"/>
            <w:shd w:val="clear" w:color="auto" w:fill="E2EEF6"/>
          </w:tcPr>
          <w:p>
            <w:pPr>
              <w:spacing w:after="0"/>
              <w:rPr>
                <w:sz w:val="20"/>
                <w:szCs w:val="20"/>
                <w:color w:val="auto"/>
              </w:rPr>
            </w:pPr>
            <w:r>
              <w:rPr>
                <w:rFonts w:ascii="Arial" w:cs="Arial" w:eastAsia="Arial" w:hAnsi="Arial"/>
                <w:sz w:val="17"/>
                <w:szCs w:val="17"/>
                <w:color w:val="auto"/>
              </w:rPr>
              <w:t>89</w:t>
            </w:r>
          </w:p>
        </w:tc>
        <w:tc>
          <w:tcPr>
            <w:tcW w:w="340" w:type="dxa"/>
            <w:vAlign w:val="bottom"/>
            <w:shd w:val="clear" w:color="auto" w:fill="E2EEF6"/>
          </w:tcPr>
          <w:p>
            <w:pPr>
              <w:spacing w:after="0"/>
              <w:rPr>
                <w:sz w:val="24"/>
                <w:szCs w:val="24"/>
                <w:color w:val="auto"/>
              </w:rPr>
            </w:pPr>
          </w:p>
        </w:tc>
        <w:tc>
          <w:tcPr>
            <w:tcW w:w="340" w:type="dxa"/>
            <w:vAlign w:val="bottom"/>
            <w:shd w:val="clear" w:color="auto" w:fill="E2EEF6"/>
          </w:tcPr>
          <w:p>
            <w:pPr>
              <w:spacing w:after="0"/>
              <w:rPr>
                <w:sz w:val="24"/>
                <w:szCs w:val="24"/>
                <w:color w:val="auto"/>
              </w:rPr>
            </w:pPr>
          </w:p>
        </w:tc>
        <w:tc>
          <w:tcPr>
            <w:tcW w:w="340" w:type="dxa"/>
            <w:vAlign w:val="bottom"/>
            <w:shd w:val="clear" w:color="auto" w:fill="E2EEF6"/>
          </w:tcPr>
          <w:p>
            <w:pPr>
              <w:spacing w:after="0"/>
              <w:rPr>
                <w:sz w:val="24"/>
                <w:szCs w:val="24"/>
                <w:color w:val="auto"/>
              </w:rPr>
            </w:pPr>
          </w:p>
        </w:tc>
        <w:tc>
          <w:tcPr>
            <w:tcW w:w="1080" w:type="dxa"/>
            <w:vAlign w:val="bottom"/>
            <w:gridSpan w:val="4"/>
            <w:shd w:val="clear" w:color="auto" w:fill="E2EEF6"/>
          </w:tcPr>
          <w:p>
            <w:pPr>
              <w:ind w:left="540"/>
              <w:spacing w:after="0"/>
              <w:rPr>
                <w:sz w:val="20"/>
                <w:szCs w:val="20"/>
                <w:color w:val="auto"/>
              </w:rPr>
            </w:pPr>
            <w:r>
              <w:rPr>
                <w:rFonts w:ascii="Arial" w:cs="Arial" w:eastAsia="Arial" w:hAnsi="Arial"/>
                <w:sz w:val="17"/>
                <w:szCs w:val="17"/>
                <w:color w:val="auto"/>
                <w:w w:val="90"/>
              </w:rPr>
              <w:t>(13,703</w:t>
            </w:r>
          </w:p>
        </w:tc>
        <w:tc>
          <w:tcPr>
            <w:tcW w:w="34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5"/>
        </w:trPr>
        <w:tc>
          <w:tcPr>
            <w:tcW w:w="8380" w:type="dxa"/>
            <w:vAlign w:val="bottom"/>
            <w:gridSpan w:val="2"/>
          </w:tcPr>
          <w:p>
            <w:pPr>
              <w:spacing w:after="0"/>
              <w:rPr>
                <w:sz w:val="20"/>
                <w:szCs w:val="20"/>
                <w:color w:val="auto"/>
              </w:rPr>
            </w:pPr>
            <w:r>
              <w:rPr>
                <w:rFonts w:ascii="Arial" w:cs="Arial" w:eastAsia="Arial" w:hAnsi="Arial"/>
                <w:sz w:val="17"/>
                <w:szCs w:val="17"/>
                <w:color w:val="auto"/>
              </w:rPr>
              <w:t>Cash and cash equivalents at beginning of period</w:t>
            </w:r>
          </w:p>
        </w:tc>
        <w:tc>
          <w:tcPr>
            <w:tcW w:w="600" w:type="dxa"/>
            <w:vAlign w:val="bottom"/>
          </w:tcPr>
          <w:p>
            <w:pPr>
              <w:spacing w:after="0"/>
              <w:rPr>
                <w:sz w:val="20"/>
                <w:szCs w:val="20"/>
                <w:color w:val="auto"/>
              </w:rPr>
            </w:pPr>
            <w:r>
              <w:rPr>
                <w:rFonts w:ascii="Arial" w:cs="Arial" w:eastAsia="Arial" w:hAnsi="Arial"/>
                <w:sz w:val="17"/>
                <w:szCs w:val="17"/>
                <w:color w:val="auto"/>
              </w:rPr>
              <w:t>56,341</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4"/>
          </w:tcPr>
          <w:p>
            <w:pPr>
              <w:ind w:left="540"/>
              <w:spacing w:after="0"/>
              <w:rPr>
                <w:sz w:val="20"/>
                <w:szCs w:val="20"/>
                <w:color w:val="auto"/>
              </w:rPr>
            </w:pPr>
            <w:r>
              <w:rPr>
                <w:rFonts w:ascii="Arial" w:cs="Arial" w:eastAsia="Arial" w:hAnsi="Arial"/>
                <w:sz w:val="17"/>
                <w:szCs w:val="17"/>
                <w:color w:val="auto"/>
                <w:w w:val="99"/>
              </w:rPr>
              <w:t>55,678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60" w:type="dxa"/>
            <w:vAlign w:val="bottom"/>
            <w:shd w:val="clear" w:color="auto" w:fill="E2EEF6"/>
          </w:tcPr>
          <w:p>
            <w:pPr>
              <w:spacing w:after="0"/>
              <w:rPr>
                <w:sz w:val="19"/>
                <w:szCs w:val="19"/>
                <w:color w:val="auto"/>
              </w:rPr>
            </w:pPr>
          </w:p>
        </w:tc>
        <w:tc>
          <w:tcPr>
            <w:tcW w:w="60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340" w:type="dxa"/>
            <w:vAlign w:val="bottom"/>
            <w:tcBorders>
              <w:top w:val="single" w:sz="8" w:color="auto"/>
            </w:tcBorders>
            <w:shd w:val="clear" w:color="auto" w:fill="E2EEF6"/>
          </w:tcPr>
          <w:p>
            <w:pPr>
              <w:spacing w:after="0"/>
              <w:rPr>
                <w:sz w:val="19"/>
                <w:szCs w:val="19"/>
                <w:color w:val="auto"/>
              </w:rPr>
            </w:pPr>
          </w:p>
        </w:tc>
        <w:tc>
          <w:tcPr>
            <w:tcW w:w="420" w:type="dxa"/>
            <w:vAlign w:val="bottom"/>
            <w:tcBorders>
              <w:top w:val="single" w:sz="8" w:color="auto"/>
            </w:tcBorders>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140" w:type="dxa"/>
            <w:vAlign w:val="bottom"/>
            <w:tcBorders>
              <w:top w:val="single" w:sz="8" w:color="auto"/>
            </w:tcBorders>
            <w:shd w:val="clear" w:color="auto" w:fill="E2EEF6"/>
          </w:tcPr>
          <w:p>
            <w:pPr>
              <w:spacing w:after="0"/>
              <w:rPr>
                <w:sz w:val="19"/>
                <w:szCs w:val="19"/>
                <w:color w:val="auto"/>
              </w:rPr>
            </w:pPr>
          </w:p>
        </w:tc>
        <w:tc>
          <w:tcPr>
            <w:tcW w:w="400" w:type="dxa"/>
            <w:vAlign w:val="bottom"/>
            <w:tcBorders>
              <w:top w:val="single" w:sz="8" w:color="auto"/>
            </w:tcBorders>
            <w:shd w:val="clear" w:color="auto" w:fill="E2EEF6"/>
          </w:tcPr>
          <w:p>
            <w:pPr>
              <w:spacing w:after="0"/>
              <w:rPr>
                <w:sz w:val="19"/>
                <w:szCs w:val="19"/>
                <w:color w:val="auto"/>
              </w:rPr>
            </w:pPr>
          </w:p>
        </w:tc>
        <w:tc>
          <w:tcPr>
            <w:tcW w:w="200" w:type="dxa"/>
            <w:vAlign w:val="bottom"/>
            <w:tcBorders>
              <w:top w:val="single" w:sz="8" w:color="auto"/>
            </w:tcBorders>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380" w:type="dxa"/>
            <w:vAlign w:val="bottom"/>
            <w:gridSpan w:val="2"/>
          </w:tcPr>
          <w:p>
            <w:pPr>
              <w:spacing w:after="0"/>
              <w:rPr>
                <w:sz w:val="20"/>
                <w:szCs w:val="20"/>
                <w:color w:val="auto"/>
              </w:rPr>
            </w:pPr>
            <w:r>
              <w:rPr>
                <w:rFonts w:ascii="Arial" w:cs="Arial" w:eastAsia="Arial" w:hAnsi="Arial"/>
                <w:sz w:val="17"/>
                <w:szCs w:val="17"/>
                <w:b w:val="1"/>
                <w:bCs w:val="1"/>
                <w:color w:val="auto"/>
              </w:rPr>
              <w:t>Cash and cash equivalents at end of period</w:t>
            </w:r>
          </w:p>
        </w:tc>
        <w:tc>
          <w:tcPr>
            <w:tcW w:w="600" w:type="dxa"/>
            <w:vAlign w:val="bottom"/>
          </w:tcPr>
          <w:p>
            <w:pPr>
              <w:spacing w:after="0"/>
              <w:rPr>
                <w:sz w:val="20"/>
                <w:szCs w:val="20"/>
                <w:color w:val="auto"/>
              </w:rPr>
            </w:pPr>
            <w:r>
              <w:rPr>
                <w:rFonts w:ascii="Arial" w:cs="Arial" w:eastAsia="Arial" w:hAnsi="Arial"/>
                <w:sz w:val="17"/>
                <w:szCs w:val="17"/>
                <w:color w:val="auto"/>
                <w:w w:val="94"/>
              </w:rPr>
              <w:t>$56,430</w:t>
            </w: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gridSpan w:val="4"/>
          </w:tcPr>
          <w:p>
            <w:pPr>
              <w:ind w:left="420"/>
              <w:spacing w:after="0"/>
              <w:rPr>
                <w:sz w:val="20"/>
                <w:szCs w:val="20"/>
                <w:color w:val="auto"/>
              </w:rPr>
            </w:pPr>
            <w:r>
              <w:rPr>
                <w:rFonts w:ascii="Arial" w:cs="Arial" w:eastAsia="Arial" w:hAnsi="Arial"/>
                <w:sz w:val="17"/>
                <w:szCs w:val="17"/>
                <w:color w:val="auto"/>
                <w:w w:val="96"/>
              </w:rPr>
              <w:t>$ 41,975</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restart"/>
          </w:tcPr>
          <w:p>
            <w:pPr>
              <w:spacing w:after="0"/>
              <w:rPr>
                <w:sz w:val="18"/>
                <w:szCs w:val="18"/>
                <w:color w:val="auto"/>
              </w:rPr>
            </w:pPr>
          </w:p>
        </w:tc>
        <w:tc>
          <w:tcPr>
            <w:tcW w:w="8360" w:type="dxa"/>
            <w:vAlign w:val="bottom"/>
            <w:shd w:val="clear" w:color="auto" w:fill="E2EEF6"/>
          </w:tcPr>
          <w:p>
            <w:pPr>
              <w:spacing w:after="0"/>
              <w:rPr>
                <w:sz w:val="18"/>
                <w:szCs w:val="18"/>
                <w:color w:val="auto"/>
              </w:rPr>
            </w:pPr>
          </w:p>
        </w:tc>
        <w:tc>
          <w:tcPr>
            <w:tcW w:w="60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3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20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4"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SHAREHOLDERS' EQUITY AND COMPREHENSIVE INCOME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7"/>
          </w:tcPr>
          <w:p>
            <w:pPr>
              <w:jc w:val="center"/>
              <w:ind w:left="2"/>
              <w:spacing w:after="0"/>
              <w:rPr>
                <w:sz w:val="20"/>
                <w:szCs w:val="20"/>
                <w:color w:val="auto"/>
              </w:rPr>
            </w:pPr>
            <w:r>
              <w:rPr>
                <w:rFonts w:ascii="Arial" w:cs="Arial" w:eastAsia="Arial" w:hAnsi="Arial"/>
                <w:sz w:val="16"/>
                <w:szCs w:val="16"/>
                <w:b w:val="1"/>
                <w:bCs w:val="1"/>
                <w:color w:val="auto"/>
                <w:w w:val="87"/>
              </w:rPr>
              <w:t>Accumulated</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18"/>
                <w:szCs w:val="18"/>
                <w:color w:val="auto"/>
              </w:rPr>
            </w:pPr>
          </w:p>
        </w:tc>
        <w:tc>
          <w:tcPr>
            <w:tcW w:w="88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3"/>
              </w:rPr>
              <w:t>Other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3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11"/>
          </w:tcPr>
          <w:p>
            <w:pPr>
              <w:spacing w:after="0"/>
              <w:rPr>
                <w:sz w:val="20"/>
                <w:szCs w:val="20"/>
                <w:color w:val="auto"/>
              </w:rPr>
            </w:pPr>
            <w:r>
              <w:rPr>
                <w:rFonts w:ascii="Arial" w:cs="Arial" w:eastAsia="Arial" w:hAnsi="Arial"/>
                <w:sz w:val="16"/>
                <w:szCs w:val="16"/>
                <w:b w:val="1"/>
                <w:bCs w:val="1"/>
                <w:color w:val="auto"/>
              </w:rPr>
              <w:t>Paid-in   Comprehensive</w:t>
            </w:r>
          </w:p>
        </w:tc>
        <w:tc>
          <w:tcPr>
            <w:tcW w:w="20" w:type="dxa"/>
            <w:vAlign w:val="bottom"/>
          </w:tcPr>
          <w:p>
            <w:pPr>
              <w:spacing w:after="0"/>
              <w:rPr>
                <w:sz w:val="16"/>
                <w:szCs w:val="16"/>
                <w:color w:val="auto"/>
              </w:rPr>
            </w:pPr>
          </w:p>
        </w:tc>
        <w:tc>
          <w:tcPr>
            <w:tcW w:w="940" w:type="dxa"/>
            <w:vAlign w:val="bottom"/>
            <w:gridSpan w:val="5"/>
          </w:tcPr>
          <w:p>
            <w:pPr>
              <w:ind w:left="20"/>
              <w:spacing w:after="0"/>
              <w:rPr>
                <w:sz w:val="20"/>
                <w:szCs w:val="20"/>
                <w:color w:val="auto"/>
              </w:rPr>
            </w:pPr>
            <w:r>
              <w:rPr>
                <w:rFonts w:ascii="Arial" w:cs="Arial" w:eastAsia="Arial" w:hAnsi="Arial"/>
                <w:sz w:val="16"/>
                <w:szCs w:val="16"/>
                <w:b w:val="1"/>
                <w:bCs w:val="1"/>
                <w:color w:val="auto"/>
              </w:rPr>
              <w:t>Retained</w:t>
            </w:r>
          </w:p>
        </w:tc>
        <w:tc>
          <w:tcPr>
            <w:tcW w:w="40" w:type="dxa"/>
            <w:vAlign w:val="bottom"/>
          </w:tcPr>
          <w:p>
            <w:pPr>
              <w:spacing w:after="0"/>
              <w:rPr>
                <w:sz w:val="16"/>
                <w:szCs w:val="16"/>
                <w:color w:val="auto"/>
              </w:rPr>
            </w:pPr>
          </w:p>
        </w:tc>
        <w:tc>
          <w:tcPr>
            <w:tcW w:w="540" w:type="dxa"/>
            <w:vAlign w:val="bottom"/>
            <w:gridSpan w:val="2"/>
          </w:tcPr>
          <w:p>
            <w:pPr>
              <w:ind w:left="20"/>
              <w:spacing w:after="0"/>
              <w:rPr>
                <w:sz w:val="20"/>
                <w:szCs w:val="20"/>
                <w:color w:val="auto"/>
              </w:rPr>
            </w:pPr>
            <w:r>
              <w:rPr>
                <w:rFonts w:ascii="Arial" w:cs="Arial" w:eastAsia="Arial" w:hAnsi="Arial"/>
                <w:sz w:val="16"/>
                <w:szCs w:val="16"/>
                <w:b w:val="1"/>
                <w:bCs w:val="1"/>
                <w:color w:val="auto"/>
                <w:w w:val="93"/>
              </w:rPr>
              <w:t>Merger</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440"/>
              <w:spacing w:after="0" w:line="169" w:lineRule="exact"/>
              <w:rPr>
                <w:sz w:val="20"/>
                <w:szCs w:val="20"/>
                <w:color w:val="auto"/>
              </w:rPr>
            </w:pPr>
            <w:r>
              <w:rPr>
                <w:rFonts w:ascii="Arial" w:cs="Arial" w:eastAsia="Arial" w:hAnsi="Arial"/>
                <w:sz w:val="16"/>
                <w:szCs w:val="16"/>
                <w:b w:val="1"/>
                <w:bCs w:val="1"/>
                <w:color w:val="auto"/>
                <w:w w:val="78"/>
              </w:rPr>
              <w:t>Shares</w:t>
            </w:r>
          </w:p>
        </w:tc>
        <w:tc>
          <w:tcPr>
            <w:tcW w:w="580" w:type="dxa"/>
            <w:vAlign w:val="bottom"/>
            <w:gridSpan w:val="4"/>
          </w:tcPr>
          <w:p>
            <w:pPr>
              <w:spacing w:after="0" w:line="169" w:lineRule="exact"/>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4"/>
                <w:szCs w:val="14"/>
                <w:color w:val="auto"/>
              </w:rPr>
            </w:pPr>
          </w:p>
        </w:tc>
        <w:tc>
          <w:tcPr>
            <w:tcW w:w="1000" w:type="dxa"/>
            <w:vAlign w:val="bottom"/>
            <w:gridSpan w:val="6"/>
          </w:tcPr>
          <w:p>
            <w:pPr>
              <w:spacing w:after="0" w:line="169" w:lineRule="exact"/>
              <w:rPr>
                <w:sz w:val="20"/>
                <w:szCs w:val="20"/>
                <w:color w:val="auto"/>
              </w:rPr>
            </w:pPr>
            <w:r>
              <w:rPr>
                <w:rFonts w:ascii="Arial" w:cs="Arial" w:eastAsia="Arial" w:hAnsi="Arial"/>
                <w:sz w:val="16"/>
                <w:szCs w:val="16"/>
                <w:b w:val="1"/>
                <w:bCs w:val="1"/>
                <w:color w:val="auto"/>
              </w:rPr>
              <w:t>Capital</w:t>
            </w:r>
          </w:p>
        </w:tc>
        <w:tc>
          <w:tcPr>
            <w:tcW w:w="920" w:type="dxa"/>
            <w:vAlign w:val="bottom"/>
            <w:gridSpan w:val="5"/>
          </w:tcPr>
          <w:p>
            <w:pPr>
              <w:jc w:val="center"/>
              <w:ind w:right="440"/>
              <w:spacing w:after="0" w:line="169" w:lineRule="exact"/>
              <w:rPr>
                <w:sz w:val="20"/>
                <w:szCs w:val="20"/>
                <w:color w:val="auto"/>
              </w:rPr>
            </w:pPr>
            <w:r>
              <w:rPr>
                <w:rFonts w:ascii="Arial" w:cs="Arial" w:eastAsia="Arial" w:hAnsi="Arial"/>
                <w:sz w:val="16"/>
                <w:szCs w:val="16"/>
                <w:b w:val="1"/>
                <w:bCs w:val="1"/>
                <w:color w:val="auto"/>
                <w:w w:val="85"/>
              </w:rPr>
              <w:t>Income</w:t>
            </w:r>
          </w:p>
        </w:tc>
        <w:tc>
          <w:tcPr>
            <w:tcW w:w="960" w:type="dxa"/>
            <w:vAlign w:val="bottom"/>
            <w:gridSpan w:val="6"/>
          </w:tcPr>
          <w:p>
            <w:pPr>
              <w:ind w:left="20"/>
              <w:spacing w:after="0" w:line="169" w:lineRule="exact"/>
              <w:rPr>
                <w:sz w:val="20"/>
                <w:szCs w:val="20"/>
                <w:color w:val="auto"/>
              </w:rPr>
            </w:pPr>
            <w:r>
              <w:rPr>
                <w:rFonts w:ascii="Arial" w:cs="Arial" w:eastAsia="Arial" w:hAnsi="Arial"/>
                <w:sz w:val="16"/>
                <w:szCs w:val="16"/>
                <w:b w:val="1"/>
                <w:bCs w:val="1"/>
                <w:color w:val="auto"/>
              </w:rPr>
              <w:t>Earnings</w:t>
            </w:r>
          </w:p>
        </w:tc>
        <w:tc>
          <w:tcPr>
            <w:tcW w:w="40" w:type="dxa"/>
            <w:vAlign w:val="bottom"/>
          </w:tcPr>
          <w:p>
            <w:pPr>
              <w:spacing w:after="0"/>
              <w:rPr>
                <w:sz w:val="14"/>
                <w:szCs w:val="14"/>
                <w:color w:val="auto"/>
              </w:rPr>
            </w:pPr>
          </w:p>
        </w:tc>
        <w:tc>
          <w:tcPr>
            <w:tcW w:w="54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w w:val="83"/>
              </w:rPr>
              <w:t>Reserve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right"/>
              <w:ind w:right="380"/>
              <w:spacing w:after="0" w:line="169" w:lineRule="exact"/>
              <w:rPr>
                <w:sz w:val="20"/>
                <w:szCs w:val="20"/>
                <w:color w:val="auto"/>
              </w:rPr>
            </w:pPr>
            <w:r>
              <w:rPr>
                <w:rFonts w:ascii="Arial" w:cs="Arial" w:eastAsia="Arial" w:hAnsi="Arial"/>
                <w:sz w:val="16"/>
                <w:szCs w:val="16"/>
                <w:b w:val="1"/>
                <w:bCs w:val="1"/>
                <w:color w:val="auto"/>
                <w:w w:val="99"/>
              </w:rPr>
              <w:t>Total</w:t>
            </w:r>
          </w:p>
        </w:tc>
      </w:tr>
      <w:tr>
        <w:trPr>
          <w:trHeight w:val="20"/>
        </w:trPr>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3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gridSpan w:val="17"/>
          </w:tcPr>
          <w:p>
            <w:pPr>
              <w:ind w:left="20"/>
              <w:spacing w:after="0"/>
              <w:rPr>
                <w:sz w:val="20"/>
                <w:szCs w:val="20"/>
                <w:color w:val="auto"/>
              </w:rPr>
            </w:pPr>
            <w:r>
              <w:rPr>
                <w:rFonts w:ascii="Arial" w:cs="Arial" w:eastAsia="Arial" w:hAnsi="Arial"/>
                <w:sz w:val="16"/>
                <w:szCs w:val="16"/>
                <w:b w:val="1"/>
                <w:bCs w:val="1"/>
                <w:color w:val="auto"/>
                <w:w w:val="91"/>
              </w:rPr>
              <w:t>(dollars in thousands, except share data)</w:t>
            </w: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9"/>
        </w:trPr>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b w:val="1"/>
                <w:bCs w:val="1"/>
                <w:color w:val="auto"/>
              </w:rPr>
              <w:t>Balance at May 31, 2005</w:t>
            </w:r>
          </w:p>
        </w:tc>
        <w:tc>
          <w:tcPr>
            <w:tcW w:w="2220" w:type="dxa"/>
            <w:vAlign w:val="bottom"/>
            <w:gridSpan w:val="4"/>
            <w:shd w:val="clear" w:color="auto" w:fill="E2EEF6"/>
          </w:tcPr>
          <w:p>
            <w:pPr>
              <w:jc w:val="right"/>
              <w:ind w:right="140"/>
              <w:spacing w:after="0"/>
              <w:rPr>
                <w:sz w:val="20"/>
                <w:szCs w:val="20"/>
                <w:color w:val="auto"/>
              </w:rPr>
            </w:pPr>
            <w:r>
              <w:rPr>
                <w:rFonts w:ascii="Arial" w:cs="Arial" w:eastAsia="Arial" w:hAnsi="Arial"/>
                <w:sz w:val="17"/>
                <w:szCs w:val="17"/>
                <w:color w:val="auto"/>
              </w:rPr>
              <w:t>13,899,096</w:t>
            </w:r>
          </w:p>
        </w:tc>
        <w:tc>
          <w:tcPr>
            <w:tcW w:w="80" w:type="dxa"/>
            <w:vAlign w:val="bottom"/>
            <w:shd w:val="clear" w:color="auto" w:fill="E2EEF6"/>
          </w:tcPr>
          <w:p>
            <w:pPr>
              <w:spacing w:after="0"/>
              <w:rPr>
                <w:sz w:val="20"/>
                <w:szCs w:val="20"/>
                <w:color w:val="auto"/>
              </w:rPr>
            </w:pPr>
          </w:p>
        </w:tc>
        <w:tc>
          <w:tcPr>
            <w:tcW w:w="460" w:type="dxa"/>
            <w:vAlign w:val="bottom"/>
            <w:gridSpan w:val="2"/>
            <w:shd w:val="clear" w:color="auto" w:fill="E2EEF6"/>
          </w:tcPr>
          <w:p>
            <w:pPr>
              <w:ind w:left="120"/>
              <w:spacing w:after="0"/>
              <w:rPr>
                <w:sz w:val="20"/>
                <w:szCs w:val="20"/>
                <w:color w:val="auto"/>
              </w:rPr>
            </w:pPr>
            <w:r>
              <w:rPr>
                <w:rFonts w:ascii="Arial" w:cs="Arial" w:eastAsia="Arial" w:hAnsi="Arial"/>
                <w:sz w:val="17"/>
                <w:szCs w:val="17"/>
                <w:color w:val="auto"/>
                <w:w w:val="84"/>
              </w:rPr>
              <w:t>$985</w:t>
            </w:r>
          </w:p>
        </w:tc>
        <w:tc>
          <w:tcPr>
            <w:tcW w:w="4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780" w:type="dxa"/>
            <w:vAlign w:val="bottom"/>
            <w:gridSpan w:val="3"/>
            <w:shd w:val="clear" w:color="auto" w:fill="E2EEF6"/>
          </w:tcPr>
          <w:p>
            <w:pPr>
              <w:spacing w:after="0"/>
              <w:rPr>
                <w:sz w:val="20"/>
                <w:szCs w:val="20"/>
                <w:color w:val="auto"/>
              </w:rPr>
            </w:pPr>
            <w:r>
              <w:rPr>
                <w:rFonts w:ascii="Arial" w:cs="Arial" w:eastAsia="Arial" w:hAnsi="Arial"/>
                <w:sz w:val="17"/>
                <w:szCs w:val="17"/>
                <w:color w:val="auto"/>
              </w:rPr>
              <w:t>$114,447</w:t>
            </w:r>
          </w:p>
        </w:tc>
        <w:tc>
          <w:tcPr>
            <w:tcW w:w="80" w:type="dxa"/>
            <w:vAlign w:val="bottom"/>
            <w:shd w:val="clear" w:color="auto" w:fill="E2EEF6"/>
          </w:tcPr>
          <w:p>
            <w:pPr>
              <w:spacing w:after="0"/>
              <w:rPr>
                <w:sz w:val="20"/>
                <w:szCs w:val="20"/>
                <w:color w:val="auto"/>
              </w:rPr>
            </w:pPr>
          </w:p>
        </w:tc>
        <w:tc>
          <w:tcPr>
            <w:tcW w:w="860" w:type="dxa"/>
            <w:vAlign w:val="bottom"/>
            <w:gridSpan w:val="4"/>
            <w:shd w:val="clear" w:color="auto" w:fill="E2EEF6"/>
          </w:tcPr>
          <w:p>
            <w:pPr>
              <w:ind w:left="40"/>
              <w:spacing w:after="0"/>
              <w:rPr>
                <w:sz w:val="20"/>
                <w:szCs w:val="20"/>
                <w:color w:val="auto"/>
              </w:rPr>
            </w:pPr>
            <w:r>
              <w:rPr>
                <w:rFonts w:ascii="Arial" w:cs="Arial" w:eastAsia="Arial" w:hAnsi="Arial"/>
                <w:sz w:val="17"/>
                <w:szCs w:val="17"/>
                <w:color w:val="auto"/>
              </w:rPr>
              <w:t>$11,229</w:t>
            </w:r>
          </w:p>
        </w:tc>
        <w:tc>
          <w:tcPr>
            <w:tcW w:w="60" w:type="dxa"/>
            <w:vAlign w:val="bottom"/>
            <w:shd w:val="clear" w:color="auto" w:fill="E2EEF6"/>
          </w:tcPr>
          <w:p>
            <w:pPr>
              <w:spacing w:after="0"/>
              <w:rPr>
                <w:sz w:val="20"/>
                <w:szCs w:val="20"/>
                <w:color w:val="auto"/>
              </w:rPr>
            </w:pPr>
          </w:p>
        </w:tc>
        <w:tc>
          <w:tcPr>
            <w:tcW w:w="840" w:type="dxa"/>
            <w:vAlign w:val="bottom"/>
            <w:gridSpan w:val="5"/>
            <w:shd w:val="clear" w:color="auto" w:fill="E2EEF6"/>
          </w:tcPr>
          <w:p>
            <w:pPr>
              <w:ind w:left="40"/>
              <w:spacing w:after="0"/>
              <w:rPr>
                <w:sz w:val="20"/>
                <w:szCs w:val="20"/>
                <w:color w:val="auto"/>
              </w:rPr>
            </w:pPr>
            <w:r>
              <w:rPr>
                <w:rFonts w:ascii="Arial" w:cs="Arial" w:eastAsia="Arial" w:hAnsi="Arial"/>
                <w:sz w:val="17"/>
                <w:szCs w:val="17"/>
                <w:color w:val="auto"/>
              </w:rPr>
              <w:t>$106,358</w:t>
            </w:r>
          </w:p>
        </w:tc>
        <w:tc>
          <w:tcPr>
            <w:tcW w:w="120" w:type="dxa"/>
            <w:vAlign w:val="bottom"/>
            <w:shd w:val="clear" w:color="auto" w:fill="E2EEF6"/>
          </w:tcPr>
          <w:p>
            <w:pPr>
              <w:spacing w:after="0"/>
              <w:rPr>
                <w:sz w:val="20"/>
                <w:szCs w:val="20"/>
                <w:color w:val="auto"/>
              </w:rPr>
            </w:pPr>
          </w:p>
        </w:tc>
        <w:tc>
          <w:tcPr>
            <w:tcW w:w="560" w:type="dxa"/>
            <w:vAlign w:val="bottom"/>
            <w:gridSpan w:val="2"/>
            <w:shd w:val="clear" w:color="auto" w:fill="E2EEF6"/>
          </w:tcPr>
          <w:p>
            <w:pPr>
              <w:spacing w:after="0"/>
              <w:rPr>
                <w:sz w:val="20"/>
                <w:szCs w:val="20"/>
                <w:color w:val="auto"/>
              </w:rPr>
            </w:pPr>
            <w:r>
              <w:rPr>
                <w:rFonts w:ascii="Arial" w:cs="Arial" w:eastAsia="Arial" w:hAnsi="Arial"/>
                <w:sz w:val="17"/>
                <w:szCs w:val="17"/>
                <w:color w:val="auto"/>
              </w:rPr>
              <w:t>$47</w:t>
            </w:r>
          </w:p>
        </w:tc>
        <w:tc>
          <w:tcPr>
            <w:tcW w:w="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820" w:type="dxa"/>
            <w:vAlign w:val="bottom"/>
            <w:gridSpan w:val="4"/>
            <w:shd w:val="clear" w:color="auto" w:fill="E2EEF6"/>
          </w:tcPr>
          <w:p>
            <w:pPr>
              <w:spacing w:after="0"/>
              <w:rPr>
                <w:sz w:val="20"/>
                <w:szCs w:val="20"/>
                <w:color w:val="auto"/>
              </w:rPr>
            </w:pPr>
            <w:r>
              <w:rPr>
                <w:rFonts w:ascii="Arial" w:cs="Arial" w:eastAsia="Arial" w:hAnsi="Arial"/>
                <w:sz w:val="17"/>
                <w:szCs w:val="17"/>
                <w:color w:val="auto"/>
              </w:rPr>
              <w:t>$233,066</w:t>
            </w:r>
          </w:p>
        </w:tc>
        <w:tc>
          <w:tcPr>
            <w:tcW w:w="120" w:type="dxa"/>
            <w:vAlign w:val="bottom"/>
            <w:shd w:val="clear" w:color="auto" w:fill="E2EEF6"/>
          </w:tcPr>
          <w:p>
            <w:pPr>
              <w:spacing w:after="0"/>
              <w:rPr>
                <w:sz w:val="20"/>
                <w:szCs w:val="20"/>
                <w:color w:val="auto"/>
              </w:rPr>
            </w:pPr>
          </w:p>
        </w:tc>
      </w:tr>
      <w:tr>
        <w:trPr>
          <w:trHeight w:val="233"/>
        </w:trPr>
        <w:tc>
          <w:tcPr>
            <w:tcW w:w="3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Comprehensive Income:</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3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40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26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Net income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13,336</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13,336</w:t>
            </w: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Currency translation adjustment</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(6,300)</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60"/>
              <w:spacing w:after="0"/>
              <w:rPr>
                <w:sz w:val="20"/>
                <w:szCs w:val="20"/>
                <w:color w:val="auto"/>
              </w:rPr>
            </w:pPr>
            <w:r>
              <w:rPr>
                <w:rFonts w:ascii="Arial" w:cs="Arial" w:eastAsia="Arial" w:hAnsi="Arial"/>
                <w:sz w:val="17"/>
                <w:szCs w:val="17"/>
                <w:color w:val="auto"/>
              </w:rPr>
              <w:t>(6,300)</w:t>
            </w: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Total comprehensive income</w:t>
            </w: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7,036</w:t>
            </w:r>
          </w:p>
        </w:tc>
      </w:tr>
      <w:tr>
        <w:trPr>
          <w:trHeight w:val="233"/>
        </w:trPr>
        <w:tc>
          <w:tcPr>
            <w:tcW w:w="3540" w:type="dxa"/>
            <w:vAlign w:val="bottom"/>
            <w:shd w:val="clear" w:color="auto" w:fill="E2EEF6"/>
          </w:tcPr>
          <w:p>
            <w:pPr>
              <w:spacing w:after="0"/>
              <w:rPr>
                <w:sz w:val="20"/>
                <w:szCs w:val="20"/>
                <w:color w:val="auto"/>
              </w:rPr>
            </w:pPr>
            <w:r>
              <w:rPr>
                <w:rFonts w:ascii="Arial" w:cs="Arial" w:eastAsia="Arial" w:hAnsi="Arial"/>
                <w:sz w:val="17"/>
                <w:szCs w:val="17"/>
                <w:color w:val="auto"/>
              </w:rPr>
              <w:t>Share issuance costs</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00" w:type="dxa"/>
            <w:vAlign w:val="bottom"/>
            <w:gridSpan w:val="3"/>
            <w:shd w:val="clear" w:color="auto" w:fill="E2EEF6"/>
          </w:tcPr>
          <w:p>
            <w:pPr>
              <w:jc w:val="right"/>
              <w:ind w:right="20"/>
              <w:spacing w:after="0"/>
              <w:rPr>
                <w:sz w:val="20"/>
                <w:szCs w:val="20"/>
                <w:color w:val="auto"/>
              </w:rPr>
            </w:pPr>
            <w:r>
              <w:rPr>
                <w:rFonts w:ascii="Arial" w:cs="Arial" w:eastAsia="Arial" w:hAnsi="Arial"/>
                <w:sz w:val="17"/>
                <w:szCs w:val="17"/>
                <w:color w:val="auto"/>
              </w:rPr>
              <w:t>(22)</w:t>
            </w: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shd w:val="clear" w:color="auto" w:fill="E2EEF6"/>
          </w:tcPr>
          <w:p>
            <w:pPr>
              <w:spacing w:after="0"/>
              <w:rPr>
                <w:sz w:val="20"/>
                <w:szCs w:val="20"/>
                <w:color w:val="auto"/>
              </w:rPr>
            </w:pPr>
          </w:p>
        </w:tc>
        <w:tc>
          <w:tcPr>
            <w:tcW w:w="5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20" w:type="dxa"/>
            <w:vAlign w:val="bottom"/>
            <w:gridSpan w:val="2"/>
            <w:shd w:val="clear" w:color="auto" w:fill="E2EEF6"/>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60"/>
              <w:spacing w:after="0"/>
              <w:rPr>
                <w:sz w:val="20"/>
                <w:szCs w:val="20"/>
                <w:color w:val="auto"/>
              </w:rPr>
            </w:pPr>
            <w:r>
              <w:rPr>
                <w:rFonts w:ascii="Arial" w:cs="Arial" w:eastAsia="Arial" w:hAnsi="Arial"/>
                <w:sz w:val="17"/>
                <w:szCs w:val="17"/>
                <w:color w:val="auto"/>
              </w:rPr>
              <w:t>(22)</w:t>
            </w:r>
          </w:p>
        </w:tc>
      </w:tr>
      <w:tr>
        <w:trPr>
          <w:trHeight w:val="233"/>
        </w:trPr>
        <w:tc>
          <w:tcPr>
            <w:tcW w:w="3540" w:type="dxa"/>
            <w:vAlign w:val="bottom"/>
          </w:tcPr>
          <w:p>
            <w:pPr>
              <w:spacing w:after="0"/>
              <w:rPr>
                <w:sz w:val="20"/>
                <w:szCs w:val="20"/>
                <w:color w:val="auto"/>
              </w:rPr>
            </w:pPr>
            <w:r>
              <w:rPr>
                <w:rFonts w:ascii="Arial" w:cs="Arial" w:eastAsia="Arial" w:hAnsi="Arial"/>
                <w:sz w:val="17"/>
                <w:szCs w:val="17"/>
                <w:color w:val="auto"/>
              </w:rPr>
              <w:t>Exercise of share options</w:t>
            </w:r>
          </w:p>
        </w:tc>
        <w:tc>
          <w:tcPr>
            <w:tcW w:w="2300" w:type="dxa"/>
            <w:vAlign w:val="bottom"/>
            <w:gridSpan w:val="5"/>
          </w:tcPr>
          <w:p>
            <w:pPr>
              <w:jc w:val="right"/>
              <w:spacing w:after="0"/>
              <w:rPr>
                <w:sz w:val="20"/>
                <w:szCs w:val="20"/>
                <w:color w:val="auto"/>
              </w:rPr>
            </w:pPr>
            <w:r>
              <w:rPr>
                <w:rFonts w:ascii="Arial" w:cs="Arial" w:eastAsia="Arial" w:hAnsi="Arial"/>
                <w:sz w:val="17"/>
                <w:szCs w:val="17"/>
                <w:color w:val="auto"/>
              </w:rPr>
              <w:t>117,916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1,871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1,879</w:t>
            </w:r>
          </w:p>
        </w:tc>
      </w:tr>
      <w:tr>
        <w:trPr>
          <w:trHeight w:val="233"/>
        </w:trPr>
        <w:tc>
          <w:tcPr>
            <w:tcW w:w="3540" w:type="dxa"/>
            <w:vAlign w:val="bottom"/>
            <w:shd w:val="clear" w:color="auto" w:fill="E2EEF6"/>
          </w:tcPr>
          <w:p>
            <w:pPr>
              <w:ind w:left="160"/>
              <w:spacing w:after="0"/>
              <w:rPr>
                <w:sz w:val="20"/>
                <w:szCs w:val="20"/>
                <w:color w:val="auto"/>
              </w:rPr>
            </w:pPr>
            <w:r>
              <w:rPr>
                <w:rFonts w:ascii="Arial" w:cs="Arial" w:eastAsia="Arial" w:hAnsi="Arial"/>
                <w:sz w:val="17"/>
                <w:szCs w:val="17"/>
                <w:color w:val="auto"/>
              </w:rPr>
              <w:t>_________</w:t>
            </w:r>
          </w:p>
        </w:tc>
        <w:tc>
          <w:tcPr>
            <w:tcW w:w="1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440" w:type="dxa"/>
            <w:vAlign w:val="bottom"/>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12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50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w w:val="95"/>
              </w:rPr>
              <w:t>____</w:t>
            </w:r>
          </w:p>
        </w:tc>
        <w:tc>
          <w:tcPr>
            <w:tcW w:w="160" w:type="dxa"/>
            <w:vAlign w:val="bottom"/>
            <w:shd w:val="clear" w:color="auto" w:fill="E2EEF6"/>
          </w:tcPr>
          <w:p>
            <w:pPr>
              <w:spacing w:after="0"/>
              <w:rPr>
                <w:sz w:val="20"/>
                <w:szCs w:val="20"/>
                <w:color w:val="auto"/>
              </w:rPr>
            </w:pPr>
          </w:p>
        </w:tc>
        <w:tc>
          <w:tcPr>
            <w:tcW w:w="620" w:type="dxa"/>
            <w:vAlign w:val="bottom"/>
            <w:gridSpan w:val="2"/>
            <w:shd w:val="clear" w:color="auto" w:fill="E2EEF6"/>
          </w:tcPr>
          <w:p>
            <w:pPr>
              <w:jc w:val="right"/>
              <w:spacing w:after="0"/>
              <w:rPr>
                <w:sz w:val="20"/>
                <w:szCs w:val="20"/>
                <w:color w:val="auto"/>
              </w:rPr>
            </w:pPr>
            <w:r>
              <w:rPr>
                <w:rFonts w:ascii="Arial" w:cs="Arial" w:eastAsia="Arial" w:hAnsi="Arial"/>
                <w:sz w:val="17"/>
                <w:szCs w:val="17"/>
                <w:color w:val="auto"/>
              </w:rPr>
              <w:t>______</w:t>
            </w:r>
          </w:p>
        </w:tc>
        <w:tc>
          <w:tcPr>
            <w:tcW w:w="80" w:type="dxa"/>
            <w:vAlign w:val="bottom"/>
            <w:shd w:val="clear" w:color="auto" w:fill="E2EEF6"/>
          </w:tcPr>
          <w:p>
            <w:pPr>
              <w:spacing w:after="0"/>
              <w:rPr>
                <w:sz w:val="20"/>
                <w:szCs w:val="20"/>
                <w:color w:val="auto"/>
              </w:rPr>
            </w:pPr>
          </w:p>
        </w:tc>
        <w:tc>
          <w:tcPr>
            <w:tcW w:w="4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60"/>
              <w:spacing w:after="0"/>
              <w:rPr>
                <w:sz w:val="20"/>
                <w:szCs w:val="20"/>
                <w:color w:val="auto"/>
              </w:rPr>
            </w:pPr>
            <w:r>
              <w:rPr>
                <w:rFonts w:ascii="Arial" w:cs="Arial" w:eastAsia="Arial" w:hAnsi="Arial"/>
                <w:sz w:val="17"/>
                <w:szCs w:val="17"/>
                <w:color w:val="auto"/>
                <w:w w:val="99"/>
              </w:rPr>
              <w:t>_______</w:t>
            </w:r>
          </w:p>
        </w:tc>
        <w:tc>
          <w:tcPr>
            <w:tcW w:w="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740" w:type="dxa"/>
            <w:vAlign w:val="bottom"/>
            <w:gridSpan w:val="3"/>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c>
          <w:tcPr>
            <w:tcW w:w="900" w:type="dxa"/>
            <w:vAlign w:val="bottom"/>
            <w:gridSpan w:val="5"/>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c>
          <w:tcPr>
            <w:tcW w:w="160" w:type="dxa"/>
            <w:vAlign w:val="bottom"/>
            <w:shd w:val="clear" w:color="auto" w:fill="E2EEF6"/>
          </w:tcPr>
          <w:p>
            <w:pPr>
              <w:spacing w:after="0"/>
              <w:rPr>
                <w:sz w:val="20"/>
                <w:szCs w:val="20"/>
                <w:color w:val="auto"/>
              </w:rPr>
            </w:pPr>
          </w:p>
        </w:tc>
        <w:tc>
          <w:tcPr>
            <w:tcW w:w="780" w:type="dxa"/>
            <w:vAlign w:val="bottom"/>
            <w:gridSpan w:val="4"/>
            <w:shd w:val="clear" w:color="auto" w:fill="E2EEF6"/>
          </w:tcPr>
          <w:p>
            <w:pPr>
              <w:jc w:val="right"/>
              <w:ind w:right="120"/>
              <w:spacing w:after="0"/>
              <w:rPr>
                <w:sz w:val="20"/>
                <w:szCs w:val="20"/>
                <w:color w:val="auto"/>
              </w:rPr>
            </w:pPr>
            <w:r>
              <w:rPr>
                <w:rFonts w:ascii="Arial" w:cs="Arial" w:eastAsia="Arial" w:hAnsi="Arial"/>
                <w:sz w:val="17"/>
                <w:szCs w:val="17"/>
                <w:color w:val="auto"/>
              </w:rPr>
              <w:t>______</w:t>
            </w:r>
          </w:p>
        </w:tc>
      </w:tr>
      <w:tr>
        <w:trPr>
          <w:trHeight w:val="233"/>
        </w:trPr>
        <w:tc>
          <w:tcPr>
            <w:tcW w:w="3540" w:type="dxa"/>
            <w:vAlign w:val="bottom"/>
          </w:tcPr>
          <w:p>
            <w:pPr>
              <w:spacing w:after="0"/>
              <w:rPr>
                <w:sz w:val="20"/>
                <w:szCs w:val="20"/>
                <w:color w:val="auto"/>
              </w:rPr>
            </w:pPr>
            <w:r>
              <w:rPr>
                <w:rFonts w:ascii="Arial" w:cs="Arial" w:eastAsia="Arial" w:hAnsi="Arial"/>
                <w:sz w:val="17"/>
                <w:szCs w:val="17"/>
                <w:b w:val="1"/>
                <w:bCs w:val="1"/>
                <w:color w:val="auto"/>
              </w:rPr>
              <w:t>Balance at November 30, 2005</w:t>
            </w:r>
          </w:p>
        </w:tc>
        <w:tc>
          <w:tcPr>
            <w:tcW w:w="2300" w:type="dxa"/>
            <w:vAlign w:val="bottom"/>
            <w:gridSpan w:val="5"/>
          </w:tcPr>
          <w:p>
            <w:pPr>
              <w:jc w:val="right"/>
              <w:spacing w:after="0"/>
              <w:rPr>
                <w:sz w:val="20"/>
                <w:szCs w:val="20"/>
                <w:color w:val="auto"/>
              </w:rPr>
            </w:pPr>
            <w:r>
              <w:rPr>
                <w:rFonts w:ascii="Arial" w:cs="Arial" w:eastAsia="Arial" w:hAnsi="Arial"/>
                <w:sz w:val="17"/>
                <w:szCs w:val="17"/>
                <w:color w:val="auto"/>
              </w:rPr>
              <w:t>14,017,012</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7"/>
                <w:szCs w:val="17"/>
                <w:color w:val="auto"/>
              </w:rPr>
              <w:t>993</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7"/>
                <w:szCs w:val="17"/>
                <w:color w:val="auto"/>
                <w:w w:val="97"/>
              </w:rPr>
              <w:t>116,296</w:t>
            </w:r>
          </w:p>
        </w:tc>
        <w:tc>
          <w:tcPr>
            <w:tcW w:w="18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60"/>
              <w:spacing w:after="0"/>
              <w:rPr>
                <w:sz w:val="20"/>
                <w:szCs w:val="20"/>
                <w:color w:val="auto"/>
              </w:rPr>
            </w:pPr>
            <w:r>
              <w:rPr>
                <w:rFonts w:ascii="Arial" w:cs="Arial" w:eastAsia="Arial" w:hAnsi="Arial"/>
                <w:sz w:val="17"/>
                <w:szCs w:val="17"/>
                <w:color w:val="auto"/>
              </w:rPr>
              <w:t>4,929</w:t>
            </w:r>
          </w:p>
        </w:tc>
        <w:tc>
          <w:tcPr>
            <w:tcW w:w="220" w:type="dxa"/>
            <w:vAlign w:val="bottom"/>
            <w:gridSpan w:val="3"/>
          </w:tcPr>
          <w:p>
            <w:pPr>
              <w:ind w:left="4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w w:val="97"/>
              </w:rPr>
              <w:t>119,694</w:t>
            </w:r>
          </w:p>
        </w:tc>
        <w:tc>
          <w:tcPr>
            <w:tcW w:w="560" w:type="dxa"/>
            <w:vAlign w:val="bottom"/>
            <w:gridSpan w:val="2"/>
          </w:tcPr>
          <w:p>
            <w:pP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47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241,959</w:t>
            </w:r>
          </w:p>
        </w:tc>
      </w:tr>
      <w:tr>
        <w:trPr>
          <w:trHeight w:val="20"/>
        </w:trPr>
        <w:tc>
          <w:tcPr>
            <w:tcW w:w="3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84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ICON plc</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NOVEMBER 30, 2005</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27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 There has been no significant change in ICON plc’s accounting policies from those outlined in ICON’s annual report on Form 20-F for the year ended May 31, 2005.</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Certain information and footnote disclosure normally included in financial statements prepared in accordance with the United States generally accepted accounting principles have been condensed or omitted pursuant to the rules and regulations of the Securities and Exchange Commission (“SEC”). The condensed consolidated financial statements should be read in conjunction with the accounting policies and notes to the consolidated financial statements included in ICON’s 2005 annual report on Form 20-F. Operating results for the six months ended November 30, 2005 are not necessarily indicative of the results that may be expected for the fiscal period ending December 31, 2005.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Period Acquisitions</w:t>
      </w:r>
    </w:p>
    <w:p>
      <w:pPr>
        <w:spacing w:after="0" w:line="2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January 24, 2003, the Company acquired 100% of the outstanding shares of Medeval Group Limited (“Medeval”), a company based in Manchester, England, for an initial cash consideration of Stg£9.5 million (U.S.$15.5 million), excluding costs of acquisition which amounted to U.S.$1.0 million. Earn-out provisions have been built into the acquisition contract requiring the potential payment of additional deferred consideration up to a maximum of Stg£4.3 million (U.S.$6.9 million) depending on the performance of Medeval over the period to May 31, 2004. Such additional consideration is accounted for as goodwill.</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September 30, 2004, cash consideration of Stg£0.54 million (U.S.$0.97 million) was paid to a number of the former shareholders of Medeval and guaranteed loan notes with a value of Stg£1.08 million (U.S.$1.93 million) were issued to the remaining selling shareholders. At May 31, 2004, Stg£1.37 million (U.S.$2.5 million) of this amount had been provided, therefore an additional Stg£0.253 million (U.S.$0.452 million) was provided in fiscal 2005. These guaranteed loan notes had a repayment date of three years from the date of issue but were exercisable nine months from the date of issue. The guaranteed loan note holders issued redemption notices to the Company, which required the Company to redeem all the guaranteed loan notes on June 30, 2005, in consideration of a cash payment of Stg£1.08 million (U.S.$1.97 million), the total amount of which was accrued for at May 31, 2005.</w:t>
      </w:r>
    </w:p>
    <w:p>
      <w:pPr>
        <w:spacing w:after="0" w:line="2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September 9, 2003, the Company acquired 100% of the outstanding shares of Globomax LLC (“GloboMax”), based in Maryland, USA, for an initial cash consideration of U.S.$10.9 million, excluding costs of acquisition. Earn-out provisions have been built into the acquisition contract requiring the potential payment of additional deferred consideration up to a maximum of U.S.$4.0 million depending on the performance of Globomax over the period from date of acquisition to May 31, 2006. Such potential additional consideration will be accounted for as goodwill. The total amount of goodwill is expected to be tax deductible.</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May 31, 2005, an amount of U.S.$1.4 million was accrued as the first earn-out target in the acquisition contract was reached on this date. This amount of U.S.$1.4 million was paid to the former shareholders GloboMax on August 31, 2005.</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On July 1, 2004, the Company acquired 70% of the common stock of Beacon Biosciences, Inc. (“Beacon”), based in Pennsylvania, USA, for an initial cash consideration of U.S.$9.9 million, excluding costs of acquisition.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845"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6"/>
        </w:trPr>
        <w:tc>
          <w:tcPr>
            <w:tcW w:w="6460" w:type="dxa"/>
            <w:vAlign w:val="bottom"/>
            <w:gridSpan w:val="2"/>
          </w:tcPr>
          <w:p>
            <w:pPr>
              <w:spacing w:after="0"/>
              <w:rPr>
                <w:sz w:val="20"/>
                <w:szCs w:val="20"/>
                <w:color w:val="auto"/>
              </w:rPr>
            </w:pPr>
            <w:r>
              <w:rPr>
                <w:rFonts w:ascii="Arial" w:cs="Arial" w:eastAsia="Arial" w:hAnsi="Arial"/>
                <w:sz w:val="17"/>
                <w:szCs w:val="17"/>
                <w:b w:val="1"/>
                <w:bCs w:val="1"/>
                <w:color w:val="auto"/>
              </w:rPr>
              <w:t>3. Goodwill</w:t>
            </w:r>
          </w:p>
        </w:tc>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540" w:type="dxa"/>
            <w:vAlign w:val="bottom"/>
            <w:gridSpan w:val="6"/>
          </w:tcPr>
          <w:p>
            <w:pPr>
              <w:jc w:val="right"/>
              <w:ind w:right="820"/>
              <w:spacing w:after="0"/>
              <w:rPr>
                <w:sz w:val="20"/>
                <w:szCs w:val="20"/>
                <w:color w:val="auto"/>
              </w:rPr>
            </w:pPr>
            <w:r>
              <w:rPr>
                <w:rFonts w:ascii="Arial" w:cs="Arial" w:eastAsia="Arial" w:hAnsi="Arial"/>
                <w:sz w:val="17"/>
                <w:szCs w:val="17"/>
                <w:b w:val="1"/>
                <w:bCs w:val="1"/>
                <w:color w:val="auto"/>
              </w:rPr>
              <w:t>Six months ended</w:t>
            </w:r>
          </w:p>
        </w:tc>
        <w:tc>
          <w:tcPr>
            <w:tcW w:w="600" w:type="dxa"/>
            <w:vAlign w:val="bottom"/>
          </w:tcPr>
          <w:p>
            <w:pPr>
              <w:spacing w:after="0"/>
              <w:rPr>
                <w:sz w:val="24"/>
                <w:szCs w:val="24"/>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7"/>
                <w:szCs w:val="17"/>
                <w:b w:val="1"/>
                <w:bCs w:val="1"/>
                <w:color w:val="auto"/>
                <w:w w:val="87"/>
              </w:rPr>
              <w:t>Year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0" w:type="dxa"/>
            <w:vAlign w:val="bottom"/>
            <w:gridSpan w:val="4"/>
          </w:tcPr>
          <w:p>
            <w:pPr>
              <w:jc w:val="right"/>
              <w:ind w:right="380"/>
              <w:spacing w:after="0"/>
              <w:rPr>
                <w:sz w:val="20"/>
                <w:szCs w:val="20"/>
                <w:color w:val="auto"/>
              </w:rPr>
            </w:pPr>
            <w:r>
              <w:rPr>
                <w:rFonts w:ascii="Arial" w:cs="Arial" w:eastAsia="Arial" w:hAnsi="Arial"/>
                <w:sz w:val="17"/>
                <w:szCs w:val="17"/>
                <w:b w:val="1"/>
                <w:bCs w:val="1"/>
                <w:color w:val="auto"/>
                <w:w w:val="89"/>
              </w:rPr>
              <w:t>November 30,</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w w:val="91"/>
              </w:rPr>
              <w:t>May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140" w:type="dxa"/>
            <w:vAlign w:val="bottom"/>
            <w:gridSpan w:val="2"/>
          </w:tcPr>
          <w:p>
            <w:pPr>
              <w:spacing w:after="0"/>
              <w:rPr>
                <w:sz w:val="18"/>
                <w:szCs w:val="18"/>
                <w:color w:val="auto"/>
              </w:rPr>
            </w:pPr>
          </w:p>
        </w:tc>
        <w:tc>
          <w:tcPr>
            <w:tcW w:w="680" w:type="dxa"/>
            <w:vAlign w:val="bottom"/>
            <w:tcBorders>
              <w:top w:val="single" w:sz="8" w:color="auto"/>
            </w:tcBorders>
            <w:gridSpan w:val="2"/>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2005</w:t>
            </w:r>
          </w:p>
        </w:tc>
        <w:tc>
          <w:tcPr>
            <w:tcW w:w="38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6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7"/>
                <w:szCs w:val="17"/>
                <w:b w:val="1"/>
                <w:bCs w:val="1"/>
                <w:color w:val="auto"/>
              </w:rPr>
              <w:t>(in thousands)</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vMerge w:val="continue"/>
          </w:tcPr>
          <w:p>
            <w:pPr>
              <w:spacing w:after="0"/>
              <w:rPr>
                <w:sz w:val="20"/>
                <w:szCs w:val="20"/>
                <w:color w:val="auto"/>
              </w:rPr>
            </w:pPr>
          </w:p>
        </w:tc>
        <w:tc>
          <w:tcPr>
            <w:tcW w:w="6440" w:type="dxa"/>
            <w:vAlign w:val="bottom"/>
            <w:shd w:val="clear" w:color="auto" w:fill="E2EEF6"/>
          </w:tcPr>
          <w:p>
            <w:pPr>
              <w:spacing w:after="0"/>
              <w:rPr>
                <w:sz w:val="20"/>
                <w:szCs w:val="20"/>
                <w:color w:val="auto"/>
              </w:rPr>
            </w:pPr>
            <w:r>
              <w:rPr>
                <w:rFonts w:ascii="Arial" w:cs="Arial" w:eastAsia="Arial" w:hAnsi="Arial"/>
                <w:sz w:val="17"/>
                <w:szCs w:val="17"/>
                <w:color w:val="auto"/>
              </w:rPr>
              <w:t>Opening balance</w:t>
            </w:r>
          </w:p>
        </w:tc>
        <w:tc>
          <w:tcPr>
            <w:tcW w:w="3540" w:type="dxa"/>
            <w:vAlign w:val="bottom"/>
            <w:gridSpan w:val="6"/>
            <w:shd w:val="clear" w:color="auto" w:fill="E2EEF6"/>
          </w:tcPr>
          <w:p>
            <w:pPr>
              <w:jc w:val="right"/>
              <w:ind w:right="380"/>
              <w:spacing w:after="0"/>
              <w:rPr>
                <w:sz w:val="20"/>
                <w:szCs w:val="20"/>
                <w:color w:val="auto"/>
              </w:rPr>
            </w:pPr>
            <w:r>
              <w:rPr>
                <w:rFonts w:ascii="Arial" w:cs="Arial" w:eastAsia="Arial" w:hAnsi="Arial"/>
                <w:sz w:val="17"/>
                <w:szCs w:val="17"/>
                <w:color w:val="auto"/>
              </w:rPr>
              <w:t>$67,440</w:t>
            </w:r>
          </w:p>
        </w:tc>
        <w:tc>
          <w:tcPr>
            <w:tcW w:w="14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$64,226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Arising during the year</w:t>
            </w:r>
          </w:p>
        </w:tc>
        <w:tc>
          <w:tcPr>
            <w:tcW w:w="316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7"/>
                <w:szCs w:val="17"/>
                <w:color w:val="auto"/>
              </w:rPr>
              <w:t>8,463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440" w:type="dxa"/>
            <w:vAlign w:val="bottom"/>
            <w:shd w:val="clear" w:color="auto" w:fill="E2EEF6"/>
          </w:tcPr>
          <w:p>
            <w:pPr>
              <w:spacing w:after="0"/>
              <w:rPr>
                <w:sz w:val="20"/>
                <w:szCs w:val="20"/>
                <w:color w:val="auto"/>
              </w:rPr>
            </w:pPr>
            <w:r>
              <w:rPr>
                <w:rFonts w:ascii="Arial" w:cs="Arial" w:eastAsia="Arial" w:hAnsi="Arial"/>
                <w:sz w:val="17"/>
                <w:szCs w:val="17"/>
                <w:color w:val="auto"/>
              </w:rPr>
              <w:t>Arising on earn-out (prior year acquisitions)</w:t>
            </w:r>
          </w:p>
        </w:tc>
        <w:tc>
          <w:tcPr>
            <w:tcW w:w="316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E2EEF6"/>
          </w:tcPr>
          <w:p>
            <w:pPr>
              <w:spacing w:after="0"/>
              <w:rPr>
                <w:sz w:val="21"/>
                <w:szCs w:val="21"/>
                <w:color w:val="auto"/>
              </w:rPr>
            </w:pPr>
          </w:p>
        </w:tc>
        <w:tc>
          <w:tcPr>
            <w:tcW w:w="14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1,856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Goodwill impairment</w:t>
            </w:r>
          </w:p>
        </w:tc>
        <w:tc>
          <w:tcPr>
            <w:tcW w:w="3160" w:type="dxa"/>
            <w:vAlign w:val="bottom"/>
            <w:gridSpan w:val="5"/>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7"/>
                <w:szCs w:val="17"/>
                <w:color w:val="auto"/>
              </w:rPr>
              <w:t>(7,017)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44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Foreign exchange movement</w:t>
            </w:r>
          </w:p>
        </w:tc>
        <w:tc>
          <w:tcPr>
            <w:tcW w:w="3540" w:type="dxa"/>
            <w:vAlign w:val="bottom"/>
            <w:tcBorders>
              <w:bottom w:val="single" w:sz="8" w:color="auto"/>
            </w:tcBorders>
            <w:gridSpan w:val="6"/>
            <w:shd w:val="clear" w:color="auto" w:fill="E2EEF6"/>
          </w:tcPr>
          <w:p>
            <w:pPr>
              <w:jc w:val="right"/>
              <w:ind w:right="380"/>
              <w:spacing w:after="0"/>
              <w:rPr>
                <w:sz w:val="20"/>
                <w:szCs w:val="20"/>
                <w:color w:val="auto"/>
              </w:rPr>
            </w:pPr>
            <w:r>
              <w:rPr>
                <w:rFonts w:ascii="Arial" w:cs="Arial" w:eastAsia="Arial" w:hAnsi="Arial"/>
                <w:sz w:val="17"/>
                <w:szCs w:val="17"/>
                <w:color w:val="auto"/>
              </w:rPr>
              <w:t>(1,677)</w:t>
            </w:r>
          </w:p>
        </w:tc>
        <w:tc>
          <w:tcPr>
            <w:tcW w:w="1420" w:type="dxa"/>
            <w:vAlign w:val="bottom"/>
            <w:tcBorders>
              <w:bottom w:val="single" w:sz="8" w:color="auto"/>
            </w:tcBorders>
            <w:gridSpan w:val="4"/>
            <w:shd w:val="clear" w:color="auto" w:fill="E2EEF6"/>
          </w:tcPr>
          <w:p>
            <w:pPr>
              <w:jc w:val="right"/>
              <w:spacing w:after="0"/>
              <w:rPr>
                <w:sz w:val="20"/>
                <w:szCs w:val="20"/>
                <w:color w:val="auto"/>
              </w:rPr>
            </w:pPr>
            <w:r>
              <w:rPr>
                <w:rFonts w:ascii="Arial" w:cs="Arial" w:eastAsia="Arial" w:hAnsi="Arial"/>
                <w:sz w:val="17"/>
                <w:szCs w:val="17"/>
                <w:color w:val="auto"/>
              </w:rPr>
              <w:t>(88)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6460" w:type="dxa"/>
            <w:vAlign w:val="bottom"/>
            <w:gridSpan w:val="2"/>
          </w:tcPr>
          <w:p>
            <w:pPr>
              <w:spacing w:after="0"/>
              <w:rPr>
                <w:sz w:val="20"/>
                <w:szCs w:val="20"/>
                <w:color w:val="auto"/>
              </w:rPr>
            </w:pPr>
            <w:r>
              <w:rPr>
                <w:rFonts w:ascii="Arial" w:cs="Arial" w:eastAsia="Arial" w:hAnsi="Arial"/>
                <w:sz w:val="17"/>
                <w:szCs w:val="17"/>
                <w:color w:val="auto"/>
              </w:rPr>
              <w:t>Closing balance</w:t>
            </w:r>
          </w:p>
        </w:tc>
        <w:tc>
          <w:tcPr>
            <w:tcW w:w="3540" w:type="dxa"/>
            <w:vAlign w:val="bottom"/>
            <w:gridSpan w:val="6"/>
          </w:tcPr>
          <w:p>
            <w:pPr>
              <w:jc w:val="right"/>
              <w:ind w:right="380"/>
              <w:spacing w:after="0"/>
              <w:rPr>
                <w:sz w:val="20"/>
                <w:szCs w:val="20"/>
                <w:color w:val="auto"/>
              </w:rPr>
            </w:pPr>
            <w:r>
              <w:rPr>
                <w:rFonts w:ascii="Arial" w:cs="Arial" w:eastAsia="Arial" w:hAnsi="Arial"/>
                <w:sz w:val="17"/>
                <w:szCs w:val="17"/>
                <w:color w:val="auto"/>
              </w:rPr>
              <w:t>$65,763</w:t>
            </w:r>
          </w:p>
        </w:tc>
        <w:tc>
          <w:tcPr>
            <w:tcW w:w="1440" w:type="dxa"/>
            <w:vAlign w:val="bottom"/>
            <w:gridSpan w:val="5"/>
          </w:tcPr>
          <w:p>
            <w:pPr>
              <w:jc w:val="right"/>
              <w:ind w:right="20"/>
              <w:spacing w:after="0"/>
              <w:rPr>
                <w:sz w:val="20"/>
                <w:szCs w:val="20"/>
                <w:color w:val="auto"/>
              </w:rPr>
            </w:pPr>
            <w:r>
              <w:rPr>
                <w:rFonts w:ascii="Arial" w:cs="Arial" w:eastAsia="Arial" w:hAnsi="Arial"/>
                <w:sz w:val="17"/>
                <w:szCs w:val="17"/>
                <w:color w:val="auto"/>
              </w:rPr>
              <w:t>$67,440</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6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460" w:type="dxa"/>
            <w:vAlign w:val="bottom"/>
            <w:gridSpan w:val="2"/>
          </w:tcPr>
          <w:p>
            <w:pPr>
              <w:spacing w:after="0"/>
              <w:rPr>
                <w:sz w:val="20"/>
                <w:szCs w:val="20"/>
                <w:color w:val="auto"/>
              </w:rPr>
            </w:pPr>
            <w:r>
              <w:rPr>
                <w:rFonts w:ascii="Arial" w:cs="Arial" w:eastAsia="Arial" w:hAnsi="Arial"/>
                <w:sz w:val="17"/>
                <w:szCs w:val="17"/>
                <w:color w:val="auto"/>
              </w:rPr>
              <w:t>The goodwill balance relates completely to the clinical research segment.</w:t>
            </w: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Net income per ordinary share</w:t>
      </w:r>
    </w:p>
    <w:p>
      <w:pPr>
        <w:spacing w:after="0" w:line="27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w:t>
      </w:r>
    </w:p>
    <w:p>
      <w:pPr>
        <w:spacing w:after="0" w:line="23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There is no difference in net income used for basic and diluted net income per ordinary share. The reconciliation of the number of shares used in the computation of basic and diluted net income per ordinary share is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80" w:type="dxa"/>
            <w:vAlign w:val="bottom"/>
            <w:gridSpan w:val="7"/>
          </w:tcPr>
          <w:p>
            <w:pPr>
              <w:spacing w:after="0"/>
              <w:rPr>
                <w:sz w:val="20"/>
                <w:szCs w:val="20"/>
                <w:color w:val="auto"/>
              </w:rPr>
            </w:pPr>
            <w:r>
              <w:rPr>
                <w:rFonts w:ascii="Arial" w:cs="Arial" w:eastAsia="Arial" w:hAnsi="Arial"/>
                <w:sz w:val="17"/>
                <w:szCs w:val="17"/>
                <w:b w:val="1"/>
                <w:bCs w:val="1"/>
                <w:color w:val="auto"/>
                <w:w w:val="92"/>
              </w:rPr>
              <w:t>Three Months Ended</w:t>
            </w:r>
          </w:p>
        </w:tc>
        <w:tc>
          <w:tcPr>
            <w:tcW w:w="1380" w:type="dxa"/>
            <w:vAlign w:val="bottom"/>
            <w:gridSpan w:val="4"/>
          </w:tcPr>
          <w:p>
            <w:pPr>
              <w:spacing w:after="0"/>
              <w:rPr>
                <w:sz w:val="16"/>
                <w:szCs w:val="16"/>
                <w:color w:val="auto"/>
              </w:rPr>
            </w:pPr>
          </w:p>
        </w:tc>
        <w:tc>
          <w:tcPr>
            <w:tcW w:w="2060" w:type="dxa"/>
            <w:vAlign w:val="bottom"/>
            <w:gridSpan w:val="8"/>
          </w:tcPr>
          <w:p>
            <w:pPr>
              <w:jc w:val="right"/>
              <w:ind w:right="740"/>
              <w:spacing w:after="0"/>
              <w:rPr>
                <w:sz w:val="20"/>
                <w:szCs w:val="20"/>
                <w:color w:val="auto"/>
              </w:rPr>
            </w:pPr>
            <w:r>
              <w:rPr>
                <w:rFonts w:ascii="Arial" w:cs="Arial" w:eastAsia="Arial" w:hAnsi="Arial"/>
                <w:sz w:val="17"/>
                <w:szCs w:val="17"/>
                <w:b w:val="1"/>
                <w:bCs w:val="1"/>
                <w:color w:val="auto"/>
                <w:w w:val="88"/>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760" w:type="dxa"/>
            <w:vAlign w:val="bottom"/>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91"/>
              </w:rPr>
              <w:t>November</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w w:val="86"/>
              </w:rPr>
              <w:t>November</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40" w:type="dxa"/>
            <w:vAlign w:val="bottom"/>
            <w:gridSpan w:val="5"/>
          </w:tcPr>
          <w:p>
            <w:pPr>
              <w:jc w:val="right"/>
              <w:spacing w:after="0" w:line="187" w:lineRule="exact"/>
              <w:rPr>
                <w:sz w:val="20"/>
                <w:szCs w:val="20"/>
                <w:color w:val="auto"/>
              </w:rPr>
            </w:pPr>
            <w:r>
              <w:rPr>
                <w:rFonts w:ascii="Arial" w:cs="Arial" w:eastAsia="Arial" w:hAnsi="Arial"/>
                <w:sz w:val="17"/>
                <w:szCs w:val="17"/>
                <w:b w:val="1"/>
                <w:bCs w:val="1"/>
                <w:color w:val="auto"/>
              </w:rPr>
              <w:t>30</w:t>
            </w:r>
          </w:p>
        </w:tc>
        <w:tc>
          <w:tcPr>
            <w:tcW w:w="240" w:type="dxa"/>
            <w:vAlign w:val="bottom"/>
          </w:tcPr>
          <w:p>
            <w:pPr>
              <w:spacing w:after="0"/>
              <w:rPr>
                <w:sz w:val="16"/>
                <w:szCs w:val="16"/>
                <w:color w:val="auto"/>
              </w:rPr>
            </w:pPr>
          </w:p>
        </w:tc>
        <w:tc>
          <w:tcPr>
            <w:tcW w:w="1800" w:type="dxa"/>
            <w:vAlign w:val="bottom"/>
            <w:gridSpan w:val="6"/>
          </w:tcPr>
          <w:p>
            <w:pPr>
              <w:jc w:val="right"/>
              <w:ind w:right="760"/>
              <w:spacing w:after="0" w:line="187" w:lineRule="exact"/>
              <w:rPr>
                <w:sz w:val="20"/>
                <w:szCs w:val="20"/>
                <w:color w:val="auto"/>
              </w:rPr>
            </w:pPr>
            <w:r>
              <w:rPr>
                <w:rFonts w:ascii="Arial" w:cs="Arial" w:eastAsia="Arial" w:hAnsi="Arial"/>
                <w:sz w:val="17"/>
                <w:szCs w:val="17"/>
                <w:b w:val="1"/>
                <w:bCs w:val="1"/>
                <w:color w:val="auto"/>
              </w:rPr>
              <w:t>30</w:t>
            </w:r>
          </w:p>
        </w:tc>
        <w:tc>
          <w:tcPr>
            <w:tcW w:w="1040" w:type="dxa"/>
            <w:vAlign w:val="bottom"/>
            <w:gridSpan w:val="4"/>
          </w:tcPr>
          <w:p>
            <w:pPr>
              <w:jc w:val="right"/>
              <w:ind w:right="260"/>
              <w:spacing w:after="0" w:line="187" w:lineRule="exact"/>
              <w:rPr>
                <w:sz w:val="20"/>
                <w:szCs w:val="20"/>
                <w:color w:val="auto"/>
              </w:rPr>
            </w:pPr>
            <w:r>
              <w:rPr>
                <w:rFonts w:ascii="Arial" w:cs="Arial" w:eastAsia="Arial" w:hAnsi="Arial"/>
                <w:sz w:val="17"/>
                <w:szCs w:val="17"/>
                <w:b w:val="1"/>
                <w:bCs w:val="1"/>
                <w:color w:val="auto"/>
              </w:rPr>
              <w:t>30</w:t>
            </w:r>
          </w:p>
        </w:tc>
        <w:tc>
          <w:tcPr>
            <w:tcW w:w="1020" w:type="dxa"/>
            <w:vAlign w:val="bottom"/>
            <w:gridSpan w:val="4"/>
          </w:tcPr>
          <w:p>
            <w:pPr>
              <w:jc w:val="right"/>
              <w:spacing w:after="0" w:line="187" w:lineRule="exact"/>
              <w:rPr>
                <w:sz w:val="20"/>
                <w:szCs w:val="20"/>
                <w:color w:val="auto"/>
              </w:rPr>
            </w:pPr>
            <w:r>
              <w:rPr>
                <w:rFonts w:ascii="Arial" w:cs="Arial" w:eastAsia="Arial" w:hAnsi="Arial"/>
                <w:sz w:val="17"/>
                <w:szCs w:val="17"/>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54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7"/>
                <w:szCs w:val="17"/>
                <w:color w:val="auto"/>
              </w:rPr>
            </w:pPr>
          </w:p>
        </w:tc>
        <w:tc>
          <w:tcPr>
            <w:tcW w:w="1800" w:type="dxa"/>
            <w:vAlign w:val="bottom"/>
            <w:gridSpan w:val="6"/>
          </w:tcPr>
          <w:p>
            <w:pPr>
              <w:jc w:val="right"/>
              <w:ind w:right="760"/>
              <w:spacing w:after="0"/>
              <w:rPr>
                <w:sz w:val="20"/>
                <w:szCs w:val="20"/>
                <w:color w:val="auto"/>
              </w:rPr>
            </w:pPr>
            <w:r>
              <w:rPr>
                <w:rFonts w:ascii="Arial" w:cs="Arial" w:eastAsia="Arial" w:hAnsi="Arial"/>
                <w:sz w:val="17"/>
                <w:szCs w:val="17"/>
                <w:b w:val="1"/>
                <w:bCs w:val="1"/>
                <w:color w:val="auto"/>
              </w:rPr>
              <w:t>2004</w:t>
            </w:r>
          </w:p>
        </w:tc>
        <w:tc>
          <w:tcPr>
            <w:tcW w:w="1040" w:type="dxa"/>
            <w:vAlign w:val="bottom"/>
            <w:gridSpan w:val="4"/>
          </w:tcPr>
          <w:p>
            <w:pPr>
              <w:jc w:val="right"/>
              <w:ind w:right="260"/>
              <w:spacing w:after="0"/>
              <w:rPr>
                <w:sz w:val="20"/>
                <w:szCs w:val="20"/>
                <w:color w:val="auto"/>
              </w:rPr>
            </w:pPr>
            <w:r>
              <w:rPr>
                <w:rFonts w:ascii="Arial" w:cs="Arial" w:eastAsia="Arial" w:hAnsi="Arial"/>
                <w:sz w:val="17"/>
                <w:szCs w:val="17"/>
                <w:b w:val="1"/>
                <w:bCs w:val="1"/>
                <w:color w:val="auto"/>
              </w:rPr>
              <w:t>2005</w:t>
            </w:r>
          </w:p>
        </w:tc>
        <w:tc>
          <w:tcPr>
            <w:tcW w:w="102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5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w w:val="92"/>
              </w:rPr>
              <w:t>Weighted average number of ordinary shares outstanding for basic net income per</w:t>
            </w:r>
          </w:p>
        </w:tc>
        <w:tc>
          <w:tcPr>
            <w:tcW w:w="62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760" w:type="dxa"/>
            <w:vAlign w:val="bottom"/>
            <w:tcBorders>
              <w:right w:val="single" w:sz="8" w:color="E2EEF6"/>
            </w:tcBorders>
            <w:shd w:val="clear" w:color="auto" w:fill="E2EEF6"/>
          </w:tcPr>
          <w:p>
            <w:pPr>
              <w:spacing w:after="0"/>
              <w:rPr>
                <w:sz w:val="19"/>
                <w:szCs w:val="19"/>
                <w:color w:val="auto"/>
              </w:rPr>
            </w:pPr>
          </w:p>
        </w:tc>
        <w:tc>
          <w:tcPr>
            <w:tcW w:w="42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rPr>
              <w:t>ordinary share</w:t>
            </w:r>
          </w:p>
        </w:tc>
        <w:tc>
          <w:tcPr>
            <w:tcW w:w="1780" w:type="dxa"/>
            <w:vAlign w:val="bottom"/>
            <w:gridSpan w:val="6"/>
            <w:shd w:val="clear" w:color="auto" w:fill="E2EEF6"/>
          </w:tcPr>
          <w:p>
            <w:pPr>
              <w:jc w:val="right"/>
              <w:ind w:right="240"/>
              <w:spacing w:after="0"/>
              <w:rPr>
                <w:sz w:val="20"/>
                <w:szCs w:val="20"/>
                <w:color w:val="auto"/>
              </w:rPr>
            </w:pPr>
            <w:r>
              <w:rPr>
                <w:rFonts w:ascii="Arial" w:cs="Arial" w:eastAsia="Arial" w:hAnsi="Arial"/>
                <w:sz w:val="17"/>
                <w:szCs w:val="17"/>
                <w:color w:val="auto"/>
              </w:rPr>
              <w:t>14,005,454</w:t>
            </w:r>
          </w:p>
        </w:tc>
        <w:tc>
          <w:tcPr>
            <w:tcW w:w="1800" w:type="dxa"/>
            <w:vAlign w:val="bottom"/>
            <w:tcBorders>
              <w:right w:val="single" w:sz="8" w:color="E2EEF6"/>
            </w:tcBorders>
            <w:gridSpan w:val="6"/>
            <w:shd w:val="clear" w:color="auto" w:fill="E2EEF6"/>
          </w:tcPr>
          <w:p>
            <w:pPr>
              <w:jc w:val="right"/>
              <w:ind w:right="760"/>
              <w:spacing w:after="0"/>
              <w:rPr>
                <w:sz w:val="20"/>
                <w:szCs w:val="20"/>
                <w:color w:val="auto"/>
              </w:rPr>
            </w:pPr>
            <w:r>
              <w:rPr>
                <w:rFonts w:ascii="Arial" w:cs="Arial" w:eastAsia="Arial" w:hAnsi="Arial"/>
                <w:sz w:val="17"/>
                <w:szCs w:val="17"/>
                <w:color w:val="auto"/>
              </w:rPr>
              <w:t>13,847,689</w:t>
            </w:r>
          </w:p>
        </w:tc>
        <w:tc>
          <w:tcPr>
            <w:tcW w:w="1040" w:type="dxa"/>
            <w:vAlign w:val="bottom"/>
            <w:gridSpan w:val="4"/>
            <w:shd w:val="clear" w:color="auto" w:fill="E2EEF6"/>
          </w:tcPr>
          <w:p>
            <w:pPr>
              <w:jc w:val="right"/>
              <w:ind w:right="260"/>
              <w:spacing w:after="0"/>
              <w:rPr>
                <w:sz w:val="20"/>
                <w:szCs w:val="20"/>
                <w:color w:val="auto"/>
              </w:rPr>
            </w:pPr>
            <w:r>
              <w:rPr>
                <w:rFonts w:ascii="Arial" w:cs="Arial" w:eastAsia="Arial" w:hAnsi="Arial"/>
                <w:sz w:val="17"/>
                <w:szCs w:val="17"/>
                <w:color w:val="auto"/>
                <w:w w:val="89"/>
              </w:rPr>
              <w:t>14,027,564</w:t>
            </w:r>
          </w:p>
        </w:tc>
        <w:tc>
          <w:tcPr>
            <w:tcW w:w="102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13,839,857</w:t>
            </w:r>
          </w:p>
        </w:tc>
        <w:tc>
          <w:tcPr>
            <w:tcW w:w="0" w:type="dxa"/>
            <w:vAlign w:val="bottom"/>
          </w:tcPr>
          <w:p>
            <w:pPr>
              <w:spacing w:after="0"/>
              <w:rPr>
                <w:sz w:val="1"/>
                <w:szCs w:val="1"/>
                <w:color w:val="auto"/>
              </w:rPr>
            </w:pPr>
          </w:p>
        </w:tc>
      </w:tr>
      <w:tr>
        <w:trPr>
          <w:trHeight w:val="246"/>
        </w:trPr>
        <w:tc>
          <w:tcPr>
            <w:tcW w:w="5780" w:type="dxa"/>
            <w:vAlign w:val="bottom"/>
            <w:gridSpan w:val="2"/>
          </w:tcPr>
          <w:p>
            <w:pPr>
              <w:spacing w:after="0"/>
              <w:rPr>
                <w:sz w:val="20"/>
                <w:szCs w:val="20"/>
                <w:color w:val="auto"/>
              </w:rPr>
            </w:pPr>
            <w:r>
              <w:rPr>
                <w:rFonts w:ascii="Arial" w:cs="Arial" w:eastAsia="Arial" w:hAnsi="Arial"/>
                <w:sz w:val="17"/>
                <w:szCs w:val="17"/>
                <w:color w:val="auto"/>
              </w:rPr>
              <w:t>Effect of dilutive share options outstanding</w:t>
            </w:r>
          </w:p>
        </w:tc>
        <w:tc>
          <w:tcPr>
            <w:tcW w:w="15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256,280</w:t>
            </w: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7"/>
                <w:szCs w:val="17"/>
                <w:color w:val="auto"/>
              </w:rPr>
              <w:t>219,390</w:t>
            </w:r>
          </w:p>
        </w:tc>
        <w:tc>
          <w:tcPr>
            <w:tcW w:w="10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7"/>
                <w:szCs w:val="17"/>
                <w:color w:val="auto"/>
              </w:rPr>
              <w:t>206,762</w:t>
            </w: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248,173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60" w:type="dxa"/>
            <w:vAlign w:val="bottom"/>
            <w:shd w:val="clear" w:color="auto" w:fill="E2EEF6"/>
          </w:tcPr>
          <w:p>
            <w:pPr>
              <w:spacing w:after="0"/>
              <w:rPr>
                <w:sz w:val="20"/>
                <w:szCs w:val="20"/>
                <w:color w:val="auto"/>
              </w:rPr>
            </w:pPr>
            <w:r>
              <w:rPr>
                <w:rFonts w:ascii="Arial" w:cs="Arial" w:eastAsia="Arial" w:hAnsi="Arial"/>
                <w:sz w:val="17"/>
                <w:szCs w:val="17"/>
                <w:color w:val="auto"/>
                <w:w w:val="95"/>
              </w:rPr>
              <w:t>Weighted average number of ordinary shares for diluted net income per ordinary</w:t>
            </w:r>
          </w:p>
        </w:tc>
        <w:tc>
          <w:tcPr>
            <w:tcW w:w="62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760" w:type="dxa"/>
            <w:vAlign w:val="bottom"/>
            <w:tcBorders>
              <w:right w:val="single" w:sz="8" w:color="E2EEF6"/>
            </w:tcBorders>
            <w:shd w:val="clear" w:color="auto" w:fill="E2EEF6"/>
          </w:tcPr>
          <w:p>
            <w:pPr>
              <w:spacing w:after="0"/>
              <w:rPr>
                <w:sz w:val="18"/>
                <w:szCs w:val="18"/>
                <w:color w:val="auto"/>
              </w:rPr>
            </w:pPr>
          </w:p>
        </w:tc>
        <w:tc>
          <w:tcPr>
            <w:tcW w:w="42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280" w:type="dxa"/>
            <w:vAlign w:val="bottom"/>
            <w:tcBorders>
              <w:right w:val="single" w:sz="8" w:color="E2EEF6"/>
            </w:tcBorders>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760" w:type="dxa"/>
            <w:vAlign w:val="bottom"/>
            <w:tcBorders>
              <w:bottom w:val="single" w:sz="8" w:color="E2EEF6"/>
            </w:tcBorders>
            <w:shd w:val="clear" w:color="auto" w:fill="E2EEF6"/>
          </w:tcPr>
          <w:p>
            <w:pPr>
              <w:spacing w:after="0"/>
              <w:rPr>
                <w:sz w:val="20"/>
                <w:szCs w:val="20"/>
                <w:color w:val="auto"/>
              </w:rPr>
            </w:pPr>
            <w:r>
              <w:rPr>
                <w:rFonts w:ascii="Arial" w:cs="Arial" w:eastAsia="Arial" w:hAnsi="Arial"/>
                <w:sz w:val="17"/>
                <w:szCs w:val="17"/>
                <w:color w:val="auto"/>
              </w:rPr>
              <w:t>share</w:t>
            </w:r>
          </w:p>
        </w:tc>
        <w:tc>
          <w:tcPr>
            <w:tcW w:w="1780" w:type="dxa"/>
            <w:vAlign w:val="bottom"/>
            <w:tcBorders>
              <w:bottom w:val="single" w:sz="8" w:color="auto"/>
            </w:tcBorders>
            <w:gridSpan w:val="6"/>
            <w:shd w:val="clear" w:color="auto" w:fill="E2EEF6"/>
          </w:tcPr>
          <w:p>
            <w:pPr>
              <w:jc w:val="right"/>
              <w:ind w:right="240"/>
              <w:spacing w:after="0"/>
              <w:rPr>
                <w:sz w:val="20"/>
                <w:szCs w:val="20"/>
                <w:color w:val="auto"/>
              </w:rPr>
            </w:pPr>
            <w:r>
              <w:rPr>
                <w:rFonts w:ascii="Arial" w:cs="Arial" w:eastAsia="Arial" w:hAnsi="Arial"/>
                <w:sz w:val="17"/>
                <w:szCs w:val="17"/>
                <w:color w:val="auto"/>
              </w:rPr>
              <w:t>14,261,734</w:t>
            </w:r>
          </w:p>
        </w:tc>
        <w:tc>
          <w:tcPr>
            <w:tcW w:w="1800" w:type="dxa"/>
            <w:vAlign w:val="bottom"/>
            <w:tcBorders>
              <w:bottom w:val="single" w:sz="8" w:color="auto"/>
              <w:right w:val="single" w:sz="8" w:color="E2EEF6"/>
            </w:tcBorders>
            <w:gridSpan w:val="6"/>
            <w:shd w:val="clear" w:color="auto" w:fill="E2EEF6"/>
          </w:tcPr>
          <w:p>
            <w:pPr>
              <w:jc w:val="right"/>
              <w:ind w:right="760"/>
              <w:spacing w:after="0"/>
              <w:rPr>
                <w:sz w:val="20"/>
                <w:szCs w:val="20"/>
                <w:color w:val="auto"/>
              </w:rPr>
            </w:pPr>
            <w:r>
              <w:rPr>
                <w:rFonts w:ascii="Arial" w:cs="Arial" w:eastAsia="Arial" w:hAnsi="Arial"/>
                <w:sz w:val="17"/>
                <w:szCs w:val="17"/>
                <w:color w:val="auto"/>
              </w:rPr>
              <w:t>14,067,079</w:t>
            </w:r>
          </w:p>
        </w:tc>
        <w:tc>
          <w:tcPr>
            <w:tcW w:w="1040" w:type="dxa"/>
            <w:vAlign w:val="bottom"/>
            <w:tcBorders>
              <w:bottom w:val="single" w:sz="8" w:color="auto"/>
            </w:tcBorders>
            <w:gridSpan w:val="4"/>
            <w:shd w:val="clear" w:color="auto" w:fill="E2EEF6"/>
          </w:tcPr>
          <w:p>
            <w:pPr>
              <w:jc w:val="right"/>
              <w:ind w:right="260"/>
              <w:spacing w:after="0"/>
              <w:rPr>
                <w:sz w:val="20"/>
                <w:szCs w:val="20"/>
                <w:color w:val="auto"/>
              </w:rPr>
            </w:pPr>
            <w:r>
              <w:rPr>
                <w:rFonts w:ascii="Arial" w:cs="Arial" w:eastAsia="Arial" w:hAnsi="Arial"/>
                <w:sz w:val="17"/>
                <w:szCs w:val="17"/>
                <w:color w:val="auto"/>
                <w:w w:val="89"/>
              </w:rPr>
              <w:t>14,234,326</w:t>
            </w:r>
          </w:p>
        </w:tc>
        <w:tc>
          <w:tcPr>
            <w:tcW w:w="1020" w:type="dxa"/>
            <w:vAlign w:val="bottom"/>
            <w:tcBorders>
              <w:bottom w:val="single" w:sz="8" w:color="auto"/>
            </w:tcBorders>
            <w:gridSpan w:val="4"/>
            <w:shd w:val="clear" w:color="auto" w:fill="E2EEF6"/>
          </w:tcPr>
          <w:p>
            <w:pPr>
              <w:jc w:val="right"/>
              <w:spacing w:after="0"/>
              <w:rPr>
                <w:sz w:val="20"/>
                <w:szCs w:val="20"/>
                <w:color w:val="auto"/>
              </w:rPr>
            </w:pPr>
            <w:r>
              <w:rPr>
                <w:rFonts w:ascii="Arial" w:cs="Arial" w:eastAsia="Arial" w:hAnsi="Arial"/>
                <w:sz w:val="17"/>
                <w:szCs w:val="17"/>
                <w:color w:val="auto"/>
              </w:rPr>
              <w:t>14,088,030</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Business Segment Information</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areas of operation outside of Ireland principally include the United Kingdom, United States, Germany, Australia, Argentina, France, Japan, Israel, Singapore, Canada, Sweden, The Netherlands, Latvia, Russia, Taiwan, Hong Kong, South Africa, Spain, Hungary, India, Mexico, Brazil, Korea, China and Thailand. Segment information for the three and six month periods ended November 30, 2005 and 2004 are as follows: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5200" w:type="dxa"/>
            <w:vAlign w:val="bottom"/>
            <w:gridSpan w:val="2"/>
          </w:tcPr>
          <w:p>
            <w:pPr>
              <w:spacing w:after="0"/>
              <w:rPr>
                <w:sz w:val="20"/>
                <w:szCs w:val="20"/>
                <w:color w:val="auto"/>
              </w:rPr>
            </w:pPr>
            <w:r>
              <w:rPr>
                <w:rFonts w:ascii="Arial" w:cs="Arial" w:eastAsia="Arial" w:hAnsi="Arial"/>
                <w:sz w:val="17"/>
                <w:szCs w:val="17"/>
                <w:color w:val="auto"/>
                <w:w w:val="97"/>
              </w:rPr>
              <w:t>a) The distribution of net revenue by geographical area was as follows: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5"/>
          </w:tcPr>
          <w:p>
            <w:pPr>
              <w:jc w:val="center"/>
              <w:ind w:right="1480"/>
              <w:spacing w:after="0"/>
              <w:rPr>
                <w:sz w:val="20"/>
                <w:szCs w:val="20"/>
                <w:color w:val="auto"/>
              </w:rPr>
            </w:pPr>
            <w:r>
              <w:rPr>
                <w:rFonts w:ascii="Arial" w:cs="Arial" w:eastAsia="Arial" w:hAnsi="Arial"/>
                <w:sz w:val="17"/>
                <w:szCs w:val="17"/>
                <w:b w:val="1"/>
                <w:bCs w:val="1"/>
                <w:color w:val="auto"/>
                <w:w w:val="92"/>
              </w:rPr>
              <w:t>Three Months Ended</w:t>
            </w:r>
          </w:p>
        </w:tc>
        <w:tc>
          <w:tcPr>
            <w:tcW w:w="200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w w:val="92"/>
              </w:rPr>
              <w:t>Six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80" w:type="dxa"/>
            <w:vAlign w:val="bottom"/>
            <w:gridSpan w:val="9"/>
          </w:tcPr>
          <w:p>
            <w:pPr>
              <w:ind w:left="320"/>
              <w:spacing w:after="0"/>
              <w:rPr>
                <w:sz w:val="20"/>
                <w:szCs w:val="20"/>
                <w:color w:val="auto"/>
              </w:rPr>
            </w:pPr>
            <w:r>
              <w:rPr>
                <w:rFonts w:ascii="Arial" w:cs="Arial" w:eastAsia="Arial" w:hAnsi="Arial"/>
                <w:sz w:val="17"/>
                <w:szCs w:val="17"/>
                <w:b w:val="1"/>
                <w:bCs w:val="1"/>
                <w:color w:val="auto"/>
              </w:rPr>
              <w:t>November</w:t>
            </w:r>
          </w:p>
        </w:tc>
        <w:tc>
          <w:tcPr>
            <w:tcW w:w="16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18"/>
                <w:szCs w:val="18"/>
                <w:color w:val="auto"/>
              </w:rPr>
            </w:pPr>
          </w:p>
        </w:tc>
        <w:tc>
          <w:tcPr>
            <w:tcW w:w="1720" w:type="dxa"/>
            <w:vAlign w:val="bottom"/>
            <w:gridSpan w:val="9"/>
          </w:tcPr>
          <w:p>
            <w:pPr>
              <w:ind w:left="260"/>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6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7"/>
                <w:szCs w:val="17"/>
                <w:b w:val="1"/>
                <w:bCs w:val="1"/>
                <w:color w:val="auto"/>
              </w:rPr>
              <w:t>2005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7"/>
          </w:tcPr>
          <w:p>
            <w:pPr>
              <w:jc w:val="center"/>
              <w:ind w:left="34"/>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jc w:val="center"/>
              <w:ind w:right="380"/>
              <w:spacing w:after="0"/>
              <w:rPr>
                <w:sz w:val="20"/>
                <w:szCs w:val="20"/>
                <w:color w:val="auto"/>
              </w:rPr>
            </w:pPr>
            <w:r>
              <w:rPr>
                <w:rFonts w:ascii="Arial" w:cs="Arial" w:eastAsia="Arial" w:hAnsi="Arial"/>
                <w:sz w:val="17"/>
                <w:szCs w:val="17"/>
                <w:b w:val="1"/>
                <w:bCs w:val="1"/>
                <w:color w:val="auto"/>
                <w:w w:val="90"/>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10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$7,909</w:t>
            </w:r>
          </w:p>
        </w:tc>
        <w:tc>
          <w:tcPr>
            <w:tcW w:w="2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76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$8,863</w:t>
            </w:r>
          </w:p>
        </w:tc>
        <w:tc>
          <w:tcPr>
            <w:tcW w:w="24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300" w:type="dxa"/>
            <w:vAlign w:val="bottom"/>
            <w:tcBorders>
              <w:right w:val="single" w:sz="8" w:color="E2EEF6"/>
            </w:tcBorders>
            <w:gridSpan w:val="7"/>
            <w:shd w:val="clear" w:color="auto" w:fill="E2EEF6"/>
          </w:tcPr>
          <w:p>
            <w:pPr>
              <w:jc w:val="right"/>
              <w:spacing w:after="0"/>
              <w:rPr>
                <w:sz w:val="20"/>
                <w:szCs w:val="20"/>
                <w:color w:val="auto"/>
              </w:rPr>
            </w:pPr>
            <w:r>
              <w:rPr>
                <w:rFonts w:ascii="Arial" w:cs="Arial" w:eastAsia="Arial" w:hAnsi="Arial"/>
                <w:sz w:val="17"/>
                <w:szCs w:val="17"/>
                <w:color w:val="auto"/>
              </w:rPr>
              <w:t>$18,662</w:t>
            </w: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$19,501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Rest of Europe</w:t>
            </w:r>
          </w:p>
        </w:tc>
        <w:tc>
          <w:tcPr>
            <w:tcW w:w="1080" w:type="dxa"/>
            <w:vAlign w:val="bottom"/>
            <w:gridSpan w:val="5"/>
          </w:tcPr>
          <w:p>
            <w:pPr>
              <w:jc w:val="right"/>
              <w:spacing w:after="0"/>
              <w:rPr>
                <w:sz w:val="20"/>
                <w:szCs w:val="20"/>
                <w:color w:val="auto"/>
              </w:rPr>
            </w:pPr>
            <w:r>
              <w:rPr>
                <w:rFonts w:ascii="Arial" w:cs="Arial" w:eastAsia="Arial" w:hAnsi="Arial"/>
                <w:sz w:val="17"/>
                <w:szCs w:val="17"/>
                <w:color w:val="auto"/>
              </w:rPr>
              <w:t>21,153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20,246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gridSpan w:val="8"/>
          </w:tcPr>
          <w:p>
            <w:pPr>
              <w:jc w:val="right"/>
              <w:ind w:right="160"/>
              <w:spacing w:after="0"/>
              <w:rPr>
                <w:sz w:val="20"/>
                <w:szCs w:val="20"/>
                <w:color w:val="auto"/>
              </w:rPr>
            </w:pPr>
            <w:r>
              <w:rPr>
                <w:rFonts w:ascii="Arial" w:cs="Arial" w:eastAsia="Arial" w:hAnsi="Arial"/>
                <w:sz w:val="17"/>
                <w:szCs w:val="17"/>
                <w:color w:val="auto"/>
              </w:rPr>
              <w:t>42,663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37,460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10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51,694</w:t>
            </w:r>
          </w:p>
        </w:tc>
        <w:tc>
          <w:tcPr>
            <w:tcW w:w="24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760" w:type="dxa"/>
            <w:vAlign w:val="bottom"/>
            <w:gridSpan w:val="4"/>
            <w:shd w:val="clear" w:color="auto" w:fill="E2EEF6"/>
          </w:tcPr>
          <w:p>
            <w:pPr>
              <w:jc w:val="right"/>
              <w:spacing w:after="0"/>
              <w:rPr>
                <w:sz w:val="20"/>
                <w:szCs w:val="20"/>
                <w:color w:val="auto"/>
              </w:rPr>
            </w:pPr>
            <w:r>
              <w:rPr>
                <w:rFonts w:ascii="Arial" w:cs="Arial" w:eastAsia="Arial" w:hAnsi="Arial"/>
                <w:sz w:val="17"/>
                <w:szCs w:val="17"/>
                <w:color w:val="auto"/>
              </w:rPr>
              <w:t>46,095</w:t>
            </w:r>
          </w:p>
        </w:tc>
        <w:tc>
          <w:tcPr>
            <w:tcW w:w="24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46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99,319</w:t>
            </w: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91,879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 of the World</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7,316</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4,291</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color w:val="auto"/>
              </w:rPr>
              <w:t>13,349</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8,994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0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$88,072</w:t>
            </w:r>
          </w:p>
        </w:tc>
        <w:tc>
          <w:tcPr>
            <w:tcW w:w="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$79,495</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color w:val="auto"/>
              </w:rPr>
              <w:t>$173,993</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$157,834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 All sales shown for Ireland are export sales.</w:t>
            </w:r>
          </w:p>
        </w:tc>
        <w:tc>
          <w:tcPr>
            <w:tcW w:w="3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20" w:type="dxa"/>
            <w:vAlign w:val="bottom"/>
            <w:shd w:val="clear" w:color="auto" w:fill="E2EEF6"/>
          </w:tcPr>
          <w:p>
            <w:pPr>
              <w:spacing w:after="0"/>
              <w:rPr>
                <w:sz w:val="18"/>
                <w:szCs w:val="18"/>
                <w:color w:val="auto"/>
              </w:rPr>
            </w:pPr>
          </w:p>
        </w:tc>
        <w:tc>
          <w:tcPr>
            <w:tcW w:w="120" w:type="dxa"/>
            <w:vAlign w:val="bottom"/>
            <w:shd w:val="clear" w:color="auto" w:fill="E2EEF6"/>
          </w:tcPr>
          <w:p>
            <w:pPr>
              <w:spacing w:after="0"/>
              <w:rPr>
                <w:sz w:val="18"/>
                <w:szCs w:val="18"/>
                <w:color w:val="auto"/>
              </w:rPr>
            </w:pPr>
          </w:p>
        </w:tc>
        <w:tc>
          <w:tcPr>
            <w:tcW w:w="30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24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260" w:type="dxa"/>
            <w:vAlign w:val="bottom"/>
            <w:shd w:val="clear" w:color="auto" w:fill="E2EEF6"/>
          </w:tcPr>
          <w:p>
            <w:pPr>
              <w:spacing w:after="0"/>
              <w:rPr>
                <w:sz w:val="18"/>
                <w:szCs w:val="18"/>
                <w:color w:val="auto"/>
              </w:rPr>
            </w:pPr>
          </w:p>
        </w:tc>
        <w:tc>
          <w:tcPr>
            <w:tcW w:w="140" w:type="dxa"/>
            <w:vAlign w:val="bottom"/>
            <w:tcBorders>
              <w:right w:val="single" w:sz="8" w:color="E2EEF6"/>
            </w:tcBorders>
            <w:shd w:val="clear" w:color="auto" w:fill="E2EEF6"/>
          </w:tcPr>
          <w:p>
            <w:pPr>
              <w:spacing w:after="0"/>
              <w:rPr>
                <w:sz w:val="18"/>
                <w:szCs w:val="18"/>
                <w:color w:val="auto"/>
              </w:rPr>
            </w:pPr>
          </w:p>
        </w:tc>
        <w:tc>
          <w:tcPr>
            <w:tcW w:w="280" w:type="dxa"/>
            <w:vAlign w:val="bottom"/>
            <w:shd w:val="clear" w:color="auto" w:fill="E2EEF6"/>
          </w:tcPr>
          <w:p>
            <w:pPr>
              <w:spacing w:after="0"/>
              <w:rPr>
                <w:sz w:val="18"/>
                <w:szCs w:val="18"/>
                <w:color w:val="auto"/>
              </w:rPr>
            </w:pPr>
          </w:p>
        </w:tc>
        <w:tc>
          <w:tcPr>
            <w:tcW w:w="140" w:type="dxa"/>
            <w:vAlign w:val="bottom"/>
            <w:shd w:val="clear" w:color="auto" w:fill="E2EEF6"/>
          </w:tcPr>
          <w:p>
            <w:pPr>
              <w:spacing w:after="0"/>
              <w:rPr>
                <w:sz w:val="18"/>
                <w:szCs w:val="18"/>
                <w:color w:val="auto"/>
              </w:rPr>
            </w:pPr>
          </w:p>
        </w:tc>
        <w:tc>
          <w:tcPr>
            <w:tcW w:w="40" w:type="dxa"/>
            <w:vAlign w:val="bottom"/>
            <w:shd w:val="clear" w:color="auto" w:fill="E2EEF6"/>
          </w:tcPr>
          <w:p>
            <w:pPr>
              <w:spacing w:after="0"/>
              <w:rPr>
                <w:sz w:val="18"/>
                <w:szCs w:val="18"/>
                <w:color w:val="auto"/>
              </w:rPr>
            </w:pPr>
          </w:p>
        </w:tc>
        <w:tc>
          <w:tcPr>
            <w:tcW w:w="160" w:type="dxa"/>
            <w:vAlign w:val="bottom"/>
            <w:tcBorders>
              <w:right w:val="single" w:sz="8" w:color="E2EEF6"/>
            </w:tcBorders>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360" w:type="dxa"/>
            <w:vAlign w:val="bottom"/>
            <w:tcBorders>
              <w:right w:val="single" w:sz="8" w:color="E2EEF6"/>
            </w:tcBorders>
            <w:shd w:val="clear" w:color="auto" w:fill="E2EEF6"/>
          </w:tcPr>
          <w:p>
            <w:pPr>
              <w:spacing w:after="0"/>
              <w:rPr>
                <w:sz w:val="18"/>
                <w:szCs w:val="18"/>
                <w:color w:val="auto"/>
              </w:rPr>
            </w:pPr>
          </w:p>
        </w:tc>
        <w:tc>
          <w:tcPr>
            <w:tcW w:w="400" w:type="dxa"/>
            <w:vAlign w:val="bottom"/>
            <w:shd w:val="clear" w:color="auto" w:fill="E2EEF6"/>
          </w:tcPr>
          <w:p>
            <w:pPr>
              <w:spacing w:after="0"/>
              <w:rPr>
                <w:sz w:val="18"/>
                <w:szCs w:val="18"/>
                <w:color w:val="auto"/>
              </w:rPr>
            </w:pPr>
          </w:p>
        </w:tc>
        <w:tc>
          <w:tcPr>
            <w:tcW w:w="180" w:type="dxa"/>
            <w:vAlign w:val="bottom"/>
            <w:shd w:val="clear" w:color="auto" w:fill="E2EEF6"/>
          </w:tcPr>
          <w:p>
            <w:pPr>
              <w:spacing w:after="0"/>
              <w:rPr>
                <w:sz w:val="18"/>
                <w:szCs w:val="18"/>
                <w:color w:val="auto"/>
              </w:rPr>
            </w:pPr>
          </w:p>
        </w:tc>
        <w:tc>
          <w:tcPr>
            <w:tcW w:w="160" w:type="dxa"/>
            <w:vAlign w:val="bottom"/>
            <w:shd w:val="clear" w:color="auto" w:fill="E2EEF6"/>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200" w:type="dxa"/>
            <w:vAlign w:val="bottom"/>
            <w:gridSpan w:val="2"/>
          </w:tcPr>
          <w:p>
            <w:pPr>
              <w:spacing w:after="0"/>
              <w:rPr>
                <w:sz w:val="20"/>
                <w:szCs w:val="20"/>
                <w:color w:val="auto"/>
              </w:rPr>
            </w:pPr>
            <w:r>
              <w:rPr>
                <w:rFonts w:ascii="Arial" w:cs="Arial" w:eastAsia="Arial" w:hAnsi="Arial"/>
                <w:sz w:val="17"/>
                <w:szCs w:val="17"/>
                <w:color w:val="auto"/>
                <w:w w:val="97"/>
              </w:rPr>
              <w:t>b) The distribution of net revenue by business segment was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15"/>
          </w:tcPr>
          <w:p>
            <w:pPr>
              <w:jc w:val="center"/>
              <w:ind w:right="1480"/>
              <w:spacing w:after="0"/>
              <w:rPr>
                <w:sz w:val="20"/>
                <w:szCs w:val="20"/>
                <w:color w:val="auto"/>
              </w:rPr>
            </w:pPr>
            <w:r>
              <w:rPr>
                <w:rFonts w:ascii="Arial" w:cs="Arial" w:eastAsia="Arial" w:hAnsi="Arial"/>
                <w:sz w:val="17"/>
                <w:szCs w:val="17"/>
                <w:b w:val="1"/>
                <w:bCs w:val="1"/>
                <w:color w:val="auto"/>
                <w:w w:val="92"/>
              </w:rPr>
              <w:t>Three Months Ended</w:t>
            </w:r>
          </w:p>
        </w:tc>
        <w:tc>
          <w:tcPr>
            <w:tcW w:w="2000" w:type="dxa"/>
            <w:vAlign w:val="bottom"/>
            <w:gridSpan w:val="10"/>
          </w:tcPr>
          <w:p>
            <w:pPr>
              <w:jc w:val="center"/>
              <w:ind w:right="80"/>
              <w:spacing w:after="0"/>
              <w:rPr>
                <w:sz w:val="20"/>
                <w:szCs w:val="20"/>
                <w:color w:val="auto"/>
              </w:rPr>
            </w:pPr>
            <w:r>
              <w:rPr>
                <w:rFonts w:ascii="Arial" w:cs="Arial" w:eastAsia="Arial" w:hAnsi="Arial"/>
                <w:sz w:val="17"/>
                <w:szCs w:val="17"/>
                <w:b w:val="1"/>
                <w:bCs w:val="1"/>
                <w:color w:val="auto"/>
                <w:w w:val="92"/>
              </w:rPr>
              <w:t>Six Months Ended</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right w:val="single" w:sz="8" w:color="auto"/>
            </w:tcBorders>
            <w:gridSpan w:val="2"/>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880" w:type="dxa"/>
            <w:vAlign w:val="bottom"/>
            <w:gridSpan w:val="9"/>
          </w:tcPr>
          <w:p>
            <w:pPr>
              <w:ind w:left="320"/>
              <w:spacing w:after="0"/>
              <w:rPr>
                <w:sz w:val="20"/>
                <w:szCs w:val="20"/>
                <w:color w:val="auto"/>
              </w:rPr>
            </w:pPr>
            <w:r>
              <w:rPr>
                <w:rFonts w:ascii="Arial" w:cs="Arial" w:eastAsia="Arial" w:hAnsi="Arial"/>
                <w:sz w:val="17"/>
                <w:szCs w:val="17"/>
                <w:b w:val="1"/>
                <w:bCs w:val="1"/>
                <w:color w:val="auto"/>
              </w:rPr>
              <w:t>November</w:t>
            </w:r>
          </w:p>
        </w:tc>
        <w:tc>
          <w:tcPr>
            <w:tcW w:w="1600" w:type="dxa"/>
            <w:vAlign w:val="bottom"/>
            <w:gridSpan w:val="8"/>
          </w:tcPr>
          <w:p>
            <w:pPr>
              <w:jc w:val="right"/>
              <w:ind w:right="84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18"/>
                <w:szCs w:val="18"/>
                <w:color w:val="auto"/>
              </w:rPr>
            </w:pPr>
          </w:p>
        </w:tc>
        <w:tc>
          <w:tcPr>
            <w:tcW w:w="1720" w:type="dxa"/>
            <w:vAlign w:val="bottom"/>
            <w:gridSpan w:val="9"/>
          </w:tcPr>
          <w:p>
            <w:pPr>
              <w:ind w:left="260"/>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gridSpan w:val="3"/>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60" w:type="dxa"/>
            <w:vAlign w:val="bottom"/>
            <w:tcBorders>
              <w:top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rPr>
              <w:t>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7"/>
                <w:szCs w:val="17"/>
                <w:b w:val="1"/>
                <w:bCs w:val="1"/>
                <w:color w:val="auto"/>
              </w:rPr>
              <w:t>2005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7"/>
          </w:tcPr>
          <w:p>
            <w:pPr>
              <w:jc w:val="right"/>
              <w:spacing w:after="0"/>
              <w:rPr>
                <w:sz w:val="20"/>
                <w:szCs w:val="20"/>
                <w:color w:val="auto"/>
              </w:rPr>
            </w:pPr>
            <w:r>
              <w:rPr>
                <w:rFonts w:ascii="Arial" w:cs="Arial" w:eastAsia="Arial" w:hAnsi="Arial"/>
                <w:sz w:val="17"/>
                <w:szCs w:val="17"/>
                <w:b w:val="1"/>
                <w:bCs w:val="1"/>
                <w:color w:val="auto"/>
              </w:rPr>
              <w:t>2005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6"/>
          </w:tcPr>
          <w:p>
            <w:pPr>
              <w:jc w:val="center"/>
              <w:ind w:right="20"/>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ind w:left="20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1320" w:type="dxa"/>
            <w:vAlign w:val="bottom"/>
            <w:gridSpan w:val="6"/>
            <w:shd w:val="clear" w:color="auto" w:fill="E2EEF6"/>
          </w:tcPr>
          <w:p>
            <w:pPr>
              <w:jc w:val="right"/>
              <w:ind w:right="74"/>
              <w:spacing w:after="0"/>
              <w:rPr>
                <w:sz w:val="20"/>
                <w:szCs w:val="20"/>
                <w:color w:val="auto"/>
              </w:rPr>
            </w:pPr>
            <w:r>
              <w:rPr>
                <w:rFonts w:ascii="Arial" w:cs="Arial" w:eastAsia="Arial" w:hAnsi="Arial"/>
                <w:sz w:val="17"/>
                <w:szCs w:val="17"/>
                <w:color w:val="auto"/>
              </w:rPr>
              <w:t>$8,058</w:t>
            </w:r>
          </w:p>
        </w:tc>
        <w:tc>
          <w:tcPr>
            <w:tcW w:w="160" w:type="dxa"/>
            <w:vAlign w:val="bottom"/>
            <w:shd w:val="clear" w:color="auto" w:fill="E2EEF6"/>
          </w:tcPr>
          <w:p>
            <w:pPr>
              <w:spacing w:after="0"/>
              <w:rPr>
                <w:sz w:val="17"/>
                <w:szCs w:val="17"/>
                <w:color w:val="auto"/>
              </w:rPr>
            </w:pPr>
          </w:p>
        </w:tc>
        <w:tc>
          <w:tcPr>
            <w:tcW w:w="180" w:type="dxa"/>
            <w:vAlign w:val="bottom"/>
            <w:shd w:val="clear" w:color="auto" w:fill="E2EEF6"/>
          </w:tcPr>
          <w:p>
            <w:pPr>
              <w:spacing w:after="0"/>
              <w:rPr>
                <w:sz w:val="17"/>
                <w:szCs w:val="17"/>
                <w:color w:val="auto"/>
              </w:rPr>
            </w:pPr>
          </w:p>
        </w:tc>
        <w:tc>
          <w:tcPr>
            <w:tcW w:w="220" w:type="dxa"/>
            <w:vAlign w:val="bottom"/>
            <w:shd w:val="clear" w:color="auto" w:fill="E2EEF6"/>
          </w:tcPr>
          <w:p>
            <w:pPr>
              <w:spacing w:after="0"/>
              <w:rPr>
                <w:sz w:val="17"/>
                <w:szCs w:val="17"/>
                <w:color w:val="auto"/>
              </w:rPr>
            </w:pPr>
          </w:p>
        </w:tc>
        <w:tc>
          <w:tcPr>
            <w:tcW w:w="1180" w:type="dxa"/>
            <w:vAlign w:val="bottom"/>
            <w:gridSpan w:val="6"/>
            <w:shd w:val="clear" w:color="auto" w:fill="E2EEF6"/>
          </w:tcPr>
          <w:p>
            <w:pPr>
              <w:jc w:val="right"/>
              <w:ind w:right="180"/>
              <w:spacing w:after="0"/>
              <w:rPr>
                <w:sz w:val="20"/>
                <w:szCs w:val="20"/>
                <w:color w:val="auto"/>
              </w:rPr>
            </w:pPr>
            <w:r>
              <w:rPr>
                <w:rFonts w:ascii="Arial" w:cs="Arial" w:eastAsia="Arial" w:hAnsi="Arial"/>
                <w:sz w:val="17"/>
                <w:szCs w:val="17"/>
                <w:color w:val="auto"/>
              </w:rPr>
              <w:t>$6,455</w:t>
            </w:r>
          </w:p>
        </w:tc>
        <w:tc>
          <w:tcPr>
            <w:tcW w:w="160" w:type="dxa"/>
            <w:vAlign w:val="bottom"/>
            <w:shd w:val="clear" w:color="auto" w:fill="E2EEF6"/>
          </w:tcPr>
          <w:p>
            <w:pPr>
              <w:spacing w:after="0"/>
              <w:rPr>
                <w:sz w:val="17"/>
                <w:szCs w:val="17"/>
                <w:color w:val="auto"/>
              </w:rPr>
            </w:pPr>
          </w:p>
        </w:tc>
        <w:tc>
          <w:tcPr>
            <w:tcW w:w="260" w:type="dxa"/>
            <w:vAlign w:val="bottom"/>
            <w:shd w:val="clear" w:color="auto" w:fill="E2EEF6"/>
          </w:tcPr>
          <w:p>
            <w:pPr>
              <w:spacing w:after="0"/>
              <w:rPr>
                <w:sz w:val="17"/>
                <w:szCs w:val="17"/>
                <w:color w:val="auto"/>
              </w:rPr>
            </w:pPr>
          </w:p>
        </w:tc>
        <w:tc>
          <w:tcPr>
            <w:tcW w:w="1460" w:type="dxa"/>
            <w:vAlign w:val="bottom"/>
            <w:gridSpan w:val="8"/>
            <w:shd w:val="clear" w:color="auto" w:fill="E2EEF6"/>
          </w:tcPr>
          <w:p>
            <w:pPr>
              <w:jc w:val="right"/>
              <w:ind w:right="20"/>
              <w:spacing w:after="0"/>
              <w:rPr>
                <w:sz w:val="20"/>
                <w:szCs w:val="20"/>
                <w:color w:val="auto"/>
              </w:rPr>
            </w:pPr>
            <w:r>
              <w:rPr>
                <w:rFonts w:ascii="Arial" w:cs="Arial" w:eastAsia="Arial" w:hAnsi="Arial"/>
                <w:sz w:val="17"/>
                <w:szCs w:val="17"/>
                <w:color w:val="auto"/>
              </w:rPr>
              <w:t>$15,293</w:t>
            </w:r>
          </w:p>
        </w:tc>
        <w:tc>
          <w:tcPr>
            <w:tcW w:w="180" w:type="dxa"/>
            <w:vAlign w:val="bottom"/>
            <w:shd w:val="clear" w:color="auto" w:fill="E2EEF6"/>
          </w:tcPr>
          <w:p>
            <w:pPr>
              <w:spacing w:after="0"/>
              <w:rPr>
                <w:sz w:val="17"/>
                <w:szCs w:val="17"/>
                <w:color w:val="auto"/>
              </w:rPr>
            </w:pP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$13,005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Clinical research</w:t>
            </w:r>
          </w:p>
        </w:tc>
        <w:tc>
          <w:tcPr>
            <w:tcW w:w="1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color w:val="auto"/>
              </w:rPr>
              <w:t>80,014</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color w:val="auto"/>
              </w:rPr>
              <w:t>73,040</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color w:val="auto"/>
              </w:rPr>
              <w:t>158,700</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144,829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gridSpan w:val="6"/>
          </w:tcPr>
          <w:p>
            <w:pPr>
              <w:jc w:val="right"/>
              <w:ind w:right="74"/>
              <w:spacing w:after="0"/>
              <w:rPr>
                <w:sz w:val="20"/>
                <w:szCs w:val="20"/>
                <w:color w:val="auto"/>
              </w:rPr>
            </w:pPr>
            <w:r>
              <w:rPr>
                <w:rFonts w:ascii="Arial" w:cs="Arial" w:eastAsia="Arial" w:hAnsi="Arial"/>
                <w:sz w:val="17"/>
                <w:szCs w:val="17"/>
                <w:color w:val="auto"/>
              </w:rPr>
              <w:t>$88,072</w:t>
            </w: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color w:val="auto"/>
              </w:rPr>
              <w:t>$79,495</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7"/>
                <w:szCs w:val="17"/>
                <w:color w:val="auto"/>
              </w:rPr>
              <w:t>$173,993</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$157,834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7080" w:type="dxa"/>
            <w:vAlign w:val="bottom"/>
            <w:gridSpan w:val="11"/>
          </w:tcPr>
          <w:p>
            <w:pPr>
              <w:spacing w:after="0"/>
              <w:rPr>
                <w:sz w:val="20"/>
                <w:szCs w:val="20"/>
                <w:color w:val="auto"/>
              </w:rPr>
            </w:pPr>
            <w:r>
              <w:rPr>
                <w:rFonts w:ascii="Arial" w:cs="Arial" w:eastAsia="Arial" w:hAnsi="Arial"/>
                <w:sz w:val="17"/>
                <w:szCs w:val="17"/>
                <w:color w:val="auto"/>
              </w:rPr>
              <w:t>c) The distribution of income from operations by geographical area was as follows:</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5"/>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12"/>
          </w:tcPr>
          <w:p>
            <w:pPr>
              <w:jc w:val="right"/>
              <w:ind w:right="840"/>
              <w:spacing w:after="0"/>
              <w:rPr>
                <w:sz w:val="20"/>
                <w:szCs w:val="20"/>
                <w:color w:val="auto"/>
              </w:rPr>
            </w:pPr>
            <w:r>
              <w:rPr>
                <w:rFonts w:ascii="Arial" w:cs="Arial" w:eastAsia="Arial" w:hAnsi="Arial"/>
                <w:sz w:val="17"/>
                <w:szCs w:val="17"/>
                <w:b w:val="1"/>
                <w:bCs w:val="1"/>
                <w:color w:val="auto"/>
                <w:w w:val="91"/>
              </w:rPr>
              <w:t>Three Months Ended</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12"/>
          </w:tcPr>
          <w:p>
            <w:pPr>
              <w:ind w:left="10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November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w w:val="88"/>
              </w:rPr>
              <w:t>November</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Arial" w:cs="Arial" w:eastAsia="Arial" w:hAnsi="Arial"/>
                <w:sz w:val="17"/>
                <w:szCs w:val="17"/>
                <w:b w:val="1"/>
                <w:bCs w:val="1"/>
                <w:color w:val="auto"/>
              </w:rPr>
              <w:t>November</w:t>
            </w:r>
          </w:p>
        </w:tc>
        <w:tc>
          <w:tcPr>
            <w:tcW w:w="760" w:type="dxa"/>
            <w:vAlign w:val="bottom"/>
            <w:gridSpan w:val="4"/>
          </w:tcPr>
          <w:p>
            <w:pPr>
              <w:spacing w:after="0"/>
              <w:rPr>
                <w:sz w:val="20"/>
                <w:szCs w:val="20"/>
                <w:color w:val="auto"/>
              </w:rPr>
            </w:pPr>
            <w:r>
              <w:rPr>
                <w:rFonts w:ascii="Arial" w:cs="Arial" w:eastAsia="Arial" w:hAnsi="Arial"/>
                <w:sz w:val="17"/>
                <w:szCs w:val="17"/>
                <w:b w:val="1"/>
                <w:bCs w:val="1"/>
                <w:color w:val="auto"/>
                <w:w w:val="88"/>
              </w:rPr>
              <w:t>November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900" w:type="dxa"/>
            <w:vAlign w:val="bottom"/>
            <w:gridSpan w:val="4"/>
          </w:tcPr>
          <w:p>
            <w:pPr>
              <w:spacing w:after="0"/>
              <w:rPr>
                <w:sz w:val="18"/>
                <w:szCs w:val="18"/>
                <w:color w:val="auto"/>
              </w:rPr>
            </w:pPr>
          </w:p>
        </w:tc>
        <w:tc>
          <w:tcPr>
            <w:tcW w:w="580" w:type="dxa"/>
            <w:vAlign w:val="bottom"/>
            <w:gridSpan w:val="3"/>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30</w:t>
            </w:r>
          </w:p>
        </w:tc>
        <w:tc>
          <w:tcPr>
            <w:tcW w:w="220" w:type="dxa"/>
            <w:vAlign w:val="bottom"/>
          </w:tcPr>
          <w:p>
            <w:pPr>
              <w:spacing w:after="0"/>
              <w:rPr>
                <w:sz w:val="18"/>
                <w:szCs w:val="18"/>
                <w:color w:val="auto"/>
              </w:rPr>
            </w:pPr>
          </w:p>
        </w:tc>
        <w:tc>
          <w:tcPr>
            <w:tcW w:w="580" w:type="dxa"/>
            <w:vAlign w:val="bottom"/>
            <w:gridSpan w:val="3"/>
          </w:tcPr>
          <w:p>
            <w:pPr>
              <w:spacing w:after="0"/>
              <w:rPr>
                <w:sz w:val="18"/>
                <w:szCs w:val="18"/>
                <w:color w:val="auto"/>
              </w:rPr>
            </w:pPr>
          </w:p>
        </w:tc>
        <w:tc>
          <w:tcPr>
            <w:tcW w:w="1020" w:type="dxa"/>
            <w:vAlign w:val="bottom"/>
            <w:gridSpan w:val="5"/>
          </w:tcPr>
          <w:p>
            <w:pPr>
              <w:jc w:val="right"/>
              <w:ind w:right="260"/>
              <w:spacing w:after="0"/>
              <w:rPr>
                <w:sz w:val="20"/>
                <w:szCs w:val="20"/>
                <w:color w:val="auto"/>
              </w:rPr>
            </w:pPr>
            <w:r>
              <w:rPr>
                <w:rFonts w:ascii="Arial" w:cs="Arial" w:eastAsia="Arial" w:hAnsi="Arial"/>
                <w:sz w:val="17"/>
                <w:szCs w:val="17"/>
                <w:b w:val="1"/>
                <w:bCs w:val="1"/>
                <w:color w:val="auto"/>
              </w:rPr>
              <w:t>30</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30</w:t>
            </w: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60" w:type="dxa"/>
            <w:vAlign w:val="bottom"/>
            <w:gridSpan w:val="8"/>
          </w:tcPr>
          <w:p>
            <w:pPr>
              <w:jc w:val="right"/>
              <w:spacing w:after="0"/>
              <w:rPr>
                <w:sz w:val="20"/>
                <w:szCs w:val="20"/>
                <w:color w:val="auto"/>
              </w:rPr>
            </w:pPr>
            <w:r>
              <w:rPr>
                <w:rFonts w:ascii="Arial" w:cs="Arial" w:eastAsia="Arial" w:hAnsi="Arial"/>
                <w:sz w:val="17"/>
                <w:szCs w:val="17"/>
                <w:b w:val="1"/>
                <w:bCs w:val="1"/>
                <w:color w:val="auto"/>
              </w:rPr>
              <w:t>2005</w:t>
            </w:r>
          </w:p>
        </w:tc>
        <w:tc>
          <w:tcPr>
            <w:tcW w:w="220" w:type="dxa"/>
            <w:vAlign w:val="bottom"/>
          </w:tcPr>
          <w:p>
            <w:pPr>
              <w:spacing w:after="0"/>
              <w:rPr>
                <w:sz w:val="18"/>
                <w:szCs w:val="18"/>
                <w:color w:val="auto"/>
              </w:rPr>
            </w:pPr>
          </w:p>
        </w:tc>
        <w:tc>
          <w:tcPr>
            <w:tcW w:w="1600" w:type="dxa"/>
            <w:vAlign w:val="bottom"/>
            <w:gridSpan w:val="8"/>
          </w:tcPr>
          <w:p>
            <w:pPr>
              <w:jc w:val="right"/>
              <w:ind w:right="260"/>
              <w:spacing w:after="0"/>
              <w:rPr>
                <w:sz w:val="20"/>
                <w:szCs w:val="20"/>
                <w:color w:val="auto"/>
              </w:rPr>
            </w:pPr>
            <w:r>
              <w:rPr>
                <w:rFonts w:ascii="Arial" w:cs="Arial" w:eastAsia="Arial" w:hAnsi="Arial"/>
                <w:sz w:val="17"/>
                <w:szCs w:val="17"/>
                <w:b w:val="1"/>
                <w:bCs w:val="1"/>
                <w:color w:val="auto"/>
              </w:rPr>
              <w:t>2004</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2005</w:t>
            </w:r>
          </w:p>
        </w:tc>
        <w:tc>
          <w:tcPr>
            <w:tcW w:w="36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6"/>
          </w:tcPr>
          <w:p>
            <w:pPr>
              <w:jc w:val="center"/>
              <w:ind w:right="20"/>
              <w:spacing w:after="0"/>
              <w:rPr>
                <w:sz w:val="20"/>
                <w:szCs w:val="20"/>
                <w:color w:val="auto"/>
              </w:rPr>
            </w:pPr>
            <w:r>
              <w:rPr>
                <w:rFonts w:ascii="Arial" w:cs="Arial" w:eastAsia="Arial" w:hAnsi="Arial"/>
                <w:sz w:val="17"/>
                <w:szCs w:val="17"/>
                <w:b w:val="1"/>
                <w:bCs w:val="1"/>
                <w:color w:val="auto"/>
                <w:w w:val="88"/>
              </w:rPr>
              <w:t>(in thousands)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9"/>
          </w:tcPr>
          <w:p>
            <w:pPr>
              <w:ind w:left="20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1660" w:type="dxa"/>
            <w:vAlign w:val="bottom"/>
            <w:gridSpan w:val="8"/>
            <w:shd w:val="clear" w:color="auto" w:fill="E2EEF6"/>
          </w:tcPr>
          <w:p>
            <w:pPr>
              <w:jc w:val="right"/>
              <w:spacing w:after="0"/>
              <w:rPr>
                <w:sz w:val="20"/>
                <w:szCs w:val="20"/>
                <w:color w:val="auto"/>
              </w:rPr>
            </w:pPr>
            <w:r>
              <w:rPr>
                <w:rFonts w:ascii="Arial" w:cs="Arial" w:eastAsia="Arial" w:hAnsi="Arial"/>
                <w:sz w:val="17"/>
                <w:szCs w:val="17"/>
                <w:color w:val="auto"/>
              </w:rPr>
              <w:t>$(1,448)</w:t>
            </w:r>
          </w:p>
        </w:tc>
        <w:tc>
          <w:tcPr>
            <w:tcW w:w="220" w:type="dxa"/>
            <w:vAlign w:val="bottom"/>
            <w:shd w:val="clear" w:color="auto" w:fill="E2EEF6"/>
          </w:tcPr>
          <w:p>
            <w:pPr>
              <w:spacing w:after="0"/>
              <w:rPr>
                <w:sz w:val="17"/>
                <w:szCs w:val="17"/>
                <w:color w:val="auto"/>
              </w:rPr>
            </w:pPr>
          </w:p>
        </w:tc>
        <w:tc>
          <w:tcPr>
            <w:tcW w:w="1600" w:type="dxa"/>
            <w:vAlign w:val="bottom"/>
            <w:gridSpan w:val="8"/>
            <w:shd w:val="clear" w:color="auto" w:fill="E2EEF6"/>
          </w:tcPr>
          <w:p>
            <w:pPr>
              <w:jc w:val="right"/>
              <w:ind w:right="260"/>
              <w:spacing w:after="0"/>
              <w:rPr>
                <w:sz w:val="20"/>
                <w:szCs w:val="20"/>
                <w:color w:val="auto"/>
              </w:rPr>
            </w:pPr>
            <w:r>
              <w:rPr>
                <w:rFonts w:ascii="Arial" w:cs="Arial" w:eastAsia="Arial" w:hAnsi="Arial"/>
                <w:sz w:val="17"/>
                <w:szCs w:val="17"/>
                <w:color w:val="auto"/>
              </w:rPr>
              <w:t>$3,609</w:t>
            </w:r>
          </w:p>
        </w:tc>
        <w:tc>
          <w:tcPr>
            <w:tcW w:w="1640" w:type="dxa"/>
            <w:vAlign w:val="bottom"/>
            <w:gridSpan w:val="9"/>
            <w:shd w:val="clear" w:color="auto" w:fill="E2EEF6"/>
          </w:tcPr>
          <w:p>
            <w:pPr>
              <w:jc w:val="right"/>
              <w:ind w:right="180"/>
              <w:spacing w:after="0"/>
              <w:rPr>
                <w:sz w:val="20"/>
                <w:szCs w:val="20"/>
                <w:color w:val="auto"/>
              </w:rPr>
            </w:pPr>
            <w:r>
              <w:rPr>
                <w:rFonts w:ascii="Arial" w:cs="Arial" w:eastAsia="Arial" w:hAnsi="Arial"/>
                <w:sz w:val="17"/>
                <w:szCs w:val="17"/>
                <w:color w:val="auto"/>
              </w:rPr>
              <w:t>$(986)</w:t>
            </w: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$6,420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Rest of Europe</w:t>
            </w:r>
          </w:p>
        </w:tc>
        <w:tc>
          <w:tcPr>
            <w:tcW w:w="1660" w:type="dxa"/>
            <w:vAlign w:val="bottom"/>
            <w:gridSpan w:val="8"/>
          </w:tcPr>
          <w:p>
            <w:pPr>
              <w:jc w:val="right"/>
              <w:spacing w:after="0"/>
              <w:rPr>
                <w:sz w:val="20"/>
                <w:szCs w:val="20"/>
                <w:color w:val="auto"/>
              </w:rPr>
            </w:pPr>
            <w:r>
              <w:rPr>
                <w:rFonts w:ascii="Arial" w:cs="Arial" w:eastAsia="Arial" w:hAnsi="Arial"/>
                <w:sz w:val="17"/>
                <w:szCs w:val="17"/>
                <w:color w:val="auto"/>
              </w:rPr>
              <w:t>5,172</w:t>
            </w:r>
          </w:p>
        </w:tc>
        <w:tc>
          <w:tcPr>
            <w:tcW w:w="220" w:type="dxa"/>
            <w:vAlign w:val="bottom"/>
          </w:tcPr>
          <w:p>
            <w:pPr>
              <w:spacing w:after="0"/>
              <w:rPr>
                <w:sz w:val="17"/>
                <w:szCs w:val="17"/>
                <w:color w:val="auto"/>
              </w:rPr>
            </w:pPr>
          </w:p>
        </w:tc>
        <w:tc>
          <w:tcPr>
            <w:tcW w:w="1600" w:type="dxa"/>
            <w:vAlign w:val="bottom"/>
            <w:gridSpan w:val="8"/>
          </w:tcPr>
          <w:p>
            <w:pPr>
              <w:jc w:val="right"/>
              <w:ind w:right="260"/>
              <w:spacing w:after="0"/>
              <w:rPr>
                <w:sz w:val="20"/>
                <w:szCs w:val="20"/>
                <w:color w:val="auto"/>
              </w:rPr>
            </w:pPr>
            <w:r>
              <w:rPr>
                <w:rFonts w:ascii="Arial" w:cs="Arial" w:eastAsia="Arial" w:hAnsi="Arial"/>
                <w:sz w:val="17"/>
                <w:szCs w:val="17"/>
                <w:color w:val="auto"/>
              </w:rPr>
              <w:t>971</w:t>
            </w:r>
          </w:p>
        </w:tc>
        <w:tc>
          <w:tcPr>
            <w:tcW w:w="1640" w:type="dxa"/>
            <w:vAlign w:val="bottom"/>
            <w:gridSpan w:val="9"/>
          </w:tcPr>
          <w:p>
            <w:pPr>
              <w:jc w:val="right"/>
              <w:ind w:right="180"/>
              <w:spacing w:after="0"/>
              <w:rPr>
                <w:sz w:val="20"/>
                <w:szCs w:val="20"/>
                <w:color w:val="auto"/>
              </w:rPr>
            </w:pPr>
            <w:r>
              <w:rPr>
                <w:rFonts w:ascii="Arial" w:cs="Arial" w:eastAsia="Arial" w:hAnsi="Arial"/>
                <w:sz w:val="17"/>
                <w:szCs w:val="17"/>
                <w:color w:val="auto"/>
              </w:rPr>
              <w:t>9,795</w:t>
            </w:r>
          </w:p>
        </w:tc>
        <w:tc>
          <w:tcPr>
            <w:tcW w:w="3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auto"/>
              </w:rPr>
              <w:t>3,309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1660" w:type="dxa"/>
            <w:vAlign w:val="bottom"/>
            <w:gridSpan w:val="8"/>
            <w:shd w:val="clear" w:color="auto" w:fill="E2EEF6"/>
          </w:tcPr>
          <w:p>
            <w:pPr>
              <w:jc w:val="right"/>
              <w:spacing w:after="0"/>
              <w:rPr>
                <w:sz w:val="20"/>
                <w:szCs w:val="20"/>
                <w:color w:val="auto"/>
              </w:rPr>
            </w:pPr>
            <w:r>
              <w:rPr>
                <w:rFonts w:ascii="Arial" w:cs="Arial" w:eastAsia="Arial" w:hAnsi="Arial"/>
                <w:sz w:val="17"/>
                <w:szCs w:val="17"/>
                <w:color w:val="auto"/>
              </w:rPr>
              <w:t>2,922</w:t>
            </w:r>
          </w:p>
        </w:tc>
        <w:tc>
          <w:tcPr>
            <w:tcW w:w="220" w:type="dxa"/>
            <w:vAlign w:val="bottom"/>
            <w:shd w:val="clear" w:color="auto" w:fill="E2EEF6"/>
          </w:tcPr>
          <w:p>
            <w:pPr>
              <w:spacing w:after="0"/>
              <w:rPr>
                <w:sz w:val="17"/>
                <w:szCs w:val="17"/>
                <w:color w:val="auto"/>
              </w:rPr>
            </w:pPr>
          </w:p>
        </w:tc>
        <w:tc>
          <w:tcPr>
            <w:tcW w:w="1600" w:type="dxa"/>
            <w:vAlign w:val="bottom"/>
            <w:gridSpan w:val="8"/>
            <w:shd w:val="clear" w:color="auto" w:fill="E2EEF6"/>
          </w:tcPr>
          <w:p>
            <w:pPr>
              <w:jc w:val="right"/>
              <w:ind w:right="260"/>
              <w:spacing w:after="0"/>
              <w:rPr>
                <w:sz w:val="20"/>
                <w:szCs w:val="20"/>
                <w:color w:val="auto"/>
              </w:rPr>
            </w:pPr>
            <w:r>
              <w:rPr>
                <w:rFonts w:ascii="Arial" w:cs="Arial" w:eastAsia="Arial" w:hAnsi="Arial"/>
                <w:sz w:val="17"/>
                <w:szCs w:val="17"/>
                <w:color w:val="auto"/>
              </w:rPr>
              <w:t>1,915</w:t>
            </w:r>
          </w:p>
        </w:tc>
        <w:tc>
          <w:tcPr>
            <w:tcW w:w="1640" w:type="dxa"/>
            <w:vAlign w:val="bottom"/>
            <w:gridSpan w:val="9"/>
            <w:shd w:val="clear" w:color="auto" w:fill="E2EEF6"/>
          </w:tcPr>
          <w:p>
            <w:pPr>
              <w:jc w:val="right"/>
              <w:ind w:right="180"/>
              <w:spacing w:after="0"/>
              <w:rPr>
                <w:sz w:val="20"/>
                <w:szCs w:val="20"/>
                <w:color w:val="auto"/>
              </w:rPr>
            </w:pPr>
            <w:r>
              <w:rPr>
                <w:rFonts w:ascii="Arial" w:cs="Arial" w:eastAsia="Arial" w:hAnsi="Arial"/>
                <w:sz w:val="17"/>
                <w:szCs w:val="17"/>
                <w:color w:val="auto"/>
              </w:rPr>
              <w:t>4,562</w:t>
            </w:r>
          </w:p>
        </w:tc>
        <w:tc>
          <w:tcPr>
            <w:tcW w:w="360" w:type="dxa"/>
            <w:vAlign w:val="bottom"/>
            <w:tcBorders>
              <w:right w:val="single" w:sz="8" w:color="E2EEF6"/>
            </w:tcBorders>
            <w:shd w:val="clear" w:color="auto" w:fill="E2EEF6"/>
          </w:tcPr>
          <w:p>
            <w:pPr>
              <w:spacing w:after="0"/>
              <w:rPr>
                <w:sz w:val="17"/>
                <w:szCs w:val="17"/>
                <w:color w:val="auto"/>
              </w:rPr>
            </w:pPr>
          </w:p>
        </w:tc>
        <w:tc>
          <w:tcPr>
            <w:tcW w:w="74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4,614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 of the World</w:t>
            </w:r>
          </w:p>
        </w:tc>
        <w:tc>
          <w:tcPr>
            <w:tcW w:w="166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2,372</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7"/>
                <w:szCs w:val="17"/>
                <w:color w:val="auto"/>
              </w:rPr>
              <w:t>513</w:t>
            </w:r>
          </w:p>
        </w:tc>
        <w:tc>
          <w:tcPr>
            <w:tcW w:w="16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7"/>
                <w:szCs w:val="17"/>
                <w:color w:val="auto"/>
              </w:rPr>
              <w:t>4,015</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2,150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5180" w:type="dxa"/>
            <w:vAlign w:val="bottom"/>
            <w:shd w:val="clear" w:color="auto" w:fill="E2EEF6"/>
          </w:tcPr>
          <w:p>
            <w:pPr>
              <w:spacing w:after="0"/>
              <w:rPr>
                <w:sz w:val="19"/>
                <w:szCs w:val="19"/>
                <w:color w:val="auto"/>
              </w:rPr>
            </w:pPr>
          </w:p>
        </w:tc>
        <w:tc>
          <w:tcPr>
            <w:tcW w:w="3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20" w:type="dxa"/>
            <w:vAlign w:val="bottom"/>
            <w:shd w:val="clear" w:color="auto" w:fill="E2EEF6"/>
          </w:tcPr>
          <w:p>
            <w:pPr>
              <w:spacing w:after="0"/>
              <w:rPr>
                <w:sz w:val="19"/>
                <w:szCs w:val="19"/>
                <w:color w:val="auto"/>
              </w:rPr>
            </w:pPr>
          </w:p>
        </w:tc>
        <w:tc>
          <w:tcPr>
            <w:tcW w:w="120" w:type="dxa"/>
            <w:vAlign w:val="bottom"/>
            <w:shd w:val="clear" w:color="auto" w:fill="E2EEF6"/>
          </w:tcPr>
          <w:p>
            <w:pPr>
              <w:spacing w:after="0"/>
              <w:rPr>
                <w:sz w:val="19"/>
                <w:szCs w:val="19"/>
                <w:color w:val="auto"/>
              </w:rPr>
            </w:pPr>
          </w:p>
        </w:tc>
        <w:tc>
          <w:tcPr>
            <w:tcW w:w="30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24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260" w:type="dxa"/>
            <w:vAlign w:val="bottom"/>
            <w:shd w:val="clear" w:color="auto" w:fill="E2EEF6"/>
          </w:tcPr>
          <w:p>
            <w:pPr>
              <w:spacing w:after="0"/>
              <w:rPr>
                <w:sz w:val="19"/>
                <w:szCs w:val="19"/>
                <w:color w:val="auto"/>
              </w:rPr>
            </w:pPr>
          </w:p>
        </w:tc>
        <w:tc>
          <w:tcPr>
            <w:tcW w:w="140" w:type="dxa"/>
            <w:vAlign w:val="bottom"/>
            <w:tcBorders>
              <w:right w:val="single" w:sz="8" w:color="E2EEF6"/>
            </w:tcBorders>
            <w:shd w:val="clear" w:color="auto" w:fill="E2EEF6"/>
          </w:tcPr>
          <w:p>
            <w:pPr>
              <w:spacing w:after="0"/>
              <w:rPr>
                <w:sz w:val="19"/>
                <w:szCs w:val="19"/>
                <w:color w:val="auto"/>
              </w:rPr>
            </w:pPr>
          </w:p>
        </w:tc>
        <w:tc>
          <w:tcPr>
            <w:tcW w:w="280" w:type="dxa"/>
            <w:vAlign w:val="bottom"/>
            <w:shd w:val="clear" w:color="auto" w:fill="E2EEF6"/>
          </w:tcPr>
          <w:p>
            <w:pPr>
              <w:spacing w:after="0"/>
              <w:rPr>
                <w:sz w:val="19"/>
                <w:szCs w:val="19"/>
                <w:color w:val="auto"/>
              </w:rPr>
            </w:pPr>
          </w:p>
        </w:tc>
        <w:tc>
          <w:tcPr>
            <w:tcW w:w="140" w:type="dxa"/>
            <w:vAlign w:val="bottom"/>
            <w:shd w:val="clear" w:color="auto" w:fill="E2EEF6"/>
          </w:tcPr>
          <w:p>
            <w:pPr>
              <w:spacing w:after="0"/>
              <w:rPr>
                <w:sz w:val="19"/>
                <w:szCs w:val="19"/>
                <w:color w:val="auto"/>
              </w:rPr>
            </w:pPr>
          </w:p>
        </w:tc>
        <w:tc>
          <w:tcPr>
            <w:tcW w:w="40" w:type="dxa"/>
            <w:vAlign w:val="bottom"/>
            <w:shd w:val="clear" w:color="auto" w:fill="E2EEF6"/>
          </w:tcPr>
          <w:p>
            <w:pPr>
              <w:spacing w:after="0"/>
              <w:rPr>
                <w:sz w:val="19"/>
                <w:szCs w:val="19"/>
                <w:color w:val="auto"/>
              </w:rPr>
            </w:pPr>
          </w:p>
        </w:tc>
        <w:tc>
          <w:tcPr>
            <w:tcW w:w="160" w:type="dxa"/>
            <w:vAlign w:val="bottom"/>
            <w:tcBorders>
              <w:right w:val="single" w:sz="8" w:color="E2EEF6"/>
            </w:tcBorders>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360" w:type="dxa"/>
            <w:vAlign w:val="bottom"/>
            <w:tcBorders>
              <w:right w:val="single" w:sz="8" w:color="E2EEF6"/>
            </w:tcBorders>
            <w:shd w:val="clear" w:color="auto" w:fill="E2EEF6"/>
          </w:tcPr>
          <w:p>
            <w:pPr>
              <w:spacing w:after="0"/>
              <w:rPr>
                <w:sz w:val="19"/>
                <w:szCs w:val="19"/>
                <w:color w:val="auto"/>
              </w:rPr>
            </w:pPr>
          </w:p>
        </w:tc>
        <w:tc>
          <w:tcPr>
            <w:tcW w:w="400" w:type="dxa"/>
            <w:vAlign w:val="bottom"/>
            <w:shd w:val="clear" w:color="auto" w:fill="E2EEF6"/>
          </w:tcPr>
          <w:p>
            <w:pPr>
              <w:spacing w:after="0"/>
              <w:rPr>
                <w:sz w:val="19"/>
                <w:szCs w:val="19"/>
                <w:color w:val="auto"/>
              </w:rPr>
            </w:pPr>
          </w:p>
        </w:tc>
        <w:tc>
          <w:tcPr>
            <w:tcW w:w="180" w:type="dxa"/>
            <w:vAlign w:val="bottom"/>
            <w:shd w:val="clear" w:color="auto" w:fill="E2EEF6"/>
          </w:tcPr>
          <w:p>
            <w:pPr>
              <w:spacing w:after="0"/>
              <w:rPr>
                <w:sz w:val="19"/>
                <w:szCs w:val="19"/>
                <w:color w:val="auto"/>
              </w:rPr>
            </w:pPr>
          </w:p>
        </w:tc>
        <w:tc>
          <w:tcPr>
            <w:tcW w:w="160" w:type="dxa"/>
            <w:vAlign w:val="bottom"/>
            <w:shd w:val="clear" w:color="auto" w:fill="E2EEF6"/>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vMerge w:val="continue"/>
          </w:tcPr>
          <w:p>
            <w:pPr>
              <w:spacing w:after="0"/>
              <w:rPr>
                <w:sz w:val="17"/>
                <w:szCs w:val="17"/>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66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$9,018</w:t>
            </w: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7"/>
                <w:szCs w:val="17"/>
                <w:color w:val="auto"/>
              </w:rPr>
              <w:t>$7,008</w:t>
            </w:r>
          </w:p>
        </w:tc>
        <w:tc>
          <w:tcPr>
            <w:tcW w:w="164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7"/>
                <w:szCs w:val="17"/>
                <w:color w:val="auto"/>
              </w:rPr>
              <w:t>$17,386</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$16,493</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d) The distribution of income from operations by business segment was as follows: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gridSpan w:val="6"/>
          </w:tcPr>
          <w:p>
            <w:pPr>
              <w:spacing w:after="0"/>
              <w:rPr>
                <w:sz w:val="20"/>
                <w:szCs w:val="20"/>
                <w:color w:val="auto"/>
              </w:rPr>
            </w:pPr>
            <w:r>
              <w:rPr>
                <w:rFonts w:ascii="Arial" w:cs="Arial" w:eastAsia="Arial" w:hAnsi="Arial"/>
                <w:sz w:val="16"/>
                <w:szCs w:val="16"/>
                <w:b w:val="1"/>
                <w:bCs w:val="1"/>
                <w:color w:val="auto"/>
                <w:w w:val="96"/>
              </w:rPr>
              <w:t>Three Months Ended</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6"/>
          </w:tcPr>
          <w:p>
            <w:pPr>
              <w:ind w:left="80"/>
              <w:spacing w:after="0"/>
              <w:rPr>
                <w:sz w:val="20"/>
                <w:szCs w:val="20"/>
                <w:color w:val="auto"/>
              </w:rPr>
            </w:pPr>
            <w:r>
              <w:rPr>
                <w:rFonts w:ascii="Arial" w:cs="Arial" w:eastAsia="Arial" w:hAnsi="Arial"/>
                <w:sz w:val="16"/>
                <w:szCs w:val="16"/>
                <w:b w:val="1"/>
                <w:bCs w:val="1"/>
                <w:color w:val="auto"/>
              </w:rPr>
              <w:t>Six Months Ended</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880" w:type="dxa"/>
            <w:vAlign w:val="bottom"/>
            <w:gridSpan w:val="8"/>
          </w:tcPr>
          <w:p>
            <w:pPr>
              <w:ind w:left="2300"/>
              <w:spacing w:after="0"/>
              <w:rPr>
                <w:sz w:val="20"/>
                <w:szCs w:val="20"/>
                <w:color w:val="auto"/>
              </w:rPr>
            </w:pPr>
            <w:r>
              <w:rPr>
                <w:rFonts w:ascii="Arial" w:cs="Arial" w:eastAsia="Arial" w:hAnsi="Arial"/>
                <w:sz w:val="16"/>
                <w:szCs w:val="16"/>
                <w:b w:val="1"/>
                <w:bCs w:val="1"/>
                <w:color w:val="auto"/>
              </w:rPr>
              <w:t>November</w:t>
            </w:r>
          </w:p>
        </w:tc>
        <w:tc>
          <w:tcPr>
            <w:tcW w:w="110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1"/>
              </w:rPr>
              <w:t>November</w:t>
            </w:r>
          </w:p>
        </w:tc>
        <w:tc>
          <w:tcPr>
            <w:tcW w:w="80" w:type="dxa"/>
            <w:vAlign w:val="bottom"/>
          </w:tcPr>
          <w:p>
            <w:pPr>
              <w:spacing w:after="0"/>
              <w:rPr>
                <w:sz w:val="16"/>
                <w:szCs w:val="16"/>
                <w:color w:val="auto"/>
              </w:rPr>
            </w:pPr>
          </w:p>
        </w:tc>
        <w:tc>
          <w:tcPr>
            <w:tcW w:w="2140" w:type="dxa"/>
            <w:vAlign w:val="bottom"/>
            <w:gridSpan w:val="5"/>
          </w:tcPr>
          <w:p>
            <w:pPr>
              <w:jc w:val="right"/>
              <w:ind w:right="960"/>
              <w:spacing w:after="0"/>
              <w:rPr>
                <w:sz w:val="20"/>
                <w:szCs w:val="20"/>
                <w:color w:val="auto"/>
              </w:rPr>
            </w:pPr>
            <w:r>
              <w:rPr>
                <w:rFonts w:ascii="Arial" w:cs="Arial" w:eastAsia="Arial" w:hAnsi="Arial"/>
                <w:sz w:val="16"/>
                <w:szCs w:val="16"/>
                <w:b w:val="1"/>
                <w:bCs w:val="1"/>
                <w:color w:val="auto"/>
              </w:rPr>
              <w:t>November</w:t>
            </w: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w w:val="84"/>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80" w:type="dxa"/>
            <w:vAlign w:val="bottom"/>
            <w:tcBorders>
              <w:top w:val="single" w:sz="8" w:color="auto"/>
            </w:tcBorders>
            <w:gridSpan w:val="3"/>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30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3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960" w:type="dxa"/>
            <w:vAlign w:val="bottom"/>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4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2004</w:t>
            </w:r>
          </w:p>
        </w:tc>
        <w:tc>
          <w:tcPr>
            <w:tcW w:w="36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Arial" w:cs="Arial" w:eastAsia="Arial" w:hAnsi="Arial"/>
                <w:sz w:val="16"/>
                <w:szCs w:val="16"/>
                <w:b w:val="1"/>
                <w:bCs w:val="1"/>
                <w:color w:val="auto"/>
              </w:rPr>
              <w:t>2005</w:t>
            </w:r>
          </w:p>
        </w:tc>
        <w:tc>
          <w:tcPr>
            <w:tcW w:w="9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2004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5"/>
          </w:tcPr>
          <w:p>
            <w:pPr>
              <w:ind w:left="120"/>
              <w:spacing w:after="0"/>
              <w:rPr>
                <w:sz w:val="20"/>
                <w:szCs w:val="20"/>
                <w:color w:val="auto"/>
              </w:rPr>
            </w:pPr>
            <w:r>
              <w:rPr>
                <w:rFonts w:ascii="Arial" w:cs="Arial" w:eastAsia="Arial" w:hAnsi="Arial"/>
                <w:sz w:val="16"/>
                <w:szCs w:val="16"/>
                <w:b w:val="1"/>
                <w:bCs w:val="1"/>
                <w:color w:val="auto"/>
                <w:w w:val="99"/>
              </w:rPr>
              <w:t>(in thousands)</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2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352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7"/>
                <w:szCs w:val="17"/>
                <w:color w:val="auto"/>
              </w:rPr>
            </w:pPr>
          </w:p>
        </w:tc>
        <w:tc>
          <w:tcPr>
            <w:tcW w:w="35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3740" w:type="dxa"/>
            <w:vAlign w:val="bottom"/>
            <w:gridSpan w:val="7"/>
            <w:shd w:val="clear" w:color="auto" w:fill="E2EEF6"/>
          </w:tcPr>
          <w:p>
            <w:pPr>
              <w:jc w:val="right"/>
              <w:ind w:right="440"/>
              <w:spacing w:after="0"/>
              <w:rPr>
                <w:sz w:val="20"/>
                <w:szCs w:val="20"/>
                <w:color w:val="auto"/>
              </w:rPr>
            </w:pPr>
            <w:r>
              <w:rPr>
                <w:rFonts w:ascii="Arial" w:cs="Arial" w:eastAsia="Arial" w:hAnsi="Arial"/>
                <w:sz w:val="17"/>
                <w:szCs w:val="17"/>
                <w:color w:val="auto"/>
              </w:rPr>
              <w:t>$(1,194)</w:t>
            </w:r>
          </w:p>
        </w:tc>
        <w:tc>
          <w:tcPr>
            <w:tcW w:w="140" w:type="dxa"/>
            <w:vAlign w:val="bottom"/>
            <w:shd w:val="clear" w:color="auto" w:fill="E2EEF6"/>
          </w:tcPr>
          <w:p>
            <w:pPr>
              <w:spacing w:after="0"/>
              <w:rPr>
                <w:sz w:val="17"/>
                <w:szCs w:val="17"/>
                <w:color w:val="auto"/>
              </w:rPr>
            </w:pPr>
          </w:p>
        </w:tc>
        <w:tc>
          <w:tcPr>
            <w:tcW w:w="1100" w:type="dxa"/>
            <w:vAlign w:val="bottom"/>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$(1,893)</w:t>
            </w:r>
          </w:p>
        </w:tc>
        <w:tc>
          <w:tcPr>
            <w:tcW w:w="2220" w:type="dxa"/>
            <w:vAlign w:val="bottom"/>
            <w:gridSpan w:val="6"/>
            <w:shd w:val="clear" w:color="auto" w:fill="E2EEF6"/>
          </w:tcPr>
          <w:p>
            <w:pPr>
              <w:jc w:val="right"/>
              <w:ind w:right="800"/>
              <w:spacing w:after="0"/>
              <w:rPr>
                <w:sz w:val="20"/>
                <w:szCs w:val="20"/>
                <w:color w:val="auto"/>
              </w:rPr>
            </w:pPr>
            <w:r>
              <w:rPr>
                <w:rFonts w:ascii="Arial" w:cs="Arial" w:eastAsia="Arial" w:hAnsi="Arial"/>
                <w:sz w:val="17"/>
                <w:szCs w:val="17"/>
                <w:color w:val="auto"/>
              </w:rPr>
              <w:t>$(2,809)</w:t>
            </w:r>
          </w:p>
        </w:tc>
        <w:tc>
          <w:tcPr>
            <w:tcW w:w="680" w:type="dxa"/>
            <w:vAlign w:val="bottom"/>
            <w:gridSpan w:val="3"/>
            <w:shd w:val="clear" w:color="auto" w:fill="E2EEF6"/>
          </w:tcPr>
          <w:p>
            <w:pPr>
              <w:jc w:val="right"/>
              <w:spacing w:after="0"/>
              <w:rPr>
                <w:sz w:val="20"/>
                <w:szCs w:val="20"/>
                <w:color w:val="auto"/>
              </w:rPr>
            </w:pPr>
            <w:r>
              <w:rPr>
                <w:rFonts w:ascii="Arial" w:cs="Arial" w:eastAsia="Arial" w:hAnsi="Arial"/>
                <w:sz w:val="17"/>
                <w:szCs w:val="17"/>
                <w:color w:val="auto"/>
              </w:rPr>
              <w:t>$(2,754)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Clinical research</w:t>
            </w:r>
          </w:p>
        </w:tc>
        <w:tc>
          <w:tcPr>
            <w:tcW w:w="374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7"/>
                <w:szCs w:val="17"/>
                <w:color w:val="auto"/>
              </w:rPr>
              <w:t>10,212</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rPr>
              <w:t>8,901</w:t>
            </w:r>
          </w:p>
        </w:tc>
        <w:tc>
          <w:tcPr>
            <w:tcW w:w="22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7"/>
                <w:szCs w:val="17"/>
                <w:color w:val="auto"/>
              </w:rPr>
              <w:t>20,195</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19,247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3520" w:type="dxa"/>
            <w:vAlign w:val="bottom"/>
            <w:tcBorders>
              <w:bottom w:val="single" w:sz="8" w:color="auto"/>
            </w:tcBorders>
            <w:shd w:val="clear" w:color="auto" w:fill="E2EEF6"/>
          </w:tcPr>
          <w:p>
            <w:pPr>
              <w:spacing w:after="0"/>
              <w:rPr>
                <w:sz w:val="20"/>
                <w:szCs w:val="20"/>
                <w:color w:val="auto"/>
              </w:rPr>
            </w:pPr>
            <w:r>
              <w:rPr>
                <w:rFonts w:ascii="Arial" w:cs="Arial" w:eastAsia="Arial" w:hAnsi="Arial"/>
                <w:sz w:val="17"/>
                <w:szCs w:val="17"/>
                <w:color w:val="auto"/>
              </w:rPr>
              <w:t>Total</w:t>
            </w:r>
          </w:p>
        </w:tc>
        <w:tc>
          <w:tcPr>
            <w:tcW w:w="3740" w:type="dxa"/>
            <w:vAlign w:val="bottom"/>
            <w:tcBorders>
              <w:bottom w:val="single" w:sz="8" w:color="auto"/>
            </w:tcBorders>
            <w:gridSpan w:val="7"/>
            <w:shd w:val="clear" w:color="auto" w:fill="E2EEF6"/>
          </w:tcPr>
          <w:p>
            <w:pPr>
              <w:jc w:val="right"/>
              <w:ind w:right="440"/>
              <w:spacing w:after="0"/>
              <w:rPr>
                <w:sz w:val="20"/>
                <w:szCs w:val="20"/>
                <w:color w:val="auto"/>
              </w:rPr>
            </w:pPr>
            <w:r>
              <w:rPr>
                <w:rFonts w:ascii="Arial" w:cs="Arial" w:eastAsia="Arial" w:hAnsi="Arial"/>
                <w:sz w:val="17"/>
                <w:szCs w:val="17"/>
                <w:color w:val="auto"/>
              </w:rPr>
              <w:t>$9,018</w:t>
            </w:r>
          </w:p>
        </w:tc>
        <w:tc>
          <w:tcPr>
            <w:tcW w:w="140" w:type="dxa"/>
            <w:vAlign w:val="bottom"/>
            <w:tcBorders>
              <w:bottom w:val="single" w:sz="8" w:color="auto"/>
            </w:tcBorders>
            <w:shd w:val="clear" w:color="auto" w:fill="E2EEF6"/>
          </w:tcPr>
          <w:p>
            <w:pPr>
              <w:spacing w:after="0"/>
              <w:rPr>
                <w:sz w:val="24"/>
                <w:szCs w:val="24"/>
                <w:color w:val="auto"/>
              </w:rPr>
            </w:pPr>
          </w:p>
        </w:tc>
        <w:tc>
          <w:tcPr>
            <w:tcW w:w="1100" w:type="dxa"/>
            <w:vAlign w:val="bottom"/>
            <w:tcBorders>
              <w:bottom w:val="single" w:sz="8" w:color="auto"/>
            </w:tcBorders>
            <w:gridSpan w:val="4"/>
            <w:shd w:val="clear" w:color="auto" w:fill="E2EEF6"/>
          </w:tcPr>
          <w:p>
            <w:pPr>
              <w:jc w:val="right"/>
              <w:ind w:right="80"/>
              <w:spacing w:after="0"/>
              <w:rPr>
                <w:sz w:val="20"/>
                <w:szCs w:val="20"/>
                <w:color w:val="auto"/>
              </w:rPr>
            </w:pPr>
            <w:r>
              <w:rPr>
                <w:rFonts w:ascii="Arial" w:cs="Arial" w:eastAsia="Arial" w:hAnsi="Arial"/>
                <w:sz w:val="17"/>
                <w:szCs w:val="17"/>
                <w:color w:val="auto"/>
              </w:rPr>
              <w:t>$7,008</w:t>
            </w:r>
          </w:p>
        </w:tc>
        <w:tc>
          <w:tcPr>
            <w:tcW w:w="2220" w:type="dxa"/>
            <w:vAlign w:val="bottom"/>
            <w:tcBorders>
              <w:bottom w:val="single" w:sz="8" w:color="auto"/>
            </w:tcBorders>
            <w:gridSpan w:val="6"/>
            <w:shd w:val="clear" w:color="auto" w:fill="E2EEF6"/>
          </w:tcPr>
          <w:p>
            <w:pPr>
              <w:jc w:val="right"/>
              <w:ind w:right="800"/>
              <w:spacing w:after="0"/>
              <w:rPr>
                <w:sz w:val="20"/>
                <w:szCs w:val="20"/>
                <w:color w:val="auto"/>
              </w:rPr>
            </w:pPr>
            <w:r>
              <w:rPr>
                <w:rFonts w:ascii="Arial" w:cs="Arial" w:eastAsia="Arial" w:hAnsi="Arial"/>
                <w:sz w:val="17"/>
                <w:szCs w:val="17"/>
                <w:color w:val="auto"/>
              </w:rPr>
              <w:t>$17,386</w:t>
            </w:r>
          </w:p>
        </w:tc>
        <w:tc>
          <w:tcPr>
            <w:tcW w:w="680" w:type="dxa"/>
            <w:vAlign w:val="bottom"/>
            <w:tcBorders>
              <w:bottom w:val="single" w:sz="8" w:color="auto"/>
            </w:tcBorders>
            <w:gridSpan w:val="3"/>
            <w:shd w:val="clear" w:color="auto" w:fill="E2EEF6"/>
          </w:tcPr>
          <w:p>
            <w:pPr>
              <w:jc w:val="right"/>
              <w:spacing w:after="0"/>
              <w:rPr>
                <w:sz w:val="20"/>
                <w:szCs w:val="20"/>
                <w:color w:val="auto"/>
              </w:rPr>
            </w:pPr>
            <w:r>
              <w:rPr>
                <w:rFonts w:ascii="Arial" w:cs="Arial" w:eastAsia="Arial" w:hAnsi="Arial"/>
                <w:sz w:val="17"/>
                <w:szCs w:val="17"/>
                <w:color w:val="auto"/>
              </w:rPr>
              <w:t>$16,493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120" w:type="dxa"/>
            <w:vAlign w:val="bottom"/>
          </w:tcPr>
          <w:p>
            <w:pPr>
              <w:spacing w:after="0"/>
              <w:rPr>
                <w:sz w:val="20"/>
                <w:szCs w:val="20"/>
                <w:color w:val="auto"/>
              </w:rPr>
            </w:pPr>
            <w:r>
              <w:rPr>
                <w:rFonts w:ascii="Arial" w:cs="Arial" w:eastAsia="Arial" w:hAnsi="Arial"/>
                <w:sz w:val="17"/>
                <w:szCs w:val="17"/>
                <w:color w:val="auto"/>
              </w:rPr>
              <w:t>e) The distribution of property, plant and equipment, net, by geographical area was as follows: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1"/>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November 30,</w:t>
            </w:r>
          </w:p>
        </w:tc>
        <w:tc>
          <w:tcPr>
            <w:tcW w:w="6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May 31,</w:t>
            </w:r>
          </w:p>
        </w:tc>
      </w:tr>
      <w:tr>
        <w:trPr>
          <w:trHeight w:val="226"/>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2005</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440" w:type="dxa"/>
            <w:vAlign w:val="bottom"/>
            <w:gridSpan w:val="2"/>
            <w:shd w:val="clear" w:color="auto" w:fill="E2EEF6"/>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22,584</w:t>
            </w: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20,471</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Rest of Europe</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6,731</w:t>
            </w: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7,273</w:t>
            </w: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2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16,733</w:t>
            </w:r>
          </w:p>
        </w:tc>
        <w:tc>
          <w:tcPr>
            <w:tcW w:w="640" w:type="dxa"/>
            <w:vAlign w:val="bottom"/>
            <w:shd w:val="clear" w:color="auto" w:fill="E2EEF6"/>
          </w:tcPr>
          <w:p>
            <w:pPr>
              <w:spacing w:after="0"/>
              <w:rPr>
                <w:sz w:val="20"/>
                <w:szCs w:val="20"/>
                <w:color w:val="auto"/>
              </w:rPr>
            </w:pP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15,927</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Rest of the World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1,568</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1,615</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47,616</w:t>
            </w:r>
          </w:p>
        </w:tc>
        <w:tc>
          <w:tcPr>
            <w:tcW w:w="22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45,286</w:t>
            </w:r>
          </w:p>
        </w:tc>
      </w:tr>
      <w:tr>
        <w:trPr>
          <w:trHeight w:val="445"/>
        </w:trPr>
        <w:tc>
          <w:tcPr>
            <w:tcW w:w="81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 The distribution of property, plant and equipment, net, by business segment was as follows:</w:t>
            </w:r>
          </w:p>
        </w:tc>
        <w:tc>
          <w:tcPr>
            <w:tcW w:w="220" w:type="dxa"/>
            <w:vAlign w:val="bottom"/>
            <w:tcBorders>
              <w:top w:val="single" w:sz="8" w:color="E2EEF6"/>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447"/>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November 30,</w:t>
            </w:r>
          </w:p>
        </w:tc>
        <w:tc>
          <w:tcPr>
            <w:tcW w:w="64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May 31,</w:t>
            </w:r>
          </w:p>
        </w:tc>
      </w:tr>
      <w:tr>
        <w:trPr>
          <w:trHeight w:val="226"/>
        </w:trPr>
        <w:tc>
          <w:tcPr>
            <w:tcW w:w="8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2005</w:t>
            </w:r>
          </w:p>
        </w:tc>
        <w:tc>
          <w:tcPr>
            <w:tcW w:w="6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9"/>
                <w:szCs w:val="19"/>
                <w:color w:val="auto"/>
              </w:rPr>
            </w:pPr>
          </w:p>
        </w:tc>
      </w:tr>
      <w:tr>
        <w:trPr>
          <w:trHeight w:val="240"/>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gridSpan w:val="3"/>
          </w:tcPr>
          <w:p>
            <w:pPr>
              <w:jc w:val="right"/>
              <w:ind w:right="65"/>
              <w:spacing w:after="0"/>
              <w:rPr>
                <w:sz w:val="20"/>
                <w:szCs w:val="20"/>
                <w:color w:val="auto"/>
              </w:rPr>
            </w:pPr>
            <w:r>
              <w:rPr>
                <w:rFonts w:ascii="Arial" w:cs="Arial" w:eastAsia="Arial" w:hAnsi="Arial"/>
                <w:sz w:val="16"/>
                <w:szCs w:val="16"/>
                <w:b w:val="1"/>
                <w:bCs w:val="1"/>
                <w:color w:val="auto"/>
              </w:rPr>
              <w:t>(in thousands)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8120" w:type="dxa"/>
            <w:vAlign w:val="bottom"/>
          </w:tcPr>
          <w:p>
            <w:pPr>
              <w:spacing w:after="0"/>
              <w:rPr>
                <w:sz w:val="22"/>
                <w:szCs w:val="22"/>
                <w:color w:val="auto"/>
              </w:rPr>
            </w:pPr>
          </w:p>
        </w:tc>
        <w:tc>
          <w:tcPr>
            <w:tcW w:w="440" w:type="dxa"/>
            <w:vAlign w:val="bottom"/>
            <w:gridSpan w:val="2"/>
          </w:tcPr>
          <w:p>
            <w:pPr>
              <w:spacing w:after="0"/>
              <w:rPr>
                <w:sz w:val="22"/>
                <w:szCs w:val="22"/>
                <w:color w:val="auto"/>
              </w:rPr>
            </w:pPr>
          </w:p>
        </w:tc>
        <w:tc>
          <w:tcPr>
            <w:tcW w:w="1400" w:type="dxa"/>
            <w:vAlign w:val="bottom"/>
            <w:gridSpan w:val="2"/>
          </w:tcPr>
          <w:p>
            <w:pPr>
              <w:spacing w:after="0"/>
              <w:rPr>
                <w:sz w:val="22"/>
                <w:szCs w:val="22"/>
                <w:color w:val="auto"/>
              </w:rPr>
            </w:pPr>
          </w:p>
        </w:tc>
        <w:tc>
          <w:tcPr>
            <w:tcW w:w="640" w:type="dxa"/>
            <w:vAlign w:val="bottom"/>
          </w:tcPr>
          <w:p>
            <w:pPr>
              <w:spacing w:after="0"/>
              <w:rPr>
                <w:sz w:val="22"/>
                <w:szCs w:val="22"/>
                <w:color w:val="auto"/>
              </w:rPr>
            </w:pPr>
          </w:p>
        </w:tc>
        <w:tc>
          <w:tcPr>
            <w:tcW w:w="820" w:type="dxa"/>
            <w:vAlign w:val="bottom"/>
            <w:gridSpan w:val="2"/>
          </w:tcPr>
          <w:p>
            <w:pPr>
              <w:spacing w:after="0"/>
              <w:rPr>
                <w:sz w:val="22"/>
                <w:szCs w:val="22"/>
                <w:color w:val="auto"/>
              </w:rPr>
            </w:pPr>
          </w:p>
        </w:tc>
      </w:tr>
      <w:tr>
        <w:trPr>
          <w:trHeight w:val="233"/>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440" w:type="dxa"/>
            <w:vAlign w:val="bottom"/>
            <w:gridSpan w:val="2"/>
            <w:shd w:val="clear" w:color="auto" w:fill="E2EEF6"/>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E2EEF6"/>
          </w:tcPr>
          <w:p>
            <w:pPr>
              <w:jc w:val="right"/>
              <w:ind w:right="220"/>
              <w:spacing w:after="0"/>
              <w:rPr>
                <w:sz w:val="20"/>
                <w:szCs w:val="20"/>
                <w:color w:val="auto"/>
              </w:rPr>
            </w:pPr>
            <w:r>
              <w:rPr>
                <w:rFonts w:ascii="Arial" w:cs="Arial" w:eastAsia="Arial" w:hAnsi="Arial"/>
                <w:sz w:val="17"/>
                <w:szCs w:val="17"/>
                <w:color w:val="auto"/>
              </w:rPr>
              <w:t>3,609</w:t>
            </w: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2,940</w:t>
            </w:r>
          </w:p>
        </w:tc>
      </w:tr>
      <w:tr>
        <w:trPr>
          <w:trHeight w:val="233"/>
        </w:trPr>
        <w:tc>
          <w:tcPr>
            <w:tcW w:w="8120" w:type="dxa"/>
            <w:vAlign w:val="bottom"/>
          </w:tcPr>
          <w:p>
            <w:pPr>
              <w:spacing w:after="0"/>
              <w:rPr>
                <w:sz w:val="20"/>
                <w:szCs w:val="20"/>
                <w:color w:val="auto"/>
              </w:rPr>
            </w:pPr>
            <w:r>
              <w:rPr>
                <w:rFonts w:ascii="Arial" w:cs="Arial" w:eastAsia="Arial" w:hAnsi="Arial"/>
                <w:sz w:val="17"/>
                <w:szCs w:val="17"/>
                <w:color w:val="auto"/>
              </w:rPr>
              <w:t>Clinical research</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44,007</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42,346</w:t>
            </w:r>
          </w:p>
        </w:tc>
      </w:tr>
      <w:tr>
        <w:trPr>
          <w:trHeight w:val="20"/>
        </w:trPr>
        <w:tc>
          <w:tcPr>
            <w:tcW w:w="8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81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20" w:type="dxa"/>
            <w:vAlign w:val="bottom"/>
            <w:shd w:val="clear" w:color="auto" w:fill="E2EEF6"/>
          </w:tcPr>
          <w:p>
            <w:pPr>
              <w:spacing w:after="0"/>
              <w:rPr>
                <w:sz w:val="24"/>
                <w:szCs w:val="24"/>
                <w:color w:val="auto"/>
              </w:rPr>
            </w:pPr>
          </w:p>
        </w:tc>
        <w:tc>
          <w:tcPr>
            <w:tcW w:w="220" w:type="dxa"/>
            <w:vAlign w:val="bottom"/>
            <w:shd w:val="clear" w:color="auto" w:fill="E2EEF6"/>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E2EEF6"/>
          </w:tcPr>
          <w:p>
            <w:pPr>
              <w:jc w:val="right"/>
              <w:spacing w:after="0"/>
              <w:rPr>
                <w:sz w:val="20"/>
                <w:szCs w:val="20"/>
                <w:color w:val="auto"/>
              </w:rPr>
            </w:pPr>
            <w:r>
              <w:rPr>
                <w:rFonts w:ascii="Arial" w:cs="Arial" w:eastAsia="Arial" w:hAnsi="Arial"/>
                <w:sz w:val="17"/>
                <w:szCs w:val="17"/>
                <w:color w:val="auto"/>
              </w:rPr>
              <w:t>47,616</w:t>
            </w:r>
          </w:p>
        </w:tc>
        <w:tc>
          <w:tcPr>
            <w:tcW w:w="22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E2EEF6"/>
          </w:tcPr>
          <w:p>
            <w:pPr>
              <w:jc w:val="right"/>
              <w:ind w:right="100"/>
              <w:spacing w:after="0"/>
              <w:rPr>
                <w:sz w:val="20"/>
                <w:szCs w:val="20"/>
                <w:color w:val="auto"/>
              </w:rPr>
            </w:pPr>
            <w:r>
              <w:rPr>
                <w:rFonts w:ascii="Arial" w:cs="Arial" w:eastAsia="Arial" w:hAnsi="Arial"/>
                <w:sz w:val="17"/>
                <w:szCs w:val="17"/>
                <w:color w:val="auto"/>
              </w:rPr>
              <w:t>45,286</w:t>
            </w:r>
          </w:p>
        </w:tc>
      </w:tr>
      <w:tr>
        <w:trPr>
          <w:trHeight w:val="20"/>
        </w:trPr>
        <w:tc>
          <w:tcPr>
            <w:tcW w:w="8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g) The distribution of depreciation and amortization by geographical area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6"/>
          </w:tcPr>
          <w:p>
            <w:pPr>
              <w:spacing w:after="0"/>
              <w:rPr>
                <w:sz w:val="20"/>
                <w:szCs w:val="20"/>
                <w:color w:val="auto"/>
              </w:rPr>
            </w:pPr>
            <w:r>
              <w:rPr>
                <w:rFonts w:ascii="Arial" w:cs="Arial" w:eastAsia="Arial" w:hAnsi="Arial"/>
                <w:sz w:val="16"/>
                <w:szCs w:val="16"/>
                <w:b w:val="1"/>
                <w:bCs w:val="1"/>
                <w:color w:val="auto"/>
                <w:w w:val="98"/>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7"/>
          </w:tcPr>
          <w:p>
            <w:pPr>
              <w:ind w:left="80"/>
              <w:spacing w:after="0"/>
              <w:rPr>
                <w:sz w:val="20"/>
                <w:szCs w:val="20"/>
                <w:color w:val="auto"/>
              </w:rPr>
            </w:pPr>
            <w:r>
              <w:rPr>
                <w:rFonts w:ascii="Arial" w:cs="Arial" w:eastAsia="Arial" w:hAnsi="Arial"/>
                <w:sz w:val="16"/>
                <w:szCs w:val="16"/>
                <w:b w:val="1"/>
                <w:bCs w:val="1"/>
                <w:color w:val="auto"/>
                <w:w w:val="93"/>
              </w:rPr>
              <w:t>Six Months Ended</w:t>
            </w: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gridSpan w:val="6"/>
          </w:tcPr>
          <w:p>
            <w:pPr>
              <w:jc w:val="right"/>
              <w:ind w:right="240"/>
              <w:spacing w:after="0"/>
              <w:rPr>
                <w:sz w:val="20"/>
                <w:szCs w:val="20"/>
                <w:color w:val="auto"/>
              </w:rPr>
            </w:pPr>
            <w:r>
              <w:rPr>
                <w:rFonts w:ascii="Arial" w:cs="Arial" w:eastAsia="Arial" w:hAnsi="Arial"/>
                <w:sz w:val="16"/>
                <w:szCs w:val="16"/>
                <w:b w:val="1"/>
                <w:bCs w:val="1"/>
                <w:color w:val="auto"/>
              </w:rPr>
              <w:t>November</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6"/>
                <w:szCs w:val="16"/>
                <w:b w:val="1"/>
                <w:bCs w:val="1"/>
                <w:color w:val="auto"/>
              </w:rPr>
              <w:t>November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6"/>
          </w:tcPr>
          <w:p>
            <w:pPr>
              <w:ind w:left="460"/>
              <w:spacing w:after="0"/>
              <w:rPr>
                <w:sz w:val="20"/>
                <w:szCs w:val="20"/>
                <w:color w:val="auto"/>
              </w:rPr>
            </w:pPr>
            <w:r>
              <w:rPr>
                <w:rFonts w:ascii="Arial" w:cs="Arial" w:eastAsia="Arial" w:hAnsi="Arial"/>
                <w:sz w:val="16"/>
                <w:szCs w:val="16"/>
                <w:b w:val="1"/>
                <w:bCs w:val="1"/>
                <w:color w:val="auto"/>
              </w:rPr>
              <w:t>November</w:t>
            </w:r>
          </w:p>
        </w:tc>
        <w:tc>
          <w:tcPr>
            <w:tcW w:w="78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w w:val="84"/>
              </w:rPr>
              <w:t>November</w:t>
            </w: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Borders>
              <w:top w:val="single" w:sz="8" w:color="auto"/>
            </w:tcBorders>
            <w:gridSpan w:val="3"/>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gridSpan w:val="2"/>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52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78"/>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Borders>
              <w:top w:val="single" w:sz="8" w:color="auto"/>
            </w:tcBorders>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30</w:t>
            </w: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2004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5"/>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2"/>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5"/>
          </w:tcPr>
          <w:p>
            <w:pPr>
              <w:ind w:left="8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6"/>
          </w:tcPr>
          <w:p>
            <w:pPr>
              <w:ind w:left="120"/>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$1,337</w:t>
            </w:r>
          </w:p>
        </w:tc>
        <w:tc>
          <w:tcPr>
            <w:tcW w:w="5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$1,290</w:t>
            </w:r>
          </w:p>
        </w:tc>
        <w:tc>
          <w:tcPr>
            <w:tcW w:w="180" w:type="dxa"/>
            <w:vAlign w:val="bottom"/>
            <w:shd w:val="clear" w:color="auto" w:fill="E2EEF6"/>
          </w:tcPr>
          <w:p>
            <w:pPr>
              <w:spacing w:after="0"/>
              <w:rPr>
                <w:sz w:val="20"/>
                <w:szCs w:val="20"/>
                <w:color w:val="auto"/>
              </w:rPr>
            </w:pP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$2,690</w:t>
            </w:r>
          </w:p>
        </w:tc>
        <w:tc>
          <w:tcPr>
            <w:tcW w:w="12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$2,409</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Europe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gridSpan w:val="6"/>
          </w:tcPr>
          <w:p>
            <w:pPr>
              <w:jc w:val="right"/>
              <w:ind w:right="220"/>
              <w:spacing w:after="0"/>
              <w:rPr>
                <w:sz w:val="20"/>
                <w:szCs w:val="20"/>
                <w:color w:val="auto"/>
              </w:rPr>
            </w:pPr>
            <w:r>
              <w:rPr>
                <w:rFonts w:ascii="Arial" w:cs="Arial" w:eastAsia="Arial" w:hAnsi="Arial"/>
                <w:sz w:val="17"/>
                <w:szCs w:val="17"/>
                <w:color w:val="auto"/>
              </w:rPr>
              <w:t>519</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7"/>
                <w:szCs w:val="17"/>
                <w:color w:val="auto"/>
              </w:rPr>
              <w:t>514</w:t>
            </w:r>
          </w:p>
        </w:tc>
        <w:tc>
          <w:tcPr>
            <w:tcW w:w="18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7"/>
                <w:szCs w:val="17"/>
                <w:color w:val="auto"/>
              </w:rPr>
              <w:t>1,007</w:t>
            </w: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1,502</w:t>
            </w:r>
          </w:p>
        </w:tc>
        <w:tc>
          <w:tcPr>
            <w:tcW w:w="520" w:type="dxa"/>
            <w:vAlign w:val="bottom"/>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1,397</w:t>
            </w:r>
          </w:p>
        </w:tc>
        <w:tc>
          <w:tcPr>
            <w:tcW w:w="180" w:type="dxa"/>
            <w:vAlign w:val="bottom"/>
            <w:shd w:val="clear" w:color="auto" w:fill="E2EEF6"/>
          </w:tcPr>
          <w:p>
            <w:pPr>
              <w:spacing w:after="0"/>
              <w:rPr>
                <w:sz w:val="20"/>
                <w:szCs w:val="20"/>
                <w:color w:val="auto"/>
              </w:rPr>
            </w:pP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2,911</w:t>
            </w:r>
          </w:p>
        </w:tc>
        <w:tc>
          <w:tcPr>
            <w:tcW w:w="120" w:type="dxa"/>
            <w:vAlign w:val="bottom"/>
            <w:tcBorders>
              <w:left w:val="single" w:sz="8" w:color="E2EEF6"/>
            </w:tcBorders>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780" w:type="dxa"/>
            <w:vAlign w:val="bottom"/>
            <w:shd w:val="clear" w:color="auto" w:fill="E2EEF6"/>
          </w:tcPr>
          <w:p>
            <w:pPr>
              <w:spacing w:after="0"/>
              <w:rPr>
                <w:sz w:val="20"/>
                <w:szCs w:val="20"/>
                <w:color w:val="auto"/>
              </w:rPr>
            </w:pP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2,758</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the World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Arial" w:cs="Arial" w:eastAsia="Arial" w:hAnsi="Arial"/>
                <w:sz w:val="17"/>
                <w:szCs w:val="17"/>
                <w:color w:val="auto"/>
              </w:rPr>
              <w:t>151</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auto"/>
              </w:rPr>
              <w:t>95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gridSpan w:val="3"/>
          </w:tcPr>
          <w:p>
            <w:pPr>
              <w:jc w:val="right"/>
              <w:ind w:right="50"/>
              <w:spacing w:after="0"/>
              <w:rPr>
                <w:sz w:val="20"/>
                <w:szCs w:val="20"/>
                <w:color w:val="auto"/>
              </w:rPr>
            </w:pPr>
            <w:r>
              <w:rPr>
                <w:rFonts w:ascii="Arial" w:cs="Arial" w:eastAsia="Arial" w:hAnsi="Arial"/>
                <w:sz w:val="17"/>
                <w:szCs w:val="17"/>
                <w:color w:val="auto"/>
              </w:rPr>
              <w:t>184</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6"/>
            <w:shd w:val="clear" w:color="auto" w:fill="E2EEF6"/>
          </w:tcPr>
          <w:p>
            <w:pPr>
              <w:jc w:val="right"/>
              <w:ind w:right="220"/>
              <w:spacing w:after="0"/>
              <w:rPr>
                <w:sz w:val="20"/>
                <w:szCs w:val="20"/>
                <w:color w:val="auto"/>
              </w:rPr>
            </w:pPr>
            <w:r>
              <w:rPr>
                <w:rFonts w:ascii="Arial" w:cs="Arial" w:eastAsia="Arial" w:hAnsi="Arial"/>
                <w:sz w:val="17"/>
                <w:szCs w:val="17"/>
                <w:color w:val="auto"/>
              </w:rPr>
              <w:t>3,509</w:t>
            </w:r>
          </w:p>
        </w:tc>
        <w:tc>
          <w:tcPr>
            <w:tcW w:w="520" w:type="dxa"/>
            <w:vAlign w:val="bottom"/>
            <w:shd w:val="clear" w:color="auto" w:fill="E2EEF6"/>
          </w:tcPr>
          <w:p>
            <w:pPr>
              <w:jc w:val="right"/>
              <w:ind w:right="334"/>
              <w:spacing w:after="0"/>
              <w:rPr>
                <w:sz w:val="20"/>
                <w:szCs w:val="20"/>
                <w:color w:val="auto"/>
              </w:rPr>
            </w:pPr>
            <w:r>
              <w:rPr>
                <w:rFonts w:ascii="Arial" w:cs="Arial" w:eastAsia="Arial" w:hAnsi="Arial"/>
                <w:sz w:val="17"/>
                <w:szCs w:val="17"/>
                <w:color w:val="auto"/>
                <w:w w:val="84"/>
              </w:rPr>
              <w:t>$</w:t>
            </w:r>
          </w:p>
        </w:tc>
        <w:tc>
          <w:tcPr>
            <w:tcW w:w="180" w:type="dxa"/>
            <w:vAlign w:val="bottom"/>
            <w:shd w:val="clear" w:color="auto" w:fill="E2EEF6"/>
          </w:tcPr>
          <w:p>
            <w:pPr>
              <w:spacing w:after="0"/>
              <w:rPr>
                <w:sz w:val="24"/>
                <w:szCs w:val="24"/>
                <w:color w:val="auto"/>
              </w:rPr>
            </w:pPr>
          </w:p>
        </w:tc>
        <w:tc>
          <w:tcPr>
            <w:tcW w:w="920" w:type="dxa"/>
            <w:vAlign w:val="bottom"/>
            <w:gridSpan w:val="4"/>
            <w:shd w:val="clear" w:color="auto" w:fill="E2EEF6"/>
          </w:tcPr>
          <w:p>
            <w:pPr>
              <w:jc w:val="right"/>
              <w:ind w:right="220"/>
              <w:spacing w:after="0"/>
              <w:rPr>
                <w:sz w:val="20"/>
                <w:szCs w:val="20"/>
                <w:color w:val="auto"/>
              </w:rPr>
            </w:pPr>
            <w:r>
              <w:rPr>
                <w:rFonts w:ascii="Arial" w:cs="Arial" w:eastAsia="Arial" w:hAnsi="Arial"/>
                <w:sz w:val="17"/>
                <w:szCs w:val="17"/>
                <w:color w:val="auto"/>
              </w:rPr>
              <w:t>3,296</w:t>
            </w:r>
          </w:p>
        </w:tc>
        <w:tc>
          <w:tcPr>
            <w:tcW w:w="180" w:type="dxa"/>
            <w:vAlign w:val="bottom"/>
            <w:shd w:val="clear" w:color="auto" w:fill="E2EEF6"/>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5"/>
            <w:shd w:val="clear" w:color="auto" w:fill="E2EEF6"/>
          </w:tcPr>
          <w:p>
            <w:pPr>
              <w:jc w:val="right"/>
              <w:spacing w:after="0"/>
              <w:rPr>
                <w:sz w:val="20"/>
                <w:szCs w:val="20"/>
                <w:color w:val="auto"/>
              </w:rPr>
            </w:pPr>
            <w:r>
              <w:rPr>
                <w:rFonts w:ascii="Arial" w:cs="Arial" w:eastAsia="Arial" w:hAnsi="Arial"/>
                <w:sz w:val="17"/>
                <w:szCs w:val="17"/>
                <w:color w:val="auto"/>
              </w:rPr>
              <w:t>6,943</w:t>
            </w:r>
          </w:p>
        </w:tc>
        <w:tc>
          <w:tcPr>
            <w:tcW w:w="120" w:type="dxa"/>
            <w:vAlign w:val="bottom"/>
            <w:tcBorders>
              <w:left w:val="single" w:sz="8" w:color="E2EEF6"/>
            </w:tcBorders>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780" w:type="dxa"/>
            <w:vAlign w:val="bottom"/>
            <w:shd w:val="clear" w:color="auto" w:fill="E2EEF6"/>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gridSpan w:val="3"/>
            <w:shd w:val="clear" w:color="auto" w:fill="E2EEF6"/>
          </w:tcPr>
          <w:p>
            <w:pPr>
              <w:jc w:val="right"/>
              <w:ind w:right="50"/>
              <w:spacing w:after="0"/>
              <w:rPr>
                <w:sz w:val="20"/>
                <w:szCs w:val="20"/>
                <w:color w:val="auto"/>
              </w:rPr>
            </w:pPr>
            <w:r>
              <w:rPr>
                <w:rFonts w:ascii="Arial" w:cs="Arial" w:eastAsia="Arial" w:hAnsi="Arial"/>
                <w:sz w:val="17"/>
                <w:szCs w:val="17"/>
                <w:color w:val="auto"/>
              </w:rPr>
              <w:t>6,358</w:t>
            </w:r>
          </w:p>
        </w:tc>
      </w:tr>
      <w:tr>
        <w:trPr>
          <w:trHeight w:val="20"/>
        </w:trPr>
        <w:tc>
          <w:tcPr>
            <w:tcW w:w="4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left w:val="single" w:sz="8" w:color="auto"/>
            </w:tcBorders>
            <w:shd w:val="clear" w:color="auto" w:fill="E2EEF6"/>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2EEF6"/>
              <w:left w:val="single" w:sz="8" w:color="E2EEF6"/>
            </w:tcBorders>
            <w:shd w:val="clear" w:color="auto" w:fill="E2EEF6"/>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19"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72567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color w:val="auto"/>
        </w:rPr>
        <w:t>h) The distribution of depreciation and amortization by business segment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7"/>
          </w:tcPr>
          <w:p>
            <w:pPr>
              <w:jc w:val="center"/>
              <w:ind w:right="100"/>
              <w:spacing w:after="0"/>
              <w:rPr>
                <w:sz w:val="20"/>
                <w:szCs w:val="20"/>
                <w:color w:val="auto"/>
              </w:rPr>
            </w:pPr>
            <w:r>
              <w:rPr>
                <w:rFonts w:ascii="Arial" w:cs="Arial" w:eastAsia="Arial" w:hAnsi="Arial"/>
                <w:sz w:val="16"/>
                <w:szCs w:val="16"/>
                <w:b w:val="1"/>
                <w:bCs w:val="1"/>
                <w:color w:val="auto"/>
                <w:w w:val="88"/>
              </w:rPr>
              <w:t>Three Months Ended</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8"/>
          </w:tcPr>
          <w:p>
            <w:pPr>
              <w:ind w:left="20"/>
              <w:spacing w:after="0"/>
              <w:rPr>
                <w:sz w:val="20"/>
                <w:szCs w:val="20"/>
                <w:color w:val="auto"/>
              </w:rPr>
            </w:pPr>
            <w:r>
              <w:rPr>
                <w:rFonts w:ascii="Arial" w:cs="Arial" w:eastAsia="Arial" w:hAnsi="Arial"/>
                <w:sz w:val="16"/>
                <w:szCs w:val="16"/>
                <w:b w:val="1"/>
                <w:bCs w:val="1"/>
                <w:color w:val="auto"/>
                <w:w w:val="90"/>
              </w:rPr>
              <w:t>Six Months Ended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6"/>
          </w:tcPr>
          <w:p>
            <w:pPr>
              <w:spacing w:after="0"/>
              <w:rPr>
                <w:sz w:val="20"/>
                <w:szCs w:val="20"/>
                <w:color w:val="auto"/>
              </w:rPr>
            </w:pPr>
            <w:r>
              <w:rPr>
                <w:rFonts w:ascii="Arial" w:cs="Arial" w:eastAsia="Arial" w:hAnsi="Arial"/>
                <w:sz w:val="16"/>
                <w:szCs w:val="16"/>
                <w:b w:val="1"/>
                <w:bCs w:val="1"/>
                <w:color w:val="auto"/>
              </w:rPr>
              <w:t>November</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5"/>
          </w:tcPr>
          <w:p>
            <w:pPr>
              <w:ind w:left="40"/>
              <w:spacing w:after="0"/>
              <w:rPr>
                <w:sz w:val="20"/>
                <w:szCs w:val="20"/>
                <w:color w:val="auto"/>
              </w:rPr>
            </w:pPr>
            <w:r>
              <w:rPr>
                <w:rFonts w:ascii="Arial" w:cs="Arial" w:eastAsia="Arial" w:hAnsi="Arial"/>
                <w:sz w:val="16"/>
                <w:szCs w:val="16"/>
                <w:b w:val="1"/>
                <w:bCs w:val="1"/>
                <w:color w:val="auto"/>
              </w:rPr>
              <w:t>November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rPr>
              <w:t>November</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4"/>
          </w:tcPr>
          <w:p>
            <w:pPr>
              <w:spacing w:after="0"/>
              <w:rPr>
                <w:sz w:val="20"/>
                <w:szCs w:val="20"/>
                <w:color w:val="auto"/>
              </w:rPr>
            </w:pPr>
            <w:r>
              <w:rPr>
                <w:rFonts w:ascii="Arial" w:cs="Arial" w:eastAsia="Arial" w:hAnsi="Arial"/>
                <w:sz w:val="16"/>
                <w:szCs w:val="16"/>
                <w:b w:val="1"/>
                <w:bCs w:val="1"/>
                <w:color w:val="auto"/>
                <w:w w:val="84"/>
              </w:rPr>
              <w:t>November</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6"/>
                <w:szCs w:val="16"/>
                <w:b w:val="1"/>
                <w:bCs w:val="1"/>
                <w:color w:val="auto"/>
              </w:rPr>
              <w:t>30</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gridSpan w:val="3"/>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2004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7"/>
          </w:tcPr>
          <w:p>
            <w:pPr>
              <w:jc w:val="right"/>
              <w:spacing w:after="0"/>
              <w:rPr>
                <w:sz w:val="20"/>
                <w:szCs w:val="20"/>
                <w:color w:val="auto"/>
              </w:rPr>
            </w:pPr>
            <w:r>
              <w:rPr>
                <w:rFonts w:ascii="Arial" w:cs="Arial" w:eastAsia="Arial" w:hAnsi="Arial"/>
                <w:sz w:val="16"/>
                <w:szCs w:val="16"/>
                <w:b w:val="1"/>
                <w:bCs w:val="1"/>
                <w:color w:val="auto"/>
              </w:rPr>
              <w:t>2005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Arial" w:cs="Arial" w:eastAsia="Arial" w:hAnsi="Arial"/>
                <w:sz w:val="16"/>
                <w:szCs w:val="16"/>
                <w:b w:val="1"/>
                <w:bCs w:val="1"/>
                <w:color w:val="auto"/>
              </w:rPr>
              <w:t>2004</w:t>
            </w: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2"/>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6"/>
          </w:tcPr>
          <w:p>
            <w:pPr>
              <w:jc w:val="center"/>
              <w:ind w:right="300"/>
              <w:spacing w:after="0"/>
              <w:rPr>
                <w:sz w:val="20"/>
                <w:szCs w:val="20"/>
                <w:color w:val="auto"/>
              </w:rPr>
            </w:pPr>
            <w:r>
              <w:rPr>
                <w:rFonts w:ascii="Arial" w:cs="Arial" w:eastAsia="Arial" w:hAnsi="Arial"/>
                <w:sz w:val="16"/>
                <w:szCs w:val="16"/>
                <w:b w:val="1"/>
                <w:bCs w:val="1"/>
                <w:color w:val="auto"/>
                <w:w w:val="87"/>
              </w:rPr>
              <w:t>(in thousands)</w:t>
            </w: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gridSpan w:val="7"/>
          </w:tcPr>
          <w:p>
            <w:pPr>
              <w:jc w:val="right"/>
              <w:ind w:right="220"/>
              <w:spacing w:after="0"/>
              <w:rPr>
                <w:sz w:val="20"/>
                <w:szCs w:val="20"/>
                <w:color w:val="auto"/>
              </w:rPr>
            </w:pPr>
            <w:r>
              <w:rPr>
                <w:rFonts w:ascii="Arial" w:cs="Arial" w:eastAsia="Arial" w:hAnsi="Arial"/>
                <w:sz w:val="16"/>
                <w:szCs w:val="16"/>
                <w:b w:val="1"/>
                <w:bCs w:val="1"/>
                <w:color w:val="auto"/>
                <w:w w:val="94"/>
              </w:rPr>
              <w:t>(in thousands)</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4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7"/>
            <w:shd w:val="clear" w:color="auto" w:fill="E2EEF6"/>
          </w:tcPr>
          <w:p>
            <w:pPr>
              <w:jc w:val="right"/>
              <w:ind w:right="220"/>
              <w:spacing w:after="0"/>
              <w:rPr>
                <w:sz w:val="20"/>
                <w:szCs w:val="20"/>
                <w:color w:val="auto"/>
              </w:rPr>
            </w:pPr>
            <w:r>
              <w:rPr>
                <w:rFonts w:ascii="Arial" w:cs="Arial" w:eastAsia="Arial" w:hAnsi="Arial"/>
                <w:sz w:val="17"/>
                <w:szCs w:val="17"/>
                <w:color w:val="auto"/>
              </w:rPr>
              <w:t>303</w:t>
            </w:r>
          </w:p>
        </w:tc>
        <w:tc>
          <w:tcPr>
            <w:tcW w:w="480" w:type="dxa"/>
            <w:vAlign w:val="bottom"/>
            <w:shd w:val="clear" w:color="auto" w:fill="E2EEF6"/>
          </w:tcPr>
          <w:p>
            <w:pPr>
              <w:jc w:val="right"/>
              <w:ind w:right="2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E2EEF6"/>
          </w:tcPr>
          <w:p>
            <w:pPr>
              <w:spacing w:after="0"/>
              <w:rPr>
                <w:sz w:val="20"/>
                <w:szCs w:val="20"/>
                <w:color w:val="auto"/>
              </w:rPr>
            </w:pPr>
          </w:p>
        </w:tc>
        <w:tc>
          <w:tcPr>
            <w:tcW w:w="1040" w:type="dxa"/>
            <w:vAlign w:val="bottom"/>
            <w:tcBorders>
              <w:right w:val="single" w:sz="8" w:color="E2EEF6"/>
            </w:tcBorders>
            <w:gridSpan w:val="5"/>
            <w:shd w:val="clear" w:color="auto" w:fill="E2EEF6"/>
          </w:tcPr>
          <w:p>
            <w:pPr>
              <w:jc w:val="right"/>
              <w:ind w:right="220"/>
              <w:spacing w:after="0"/>
              <w:rPr>
                <w:sz w:val="20"/>
                <w:szCs w:val="20"/>
                <w:color w:val="auto"/>
              </w:rPr>
            </w:pPr>
            <w:r>
              <w:rPr>
                <w:rFonts w:ascii="Arial" w:cs="Arial" w:eastAsia="Arial" w:hAnsi="Arial"/>
                <w:sz w:val="17"/>
                <w:szCs w:val="17"/>
                <w:color w:val="auto"/>
              </w:rPr>
              <w:t>244</w:t>
            </w:r>
          </w:p>
        </w:tc>
        <w:tc>
          <w:tcPr>
            <w:tcW w:w="180" w:type="dxa"/>
            <w:vAlign w:val="bottom"/>
            <w:shd w:val="clear" w:color="auto" w:fill="E2EEF6"/>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589</w:t>
            </w: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480</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Clinical research</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6"/>
          </w:tcPr>
          <w:p>
            <w:pPr>
              <w:jc w:val="right"/>
              <w:spacing w:after="0"/>
              <w:rPr>
                <w:sz w:val="20"/>
                <w:szCs w:val="20"/>
                <w:color w:val="auto"/>
              </w:rPr>
            </w:pPr>
            <w:r>
              <w:rPr>
                <w:rFonts w:ascii="Arial" w:cs="Arial" w:eastAsia="Arial" w:hAnsi="Arial"/>
                <w:sz w:val="17"/>
                <w:szCs w:val="17"/>
                <w:color w:val="auto"/>
              </w:rPr>
              <w:t>3,206</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3,052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6,354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5,878</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E2EEF6"/>
          </w:tcPr>
          <w:p>
            <w:pPr>
              <w:jc w:val="right"/>
              <w:ind w:right="300"/>
              <w:spacing w:after="0"/>
              <w:rPr>
                <w:sz w:val="20"/>
                <w:szCs w:val="20"/>
                <w:color w:val="auto"/>
              </w:rPr>
            </w:pPr>
            <w:r>
              <w:rPr>
                <w:rFonts w:ascii="Arial" w:cs="Arial" w:eastAsia="Arial" w:hAnsi="Arial"/>
                <w:sz w:val="17"/>
                <w:szCs w:val="17"/>
                <w:color w:val="auto"/>
              </w:rPr>
              <w:t>$</w:t>
            </w:r>
          </w:p>
        </w:tc>
        <w:tc>
          <w:tcPr>
            <w:tcW w:w="1220" w:type="dxa"/>
            <w:vAlign w:val="bottom"/>
            <w:gridSpan w:val="7"/>
            <w:shd w:val="clear" w:color="auto" w:fill="E2EEF6"/>
          </w:tcPr>
          <w:p>
            <w:pPr>
              <w:jc w:val="right"/>
              <w:ind w:right="220"/>
              <w:spacing w:after="0"/>
              <w:rPr>
                <w:sz w:val="20"/>
                <w:szCs w:val="20"/>
                <w:color w:val="auto"/>
              </w:rPr>
            </w:pPr>
            <w:r>
              <w:rPr>
                <w:rFonts w:ascii="Arial" w:cs="Arial" w:eastAsia="Arial" w:hAnsi="Arial"/>
                <w:sz w:val="17"/>
                <w:szCs w:val="17"/>
                <w:color w:val="auto"/>
              </w:rPr>
              <w:t>3,509</w:t>
            </w:r>
          </w:p>
        </w:tc>
        <w:tc>
          <w:tcPr>
            <w:tcW w:w="480" w:type="dxa"/>
            <w:vAlign w:val="bottom"/>
            <w:shd w:val="clear" w:color="auto" w:fill="E2EEF6"/>
          </w:tcPr>
          <w:p>
            <w:pPr>
              <w:jc w:val="right"/>
              <w:ind w:right="2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E2EEF6"/>
          </w:tcPr>
          <w:p>
            <w:pPr>
              <w:spacing w:after="0"/>
              <w:rPr>
                <w:sz w:val="24"/>
                <w:szCs w:val="24"/>
                <w:color w:val="auto"/>
              </w:rPr>
            </w:pPr>
          </w:p>
        </w:tc>
        <w:tc>
          <w:tcPr>
            <w:tcW w:w="1040" w:type="dxa"/>
            <w:vAlign w:val="bottom"/>
            <w:tcBorders>
              <w:right w:val="single" w:sz="8" w:color="E2EEF6"/>
            </w:tcBorders>
            <w:gridSpan w:val="5"/>
            <w:shd w:val="clear" w:color="auto" w:fill="E2EEF6"/>
          </w:tcPr>
          <w:p>
            <w:pPr>
              <w:jc w:val="right"/>
              <w:ind w:right="220"/>
              <w:spacing w:after="0"/>
              <w:rPr>
                <w:sz w:val="20"/>
                <w:szCs w:val="20"/>
                <w:color w:val="auto"/>
              </w:rPr>
            </w:pPr>
            <w:r>
              <w:rPr>
                <w:rFonts w:ascii="Arial" w:cs="Arial" w:eastAsia="Arial" w:hAnsi="Arial"/>
                <w:sz w:val="17"/>
                <w:szCs w:val="17"/>
                <w:color w:val="auto"/>
              </w:rPr>
              <w:t>3,296</w:t>
            </w:r>
          </w:p>
        </w:tc>
        <w:tc>
          <w:tcPr>
            <w:tcW w:w="180" w:type="dxa"/>
            <w:vAlign w:val="bottom"/>
            <w:shd w:val="clear" w:color="auto" w:fill="E2EEF6"/>
          </w:tcPr>
          <w:p>
            <w:pPr>
              <w:jc w:val="right"/>
              <w:ind w:right="19"/>
              <w:spacing w:after="0"/>
              <w:rPr>
                <w:sz w:val="20"/>
                <w:szCs w:val="20"/>
                <w:color w:val="auto"/>
              </w:rPr>
            </w:pPr>
            <w:r>
              <w:rPr>
                <w:rFonts w:ascii="Arial" w:cs="Arial" w:eastAsia="Arial" w:hAnsi="Arial"/>
                <w:sz w:val="17"/>
                <w:szCs w:val="17"/>
                <w:color w:val="auto"/>
                <w:w w:val="84"/>
              </w:rPr>
              <w:t>$</w:t>
            </w:r>
          </w:p>
        </w:tc>
        <w:tc>
          <w:tcPr>
            <w:tcW w:w="1340" w:type="dxa"/>
            <w:vAlign w:val="bottom"/>
            <w:gridSpan w:val="8"/>
            <w:shd w:val="clear" w:color="auto" w:fill="E2EEF6"/>
          </w:tcPr>
          <w:p>
            <w:pPr>
              <w:jc w:val="right"/>
              <w:ind w:right="160"/>
              <w:spacing w:after="0"/>
              <w:rPr>
                <w:sz w:val="20"/>
                <w:szCs w:val="20"/>
                <w:color w:val="auto"/>
              </w:rPr>
            </w:pPr>
            <w:r>
              <w:rPr>
                <w:rFonts w:ascii="Arial" w:cs="Arial" w:eastAsia="Arial" w:hAnsi="Arial"/>
                <w:sz w:val="17"/>
                <w:szCs w:val="17"/>
                <w:color w:val="auto"/>
              </w:rPr>
              <w:t>6,943</w:t>
            </w: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6,358</w:t>
            </w:r>
          </w:p>
        </w:tc>
      </w:tr>
      <w:tr>
        <w:trPr>
          <w:trHeight w:val="20"/>
        </w:trPr>
        <w:tc>
          <w:tcPr>
            <w:tcW w:w="4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2EEF6"/>
            </w:tcBorders>
            <w:shd w:val="clear" w:color="auto" w:fill="E2EEF6"/>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tcBorders>
            <w:shd w:val="clear" w:color="auto" w:fill="E2EEF6"/>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220" w:type="dxa"/>
            <w:vAlign w:val="bottom"/>
            <w:tcBorders>
              <w:top w:val="single" w:sz="8" w:color="E2EEF6"/>
              <w:right w:val="single" w:sz="8" w:color="E2EEF6"/>
            </w:tcBorders>
            <w:shd w:val="clear" w:color="auto" w:fill="E2EEF6"/>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2EEF6"/>
              <w:left w:val="single" w:sz="8" w:color="auto"/>
            </w:tcBorders>
            <w:shd w:val="clear" w:color="auto" w:fill="E2EEF6"/>
          </w:tcPr>
          <w:p>
            <w:pPr>
              <w:spacing w:after="0" w:line="20" w:lineRule="exact"/>
              <w:rPr>
                <w:sz w:val="1"/>
                <w:szCs w:val="1"/>
                <w:color w:val="auto"/>
              </w:rPr>
            </w:pPr>
          </w:p>
        </w:tc>
        <w:tc>
          <w:tcPr>
            <w:tcW w:w="60" w:type="dxa"/>
            <w:vAlign w:val="bottom"/>
            <w:tcBorders>
              <w:top w:val="single" w:sz="8" w:color="E2EEF6"/>
            </w:tcBorders>
            <w:shd w:val="clear" w:color="auto" w:fill="E2EEF6"/>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E2EEF6"/>
            </w:tcBorders>
            <w:shd w:val="clear" w:color="auto" w:fill="E2EEF6"/>
          </w:tcPr>
          <w:p>
            <w:pPr>
              <w:spacing w:after="0" w:line="20" w:lineRule="exact"/>
              <w:rPr>
                <w:sz w:val="1"/>
                <w:szCs w:val="1"/>
                <w:color w:val="auto"/>
              </w:rPr>
            </w:pPr>
          </w:p>
        </w:tc>
      </w:tr>
      <w:tr>
        <w:trPr>
          <w:trHeight w:val="445"/>
        </w:trPr>
        <w:tc>
          <w:tcPr>
            <w:tcW w:w="5540" w:type="dxa"/>
            <w:vAlign w:val="bottom"/>
            <w:gridSpan w:val="3"/>
          </w:tcPr>
          <w:p>
            <w:pPr>
              <w:ind w:left="620"/>
              <w:spacing w:after="0"/>
              <w:rPr>
                <w:sz w:val="20"/>
                <w:szCs w:val="20"/>
                <w:color w:val="auto"/>
              </w:rPr>
            </w:pPr>
            <w:r>
              <w:rPr>
                <w:rFonts w:ascii="Arial" w:cs="Arial" w:eastAsia="Arial" w:hAnsi="Arial"/>
                <w:sz w:val="17"/>
                <w:szCs w:val="17"/>
                <w:color w:val="auto"/>
                <w:w w:val="93"/>
              </w:rPr>
              <w:t>i) The distribution of total assets by geographical area was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1"/>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w w:val="89"/>
              </w:rPr>
              <w:t>November 30,</w:t>
            </w: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Arial" w:cs="Arial" w:eastAsia="Arial" w:hAnsi="Arial"/>
                <w:sz w:val="17"/>
                <w:szCs w:val="17"/>
                <w:b w:val="1"/>
                <w:bCs w:val="1"/>
                <w:color w:val="auto"/>
              </w:rPr>
              <w:t>May 31,</w:t>
            </w: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gridSpan w:val="3"/>
          </w:tcPr>
          <w:p>
            <w:pPr>
              <w:spacing w:after="0"/>
              <w:rPr>
                <w:sz w:val="16"/>
                <w:szCs w:val="16"/>
                <w:color w:val="auto"/>
              </w:rPr>
            </w:pPr>
          </w:p>
        </w:tc>
        <w:tc>
          <w:tcPr>
            <w:tcW w:w="360" w:type="dxa"/>
            <w:vAlign w:val="bottom"/>
            <w:tcBorders>
              <w:top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2005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6"/>
          </w:tcPr>
          <w:p>
            <w:pPr>
              <w:jc w:val="right"/>
              <w:ind w:right="65"/>
              <w:spacing w:after="0"/>
              <w:rPr>
                <w:sz w:val="20"/>
                <w:szCs w:val="20"/>
                <w:color w:val="auto"/>
              </w:rPr>
            </w:pPr>
            <w:r>
              <w:rPr>
                <w:rFonts w:ascii="Arial" w:cs="Arial" w:eastAsia="Arial" w:hAnsi="Arial"/>
                <w:sz w:val="17"/>
                <w:szCs w:val="17"/>
                <w:b w:val="1"/>
                <w:bCs w:val="1"/>
                <w:color w:val="auto"/>
                <w:w w:val="90"/>
              </w:rPr>
              <w:t>(in thousands)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Ireland</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104,480</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109,596</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Europe</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72,706</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79,878</w:t>
            </w: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U.S.</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spacing w:after="0"/>
              <w:rPr>
                <w:sz w:val="20"/>
                <w:szCs w:val="20"/>
                <w:color w:val="auto"/>
              </w:rPr>
            </w:pP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171,346</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spacing w:after="0"/>
              <w:rPr>
                <w:sz w:val="20"/>
                <w:szCs w:val="20"/>
                <w:color w:val="auto"/>
              </w:rPr>
            </w:pP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153,577</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Rest of the World</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6,340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4,502</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220" w:type="dxa"/>
            <w:vAlign w:val="bottom"/>
            <w:shd w:val="clear" w:color="auto" w:fill="E2EEF6"/>
          </w:tcPr>
          <w:p>
            <w:pPr>
              <w:spacing w:after="0"/>
              <w:rPr>
                <w:sz w:val="24"/>
                <w:szCs w:val="24"/>
                <w:color w:val="auto"/>
              </w:rPr>
            </w:pPr>
          </w:p>
        </w:tc>
        <w:tc>
          <w:tcPr>
            <w:tcW w:w="48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00" w:type="dxa"/>
            <w:vAlign w:val="bottom"/>
            <w:tcBorders>
              <w:left w:val="single" w:sz="8" w:color="E2EEF6"/>
            </w:tcBorders>
            <w:shd w:val="clear" w:color="auto" w:fill="E2EEF6"/>
          </w:tcPr>
          <w:p>
            <w:pPr>
              <w:spacing w:after="0"/>
              <w:rPr>
                <w:sz w:val="24"/>
                <w:szCs w:val="24"/>
                <w:color w:val="auto"/>
              </w:rPr>
            </w:pPr>
          </w:p>
        </w:tc>
        <w:tc>
          <w:tcPr>
            <w:tcW w:w="220" w:type="dxa"/>
            <w:vAlign w:val="bottom"/>
            <w:tcBorders>
              <w:right w:val="single" w:sz="8" w:color="E2EEF6"/>
            </w:tcBorders>
            <w:shd w:val="clear" w:color="auto" w:fill="E2EEF6"/>
          </w:tcPr>
          <w:p>
            <w:pPr>
              <w:spacing w:after="0"/>
              <w:rPr>
                <w:sz w:val="24"/>
                <w:szCs w:val="24"/>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354,872</w:t>
            </w:r>
          </w:p>
        </w:tc>
        <w:tc>
          <w:tcPr>
            <w:tcW w:w="160" w:type="dxa"/>
            <w:vAlign w:val="bottom"/>
            <w:tcBorders>
              <w:left w:val="single" w:sz="8" w:color="E2EEF6"/>
            </w:tcBorders>
            <w:shd w:val="clear" w:color="auto" w:fill="E2EEF6"/>
          </w:tcPr>
          <w:p>
            <w:pPr>
              <w:spacing w:after="0"/>
              <w:rPr>
                <w:sz w:val="24"/>
                <w:szCs w:val="24"/>
                <w:color w:val="auto"/>
              </w:rPr>
            </w:pP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347,553</w:t>
            </w:r>
          </w:p>
        </w:tc>
      </w:tr>
      <w:tr>
        <w:trPr>
          <w:trHeight w:val="445"/>
        </w:trPr>
        <w:tc>
          <w:tcPr>
            <w:tcW w:w="492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3"/>
              </w:rPr>
              <w:t>j) The distribution of total assets by business segment was as follows:</w:t>
            </w: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42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6"/>
          </w:tcPr>
          <w:p>
            <w:pPr>
              <w:jc w:val="right"/>
              <w:ind w:right="60"/>
              <w:spacing w:after="0"/>
              <w:rPr>
                <w:sz w:val="20"/>
                <w:szCs w:val="20"/>
                <w:color w:val="auto"/>
              </w:rPr>
            </w:pPr>
            <w:r>
              <w:rPr>
                <w:rFonts w:ascii="Arial" w:cs="Arial" w:eastAsia="Arial" w:hAnsi="Arial"/>
                <w:sz w:val="17"/>
                <w:szCs w:val="17"/>
                <w:b w:val="1"/>
                <w:bCs w:val="1"/>
                <w:color w:val="auto"/>
                <w:w w:val="89"/>
              </w:rPr>
              <w:t>November 30,</w:t>
            </w:r>
          </w:p>
        </w:tc>
        <w:tc>
          <w:tcPr>
            <w:tcW w:w="2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Arial" w:cs="Arial" w:eastAsia="Arial" w:hAnsi="Arial"/>
                <w:sz w:val="17"/>
                <w:szCs w:val="17"/>
                <w:b w:val="1"/>
                <w:bCs w:val="1"/>
                <w:color w:val="auto"/>
              </w:rPr>
              <w:t>May 31,</w:t>
            </w:r>
          </w:p>
        </w:tc>
      </w:tr>
      <w:tr>
        <w:trPr>
          <w:trHeight w:val="187"/>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top w:val="single" w:sz="8" w:color="auto"/>
            </w:tcBorders>
            <w:gridSpan w:val="3"/>
          </w:tcPr>
          <w:p>
            <w:pPr>
              <w:spacing w:after="0"/>
              <w:rPr>
                <w:sz w:val="16"/>
                <w:szCs w:val="16"/>
                <w:color w:val="auto"/>
              </w:rPr>
            </w:pPr>
          </w:p>
        </w:tc>
        <w:tc>
          <w:tcPr>
            <w:tcW w:w="360" w:type="dxa"/>
            <w:vAlign w:val="bottom"/>
            <w:tcBorders>
              <w:top w:val="single" w:sz="8" w:color="auto"/>
            </w:tcBorders>
            <w:gridSpan w:val="3"/>
          </w:tcPr>
          <w:p>
            <w:pPr>
              <w:jc w:val="right"/>
              <w:spacing w:after="0" w:line="187" w:lineRule="exact"/>
              <w:rPr>
                <w:sz w:val="20"/>
                <w:szCs w:val="20"/>
                <w:color w:val="auto"/>
              </w:rPr>
            </w:pPr>
            <w:r>
              <w:rPr>
                <w:rFonts w:ascii="Arial" w:cs="Arial" w:eastAsia="Arial" w:hAnsi="Arial"/>
                <w:sz w:val="17"/>
                <w:szCs w:val="17"/>
                <w:b w:val="1"/>
                <w:bCs w:val="1"/>
                <w:color w:val="auto"/>
                <w:w w:val="89"/>
              </w:rPr>
              <w:t>2005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top w:val="single" w:sz="8" w:color="auto"/>
            </w:tcBorders>
            <w:gridSpan w:val="4"/>
          </w:tcPr>
          <w:p>
            <w:pPr>
              <w:jc w:val="right"/>
              <w:spacing w:after="0" w:line="187" w:lineRule="exact"/>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16"/>
                <w:szCs w:val="16"/>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6"/>
          </w:tcPr>
          <w:p>
            <w:pPr>
              <w:jc w:val="right"/>
              <w:ind w:right="65"/>
              <w:spacing w:after="0"/>
              <w:rPr>
                <w:sz w:val="20"/>
                <w:szCs w:val="20"/>
                <w:color w:val="auto"/>
              </w:rPr>
            </w:pPr>
            <w:r>
              <w:rPr>
                <w:rFonts w:ascii="Arial" w:cs="Arial" w:eastAsia="Arial" w:hAnsi="Arial"/>
                <w:sz w:val="17"/>
                <w:szCs w:val="17"/>
                <w:b w:val="1"/>
                <w:bCs w:val="1"/>
                <w:color w:val="auto"/>
                <w:w w:val="90"/>
              </w:rPr>
              <w:t>(in thousands)</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3"/>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Central laboratory</w:t>
            </w:r>
          </w:p>
        </w:tc>
        <w:tc>
          <w:tcPr>
            <w:tcW w:w="24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c>
          <w:tcPr>
            <w:tcW w:w="220" w:type="dxa"/>
            <w:vAlign w:val="bottom"/>
            <w:shd w:val="clear" w:color="auto" w:fill="E2EEF6"/>
          </w:tcPr>
          <w:p>
            <w:pPr>
              <w:spacing w:after="0"/>
              <w:rPr>
                <w:sz w:val="20"/>
                <w:szCs w:val="20"/>
                <w:color w:val="auto"/>
              </w:rPr>
            </w:pPr>
          </w:p>
        </w:tc>
        <w:tc>
          <w:tcPr>
            <w:tcW w:w="48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8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200" w:type="dxa"/>
            <w:vAlign w:val="bottom"/>
            <w:shd w:val="clear" w:color="auto" w:fill="E2EEF6"/>
          </w:tcPr>
          <w:p>
            <w:pPr>
              <w:spacing w:after="0"/>
              <w:rPr>
                <w:sz w:val="20"/>
                <w:szCs w:val="20"/>
                <w:color w:val="auto"/>
              </w:rPr>
            </w:pPr>
          </w:p>
        </w:tc>
        <w:tc>
          <w:tcPr>
            <w:tcW w:w="100" w:type="dxa"/>
            <w:vAlign w:val="bottom"/>
            <w:tcBorders>
              <w:left w:val="single" w:sz="8" w:color="E2EEF6"/>
            </w:tcBorders>
            <w:shd w:val="clear" w:color="auto" w:fill="E2EEF6"/>
          </w:tcPr>
          <w:p>
            <w:pPr>
              <w:spacing w:after="0"/>
              <w:rPr>
                <w:sz w:val="20"/>
                <w:szCs w:val="20"/>
                <w:color w:val="auto"/>
              </w:rPr>
            </w:pPr>
          </w:p>
        </w:tc>
        <w:tc>
          <w:tcPr>
            <w:tcW w:w="220" w:type="dxa"/>
            <w:vAlign w:val="bottom"/>
            <w:tcBorders>
              <w:right w:val="single" w:sz="8" w:color="E2EEF6"/>
            </w:tcBorders>
            <w:shd w:val="clear" w:color="auto" w:fill="E2EEF6"/>
          </w:tcPr>
          <w:p>
            <w:pPr>
              <w:spacing w:after="0"/>
              <w:rPr>
                <w:sz w:val="20"/>
                <w:szCs w:val="20"/>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20,561</w:t>
            </w:r>
          </w:p>
        </w:tc>
        <w:tc>
          <w:tcPr>
            <w:tcW w:w="160" w:type="dxa"/>
            <w:vAlign w:val="bottom"/>
            <w:tcBorders>
              <w:left w:val="single" w:sz="8" w:color="E2EEF6"/>
            </w:tcBorders>
            <w:shd w:val="clear" w:color="auto" w:fill="E2EEF6"/>
          </w:tcPr>
          <w:p>
            <w:pPr>
              <w:spacing w:after="0"/>
              <w:rPr>
                <w:sz w:val="20"/>
                <w:szCs w:val="20"/>
                <w:color w:val="auto"/>
              </w:rPr>
            </w:pPr>
          </w:p>
        </w:tc>
        <w:tc>
          <w:tcPr>
            <w:tcW w:w="60" w:type="dxa"/>
            <w:vAlign w:val="bottom"/>
            <w:shd w:val="clear" w:color="auto" w:fill="E2EEF6"/>
          </w:tcPr>
          <w:p>
            <w:pPr>
              <w:spacing w:after="0"/>
              <w:rPr>
                <w:sz w:val="20"/>
                <w:szCs w:val="20"/>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18,083</w:t>
            </w:r>
          </w:p>
        </w:tc>
      </w:tr>
      <w:tr>
        <w:trPr>
          <w:trHeight w:val="233"/>
        </w:trPr>
        <w:tc>
          <w:tcPr>
            <w:tcW w:w="4920" w:type="dxa"/>
            <w:vAlign w:val="bottom"/>
          </w:tcPr>
          <w:p>
            <w:pPr>
              <w:spacing w:after="0"/>
              <w:rPr>
                <w:sz w:val="20"/>
                <w:szCs w:val="20"/>
                <w:color w:val="auto"/>
              </w:rPr>
            </w:pPr>
            <w:r>
              <w:rPr>
                <w:rFonts w:ascii="Arial" w:cs="Arial" w:eastAsia="Arial" w:hAnsi="Arial"/>
                <w:sz w:val="17"/>
                <w:szCs w:val="17"/>
                <w:color w:val="auto"/>
              </w:rPr>
              <w:t>Clinical research</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7"/>
          </w:tcPr>
          <w:p>
            <w:pPr>
              <w:jc w:val="right"/>
              <w:spacing w:after="0"/>
              <w:rPr>
                <w:sz w:val="20"/>
                <w:szCs w:val="20"/>
                <w:color w:val="auto"/>
              </w:rPr>
            </w:pPr>
            <w:r>
              <w:rPr>
                <w:rFonts w:ascii="Arial" w:cs="Arial" w:eastAsia="Arial" w:hAnsi="Arial"/>
                <w:sz w:val="17"/>
                <w:szCs w:val="17"/>
                <w:color w:val="auto"/>
              </w:rPr>
              <w:t>334,311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gridSpan w:val="6"/>
          </w:tcPr>
          <w:p>
            <w:pPr>
              <w:jc w:val="right"/>
              <w:ind w:right="100"/>
              <w:spacing w:after="0"/>
              <w:rPr>
                <w:sz w:val="20"/>
                <w:szCs w:val="20"/>
                <w:color w:val="auto"/>
              </w:rPr>
            </w:pPr>
            <w:r>
              <w:rPr>
                <w:rFonts w:ascii="Arial" w:cs="Arial" w:eastAsia="Arial" w:hAnsi="Arial"/>
                <w:sz w:val="17"/>
                <w:szCs w:val="17"/>
                <w:color w:val="auto"/>
              </w:rPr>
              <w:t>329,470</w:t>
            </w:r>
          </w:p>
        </w:tc>
      </w:tr>
      <w:tr>
        <w:trPr>
          <w:trHeight w:val="20"/>
        </w:trPr>
        <w:tc>
          <w:tcPr>
            <w:tcW w:w="4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Total</w:t>
            </w:r>
          </w:p>
        </w:tc>
        <w:tc>
          <w:tcPr>
            <w:tcW w:w="24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60" w:type="dxa"/>
            <w:vAlign w:val="bottom"/>
            <w:shd w:val="clear" w:color="auto" w:fill="E2EEF6"/>
          </w:tcPr>
          <w:p>
            <w:pPr>
              <w:spacing w:after="0"/>
              <w:rPr>
                <w:sz w:val="24"/>
                <w:szCs w:val="24"/>
                <w:color w:val="auto"/>
              </w:rPr>
            </w:pPr>
          </w:p>
        </w:tc>
        <w:tc>
          <w:tcPr>
            <w:tcW w:w="220" w:type="dxa"/>
            <w:vAlign w:val="bottom"/>
            <w:shd w:val="clear" w:color="auto" w:fill="E2EEF6"/>
          </w:tcPr>
          <w:p>
            <w:pPr>
              <w:spacing w:after="0"/>
              <w:rPr>
                <w:sz w:val="24"/>
                <w:szCs w:val="24"/>
                <w:color w:val="auto"/>
              </w:rPr>
            </w:pPr>
          </w:p>
        </w:tc>
        <w:tc>
          <w:tcPr>
            <w:tcW w:w="480" w:type="dxa"/>
            <w:vAlign w:val="bottom"/>
            <w:shd w:val="clear" w:color="auto" w:fill="E2EEF6"/>
          </w:tcPr>
          <w:p>
            <w:pPr>
              <w:spacing w:after="0"/>
              <w:rPr>
                <w:sz w:val="24"/>
                <w:szCs w:val="24"/>
                <w:color w:val="auto"/>
              </w:rPr>
            </w:pPr>
          </w:p>
        </w:tc>
        <w:tc>
          <w:tcPr>
            <w:tcW w:w="100" w:type="dxa"/>
            <w:vAlign w:val="bottom"/>
            <w:shd w:val="clear" w:color="auto" w:fill="E2EEF6"/>
          </w:tcPr>
          <w:p>
            <w:pPr>
              <w:spacing w:after="0"/>
              <w:rPr>
                <w:sz w:val="24"/>
                <w:szCs w:val="24"/>
                <w:color w:val="auto"/>
              </w:rPr>
            </w:pPr>
          </w:p>
        </w:tc>
        <w:tc>
          <w:tcPr>
            <w:tcW w:w="380" w:type="dxa"/>
            <w:vAlign w:val="bottom"/>
            <w:shd w:val="clear" w:color="auto" w:fill="E2EEF6"/>
          </w:tcPr>
          <w:p>
            <w:pPr>
              <w:spacing w:after="0"/>
              <w:rPr>
                <w:sz w:val="24"/>
                <w:szCs w:val="24"/>
                <w:color w:val="auto"/>
              </w:rPr>
            </w:pPr>
          </w:p>
        </w:tc>
        <w:tc>
          <w:tcPr>
            <w:tcW w:w="140" w:type="dxa"/>
            <w:vAlign w:val="bottom"/>
            <w:shd w:val="clear" w:color="auto" w:fill="E2EEF6"/>
          </w:tcPr>
          <w:p>
            <w:pPr>
              <w:spacing w:after="0"/>
              <w:rPr>
                <w:sz w:val="24"/>
                <w:szCs w:val="24"/>
                <w:color w:val="auto"/>
              </w:rPr>
            </w:pPr>
          </w:p>
        </w:tc>
        <w:tc>
          <w:tcPr>
            <w:tcW w:w="200" w:type="dxa"/>
            <w:vAlign w:val="bottom"/>
            <w:shd w:val="clear" w:color="auto" w:fill="E2EEF6"/>
          </w:tcPr>
          <w:p>
            <w:pPr>
              <w:spacing w:after="0"/>
              <w:rPr>
                <w:sz w:val="24"/>
                <w:szCs w:val="24"/>
                <w:color w:val="auto"/>
              </w:rPr>
            </w:pPr>
          </w:p>
        </w:tc>
        <w:tc>
          <w:tcPr>
            <w:tcW w:w="100" w:type="dxa"/>
            <w:vAlign w:val="bottom"/>
            <w:tcBorders>
              <w:left w:val="single" w:sz="8" w:color="E2EEF6"/>
            </w:tcBorders>
            <w:shd w:val="clear" w:color="auto" w:fill="E2EEF6"/>
          </w:tcPr>
          <w:p>
            <w:pPr>
              <w:spacing w:after="0"/>
              <w:rPr>
                <w:sz w:val="24"/>
                <w:szCs w:val="24"/>
                <w:color w:val="auto"/>
              </w:rPr>
            </w:pPr>
          </w:p>
        </w:tc>
        <w:tc>
          <w:tcPr>
            <w:tcW w:w="220" w:type="dxa"/>
            <w:vAlign w:val="bottom"/>
            <w:tcBorders>
              <w:right w:val="single" w:sz="8" w:color="E2EEF6"/>
            </w:tcBorders>
            <w:shd w:val="clear" w:color="auto" w:fill="E2EEF6"/>
          </w:tcPr>
          <w:p>
            <w:pPr>
              <w:spacing w:after="0"/>
              <w:rPr>
                <w:sz w:val="24"/>
                <w:szCs w:val="24"/>
                <w:color w:val="auto"/>
              </w:rPr>
            </w:pPr>
          </w:p>
        </w:tc>
        <w:tc>
          <w:tcPr>
            <w:tcW w:w="180" w:type="dxa"/>
            <w:vAlign w:val="bottom"/>
            <w:shd w:val="clear" w:color="auto" w:fill="E2EEF6"/>
          </w:tcPr>
          <w:p>
            <w:pPr>
              <w:jc w:val="right"/>
              <w:ind w:right="59"/>
              <w:spacing w:after="0"/>
              <w:rPr>
                <w:sz w:val="20"/>
                <w:szCs w:val="20"/>
                <w:color w:val="auto"/>
              </w:rPr>
            </w:pPr>
            <w:r>
              <w:rPr>
                <w:rFonts w:ascii="Arial" w:cs="Arial" w:eastAsia="Arial" w:hAnsi="Arial"/>
                <w:sz w:val="10"/>
                <w:szCs w:val="10"/>
                <w:color w:val="auto"/>
                <w:w w:val="71"/>
              </w:rPr>
              <w:t>$</w:t>
            </w:r>
          </w:p>
        </w:tc>
        <w:tc>
          <w:tcPr>
            <w:tcW w:w="1180" w:type="dxa"/>
            <w:vAlign w:val="bottom"/>
            <w:gridSpan w:val="7"/>
            <w:shd w:val="clear" w:color="auto" w:fill="E2EEF6"/>
          </w:tcPr>
          <w:p>
            <w:pPr>
              <w:jc w:val="right"/>
              <w:spacing w:after="0"/>
              <w:rPr>
                <w:sz w:val="20"/>
                <w:szCs w:val="20"/>
                <w:color w:val="auto"/>
              </w:rPr>
            </w:pPr>
            <w:r>
              <w:rPr>
                <w:rFonts w:ascii="Arial" w:cs="Arial" w:eastAsia="Arial" w:hAnsi="Arial"/>
                <w:sz w:val="17"/>
                <w:szCs w:val="17"/>
                <w:color w:val="auto"/>
              </w:rPr>
              <w:t>354,872</w:t>
            </w:r>
          </w:p>
        </w:tc>
        <w:tc>
          <w:tcPr>
            <w:tcW w:w="160" w:type="dxa"/>
            <w:vAlign w:val="bottom"/>
            <w:tcBorders>
              <w:left w:val="single" w:sz="8" w:color="E2EEF6"/>
            </w:tcBorders>
            <w:shd w:val="clear" w:color="auto" w:fill="E2EEF6"/>
          </w:tcPr>
          <w:p>
            <w:pPr>
              <w:spacing w:after="0"/>
              <w:rPr>
                <w:sz w:val="24"/>
                <w:szCs w:val="24"/>
                <w:color w:val="auto"/>
              </w:rPr>
            </w:pPr>
          </w:p>
        </w:tc>
        <w:tc>
          <w:tcPr>
            <w:tcW w:w="60" w:type="dxa"/>
            <w:vAlign w:val="bottom"/>
            <w:shd w:val="clear" w:color="auto" w:fill="E2EEF6"/>
          </w:tcPr>
          <w:p>
            <w:pPr>
              <w:spacing w:after="0"/>
              <w:rPr>
                <w:sz w:val="24"/>
                <w:szCs w:val="24"/>
                <w:color w:val="auto"/>
              </w:rPr>
            </w:pPr>
          </w:p>
        </w:tc>
        <w:tc>
          <w:tcPr>
            <w:tcW w:w="640" w:type="dxa"/>
            <w:vAlign w:val="bottom"/>
            <w:shd w:val="clear" w:color="auto" w:fill="E2EEF6"/>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gridSpan w:val="6"/>
            <w:shd w:val="clear" w:color="auto" w:fill="E2EEF6"/>
          </w:tcPr>
          <w:p>
            <w:pPr>
              <w:jc w:val="right"/>
              <w:ind w:right="100"/>
              <w:spacing w:after="0"/>
              <w:rPr>
                <w:sz w:val="20"/>
                <w:szCs w:val="20"/>
                <w:color w:val="auto"/>
              </w:rPr>
            </w:pPr>
            <w:r>
              <w:rPr>
                <w:rFonts w:ascii="Arial" w:cs="Arial" w:eastAsia="Arial" w:hAnsi="Arial"/>
                <w:sz w:val="17"/>
                <w:szCs w:val="17"/>
                <w:color w:val="auto"/>
              </w:rPr>
              <w:t>347,553</w:t>
            </w:r>
          </w:p>
        </w:tc>
      </w:tr>
      <w:tr>
        <w:trPr>
          <w:trHeight w:val="627"/>
        </w:trPr>
        <w:tc>
          <w:tcPr>
            <w:tcW w:w="4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c>
          <w:tcPr>
            <w:tcW w:w="220" w:type="dxa"/>
            <w:vAlign w:val="bottom"/>
            <w:tcBorders>
              <w:top w:val="single" w:sz="8" w:color="E2EEF6"/>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E2EEF6"/>
            </w:tcBorders>
          </w:tcPr>
          <w:p>
            <w:pPr>
              <w:spacing w:after="0"/>
              <w:rPr>
                <w:sz w:val="24"/>
                <w:szCs w:val="24"/>
                <w:color w:val="auto"/>
              </w:rPr>
            </w:pPr>
          </w:p>
        </w:tc>
        <w:tc>
          <w:tcPr>
            <w:tcW w:w="60" w:type="dxa"/>
            <w:vAlign w:val="bottom"/>
            <w:tcBorders>
              <w:top w:val="single" w:sz="8" w:color="E2EEF6"/>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E2EEF6"/>
            </w:tcBorders>
          </w:tcPr>
          <w:p>
            <w:pPr>
              <w:spacing w:after="0"/>
              <w:rPr>
                <w:sz w:val="24"/>
                <w:szCs w:val="24"/>
                <w:color w:val="auto"/>
              </w:rPr>
            </w:pPr>
          </w:p>
        </w:tc>
      </w:tr>
      <w:tr>
        <w:trPr>
          <w:trHeight w:val="99"/>
        </w:trPr>
        <w:tc>
          <w:tcPr>
            <w:tcW w:w="4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ICON plc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7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Annual Report on Form 20-F for the fiscal year ended May 31, 2005. The Consolidated Financial Statements have been prepared in accordance with accounting principles generally accepted in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a contract research organization, or CRO, providing clinical research and development services on a global basis to the pharmaceutical, biotechnology and medical device industries. Our focus is on supporting the conduct of clinical trials. We have historically done so by providing such services as Phase I - IV clinical trials management, study design, laboratory services and drug development support. We believe that we are one of a select group of CROs with the capability and expertise to conduct clinical trials in most major therapeutic areas on a global basis. We have approximately 3,000 employees worldwide, with operations in 39 locations in 25 countries including the United States and major markets in Europe and Rest of World and have managed clinical trials in over 55 countries. For the six months ended November 30, 2005, we derived approximately 57.1%, 35.2%, and 7.7% of our net revenue in the United States, Europe and Rest of World, respectively.</w:t>
      </w:r>
    </w:p>
    <w:p>
      <w:pPr>
        <w:spacing w:after="0" w:line="23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earn revenues by providing a number of different services to our clients. These services include clinical trials management, biometric activities, consulting and laboratory services. We recognize biometric, consulting and laboratory revenues on a fee-for-service basis. Our laboratory service contracts are multiple element arrangements, with laboratory kits and laboratory testing representing the contractual elements. We determine the fair values for these elements, each of which can be sold separately, based on objective and reliable evidence of their respective fair values. Our laboratory contracts entitle us to receive non-refundable set up fees and we allocate such fees as additional consideration to the contractual elements based on the proportionate fair values of the elements. We recognize revenues for the elements on the basis of the number of deliverable units completed in a period.</w:t>
      </w:r>
    </w:p>
    <w:p>
      <w:pPr>
        <w:spacing w:after="0" w:line="21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recognize clinical trials revenue on the basis of the relationship between time incurred and the total estimated duration of the contract as this represents the most accurate pattern over which our contractual obligations are fulfilled. We invoice our customers upon achievement of specified contractual milestones. This mechanism, which allows us to receive payment from our customers throughout the duration of the contract, is not reflective of revenue earned. We recognize revenues over the period from the awarding of the customer’s contract to study completion and acceptance. This requires us to estimate total expected revenue, time inputs, contract costs, profitability and expected duration of the clinical trial. These estimates are reviewed periodically and, if any of these estimates change or actual results differ from expected results, then an adjustment is recorded in the period in which they become readily estimable.</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is customary in the CRO industry, we subcontract with third party investigators in connection with clinical trials. All subcontractor costs, and certain other costs where reimbursed by clients, are, in accordance with industry practice, deducted from gross revenue to arrive at net revenue. As no profit is earned on these costs, which vary from contract to contract, we view net revenue as our primary measure of revenue growth.</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consist primarily of compensation and associated fringe benefits for project-related employees and other direct project driven costs. Selling, general and administrative expenses consist of compensation and related fringe benefits for selling and administrative employees, professional services, advertising costs and all costs related to facilities and information systems.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the nature of our business involves the management of projects having a typical duration of one to three years, the commencement, completion, curtailment or early termination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3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Although domiciled in Ireland, we report our results in U.S. dollars. As a consequence, the results of our non-United States based operations, when translated into U.S. dollars, could be materially affected by fluctuations in exchange rates between the U.S. dollar and the currency of those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54" w:right="239" w:bottom="1440" w:gutter="0" w:footer="0" w:header="0"/>
        </w:sectPr>
      </w:pPr>
    </w:p>
    <w:bookmarkStart w:id="14" w:name="page15"/>
    <w:bookmarkEnd w:id="14"/>
    <w:p>
      <w:pPr>
        <w:jc w:val="both"/>
        <w:spacing w:after="0" w:line="274" w:lineRule="auto"/>
        <w:rPr>
          <w:sz w:val="20"/>
          <w:szCs w:val="20"/>
          <w:color w:val="auto"/>
        </w:rPr>
      </w:pPr>
      <w:r>
        <w:rPr>
          <w:rFonts w:ascii="Arial" w:cs="Arial" w:eastAsia="Arial" w:hAnsi="Arial"/>
          <w:sz w:val="16"/>
          <w:szCs w:val="16"/>
          <w:color w:val="auto"/>
        </w:rPr>
        <w:t>In addition to translation exposures, we are also subject to transaction exposures because the currency in which contracts are priced can be different from the currencies in which costs relating to those contracts are incurred. We have thirteen operations operating in U.S. dollars, five trading in Euros, three in pounds Sterling, and one each in Australian dollars, Indian Rupee, Singapore dollars, Yen, Israeli New Shekels, Latvian Lats, Swedish Krona, Argentine Peso, South African Rand, Russian Rouble, Canadian dollar, Hungarian Forint, Taiwan dollar, Hong Kong dollar, Mexican Peso, Brazilian Real, Thai Baht and Chinese Yuan Renminbi.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pounds Sterling, U.S. dollars or Euros,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hedge a portion of these, using forward exchange contracts, where natural hedges do not cover them.</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received capital and revenue grants from Enterprise Ireland, an Irish government agency. We record capital grants as deferred income, which are credited to income on a basis consistent with the depreciation of the relevant asset. Grants relating to operating expenditures are credited to income in the period in which the related expenditure is charged. The capital grant agreements provide that in certain circumstances the grants received may be refundable in full. These circumstances include sale of the related asset, liquidation of the Company or failing to comply in other respects with the grant agreements. The operating expenditure grant agreements provide for repayment in the event of downsizing of the Company calculated by reference to any reduction in employee numbers. We have not recognized any loss contingency having assessed as remote the likelihood of these events arising. Up to November 30, 2005, we have received $2,418,697 and $1,797,739 under the capital grants and operating grants, respectively. Pursuant to the terms of the grant agreements, we are restricted from distributing some of these amounts by way of dividend or otherwise.</w:t>
      </w:r>
    </w:p>
    <w:p>
      <w:pPr>
        <w:spacing w:after="0" w:line="2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of operations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November 30, 2005 Compared with Three Months Ended November 30, 2004</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w w:val="92"/>
              </w:rPr>
              <w:t>Three Months Ended</w:t>
            </w:r>
          </w:p>
        </w:tc>
        <w:tc>
          <w:tcPr>
            <w:tcW w:w="180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46"/>
        </w:trPr>
        <w:tc>
          <w:tcPr>
            <w:tcW w:w="4920" w:type="dxa"/>
            <w:vAlign w:val="bottom"/>
          </w:tcPr>
          <w:p>
            <w:pPr>
              <w:spacing w:after="0"/>
              <w:rPr>
                <w:sz w:val="24"/>
                <w:szCs w:val="24"/>
                <w:color w:val="auto"/>
              </w:rPr>
            </w:pPr>
          </w:p>
        </w:tc>
        <w:tc>
          <w:tcPr>
            <w:tcW w:w="1700" w:type="dxa"/>
            <w:vAlign w:val="bottom"/>
            <w:gridSpan w:val="5"/>
          </w:tcPr>
          <w:p>
            <w:pPr>
              <w:jc w:val="center"/>
              <w:ind w:right="680"/>
              <w:spacing w:after="0"/>
              <w:rPr>
                <w:sz w:val="20"/>
                <w:szCs w:val="20"/>
                <w:color w:val="auto"/>
              </w:rPr>
            </w:pPr>
            <w:r>
              <w:rPr>
                <w:rFonts w:ascii="Arial" w:cs="Arial" w:eastAsia="Arial" w:hAnsi="Arial"/>
                <w:sz w:val="17"/>
                <w:szCs w:val="17"/>
                <w:b w:val="1"/>
                <w:bCs w:val="1"/>
                <w:color w:val="auto"/>
                <w:w w:val="91"/>
              </w:rPr>
              <w:t>November 30,</w:t>
            </w:r>
          </w:p>
        </w:tc>
        <w:tc>
          <w:tcPr>
            <w:tcW w:w="212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91"/>
              </w:rPr>
              <w:t>November 30,</w:t>
            </w:r>
          </w:p>
        </w:tc>
        <w:tc>
          <w:tcPr>
            <w:tcW w:w="2080" w:type="dxa"/>
            <w:vAlign w:val="bottom"/>
            <w:gridSpan w:val="6"/>
          </w:tcPr>
          <w:p>
            <w:pPr>
              <w:jc w:val="center"/>
              <w:ind w:left="1454"/>
              <w:spacing w:after="0"/>
              <w:rPr>
                <w:sz w:val="20"/>
                <w:szCs w:val="20"/>
                <w:color w:val="auto"/>
              </w:rPr>
            </w:pPr>
            <w:r>
              <w:rPr>
                <w:rFonts w:ascii="Arial" w:cs="Arial" w:eastAsia="Arial" w:hAnsi="Arial"/>
                <w:sz w:val="17"/>
                <w:szCs w:val="17"/>
                <w:b w:val="1"/>
                <w:bCs w:val="1"/>
                <w:color w:val="auto"/>
                <w:w w:val="89"/>
              </w:rPr>
              <w:t>2004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7"/>
          </w:tcPr>
          <w:p>
            <w:pPr>
              <w:jc w:val="center"/>
              <w:ind w:right="460"/>
              <w:spacing w:after="0"/>
              <w:rPr>
                <w:sz w:val="20"/>
                <w:szCs w:val="20"/>
                <w:color w:val="auto"/>
              </w:rPr>
            </w:pPr>
            <w:r>
              <w:rPr>
                <w:rFonts w:ascii="Arial" w:cs="Arial" w:eastAsia="Arial" w:hAnsi="Arial"/>
                <w:sz w:val="17"/>
                <w:szCs w:val="17"/>
                <w:b w:val="1"/>
                <w:bCs w:val="1"/>
                <w:color w:val="auto"/>
                <w:w w:val="92"/>
              </w:rPr>
              <w:t>to 2005</w:t>
            </w: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460" w:type="dxa"/>
            <w:vAlign w:val="bottom"/>
            <w:gridSpan w:val="2"/>
          </w:tcPr>
          <w:p>
            <w:pPr>
              <w:spacing w:after="0"/>
              <w:rPr>
                <w:sz w:val="18"/>
                <w:szCs w:val="18"/>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9"/>
          </w:tcPr>
          <w:p>
            <w:pPr>
              <w:spacing w:after="0"/>
              <w:rPr>
                <w:sz w:val="20"/>
                <w:szCs w:val="20"/>
                <w:color w:val="auto"/>
              </w:rPr>
            </w:pPr>
            <w:r>
              <w:rPr>
                <w:rFonts w:ascii="Arial" w:cs="Arial" w:eastAsia="Arial" w:hAnsi="Arial"/>
                <w:sz w:val="17"/>
                <w:szCs w:val="17"/>
                <w:b w:val="1"/>
                <w:bCs w:val="1"/>
                <w:color w:val="auto"/>
              </w:rPr>
              <w:t>Percentage of Net Revenue</w:t>
            </w:r>
          </w:p>
        </w:tc>
        <w:tc>
          <w:tcPr>
            <w:tcW w:w="2680" w:type="dxa"/>
            <w:vAlign w:val="bottom"/>
            <w:gridSpan w:val="9"/>
          </w:tcPr>
          <w:p>
            <w:pPr>
              <w:jc w:val="center"/>
              <w:ind w:left="854"/>
              <w:spacing w:after="0"/>
              <w:rPr>
                <w:sz w:val="20"/>
                <w:szCs w:val="20"/>
                <w:color w:val="auto"/>
              </w:rPr>
            </w:pPr>
            <w:r>
              <w:rPr>
                <w:rFonts w:ascii="Arial" w:cs="Arial" w:eastAsia="Arial" w:hAnsi="Arial"/>
                <w:sz w:val="17"/>
                <w:szCs w:val="17"/>
                <w:b w:val="1"/>
                <w:bCs w:val="1"/>
                <w:color w:val="auto"/>
                <w:w w:val="89"/>
              </w:rPr>
              <w:t>Increase/(decrease)</w:t>
            </w:r>
          </w:p>
        </w:tc>
      </w:tr>
      <w:tr>
        <w:trPr>
          <w:trHeight w:val="277"/>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100.0%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0"/>
              </w:rPr>
              <w:t>100.0%</w:t>
            </w:r>
          </w:p>
        </w:tc>
        <w:tc>
          <w:tcPr>
            <w:tcW w:w="1100" w:type="dxa"/>
            <w:vAlign w:val="bottom"/>
            <w:shd w:val="clear" w:color="auto" w:fill="E2EEF6"/>
          </w:tcPr>
          <w:p>
            <w:pPr>
              <w:spacing w:after="0"/>
              <w:rPr>
                <w:sz w:val="22"/>
                <w:szCs w:val="22"/>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10.8%</w:t>
            </w:r>
          </w:p>
        </w:tc>
        <w:tc>
          <w:tcPr>
            <w:tcW w:w="30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7"/>
                <w:szCs w:val="17"/>
                <w:color w:val="auto"/>
              </w:rPr>
              <w:t>Costs and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Direct costs</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55.3%</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1"/>
              </w:rPr>
              <w:t>54.9%</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11.6%</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gridSpan w:val="5"/>
          </w:tcPr>
          <w:p>
            <w:pPr>
              <w:jc w:val="right"/>
              <w:ind w:right="360"/>
              <w:spacing w:after="0"/>
              <w:rPr>
                <w:sz w:val="20"/>
                <w:szCs w:val="20"/>
                <w:color w:val="auto"/>
              </w:rPr>
            </w:pPr>
            <w:r>
              <w:rPr>
                <w:rFonts w:ascii="Arial" w:cs="Arial" w:eastAsia="Arial" w:hAnsi="Arial"/>
                <w:sz w:val="17"/>
                <w:szCs w:val="17"/>
                <w:color w:val="auto"/>
              </w:rPr>
              <w:t>30.5%</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32.1%</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5.1%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gridSpan w:val="5"/>
            <w:shd w:val="clear" w:color="auto" w:fill="E2EEF6"/>
          </w:tcPr>
          <w:p>
            <w:pPr>
              <w:jc w:val="right"/>
              <w:ind w:right="360"/>
              <w:spacing w:after="0"/>
              <w:rPr>
                <w:sz w:val="20"/>
                <w:szCs w:val="20"/>
                <w:color w:val="auto"/>
              </w:rPr>
            </w:pPr>
            <w:r>
              <w:rPr>
                <w:rFonts w:ascii="Arial" w:cs="Arial" w:eastAsia="Arial" w:hAnsi="Arial"/>
                <w:sz w:val="17"/>
                <w:szCs w:val="17"/>
                <w:color w:val="auto"/>
              </w:rPr>
              <w:t>4.0%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2"/>
              </w:rPr>
              <w:t>4.2%</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2"/>
              </w:rPr>
              <w:t>6.5%</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700" w:type="dxa"/>
            <w:vAlign w:val="bottom"/>
            <w:gridSpan w:val="5"/>
          </w:tcPr>
          <w:p>
            <w:pPr>
              <w:jc w:val="right"/>
              <w:ind w:right="360"/>
              <w:spacing w:after="0"/>
              <w:rPr>
                <w:sz w:val="20"/>
                <w:szCs w:val="20"/>
                <w:color w:val="auto"/>
              </w:rPr>
            </w:pPr>
            <w:r>
              <w:rPr>
                <w:rFonts w:ascii="Arial" w:cs="Arial" w:eastAsia="Arial" w:hAnsi="Arial"/>
                <w:sz w:val="17"/>
                <w:szCs w:val="17"/>
                <w:color w:val="auto"/>
              </w:rPr>
              <w:t>10.2%</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2"/>
              </w:rPr>
              <w:t>8.8%</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1"/>
              </w:rPr>
              <w:t>28.7%</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9"/>
        </w:trPr>
        <w:tc>
          <w:tcPr>
            <w:tcW w:w="4920" w:type="dxa"/>
            <w:vAlign w:val="bottom"/>
            <w:shd w:val="clear" w:color="auto" w:fill="E2EEF6"/>
          </w:tcPr>
          <w:p>
            <w:pPr>
              <w:spacing w:after="0"/>
              <w:rPr>
                <w:sz w:val="20"/>
                <w:szCs w:val="20"/>
                <w:color w:val="auto"/>
              </w:rPr>
            </w:pPr>
          </w:p>
        </w:tc>
        <w:tc>
          <w:tcPr>
            <w:tcW w:w="360" w:type="dxa"/>
            <w:vAlign w:val="bottom"/>
            <w:tcBorders>
              <w:right w:val="single" w:sz="8" w:color="E2EEF6"/>
            </w:tcBorders>
            <w:shd w:val="clear" w:color="auto" w:fill="E2EEF6"/>
          </w:tcPr>
          <w:p>
            <w:pPr>
              <w:spacing w:after="0"/>
              <w:rPr>
                <w:sz w:val="20"/>
                <w:szCs w:val="20"/>
                <w:color w:val="auto"/>
              </w:rPr>
            </w:pPr>
          </w:p>
        </w:tc>
        <w:tc>
          <w:tcPr>
            <w:tcW w:w="80" w:type="dxa"/>
            <w:vAlign w:val="bottom"/>
            <w:shd w:val="clear" w:color="auto" w:fill="E2EEF6"/>
          </w:tcPr>
          <w:p>
            <w:pPr>
              <w:spacing w:after="0"/>
              <w:rPr>
                <w:sz w:val="20"/>
                <w:szCs w:val="20"/>
                <w:color w:val="auto"/>
              </w:rPr>
            </w:pPr>
          </w:p>
        </w:tc>
        <w:tc>
          <w:tcPr>
            <w:tcW w:w="24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680" w:type="dxa"/>
            <w:vAlign w:val="bottom"/>
            <w:shd w:val="clear" w:color="auto" w:fill="E2EEF6"/>
          </w:tcPr>
          <w:p>
            <w:pPr>
              <w:spacing w:after="0"/>
              <w:rPr>
                <w:sz w:val="20"/>
                <w:szCs w:val="20"/>
                <w:color w:val="auto"/>
              </w:rPr>
            </w:pPr>
          </w:p>
        </w:tc>
        <w:tc>
          <w:tcPr>
            <w:tcW w:w="320" w:type="dxa"/>
            <w:vAlign w:val="bottom"/>
            <w:shd w:val="clear" w:color="auto" w:fill="E2EEF6"/>
          </w:tcPr>
          <w:p>
            <w:pPr>
              <w:spacing w:after="0"/>
              <w:rPr>
                <w:sz w:val="20"/>
                <w:szCs w:val="20"/>
                <w:color w:val="auto"/>
              </w:rPr>
            </w:pPr>
          </w:p>
        </w:tc>
        <w:tc>
          <w:tcPr>
            <w:tcW w:w="20" w:type="dxa"/>
            <w:vAlign w:val="bottom"/>
            <w:shd w:val="clear" w:color="auto" w:fill="E2EEF6"/>
          </w:tcPr>
          <w:p>
            <w:pPr>
              <w:spacing w:after="0"/>
              <w:rPr>
                <w:sz w:val="20"/>
                <w:szCs w:val="20"/>
                <w:color w:val="auto"/>
              </w:rPr>
            </w:pPr>
          </w:p>
        </w:tc>
        <w:tc>
          <w:tcPr>
            <w:tcW w:w="340" w:type="dxa"/>
            <w:vAlign w:val="bottom"/>
            <w:tcBorders>
              <w:right w:val="single" w:sz="8" w:color="E2EEF6"/>
            </w:tcBorders>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110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340" w:type="dxa"/>
            <w:vAlign w:val="bottom"/>
            <w:shd w:val="clear" w:color="auto" w:fill="E2EEF6"/>
          </w:tcPr>
          <w:p>
            <w:pPr>
              <w:spacing w:after="0"/>
              <w:rPr>
                <w:sz w:val="20"/>
                <w:szCs w:val="20"/>
                <w:color w:val="auto"/>
              </w:rPr>
            </w:pPr>
          </w:p>
        </w:tc>
        <w:tc>
          <w:tcPr>
            <w:tcW w:w="100" w:type="dxa"/>
            <w:vAlign w:val="bottom"/>
            <w:shd w:val="clear" w:color="auto" w:fill="E2EEF6"/>
          </w:tcPr>
          <w:p>
            <w:pPr>
              <w:spacing w:after="0"/>
              <w:rPr>
                <w:sz w:val="20"/>
                <w:szCs w:val="20"/>
                <w:color w:val="auto"/>
              </w:rPr>
            </w:pPr>
          </w:p>
        </w:tc>
        <w:tc>
          <w:tcPr>
            <w:tcW w:w="140" w:type="dxa"/>
            <w:vAlign w:val="bottom"/>
            <w:shd w:val="clear" w:color="auto" w:fill="E2EEF6"/>
          </w:tcPr>
          <w:p>
            <w:pPr>
              <w:spacing w:after="0"/>
              <w:rPr>
                <w:sz w:val="20"/>
                <w:szCs w:val="20"/>
                <w:color w:val="auto"/>
              </w:rPr>
            </w:pPr>
          </w:p>
        </w:tc>
        <w:tc>
          <w:tcPr>
            <w:tcW w:w="300" w:type="dxa"/>
            <w:vAlign w:val="bottom"/>
            <w:shd w:val="clear" w:color="auto" w:fill="E2EEF6"/>
          </w:tcPr>
          <w:p>
            <w:pPr>
              <w:spacing w:after="0"/>
              <w:rPr>
                <w:sz w:val="20"/>
                <w:szCs w:val="20"/>
                <w:color w:val="auto"/>
              </w:rPr>
            </w:pPr>
          </w:p>
        </w:tc>
        <w:tc>
          <w:tcPr>
            <w:tcW w:w="160" w:type="dxa"/>
            <w:vAlign w:val="bottom"/>
            <w:shd w:val="clear" w:color="auto" w:fill="E2EEF6"/>
          </w:tcPr>
          <w:p>
            <w:pPr>
              <w:spacing w:after="0"/>
              <w:rPr>
                <w:sz w:val="20"/>
                <w:szCs w:val="20"/>
                <w:color w:val="auto"/>
              </w:rPr>
            </w:pPr>
          </w:p>
        </w:tc>
      </w:tr>
    </w:tbl>
    <w:p>
      <w:pPr>
        <w:spacing w:after="0" w:line="24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revenue increased by $8.6 million, or 10.8%, from $79.5 million to $88.1 million. This improvement arose through a combination of increased business from existing clients and business won from new clients. Revenues in the United States, Europe and the Rest 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 w:name="page16"/>
    <w:bookmarkEnd w:id="15"/>
    <w:p>
      <w:pPr>
        <w:jc w:val="both"/>
        <w:spacing w:after="0" w:line="281" w:lineRule="auto"/>
        <w:rPr>
          <w:sz w:val="20"/>
          <w:szCs w:val="20"/>
          <w:color w:val="auto"/>
        </w:rPr>
      </w:pPr>
      <w:r>
        <w:rPr>
          <w:rFonts w:ascii="Arial" w:cs="Arial" w:eastAsia="Arial" w:hAnsi="Arial"/>
          <w:sz w:val="16"/>
          <w:szCs w:val="16"/>
          <w:color w:val="auto"/>
        </w:rPr>
        <w:t>World grew by 12.1%, (0.2)% and 70.5% respectively. In the three months ended November 30, 2005, net revenue from our central laboratory business increased by 24.8% from $6.5 million to $8.1 million, while our clinical research segment grew by 9.5% from $73.0 million to $80.0 million over the comparable period. The increase in net revenue in our central laboratory segment is primarily due to higher testing volumes in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increased by $5.0 million, or 11.6%, from $43.7 million to $48.7 million, primarily due to increased staff numbers needed to support increased project related activity. Direct costs as a percentage of net revenue increased from 54.9% in the three months to November 30, 2004 to 55.3% in the three months to November 30, 2005.</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Selling, general and administrative expenses increased by $1.3 million, or 5.1%, from $25.5 million to $26.8 million. This increase is due to the continued expansion of our operations. As a percentage of net revenue, selling, general and administrative expenses, decreased from 32.1% in the three months ended November 30, 2004, to 30.5% in the three months ended November 30, 2005.</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Depreciation and amortization expense increased by $0.2 million, or 6.5%, from $3.3 million to $3.5million. This increase is due to the continued investment in facilities and information technology to support the growth in activity and in providing for future capacity. As a percentage of net revenue, depreciation and amortization decreased from 4.2% in the three months ended November 30, 2004 to 4.0% in the three months ended November 30, 2005.</w:t>
      </w:r>
    </w:p>
    <w:p>
      <w:pPr>
        <w:spacing w:after="0" w:line="20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Income from operations increased by $2.0 million, or 28.7%, from $7.0 million to $9.0 million. As a percentage of net revenue, income from operations increased from 8.8% for the three months to November 30, 2004 to 10.2% of net revenues for the three months ended November 30, 2005. As a percentage of net revenue, losses from operations for the central laboratory decreased from 29.3% for the second quarter of fiscal 2005, to 14.8% for the second quarter of fiscal 2006 due to the efficiencies gained in the higher testing volumes in fiscal 2006. The central laboratory constitutes approximately 9% of our business revenues. Operating margins for our clinical research segment increased from 12.2% in the three months ended November 30, 2004, to 12.8% for the three months ended November 30, 2005.</w:t>
      </w:r>
    </w:p>
    <w:p>
      <w:pPr>
        <w:spacing w:after="0" w:line="201"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Net interest income for the three months ended November 30, 2005 was $0.6 million, an increase of $0.4 million over the amount of net interest income for the three months ended November 30, 2004. Higher average level of funds invested and higher interest rates over fiscal 2005 contributed to the increased interest income.</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ICON's effective tax rate for the three months ended November 30, 2005 was 27.2% compared with 18.2% for the comparable period last year. The increase in the effective rate was primarily due to a change in the geographic distribution of pre-tax earnings.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November 30, 2005 Compared with Six Months Ended November 30, 2004</w:t>
      </w: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86"/>
              </w:rPr>
              <w:t>Six Months Ended</w:t>
            </w:r>
          </w:p>
        </w:tc>
        <w:tc>
          <w:tcPr>
            <w:tcW w:w="184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46"/>
        </w:trPr>
        <w:tc>
          <w:tcPr>
            <w:tcW w:w="4920" w:type="dxa"/>
            <w:vAlign w:val="bottom"/>
          </w:tcPr>
          <w:p>
            <w:pPr>
              <w:spacing w:after="0"/>
              <w:rPr>
                <w:sz w:val="24"/>
                <w:szCs w:val="24"/>
                <w:color w:val="auto"/>
              </w:rPr>
            </w:pPr>
          </w:p>
        </w:tc>
        <w:tc>
          <w:tcPr>
            <w:tcW w:w="1700" w:type="dxa"/>
            <w:vAlign w:val="bottom"/>
            <w:gridSpan w:val="4"/>
          </w:tcPr>
          <w:p>
            <w:pPr>
              <w:jc w:val="center"/>
              <w:ind w:right="680"/>
              <w:spacing w:after="0"/>
              <w:rPr>
                <w:sz w:val="20"/>
                <w:szCs w:val="20"/>
                <w:color w:val="auto"/>
              </w:rPr>
            </w:pPr>
            <w:r>
              <w:rPr>
                <w:rFonts w:ascii="Arial" w:cs="Arial" w:eastAsia="Arial" w:hAnsi="Arial"/>
                <w:sz w:val="17"/>
                <w:szCs w:val="17"/>
                <w:b w:val="1"/>
                <w:bCs w:val="1"/>
                <w:color w:val="auto"/>
                <w:w w:val="91"/>
              </w:rPr>
              <w:t>November 30,</w:t>
            </w:r>
          </w:p>
        </w:tc>
        <w:tc>
          <w:tcPr>
            <w:tcW w:w="2120" w:type="dxa"/>
            <w:vAlign w:val="bottom"/>
            <w:gridSpan w:val="5"/>
          </w:tcPr>
          <w:p>
            <w:pPr>
              <w:jc w:val="center"/>
              <w:ind w:right="1100"/>
              <w:spacing w:after="0"/>
              <w:rPr>
                <w:sz w:val="20"/>
                <w:szCs w:val="20"/>
                <w:color w:val="auto"/>
              </w:rPr>
            </w:pPr>
            <w:r>
              <w:rPr>
                <w:rFonts w:ascii="Arial" w:cs="Arial" w:eastAsia="Arial" w:hAnsi="Arial"/>
                <w:sz w:val="17"/>
                <w:szCs w:val="17"/>
                <w:b w:val="1"/>
                <w:bCs w:val="1"/>
                <w:color w:val="auto"/>
                <w:w w:val="91"/>
              </w:rPr>
              <w:t>November 30,</w:t>
            </w:r>
          </w:p>
        </w:tc>
        <w:tc>
          <w:tcPr>
            <w:tcW w:w="2080" w:type="dxa"/>
            <w:vAlign w:val="bottom"/>
            <w:gridSpan w:val="6"/>
          </w:tcPr>
          <w:p>
            <w:pPr>
              <w:jc w:val="center"/>
              <w:ind w:left="1454"/>
              <w:spacing w:after="0"/>
              <w:rPr>
                <w:sz w:val="20"/>
                <w:szCs w:val="20"/>
                <w:color w:val="auto"/>
              </w:rPr>
            </w:pPr>
            <w:r>
              <w:rPr>
                <w:rFonts w:ascii="Arial" w:cs="Arial" w:eastAsia="Arial" w:hAnsi="Arial"/>
                <w:sz w:val="17"/>
                <w:szCs w:val="17"/>
                <w:b w:val="1"/>
                <w:bCs w:val="1"/>
                <w:color w:val="auto"/>
                <w:w w:val="89"/>
              </w:rPr>
              <w:t>2004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b w:val="1"/>
                <w:bCs w:val="1"/>
                <w:color w:val="auto"/>
              </w:rPr>
              <w:t>2005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2004</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7"/>
          </w:tcPr>
          <w:p>
            <w:pPr>
              <w:jc w:val="center"/>
              <w:ind w:right="460"/>
              <w:spacing w:after="0"/>
              <w:rPr>
                <w:sz w:val="20"/>
                <w:szCs w:val="20"/>
                <w:color w:val="auto"/>
              </w:rPr>
            </w:pPr>
            <w:r>
              <w:rPr>
                <w:rFonts w:ascii="Arial" w:cs="Arial" w:eastAsia="Arial" w:hAnsi="Arial"/>
                <w:sz w:val="17"/>
                <w:szCs w:val="17"/>
                <w:b w:val="1"/>
                <w:bCs w:val="1"/>
                <w:color w:val="auto"/>
                <w:w w:val="92"/>
              </w:rPr>
              <w:t>to 2005</w:t>
            </w:r>
          </w:p>
        </w:tc>
      </w:tr>
      <w:tr>
        <w:trPr>
          <w:trHeight w:val="20"/>
        </w:trPr>
        <w:tc>
          <w:tcPr>
            <w:tcW w:w="49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7"/>
                <w:szCs w:val="17"/>
                <w:b w:val="1"/>
                <w:bCs w:val="1"/>
                <w:color w:val="auto"/>
                <w:w w:val="89"/>
              </w:rPr>
              <w:t>Percentage</w:t>
            </w:r>
          </w:p>
        </w:tc>
        <w:tc>
          <w:tcPr>
            <w:tcW w:w="460" w:type="dxa"/>
            <w:vAlign w:val="bottom"/>
            <w:gridSpan w:val="2"/>
          </w:tcPr>
          <w:p>
            <w:pPr>
              <w:spacing w:after="0"/>
              <w:rPr>
                <w:sz w:val="18"/>
                <w:szCs w:val="18"/>
                <w:color w:val="auto"/>
              </w:rPr>
            </w:pPr>
          </w:p>
        </w:tc>
      </w:tr>
      <w:tr>
        <w:trPr>
          <w:trHeight w:val="213"/>
        </w:trPr>
        <w:tc>
          <w:tcPr>
            <w:tcW w:w="4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gridSpan w:val="8"/>
          </w:tcPr>
          <w:p>
            <w:pPr>
              <w:spacing w:after="0"/>
              <w:rPr>
                <w:sz w:val="20"/>
                <w:szCs w:val="20"/>
                <w:color w:val="auto"/>
              </w:rPr>
            </w:pPr>
            <w:r>
              <w:rPr>
                <w:rFonts w:ascii="Arial" w:cs="Arial" w:eastAsia="Arial" w:hAnsi="Arial"/>
                <w:sz w:val="17"/>
                <w:szCs w:val="17"/>
                <w:b w:val="1"/>
                <w:bCs w:val="1"/>
                <w:color w:val="auto"/>
              </w:rPr>
              <w:t>Percentage of Net Revenue</w:t>
            </w:r>
          </w:p>
        </w:tc>
        <w:tc>
          <w:tcPr>
            <w:tcW w:w="2680" w:type="dxa"/>
            <w:vAlign w:val="bottom"/>
            <w:gridSpan w:val="9"/>
          </w:tcPr>
          <w:p>
            <w:pPr>
              <w:jc w:val="center"/>
              <w:ind w:left="854"/>
              <w:spacing w:after="0"/>
              <w:rPr>
                <w:sz w:val="20"/>
                <w:szCs w:val="20"/>
                <w:color w:val="auto"/>
              </w:rPr>
            </w:pPr>
            <w:r>
              <w:rPr>
                <w:rFonts w:ascii="Arial" w:cs="Arial" w:eastAsia="Arial" w:hAnsi="Arial"/>
                <w:sz w:val="17"/>
                <w:szCs w:val="17"/>
                <w:b w:val="1"/>
                <w:bCs w:val="1"/>
                <w:color w:val="auto"/>
                <w:w w:val="89"/>
              </w:rPr>
              <w:t>Increase/(decrease)</w:t>
            </w:r>
          </w:p>
        </w:tc>
      </w:tr>
      <w:tr>
        <w:trPr>
          <w:trHeight w:val="536"/>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9"/>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Net revenue</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100.0%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0"/>
              </w:rPr>
              <w:t>100.0%</w:t>
            </w:r>
          </w:p>
        </w:tc>
        <w:tc>
          <w:tcPr>
            <w:tcW w:w="1100" w:type="dxa"/>
            <w:vAlign w:val="bottom"/>
            <w:shd w:val="clear" w:color="auto" w:fill="E2EEF6"/>
          </w:tcPr>
          <w:p>
            <w:pPr>
              <w:spacing w:after="0"/>
              <w:rPr>
                <w:sz w:val="22"/>
                <w:szCs w:val="22"/>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10.2%</w:t>
            </w:r>
          </w:p>
        </w:tc>
        <w:tc>
          <w:tcPr>
            <w:tcW w:w="300" w:type="dxa"/>
            <w:vAlign w:val="bottom"/>
            <w:shd w:val="clear" w:color="auto" w:fill="E2EEF6"/>
          </w:tcPr>
          <w:p>
            <w:pPr>
              <w:spacing w:after="0"/>
              <w:rPr>
                <w:sz w:val="22"/>
                <w:szCs w:val="22"/>
                <w:color w:val="auto"/>
              </w:rPr>
            </w:pPr>
          </w:p>
        </w:tc>
        <w:tc>
          <w:tcPr>
            <w:tcW w:w="160" w:type="dxa"/>
            <w:vAlign w:val="bottom"/>
            <w:shd w:val="clear" w:color="auto" w:fill="E2EEF6"/>
          </w:tcPr>
          <w:p>
            <w:pPr>
              <w:spacing w:after="0"/>
              <w:rPr>
                <w:sz w:val="22"/>
                <w:szCs w:val="22"/>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7"/>
                <w:szCs w:val="17"/>
                <w:color w:val="auto"/>
              </w:rPr>
              <w:t>Costs and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Direct costs</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55.2%</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1"/>
              </w:rPr>
              <w:t>54.6%</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1"/>
              </w:rPr>
              <w:t>11.5%</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52"/>
        </w:trPr>
        <w:tc>
          <w:tcPr>
            <w:tcW w:w="492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700" w:type="dxa"/>
            <w:vAlign w:val="bottom"/>
            <w:gridSpan w:val="4"/>
          </w:tcPr>
          <w:p>
            <w:pPr>
              <w:jc w:val="right"/>
              <w:ind w:right="360"/>
              <w:spacing w:after="0"/>
              <w:rPr>
                <w:sz w:val="20"/>
                <w:szCs w:val="20"/>
                <w:color w:val="auto"/>
              </w:rPr>
            </w:pPr>
            <w:r>
              <w:rPr>
                <w:rFonts w:ascii="Arial" w:cs="Arial" w:eastAsia="Arial" w:hAnsi="Arial"/>
                <w:sz w:val="17"/>
                <w:szCs w:val="17"/>
                <w:color w:val="auto"/>
              </w:rPr>
              <w:t>30.8%</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31.0%</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9.8%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65"/>
        </w:trPr>
        <w:tc>
          <w:tcPr>
            <w:tcW w:w="4920" w:type="dxa"/>
            <w:vAlign w:val="bottom"/>
            <w:shd w:val="clear" w:color="auto" w:fill="E2EEF6"/>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gridSpan w:val="4"/>
            <w:shd w:val="clear" w:color="auto" w:fill="E2EEF6"/>
          </w:tcPr>
          <w:p>
            <w:pPr>
              <w:jc w:val="right"/>
              <w:ind w:right="360"/>
              <w:spacing w:after="0"/>
              <w:rPr>
                <w:sz w:val="20"/>
                <w:szCs w:val="20"/>
                <w:color w:val="auto"/>
              </w:rPr>
            </w:pPr>
            <w:r>
              <w:rPr>
                <w:rFonts w:ascii="Arial" w:cs="Arial" w:eastAsia="Arial" w:hAnsi="Arial"/>
                <w:sz w:val="17"/>
                <w:szCs w:val="17"/>
                <w:color w:val="auto"/>
              </w:rPr>
              <w:t>4.0%</w:t>
            </w:r>
          </w:p>
        </w:tc>
        <w:tc>
          <w:tcPr>
            <w:tcW w:w="1020" w:type="dxa"/>
            <w:vAlign w:val="bottom"/>
            <w:gridSpan w:val="4"/>
            <w:shd w:val="clear" w:color="auto" w:fill="E2EEF6"/>
          </w:tcPr>
          <w:p>
            <w:pPr>
              <w:jc w:val="center"/>
              <w:ind w:left="174"/>
              <w:spacing w:after="0"/>
              <w:rPr>
                <w:sz w:val="20"/>
                <w:szCs w:val="20"/>
                <w:color w:val="auto"/>
              </w:rPr>
            </w:pPr>
            <w:r>
              <w:rPr>
                <w:rFonts w:ascii="Arial" w:cs="Arial" w:eastAsia="Arial" w:hAnsi="Arial"/>
                <w:sz w:val="17"/>
                <w:szCs w:val="17"/>
                <w:color w:val="auto"/>
                <w:w w:val="92"/>
              </w:rPr>
              <w:t>4.0%</w:t>
            </w:r>
          </w:p>
        </w:tc>
        <w:tc>
          <w:tcPr>
            <w:tcW w:w="1100" w:type="dxa"/>
            <w:vAlign w:val="bottom"/>
            <w:shd w:val="clear" w:color="auto" w:fill="E2EEF6"/>
          </w:tcPr>
          <w:p>
            <w:pPr>
              <w:spacing w:after="0"/>
              <w:rPr>
                <w:sz w:val="23"/>
                <w:szCs w:val="23"/>
                <w:color w:val="auto"/>
              </w:rPr>
            </w:pPr>
          </w:p>
        </w:tc>
        <w:tc>
          <w:tcPr>
            <w:tcW w:w="2220" w:type="dxa"/>
            <w:vAlign w:val="bottom"/>
            <w:gridSpan w:val="7"/>
            <w:shd w:val="clear" w:color="auto" w:fill="E2EEF6"/>
          </w:tcPr>
          <w:p>
            <w:pPr>
              <w:jc w:val="center"/>
              <w:ind w:left="1494"/>
              <w:spacing w:after="0"/>
              <w:rPr>
                <w:sz w:val="20"/>
                <w:szCs w:val="20"/>
                <w:color w:val="auto"/>
              </w:rPr>
            </w:pPr>
            <w:r>
              <w:rPr>
                <w:rFonts w:ascii="Arial" w:cs="Arial" w:eastAsia="Arial" w:hAnsi="Arial"/>
                <w:sz w:val="17"/>
                <w:szCs w:val="17"/>
                <w:color w:val="auto"/>
                <w:w w:val="92"/>
              </w:rPr>
              <w:t>9.2%</w:t>
            </w:r>
          </w:p>
        </w:tc>
        <w:tc>
          <w:tcPr>
            <w:tcW w:w="300" w:type="dxa"/>
            <w:vAlign w:val="bottom"/>
            <w:shd w:val="clear" w:color="auto" w:fill="E2EEF6"/>
          </w:tcPr>
          <w:p>
            <w:pPr>
              <w:spacing w:after="0"/>
              <w:rPr>
                <w:sz w:val="23"/>
                <w:szCs w:val="23"/>
                <w:color w:val="auto"/>
              </w:rPr>
            </w:pPr>
          </w:p>
        </w:tc>
        <w:tc>
          <w:tcPr>
            <w:tcW w:w="160" w:type="dxa"/>
            <w:vAlign w:val="bottom"/>
            <w:shd w:val="clear" w:color="auto" w:fill="E2EEF6"/>
          </w:tcPr>
          <w:p>
            <w:pPr>
              <w:spacing w:after="0"/>
              <w:rPr>
                <w:sz w:val="23"/>
                <w:szCs w:val="23"/>
                <w:color w:val="auto"/>
              </w:rPr>
            </w:pPr>
          </w:p>
        </w:tc>
      </w:tr>
      <w:tr>
        <w:trPr>
          <w:trHeight w:val="246"/>
        </w:trPr>
        <w:tc>
          <w:tcPr>
            <w:tcW w:w="492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700" w:type="dxa"/>
            <w:vAlign w:val="bottom"/>
            <w:gridSpan w:val="4"/>
          </w:tcPr>
          <w:p>
            <w:pPr>
              <w:jc w:val="right"/>
              <w:ind w:right="360"/>
              <w:spacing w:after="0"/>
              <w:rPr>
                <w:sz w:val="20"/>
                <w:szCs w:val="20"/>
                <w:color w:val="auto"/>
              </w:rPr>
            </w:pPr>
            <w:r>
              <w:rPr>
                <w:rFonts w:ascii="Arial" w:cs="Arial" w:eastAsia="Arial" w:hAnsi="Arial"/>
                <w:sz w:val="17"/>
                <w:szCs w:val="17"/>
                <w:color w:val="auto"/>
              </w:rPr>
              <w:t>10.0%</w:t>
            </w:r>
          </w:p>
        </w:tc>
        <w:tc>
          <w:tcPr>
            <w:tcW w:w="1020" w:type="dxa"/>
            <w:vAlign w:val="bottom"/>
            <w:gridSpan w:val="4"/>
          </w:tcPr>
          <w:p>
            <w:pPr>
              <w:jc w:val="center"/>
              <w:ind w:left="174"/>
              <w:spacing w:after="0"/>
              <w:rPr>
                <w:sz w:val="20"/>
                <w:szCs w:val="20"/>
                <w:color w:val="auto"/>
              </w:rPr>
            </w:pPr>
            <w:r>
              <w:rPr>
                <w:rFonts w:ascii="Arial" w:cs="Arial" w:eastAsia="Arial" w:hAnsi="Arial"/>
                <w:sz w:val="17"/>
                <w:szCs w:val="17"/>
                <w:color w:val="auto"/>
                <w:w w:val="91"/>
              </w:rPr>
              <w:t>10.4%</w:t>
            </w:r>
          </w:p>
        </w:tc>
        <w:tc>
          <w:tcPr>
            <w:tcW w:w="1100" w:type="dxa"/>
            <w:vAlign w:val="bottom"/>
          </w:tcPr>
          <w:p>
            <w:pPr>
              <w:spacing w:after="0"/>
              <w:rPr>
                <w:sz w:val="21"/>
                <w:szCs w:val="21"/>
                <w:color w:val="auto"/>
              </w:rPr>
            </w:pPr>
          </w:p>
        </w:tc>
        <w:tc>
          <w:tcPr>
            <w:tcW w:w="2220" w:type="dxa"/>
            <w:vAlign w:val="bottom"/>
            <w:gridSpan w:val="7"/>
          </w:tcPr>
          <w:p>
            <w:pPr>
              <w:jc w:val="center"/>
              <w:ind w:left="1494"/>
              <w:spacing w:after="0"/>
              <w:rPr>
                <w:sz w:val="20"/>
                <w:szCs w:val="20"/>
                <w:color w:val="auto"/>
              </w:rPr>
            </w:pPr>
            <w:r>
              <w:rPr>
                <w:rFonts w:ascii="Arial" w:cs="Arial" w:eastAsia="Arial" w:hAnsi="Arial"/>
                <w:sz w:val="17"/>
                <w:szCs w:val="17"/>
                <w:color w:val="auto"/>
                <w:w w:val="92"/>
              </w:rPr>
              <w:t>5.4%</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661"/>
        </w:trPr>
        <w:tc>
          <w:tcPr>
            <w:tcW w:w="4920" w:type="dxa"/>
            <w:vAlign w:val="bottom"/>
          </w:tcPr>
          <w:p>
            <w:pPr>
              <w:spacing w:after="0"/>
              <w:rPr>
                <w:sz w:val="24"/>
                <w:szCs w:val="24"/>
                <w:color w:val="auto"/>
              </w:rPr>
            </w:pPr>
          </w:p>
        </w:tc>
        <w:tc>
          <w:tcPr>
            <w:tcW w:w="1020" w:type="dxa"/>
            <w:vAlign w:val="bottom"/>
            <w:gridSpan w:val="3"/>
          </w:tcPr>
          <w:p>
            <w:pPr>
              <w:jc w:val="right"/>
              <w:ind w:right="74"/>
              <w:spacing w:after="0"/>
              <w:rPr>
                <w:sz w:val="20"/>
                <w:szCs w:val="20"/>
                <w:color w:val="auto"/>
              </w:rPr>
            </w:pPr>
            <w:r>
              <w:rPr>
                <w:rFonts w:ascii="Arial" w:cs="Arial" w:eastAsia="Arial" w:hAnsi="Arial"/>
                <w:sz w:val="14"/>
                <w:szCs w:val="14"/>
                <w:color w:val="auto"/>
              </w:rPr>
              <w:t>13</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99"/>
        </w:trPr>
        <w:tc>
          <w:tcPr>
            <w:tcW w:w="49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 w:name="page17"/>
    <w:bookmarkEnd w:id="16"/>
    <w:p>
      <w:pPr>
        <w:jc w:val="both"/>
        <w:spacing w:after="0" w:line="276" w:lineRule="auto"/>
        <w:rPr>
          <w:sz w:val="20"/>
          <w:szCs w:val="20"/>
          <w:color w:val="auto"/>
        </w:rPr>
      </w:pPr>
      <w:r>
        <w:rPr>
          <w:rFonts w:ascii="Arial" w:cs="Arial" w:eastAsia="Arial" w:hAnsi="Arial"/>
          <w:sz w:val="16"/>
          <w:szCs w:val="16"/>
          <w:color w:val="auto"/>
        </w:rPr>
        <w:t>Net revenue increased by $16.2 million, or 10.2%, from $157.8 million to $174.0 million. This improvement arose through a combination of increased business from existing clients, business won from new clients and revenues from acquisition not included in the comparative period. The additional revenues relating to the Beacon acquisition amounted to $0.6 million not included in the comparative period. Revenues in the United States, Europe and the Rest of World grew by 8.1%, 7.7% and 48.4% respectively. In the six months ended November 30, 2005, net revenue from our central laboratory business increased by 17.6% from $13.0 million to $15.3 million, while our clinical research segment grew by 9.6% from $144.8 million to $158.7 million over the comparable period. The increase in net revenue in our central laboratory segment is primarily due to higher testing volumes in fiscal 2006. The growth in net revenue in our clinical research segment is due to the expansion of our services to both existing and new clients, increased use of outsourcing by the pharmaceutical, biotechnology and medical device industries, an underlying increase in research and development spending and consolidation in the CRO industry.</w:t>
      </w:r>
    </w:p>
    <w:p>
      <w:pPr>
        <w:spacing w:after="0" w:line="22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Direct costs increased by $9.9 million, or 11.5%, from $86.1 million to $96.0 million, primarily due to increased staff numbers needed to support increased project related activity and increased costs arising from the Beacon acquisition amounting to $0.3 million. Direct costs as a percentage of net revenue increased from 54.6% in the six months to November 30, 2004 to 55.2% in the three months to November 30, 2005.</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Selling, general and administrative expenses increased by $4.7 million, or 9.8%, from $48.9 million to $53.6 million. This increase is due to the continued expansion of our operations and additional selling, general and administrative costs of $0.2 million from the Beacon acquisition not included in the comparative period. As a percentage of net revenue, selling, general and administrative expenses, decreased from 31.0% in the six months ended November 30, 2004 to 30.8% in the six months ended November 30, 2005.</w:t>
      </w:r>
    </w:p>
    <w:p>
      <w:pPr>
        <w:spacing w:after="0" w:line="23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Depreciation and amortization expense increased by $0.5 million, or 9.2%, from $6.4 million to $6.9 million. This increase is due to the continued investment in facilities and information technology to support the growth in activity and in providing for future capacity. As a percentage of net revenue, depreciation and amortization was unchanged at 4.0% in the six months ended November 30, 2005 over the comparative period in fiscal 2005.</w:t>
      </w:r>
    </w:p>
    <w:p>
      <w:pPr>
        <w:spacing w:after="0" w:line="22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Income from operations increased by $0.9 million, or 5.4%, from $16.5 million to $17.4 million. As a percentage of net revenue, income from operations decreased from 10.4% for the six months to November 30, 2004 to 10.0% of net revenues for the six months ended November 30, 2005. As a percentage of net revenue losses from operations for the central laboratory decreased from 21.2% for the six months ended November 30, 2004, to 18.4% for the comparable period in 2005 due to the efficiencies gained in the higher testing volumes in fiscal 2006. The central laboratory constitutes approximately 9% of our business revenues. Operating margins for our clinical research segment decreased from 13.3% in the six months ended November 30, 2004 to 12.7% for the six months ended November 30, 2005.</w:t>
      </w:r>
    </w:p>
    <w:p>
      <w:pPr>
        <w:spacing w:after="0" w:line="20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Net interest income for the six months ended November 30, 2005 was $1.0 million, an increase of $0.7 million over the amount of net interest income for the six months ended November 30, 2004. Higher average level of funds invested and higher interest rates over fiscal 2005 contributed to the increased interest income.</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ICON's effective tax rate for the six months ended November 30, 2005 was 27.6% compared with 21.6% for the comparable period last year. The increase in the effective rate was primarily due to a change in the geographic distribution of pre-tax earnings.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9"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CRO industry generally is not capital intensive. Since our inception, we have financed our operations and growth primarily with cash flows from operations, net proceeds of $49.1 million raised in our initial public offering in May 1998 and net proceeds of $44.3 million raised in our public offering in August 2003. Our principal cash needs are payment of salaries, office rents, travel expenditures and payments to subcontractors. The aggregate amount of employee compensation paid in the six months ended November 30, 2004 and November 30, 2005 amounted to $92.7 million and $104.8 million, respectively. Investing activities primarily reflect capital expenditures for facilities and for information systems enhancements, the sale and purchase of short-term investments and acquisitions.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in some cases on the achievement of certain milestones. Accordingly, cash receipts do not necessarily correspond to costs incurred and revenue recognized on contracts.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November 30, 2005, our working capital amounted to $133.4 million, compared to $125.3 million at May 31, 2005. The other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67 days at November 30, 2005, compared to 70 days at August 31, 2005 and 63 days at May 31, 2005.</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cash provided by operating activities was $14.5 million in the six months ended November 30, 2005, compared to $2.0 million used in the six months ended November 30, 2004.</w:t>
      </w:r>
    </w:p>
    <w:p>
      <w:pPr>
        <w:spacing w:after="0" w:line="21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Net cash used in investing activities was $18.2 million in the six months ended November 30, 2005, compared to $22.8 million in the six months ended November 30, 2004. The decrease in cash used in investing activities is due principally to the acquisition of Beacon in July 2004.</w:t>
      </w:r>
    </w:p>
    <w:p>
      <w:pPr>
        <w:spacing w:after="0" w:line="21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Net cash provided by financing activities was $4.8 million in the six months ended November 30, 2005, compared to $10.2 million in the six months ended November 30, 2004. This decrease is principally due to the funds drawdown from a bank overdraft in the first quarter of fiscal 2005 over the funds drawn in the comparable period in fiscal 06.</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As a result of these cash flows, cash and cash equivalents increased by less that $0.1 million in the six months ended November 30, 2005, compared to a decrease of $13.7 million in the six months ended November 30, 2004.</w:t>
      </w:r>
    </w:p>
    <w:p>
      <w:pPr>
        <w:spacing w:after="0" w:line="21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July 3, 2003, ICON entered into a facility agreement (the "Facility Agreement") for the provision of a term loan facility of U.S.$40 million, multi-currency overdraft facility of $5 million and revolving credit facility of $15 million (the "Facilities") with The Governor and Company of the Bank of Ireland and Ulster Bank Ireland Limited (the “Banks”). Our obligations under the Facilities are secured by certain composite guarantees and indemnities and pledges in favour of each of the banks. This facility bears interest at an annual rate equal to the Banks’ Prime Rate plus three quarters of one percent. ICON plc and its subsidiaries are entitled to make borrowings under a term loan facility of $40 million and a multi currency overdraft facility of $5 million. As at November 30, 2005, the full amount of these facilities were available to be drawn down. ICON Clinical Research, Inc. (a subsidiary of ICON plc) is entitled to make borrowings under a revolving credit facility of $15 million. As at November 30, 2005, $12 million of this facility was available to be drawn down.</w:t>
      </w:r>
    </w:p>
    <w:p>
      <w:pPr>
        <w:spacing w:after="0" w:line="221" w:lineRule="exact"/>
        <w:rPr>
          <w:sz w:val="20"/>
          <w:szCs w:val="20"/>
          <w:color w:val="auto"/>
        </w:rPr>
      </w:pPr>
    </w:p>
    <w:p>
      <w:pPr>
        <w:ind w:right="440"/>
        <w:spacing w:after="0" w:line="316" w:lineRule="auto"/>
        <w:rPr>
          <w:sz w:val="20"/>
          <w:szCs w:val="20"/>
          <w:color w:val="auto"/>
        </w:rPr>
      </w:pPr>
      <w:r>
        <w:rPr>
          <w:rFonts w:ascii="Arial" w:cs="Arial" w:eastAsia="Arial" w:hAnsi="Arial"/>
          <w:sz w:val="16"/>
          <w:szCs w:val="16"/>
          <w:color w:val="auto"/>
        </w:rPr>
        <w:t>The Company entered into an overdraft agreement with Allied Irish Banks, plc (“AIB”) whereby the company guarantees any overdraft of its subsidiary ICON Clinical Research GmbH up to an amount €120,000 (U.S.$141,468). As November 30, 2005, the full facility was available to be drawn down.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effects of inflation generally do not have a material adverse impact on our operations or financial conditions.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New Accounting Pronouncements not yet adopted</w:t>
      </w:r>
    </w:p>
    <w:p>
      <w:pPr>
        <w:spacing w:after="0" w:line="27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March 2005, the Financial Accounting Standards Board (FASB) issued FASB Interpretation No. 47. In accordance with FASB Interpretation 47 companies must recognise a liability for the fair value of a legal obligation to perform asset-retirement activities that are conditional on a future event if the amount can be reasonably estimated. The Interpretation provides guidance on whether the fair value is reasonably estimable. The premise underlying the Interpretation is a need for more uniform application of Statement 143 "Accounting for Asset Retirement Obligations". Companies must adopt the Interpretation no later than the end of the fiscal year ending after December 15, 2005. The company does not expect the impacts of adopting FASB Interpretation No 47 to be material.</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December 2004, the FASB issued Statement No. 123R, "Share-Based Payment - An Amendment of FASB Statements No. 123 and 95 (“SFAS No.123R”), which is effective for public companies in periods beginning after June 15, 2005. We will implement the proposed standard no later than the year that begins January 1, 2006. The cumulative effect of adoption, if any, applied on a modified prospective basis, would be measured and recognized on March 31, 2006. SFAS No. 123R addresses the accounting for transactions in which an enterprise receives goods and services in exchange for: (a) equity instruments of the enterprise; or (b) liabilities that are based on the fair value of the enterprise’s equity instruments or that may be settled by the issuance of such equity instruments. SFAS No. 123R eliminates the ability to account for share-based compensation transactions using APB 25, and generally would require instead that such transactions be accounted for using a fair-value based method. Equity classified awards are measured at grant date at fair value and are not subsequently re-measured. Liability classified awards are re-measured at fair value at each balance sheet date until the awards are settled. We are currently evaluating option valuation methodologies and assumptions in light of SFAS No. 123R related to employee stock options. Current estimates of option values using the Black-Scholes method (as reported) may not be indicative of results from valuation methodologies ultimately adopted.</w:t>
      </w:r>
    </w:p>
    <w:p>
      <w:pPr>
        <w:spacing w:after="0" w:line="220"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In November 2004, the FASB issued statement No. 151, "Inventory Costs, an amendment of ARB No. 43, Chapter 4" (“SFAS No. 151”), which is effective for public companies prospectively for inventory costs incurred in periods beginning after June 15, 2005. This Statement amends the guidance in ARB No. 43, Chapter 4 “Inventory Pricing”, to clarify that accounting for abnormal amounts of idle facility expense, freight, handling costs and wasted material (spoilage) should be recognized as a current period change and to require the allocation of fixed production overhead to the costs of conversion based on normal capacity of the production facilities. We do not expect that the adoption of SFAS No. 151 will have a material impact on our financial position or results of operations.</w:t>
      </w:r>
    </w:p>
    <w:p>
      <w:pPr>
        <w:spacing w:after="0" w:line="216"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 December 2004, the FASB issued Statement No. 153, “Exchanges of Nonmonetary assets - an amendment of APB Opinion No. 29” (“SFAS No. 153”), which is effective for public companies in periods beginning after June 15, 2005. The guidance in APB opinion No. 29, Accounting for Nonmonetary Transactions,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We do not expect that the adoption of SFAS No. 153 will have a material impact on our financial position or results of operations.</w:t>
      </w:r>
    </w:p>
    <w:p>
      <w:pPr>
        <w:spacing w:after="0" w:line="221"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November 2003 and March 2004, the Emerging Issues Task Force (EITF) reached partial consensus on EITF 03-1, “The Meaning of Other-Than-Temporary Impairment and its Application to Certain Investments,” (“EITF 03-1”). EITF 03-1 addresses the meaning of other then temporary impairment and its application to investments classified as either available-for-sale or held-to-maturity under SFAS 115, “Accounting for Certain Investments in Debt and Equity Securities” and investments accounted for under the cost method. The EITF agreed on certain quantitative and qualitative disclosures about unrealised losses pertaining to securities classified as available-for-sale or held-to-maturity. In addition, EITF 03-1 requires certain disclosures about cost method investments. The recognition and measurement provisions of EITF 03-1 have been deferred until additional guidance is issued.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7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We are not party to any litigation or other legal proceedings that we believe could reasonably be expected to have a material adverse effect on our business, results of operations and financial condition.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5678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61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7"/>
          <w:szCs w:val="17"/>
          <w:b w:val="1"/>
          <w:bCs w:val="1"/>
          <w:color w:val="auto"/>
        </w:rPr>
        <w:t>SIGNATURES</w:t>
      </w:r>
    </w:p>
    <w:p>
      <w:pPr>
        <w:spacing w:after="0" w:line="27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580"/>
        <w:spacing w:after="0"/>
        <w:rPr>
          <w:sz w:val="20"/>
          <w:szCs w:val="20"/>
          <w:color w:val="auto"/>
        </w:rPr>
      </w:pPr>
      <w:r>
        <w:rPr>
          <w:rFonts w:ascii="Arial" w:cs="Arial" w:eastAsia="Arial" w:hAnsi="Arial"/>
          <w:sz w:val="17"/>
          <w:szCs w:val="17"/>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580" w:type="dxa"/>
            <w:vAlign w:val="bottom"/>
          </w:tcPr>
          <w:p>
            <w:pPr>
              <w:spacing w:after="0"/>
              <w:rPr>
                <w:sz w:val="20"/>
                <w:szCs w:val="20"/>
                <w:color w:val="auto"/>
              </w:rPr>
            </w:pPr>
            <w:r>
              <w:rPr>
                <w:rFonts w:ascii="Arial" w:cs="Arial" w:eastAsia="Arial" w:hAnsi="Arial"/>
                <w:sz w:val="17"/>
                <w:szCs w:val="17"/>
                <w:color w:val="auto"/>
              </w:rPr>
              <w:t>April 10, 2006</w:t>
            </w:r>
          </w:p>
        </w:tc>
        <w:tc>
          <w:tcPr>
            <w:tcW w:w="2500" w:type="dxa"/>
            <w:vAlign w:val="bottom"/>
          </w:tcPr>
          <w:p>
            <w:pPr>
              <w:spacing w:after="0"/>
              <w:rPr>
                <w:sz w:val="19"/>
                <w:szCs w:val="19"/>
                <w:color w:val="auto"/>
              </w:rPr>
            </w:pPr>
          </w:p>
        </w:tc>
      </w:tr>
      <w:tr>
        <w:trPr>
          <w:trHeight w:val="194"/>
        </w:trPr>
        <w:tc>
          <w:tcPr>
            <w:tcW w:w="7580" w:type="dxa"/>
            <w:vAlign w:val="bottom"/>
          </w:tcPr>
          <w:p>
            <w:pPr>
              <w:spacing w:after="0" w:line="194" w:lineRule="exact"/>
              <w:rPr>
                <w:sz w:val="20"/>
                <w:szCs w:val="20"/>
                <w:color w:val="auto"/>
              </w:rPr>
            </w:pPr>
            <w:r>
              <w:rPr>
                <w:rFonts w:ascii="Arial" w:cs="Arial" w:eastAsia="Arial" w:hAnsi="Arial"/>
                <w:sz w:val="17"/>
                <w:szCs w:val="17"/>
                <w:color w:val="auto"/>
              </w:rPr>
              <w:t>____________________________</w:t>
            </w:r>
          </w:p>
        </w:tc>
        <w:tc>
          <w:tcPr>
            <w:tcW w:w="2500" w:type="dxa"/>
            <w:vAlign w:val="bottom"/>
            <w:tcBorders>
              <w:bottom w:val="single" w:sz="8" w:color="auto"/>
            </w:tcBorders>
          </w:tcPr>
          <w:p>
            <w:pPr>
              <w:spacing w:after="0" w:line="194" w:lineRule="exact"/>
              <w:rPr>
                <w:sz w:val="20"/>
                <w:szCs w:val="20"/>
                <w:color w:val="auto"/>
              </w:rPr>
            </w:pPr>
            <w:r>
              <w:rPr>
                <w:rFonts w:ascii="Arial" w:cs="Arial" w:eastAsia="Arial" w:hAnsi="Arial"/>
                <w:sz w:val="17"/>
                <w:szCs w:val="17"/>
                <w:color w:val="auto"/>
              </w:rPr>
              <w:t>/s/ Ciaran Murray</w:t>
            </w:r>
          </w:p>
        </w:tc>
      </w:tr>
      <w:tr>
        <w:trPr>
          <w:trHeight w:val="226"/>
        </w:trPr>
        <w:tc>
          <w:tcPr>
            <w:tcW w:w="7580" w:type="dxa"/>
            <w:vAlign w:val="bottom"/>
          </w:tcPr>
          <w:p>
            <w:pPr>
              <w:spacing w:after="0"/>
              <w:rPr>
                <w:sz w:val="20"/>
                <w:szCs w:val="20"/>
                <w:color w:val="auto"/>
              </w:rPr>
            </w:pPr>
            <w:r>
              <w:rPr>
                <w:rFonts w:ascii="Arial" w:cs="Arial" w:eastAsia="Arial" w:hAnsi="Arial"/>
                <w:sz w:val="17"/>
                <w:szCs w:val="17"/>
                <w:color w:val="auto"/>
              </w:rPr>
              <w:t>Date</w:t>
            </w:r>
          </w:p>
        </w:tc>
        <w:tc>
          <w:tcPr>
            <w:tcW w:w="2500" w:type="dxa"/>
            <w:vAlign w:val="bottom"/>
          </w:tcPr>
          <w:p>
            <w:pPr>
              <w:spacing w:after="0"/>
              <w:rPr>
                <w:sz w:val="20"/>
                <w:szCs w:val="20"/>
                <w:color w:val="auto"/>
              </w:rPr>
            </w:pPr>
            <w:r>
              <w:rPr>
                <w:rFonts w:ascii="Arial" w:cs="Arial" w:eastAsia="Arial" w:hAnsi="Arial"/>
                <w:sz w:val="17"/>
                <w:szCs w:val="17"/>
                <w:color w:val="auto"/>
              </w:rPr>
              <w:t>Ciaran Murray</w:t>
            </w:r>
          </w:p>
        </w:tc>
      </w:tr>
      <w:tr>
        <w:trPr>
          <w:trHeight w:val="220"/>
        </w:trPr>
        <w:tc>
          <w:tcPr>
            <w:tcW w:w="758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sectPr>
      <w:pgSz w:w="11900" w:h="16838" w:orient="portrait"/>
      <w:cols w:equalWidth="0" w:num="1">
        <w:col w:w="11420"/>
      </w:cols>
      <w:pgMar w:left="240" w:top="3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2019-12-12T02:40:12Z</dcterms:created>
  <dcterms:modified xsi:type="dcterms:W3CDTF">2019-12-12T02:40:12Z</dcterms:modified>
</cp:coreProperties>
</file>