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2008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October 21, 2008</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Reports 35% Increase in Revenue and 45% Increase in Operating Income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Third Quarter Fiscal 2008</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revenues increased 35%, to $225.5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increased by 45%, to $27.1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Operating margin increased to 12% from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Diluted earnings per share increased by 46% to 35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new business wins were $350 million, a book-to-bill of 1.6x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DUBLIN, Ireland--(BUSINESS WIRE)--October 21, 2008--ICON (NASDAQ:ICLR) (ISIN:IE0005711209), a global provider of outsourced development services to the pharmaceutical, biotechnology and medical device industries, today reported its financial results for its third quarter ended September 30, 2008.</w:t>
      </w:r>
    </w:p>
    <w:p>
      <w:pPr>
        <w:spacing w:after="0" w:line="18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Net revenues for the quarter were $225.5 million, representing a 35.1% increase over net revenues of $166.9 million for the comparative quarter last year. Year-to-date, net revenues were $645.2 million, representing a 43.4% increase over the same period last year.</w:t>
      </w:r>
    </w:p>
    <w:p>
      <w:pPr>
        <w:spacing w:after="0" w:line="18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Income from operations was $27.1 million, compared to $18.7 million for the same quarter last year. Operating margin increased to 12.0% from 11.2%. Net income was $21.4 million or 35 cents per share on a diluted basis, compared with $14.5 million or 24 cents per share last year.</w:t>
      </w:r>
    </w:p>
    <w:p>
      <w:pPr>
        <w:spacing w:after="0" w:line="18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Year-to-date income from operations was $73.0 million, compared to $49.5 million last year representing an operating margin increase to 11.3% from 11.0%. Net income was $57.1 million or 93 cents per share, compared with $40.1 million or 67 cents last year.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Days sales outstanding were 54 days at September 30, 2008, compared to 66 days at December 31, 2007.</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quarter ended September 30, 2008, cash provided by operating activities was $58 million and capital expenditure was $18.1 million. As a result, the company’s net cash amounted to $55.6 million at September 30, 2008, compared to net cash of $6.9 million at June 30, 2008.</w:t>
      </w:r>
    </w:p>
    <w:p>
      <w:pPr>
        <w:spacing w:after="0" w:line="18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"We are pleased with our continued strong progress" said Chairman, Dr. John Climax, " Revenues and operating profits for the first nine months of 2008, at $645 million and $73 million respectively, already exceed those achieved in all of 2007. Year-to-date new business bookings, at over $1bn, have also surpassed those of the full year 2007 "</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Commenting on the quarter, CEO Peter Gray said " With revenues for the quarter up 35%, margins up to 12%, EPS up 46%,</w:t>
      </w:r>
    </w:p>
    <w:p>
      <w:pPr>
        <w:spacing w:after="0" w:line="43"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and strong operating cash generation, we are very satisfied with our performance in the quarter. ICON's strategy of listening to its customers and delivering the services they need, where and when they need them, continues to be validated. With net new business awarded in the quarter of $350 million and our backlog now at over $1.74 billion, we are confident in the outlook for the remainder of 2008 and view 2009 with optimism"</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third quarter conference call today, October 21, 2008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The financial information presented herein has been prepared in accordance with U.S. GAAP.</w:t>
      </w:r>
    </w:p>
    <w:p>
      <w:pPr>
        <w:spacing w:after="0" w:line="206"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With headquarters in Dublin, Ireland, ICON currently,operates from 71 locations in 38 countries and has approximately 6,600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ICON plc</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080" w:type="dxa"/>
            <w:vAlign w:val="bottom"/>
          </w:tcPr>
          <w:p>
            <w:pPr>
              <w:spacing w:after="0"/>
              <w:rPr>
                <w:sz w:val="24"/>
                <w:szCs w:val="24"/>
                <w:color w:val="auto"/>
              </w:rPr>
            </w:pPr>
          </w:p>
        </w:tc>
        <w:tc>
          <w:tcPr>
            <w:tcW w:w="5040" w:type="dxa"/>
            <w:vAlign w:val="bottom"/>
            <w:gridSpan w:val="7"/>
          </w:tcPr>
          <w:p>
            <w:pPr>
              <w:jc w:val="center"/>
              <w:ind w:left="248"/>
              <w:spacing w:after="0"/>
              <w:rPr>
                <w:sz w:val="20"/>
                <w:szCs w:val="20"/>
                <w:color w:val="auto"/>
              </w:rPr>
            </w:pPr>
            <w:r>
              <w:rPr>
                <w:rFonts w:ascii="Arial" w:cs="Arial" w:eastAsia="Arial" w:hAnsi="Arial"/>
                <w:sz w:val="14"/>
                <w:szCs w:val="14"/>
                <w:b w:val="1"/>
                <w:bCs w:val="1"/>
                <w:color w:val="auto"/>
                <w:w w:val="92"/>
              </w:rPr>
              <w:t>Consolidated Income Statements (Unaudited)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5040" w:type="dxa"/>
            <w:vAlign w:val="bottom"/>
            <w:gridSpan w:val="7"/>
          </w:tcPr>
          <w:p>
            <w:pPr>
              <w:jc w:val="center"/>
              <w:ind w:left="248"/>
              <w:spacing w:after="0"/>
              <w:rPr>
                <w:sz w:val="20"/>
                <w:szCs w:val="20"/>
                <w:color w:val="auto"/>
              </w:rPr>
            </w:pPr>
            <w:r>
              <w:rPr>
                <w:rFonts w:ascii="Arial" w:cs="Arial" w:eastAsia="Arial" w:hAnsi="Arial"/>
                <w:sz w:val="14"/>
                <w:szCs w:val="14"/>
                <w:b w:val="1"/>
                <w:bCs w:val="1"/>
                <w:color w:val="auto"/>
                <w:w w:val="92"/>
              </w:rPr>
              <w:t>Three and Nine Months ended September 30, 2008 and September 30, 2007</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5040" w:type="dxa"/>
            <w:vAlign w:val="bottom"/>
            <w:gridSpan w:val="7"/>
          </w:tcPr>
          <w:p>
            <w:pPr>
              <w:jc w:val="center"/>
              <w:ind w:left="24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gridSpan w:val="4"/>
          </w:tcPr>
          <w:p>
            <w:pPr>
              <w:ind w:left="980"/>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3"/>
          </w:tcPr>
          <w:p>
            <w:pPr>
              <w:ind w:left="1020"/>
              <w:spacing w:after="0"/>
              <w:rPr>
                <w:sz w:val="20"/>
                <w:szCs w:val="20"/>
                <w:color w:val="auto"/>
              </w:rPr>
            </w:pPr>
            <w:r>
              <w:rPr>
                <w:rFonts w:ascii="Arial" w:cs="Arial" w:eastAsia="Arial" w:hAnsi="Arial"/>
                <w:sz w:val="14"/>
                <w:szCs w:val="14"/>
                <w:b w:val="1"/>
                <w:bCs w:val="1"/>
                <w:color w:val="auto"/>
                <w:w w:val="99"/>
              </w:rPr>
              <w:t>Nine Months Ended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20" w:type="dxa"/>
            <w:vAlign w:val="bottom"/>
            <w:gridSpan w:val="4"/>
          </w:tcPr>
          <w:p>
            <w:pPr>
              <w:ind w:left="68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September 30,</w:t>
            </w:r>
          </w:p>
        </w:tc>
        <w:tc>
          <w:tcPr>
            <w:tcW w:w="2340" w:type="dxa"/>
            <w:vAlign w:val="bottom"/>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3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Gross Revenue</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313,637</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231,819</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914,082</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625,942</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Subcontractor costs</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88,126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64,903</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268,927</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175,890</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Revenue</w:t>
            </w:r>
          </w:p>
        </w:tc>
        <w:tc>
          <w:tcPr>
            <w:tcW w:w="3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225,511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166,916</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645,155</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450,052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Costs and expenses</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rPr>
                <w:sz w:val="20"/>
                <w:szCs w:val="20"/>
                <w:color w:val="auto"/>
              </w:rPr>
            </w:pPr>
            <w:r>
              <w:rPr>
                <w:rFonts w:ascii="Arial" w:cs="Arial" w:eastAsia="Arial" w:hAnsi="Arial"/>
                <w:sz w:val="14"/>
                <w:szCs w:val="14"/>
                <w:color w:val="auto"/>
              </w:rPr>
              <w:t>Direct costs</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127,948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91,675</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364,113</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254,107</w:t>
            </w: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62,494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51,518</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187,328</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132,864</w:t>
            </w:r>
          </w:p>
        </w:tc>
        <w:tc>
          <w:tcPr>
            <w:tcW w:w="0" w:type="dxa"/>
            <w:vAlign w:val="bottom"/>
          </w:tcPr>
          <w:p>
            <w:pPr>
              <w:spacing w:after="0"/>
              <w:rPr>
                <w:sz w:val="1"/>
                <w:szCs w:val="1"/>
                <w:color w:val="auto"/>
              </w:rPr>
            </w:pPr>
          </w:p>
        </w:tc>
      </w:tr>
      <w:tr>
        <w:trPr>
          <w:trHeight w:val="182"/>
        </w:trPr>
        <w:tc>
          <w:tcPr>
            <w:tcW w:w="30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7,937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5,020</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20,676</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 costs and expenses</w:t>
            </w:r>
          </w:p>
        </w:tc>
        <w:tc>
          <w:tcPr>
            <w:tcW w:w="3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7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198,379</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148,213</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572,117</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400,597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Income from operations</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27,132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18,703</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73,038</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49,455</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Interest (expense) income</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(224)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16</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(743)</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2,079</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Income before provision for income taxes</w:t>
            </w:r>
          </w:p>
        </w:tc>
        <w:tc>
          <w:tcPr>
            <w:tcW w:w="3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7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18,719</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72,295</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5,355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4,158</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14,493</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11,344</w:t>
            </w:r>
          </w:p>
        </w:tc>
        <w:tc>
          <w:tcPr>
            <w:tcW w:w="0" w:type="dxa"/>
            <w:vAlign w:val="bottom"/>
          </w:tcPr>
          <w:p>
            <w:pPr>
              <w:spacing w:after="0"/>
              <w:rPr>
                <w:sz w:val="1"/>
                <w:szCs w:val="1"/>
                <w:color w:val="auto"/>
              </w:rPr>
            </w:pPr>
          </w:p>
        </w:tc>
      </w:tr>
      <w:tr>
        <w:trPr>
          <w:trHeight w:val="181"/>
        </w:trPr>
        <w:tc>
          <w:tcPr>
            <w:tcW w:w="3080" w:type="dxa"/>
            <w:vAlign w:val="bottom"/>
          </w:tcPr>
          <w:p>
            <w:pPr>
              <w:ind w:left="120"/>
              <w:spacing w:after="0"/>
              <w:rPr>
                <w:sz w:val="20"/>
                <w:szCs w:val="20"/>
                <w:color w:val="auto"/>
              </w:rPr>
            </w:pPr>
            <w:r>
              <w:rPr>
                <w:rFonts w:ascii="Arial" w:cs="Arial" w:eastAsia="Arial" w:hAnsi="Arial"/>
                <w:sz w:val="14"/>
                <w:szCs w:val="14"/>
                <w:color w:val="auto"/>
              </w:rPr>
              <w:t>Minority interest</w:t>
            </w:r>
          </w:p>
        </w:tc>
        <w:tc>
          <w:tcPr>
            <w:tcW w:w="16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707</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16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21,380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14,501</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57,095</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40,082</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20"/>
              <w:spacing w:after="0"/>
              <w:rPr>
                <w:sz w:val="20"/>
                <w:szCs w:val="20"/>
                <w:color w:val="auto"/>
              </w:rPr>
            </w:pPr>
            <w:r>
              <w:rPr>
                <w:rFonts w:ascii="Arial" w:cs="Arial" w:eastAsia="Arial" w:hAnsi="Arial"/>
                <w:sz w:val="14"/>
                <w:szCs w:val="14"/>
                <w:color w:val="auto"/>
              </w:rPr>
              <w:t>Net income per ordinary share</w:t>
            </w:r>
          </w:p>
        </w:tc>
        <w:tc>
          <w:tcPr>
            <w:tcW w:w="16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120"/>
              <w:spacing w:after="0"/>
              <w:rPr>
                <w:sz w:val="20"/>
                <w:szCs w:val="20"/>
                <w:color w:val="auto"/>
              </w:rPr>
            </w:pPr>
            <w:r>
              <w:rPr>
                <w:rFonts w:ascii="Arial" w:cs="Arial" w:eastAsia="Arial" w:hAnsi="Arial"/>
                <w:sz w:val="14"/>
                <w:szCs w:val="14"/>
                <w:color w:val="auto"/>
              </w:rPr>
              <w:t>Basic</w:t>
            </w:r>
          </w:p>
        </w:tc>
        <w:tc>
          <w:tcPr>
            <w:tcW w:w="1660" w:type="dxa"/>
            <w:vAlign w:val="bottom"/>
          </w:tcPr>
          <w:p>
            <w:pPr>
              <w:spacing w:after="0"/>
              <w:rPr>
                <w:sz w:val="15"/>
                <w:szCs w:val="15"/>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$0.37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$0.25</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$0.98</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ind w:left="120"/>
              <w:spacing w:after="0"/>
              <w:rPr>
                <w:sz w:val="20"/>
                <w:szCs w:val="20"/>
                <w:color w:val="auto"/>
              </w:rPr>
            </w:pPr>
            <w:r>
              <w:rPr>
                <w:rFonts w:ascii="Arial" w:cs="Arial" w:eastAsia="Arial" w:hAnsi="Arial"/>
                <w:sz w:val="14"/>
                <w:szCs w:val="14"/>
                <w:color w:val="auto"/>
              </w:rPr>
              <w:t>Diluted</w:t>
            </w:r>
          </w:p>
        </w:tc>
        <w:tc>
          <w:tcPr>
            <w:tcW w:w="166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$0.24</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$0.93</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color w:val="auto"/>
              </w:rPr>
              <w:t>Weighted average number of ordinary shares</w:t>
            </w:r>
          </w:p>
        </w:tc>
        <w:tc>
          <w:tcPr>
            <w:tcW w:w="166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20"/>
              <w:spacing w:after="0"/>
              <w:rPr>
                <w:sz w:val="20"/>
                <w:szCs w:val="20"/>
                <w:color w:val="auto"/>
              </w:rPr>
            </w:pPr>
            <w:r>
              <w:rPr>
                <w:rFonts w:ascii="Arial" w:cs="Arial" w:eastAsia="Arial" w:hAnsi="Arial"/>
                <w:sz w:val="14"/>
                <w:szCs w:val="14"/>
                <w:color w:val="auto"/>
              </w:rPr>
              <w:t>Basic</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58,451,960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57,521,452</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58,156,869</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57,339,596</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Diluted</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61,847,265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59,652,914</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61,357,893</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59,429,170</w:t>
            </w:r>
          </w:p>
        </w:tc>
        <w:tc>
          <w:tcPr>
            <w:tcW w:w="0" w:type="dxa"/>
            <w:vAlign w:val="bottom"/>
          </w:tcPr>
          <w:p>
            <w:pPr>
              <w:spacing w:after="0"/>
              <w:rPr>
                <w:sz w:val="1"/>
                <w:szCs w:val="1"/>
                <w:color w:val="auto"/>
              </w:rPr>
            </w:pPr>
          </w:p>
        </w:tc>
      </w:tr>
      <w:tr>
        <w:trPr>
          <w:trHeight w:val="134"/>
        </w:trPr>
        <w:tc>
          <w:tcPr>
            <w:tcW w:w="30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8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2008 and December 31, 2007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6720" w:type="dxa"/>
            <w:vAlign w:val="bottom"/>
          </w:tcPr>
          <w:p>
            <w:pPr>
              <w:jc w:val="right"/>
              <w:ind w:right="648"/>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120" w:type="dxa"/>
            <w:vAlign w:val="bottom"/>
          </w:tcPr>
          <w:p>
            <w:pPr>
              <w:spacing w:after="0"/>
              <w:rPr>
                <w:sz w:val="15"/>
                <w:szCs w:val="15"/>
                <w:color w:val="auto"/>
              </w:rPr>
            </w:pPr>
          </w:p>
        </w:tc>
        <w:tc>
          <w:tcPr>
            <w:tcW w:w="6720" w:type="dxa"/>
            <w:vAlign w:val="bottom"/>
          </w:tcPr>
          <w:p>
            <w:pPr>
              <w:jc w:val="right"/>
              <w:ind w:right="648"/>
              <w:spacing w:after="0"/>
              <w:rPr>
                <w:sz w:val="20"/>
                <w:szCs w:val="20"/>
                <w:color w:val="auto"/>
              </w:rPr>
            </w:pPr>
            <w:r>
              <w:rPr>
                <w:rFonts w:ascii="Arial" w:cs="Arial" w:eastAsia="Arial" w:hAnsi="Arial"/>
                <w:sz w:val="14"/>
                <w:szCs w:val="14"/>
                <w:b w:val="1"/>
                <w:bCs w:val="1"/>
                <w:color w:val="auto"/>
              </w:rPr>
              <w:t>2008</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r>
      <w:tr>
        <w:trPr>
          <w:trHeight w:val="180"/>
        </w:trPr>
        <w:tc>
          <w:tcPr>
            <w:tcW w:w="3120" w:type="dxa"/>
            <w:vAlign w:val="bottom"/>
          </w:tcPr>
          <w:p>
            <w:pPr>
              <w:spacing w:after="0"/>
              <w:rPr>
                <w:sz w:val="15"/>
                <w:szCs w:val="15"/>
                <w:color w:val="auto"/>
              </w:rPr>
            </w:pPr>
          </w:p>
        </w:tc>
        <w:tc>
          <w:tcPr>
            <w:tcW w:w="6720" w:type="dxa"/>
            <w:vAlign w:val="bottom"/>
          </w:tcPr>
          <w:p>
            <w:pPr>
              <w:jc w:val="right"/>
              <w:ind w:right="648"/>
              <w:spacing w:after="0"/>
              <w:rPr>
                <w:sz w:val="20"/>
                <w:szCs w:val="20"/>
                <w:color w:val="auto"/>
              </w:rPr>
            </w:pPr>
            <w:r>
              <w:rPr>
                <w:rFonts w:ascii="Arial" w:cs="Arial" w:eastAsia="Arial" w:hAnsi="Arial"/>
                <w:sz w:val="14"/>
                <w:szCs w:val="14"/>
                <w:b w:val="1"/>
                <w:bCs w:val="1"/>
                <w:color w:val="auto"/>
              </w:rPr>
              <w:t>(Unaudited)</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135,154</w:t>
            </w:r>
          </w:p>
        </w:tc>
        <w:tc>
          <w:tcPr>
            <w:tcW w:w="1580" w:type="dxa"/>
            <w:vAlign w:val="bottom"/>
          </w:tcPr>
          <w:p>
            <w:pPr>
              <w:jc w:val="right"/>
              <w:spacing w:after="0"/>
              <w:rPr>
                <w:sz w:val="20"/>
                <w:szCs w:val="20"/>
                <w:color w:val="auto"/>
              </w:rPr>
            </w:pPr>
            <w:r>
              <w:rPr>
                <w:rFonts w:ascii="Arial" w:cs="Arial" w:eastAsia="Arial" w:hAnsi="Arial"/>
                <w:sz w:val="14"/>
                <w:szCs w:val="14"/>
                <w:color w:val="auto"/>
              </w:rPr>
              <w:t>118,633</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Debt</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(79,547)</w:t>
            </w:r>
          </w:p>
        </w:tc>
        <w:tc>
          <w:tcPr>
            <w:tcW w:w="1580" w:type="dxa"/>
            <w:vAlign w:val="bottom"/>
          </w:tcPr>
          <w:p>
            <w:pPr>
              <w:jc w:val="right"/>
              <w:spacing w:after="0"/>
              <w:rPr>
                <w:sz w:val="20"/>
                <w:szCs w:val="20"/>
                <w:color w:val="auto"/>
              </w:rPr>
            </w:pPr>
            <w:r>
              <w:rPr>
                <w:rFonts w:ascii="Arial" w:cs="Arial" w:eastAsia="Arial" w:hAnsi="Arial"/>
                <w:sz w:val="14"/>
                <w:szCs w:val="14"/>
                <w:color w:val="auto"/>
              </w:rPr>
              <w:t>(94,829)</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Net cash</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55,607</w:t>
            </w:r>
          </w:p>
        </w:tc>
        <w:tc>
          <w:tcPr>
            <w:tcW w:w="1580" w:type="dxa"/>
            <w:vAlign w:val="bottom"/>
          </w:tcPr>
          <w:p>
            <w:pPr>
              <w:jc w:val="right"/>
              <w:spacing w:after="0"/>
              <w:rPr>
                <w:sz w:val="20"/>
                <w:szCs w:val="20"/>
                <w:color w:val="auto"/>
              </w:rPr>
            </w:pPr>
            <w:r>
              <w:rPr>
                <w:rFonts w:ascii="Arial" w:cs="Arial" w:eastAsia="Arial" w:hAnsi="Arial"/>
                <w:sz w:val="14"/>
                <w:szCs w:val="14"/>
                <w:color w:val="auto"/>
              </w:rPr>
              <w:t>23,804</w:t>
            </w:r>
          </w:p>
        </w:tc>
      </w:tr>
      <w:tr>
        <w:trPr>
          <w:trHeight w:val="344"/>
        </w:trPr>
        <w:tc>
          <w:tcPr>
            <w:tcW w:w="3120" w:type="dxa"/>
            <w:vAlign w:val="bottom"/>
          </w:tcPr>
          <w:p>
            <w:pPr>
              <w:spacing w:after="0"/>
              <w:rPr>
                <w:sz w:val="20"/>
                <w:szCs w:val="20"/>
                <w:color w:val="auto"/>
              </w:rPr>
            </w:pPr>
            <w:r>
              <w:rPr>
                <w:rFonts w:ascii="Arial" w:cs="Arial" w:eastAsia="Arial" w:hAnsi="Arial"/>
                <w:sz w:val="14"/>
                <w:szCs w:val="14"/>
                <w:color w:val="auto"/>
              </w:rPr>
              <w:t>Accounts receivable</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179,553</w:t>
            </w:r>
          </w:p>
        </w:tc>
        <w:tc>
          <w:tcPr>
            <w:tcW w:w="1580" w:type="dxa"/>
            <w:vAlign w:val="bottom"/>
          </w:tcPr>
          <w:p>
            <w:pPr>
              <w:jc w:val="right"/>
              <w:spacing w:after="0"/>
              <w:rPr>
                <w:sz w:val="20"/>
                <w:szCs w:val="20"/>
                <w:color w:val="auto"/>
              </w:rPr>
            </w:pPr>
            <w:r>
              <w:rPr>
                <w:rFonts w:ascii="Arial" w:cs="Arial" w:eastAsia="Arial" w:hAnsi="Arial"/>
                <w:sz w:val="14"/>
                <w:szCs w:val="14"/>
                <w:color w:val="auto"/>
              </w:rPr>
              <w:t>129,865</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Unbilled revenue</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138,864</w:t>
            </w:r>
          </w:p>
        </w:tc>
        <w:tc>
          <w:tcPr>
            <w:tcW w:w="1580" w:type="dxa"/>
            <w:vAlign w:val="bottom"/>
          </w:tcPr>
          <w:p>
            <w:pPr>
              <w:jc w:val="right"/>
              <w:spacing w:after="0"/>
              <w:rPr>
                <w:sz w:val="20"/>
                <w:szCs w:val="20"/>
                <w:color w:val="auto"/>
              </w:rPr>
            </w:pPr>
            <w:r>
              <w:rPr>
                <w:rFonts w:ascii="Arial" w:cs="Arial" w:eastAsia="Arial" w:hAnsi="Arial"/>
                <w:sz w:val="14"/>
                <w:szCs w:val="14"/>
                <w:color w:val="auto"/>
              </w:rPr>
              <w:t>144,661</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Payments on account</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(129,030)</w:t>
            </w:r>
          </w:p>
        </w:tc>
        <w:tc>
          <w:tcPr>
            <w:tcW w:w="1580" w:type="dxa"/>
            <w:vAlign w:val="bottom"/>
          </w:tcPr>
          <w:p>
            <w:pPr>
              <w:jc w:val="right"/>
              <w:spacing w:after="0"/>
              <w:rPr>
                <w:sz w:val="20"/>
                <w:szCs w:val="20"/>
                <w:color w:val="auto"/>
              </w:rPr>
            </w:pPr>
            <w:r>
              <w:rPr>
                <w:rFonts w:ascii="Arial" w:cs="Arial" w:eastAsia="Arial" w:hAnsi="Arial"/>
                <w:sz w:val="14"/>
                <w:szCs w:val="14"/>
                <w:color w:val="auto"/>
              </w:rPr>
              <w:t>(96,553)</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Total</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189,387</w:t>
            </w:r>
          </w:p>
        </w:tc>
        <w:tc>
          <w:tcPr>
            <w:tcW w:w="1580" w:type="dxa"/>
            <w:vAlign w:val="bottom"/>
          </w:tcPr>
          <w:p>
            <w:pPr>
              <w:jc w:val="right"/>
              <w:spacing w:after="0"/>
              <w:rPr>
                <w:sz w:val="20"/>
                <w:szCs w:val="20"/>
                <w:color w:val="auto"/>
              </w:rPr>
            </w:pPr>
            <w:r>
              <w:rPr>
                <w:rFonts w:ascii="Arial" w:cs="Arial" w:eastAsia="Arial" w:hAnsi="Arial"/>
                <w:sz w:val="14"/>
                <w:szCs w:val="14"/>
                <w:color w:val="auto"/>
              </w:rPr>
              <w:t>177,973</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Working Capital</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204,755</w:t>
            </w:r>
          </w:p>
        </w:tc>
        <w:tc>
          <w:tcPr>
            <w:tcW w:w="1580" w:type="dxa"/>
            <w:vAlign w:val="bottom"/>
          </w:tcPr>
          <w:p>
            <w:pPr>
              <w:jc w:val="right"/>
              <w:spacing w:after="0"/>
              <w:rPr>
                <w:sz w:val="20"/>
                <w:szCs w:val="20"/>
                <w:color w:val="auto"/>
              </w:rPr>
            </w:pPr>
            <w:r>
              <w:rPr>
                <w:rFonts w:ascii="Arial" w:cs="Arial" w:eastAsia="Arial" w:hAnsi="Arial"/>
                <w:sz w:val="14"/>
                <w:szCs w:val="14"/>
                <w:color w:val="auto"/>
              </w:rPr>
              <w:t>193,271</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Total Assets</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808,656</w:t>
            </w:r>
          </w:p>
        </w:tc>
        <w:tc>
          <w:tcPr>
            <w:tcW w:w="1580" w:type="dxa"/>
            <w:vAlign w:val="bottom"/>
          </w:tcPr>
          <w:p>
            <w:pPr>
              <w:jc w:val="right"/>
              <w:spacing w:after="0"/>
              <w:rPr>
                <w:sz w:val="20"/>
                <w:szCs w:val="20"/>
                <w:color w:val="auto"/>
              </w:rPr>
            </w:pPr>
            <w:r>
              <w:rPr>
                <w:rFonts w:ascii="Arial" w:cs="Arial" w:eastAsia="Arial" w:hAnsi="Arial"/>
                <w:sz w:val="14"/>
                <w:szCs w:val="14"/>
                <w:color w:val="auto"/>
              </w:rPr>
              <w:t>693,138</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Shareholder's Equity</w:t>
            </w:r>
          </w:p>
        </w:tc>
        <w:tc>
          <w:tcPr>
            <w:tcW w:w="6720" w:type="dxa"/>
            <w:vAlign w:val="bottom"/>
          </w:tcPr>
          <w:p>
            <w:pPr>
              <w:jc w:val="right"/>
              <w:ind w:right="648"/>
              <w:spacing w:after="0"/>
              <w:rPr>
                <w:sz w:val="20"/>
                <w:szCs w:val="20"/>
                <w:color w:val="auto"/>
              </w:rPr>
            </w:pPr>
            <w:r>
              <w:rPr>
                <w:rFonts w:ascii="Arial" w:cs="Arial" w:eastAsia="Arial" w:hAnsi="Arial"/>
                <w:sz w:val="14"/>
                <w:szCs w:val="14"/>
                <w:color w:val="auto"/>
              </w:rPr>
              <w:t>452,077</w:t>
            </w:r>
          </w:p>
        </w:tc>
        <w:tc>
          <w:tcPr>
            <w:tcW w:w="1580" w:type="dxa"/>
            <w:vAlign w:val="bottom"/>
          </w:tcPr>
          <w:p>
            <w:pPr>
              <w:jc w:val="right"/>
              <w:spacing w:after="0"/>
              <w:rPr>
                <w:sz w:val="20"/>
                <w:szCs w:val="20"/>
                <w:color w:val="auto"/>
              </w:rPr>
            </w:pPr>
            <w:r>
              <w:rPr>
                <w:rFonts w:ascii="Arial" w:cs="Arial" w:eastAsia="Arial" w:hAnsi="Arial"/>
                <w:sz w:val="14"/>
                <w:szCs w:val="14"/>
                <w:color w:val="auto"/>
              </w:rPr>
              <w:t>388,400</w:t>
            </w:r>
          </w:p>
        </w:tc>
      </w:tr>
      <w:tr>
        <w:trPr>
          <w:trHeight w:val="527"/>
        </w:trPr>
        <w:tc>
          <w:tcPr>
            <w:tcW w:w="312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720" w:type="dxa"/>
            <w:vAlign w:val="bottom"/>
          </w:tcPr>
          <w:p>
            <w:pPr>
              <w:ind w:left="1200"/>
              <w:spacing w:after="0"/>
              <w:rPr>
                <w:sz w:val="20"/>
                <w:szCs w:val="20"/>
                <w:color w:val="auto"/>
              </w:rPr>
            </w:pPr>
            <w:r>
              <w:rPr>
                <w:rFonts w:ascii="Arial" w:cs="Arial" w:eastAsia="Arial" w:hAnsi="Arial"/>
                <w:sz w:val="14"/>
                <w:szCs w:val="14"/>
                <w:color w:val="auto"/>
              </w:rPr>
              <w:t>ICON plc</w:t>
            </w:r>
          </w:p>
        </w:tc>
        <w:tc>
          <w:tcPr>
            <w:tcW w:w="1580" w:type="dxa"/>
            <w:vAlign w:val="bottom"/>
          </w:tcPr>
          <w:p>
            <w:pPr>
              <w:spacing w:after="0"/>
              <w:rPr>
                <w:sz w:val="24"/>
                <w:szCs w:val="24"/>
                <w:color w:val="auto"/>
              </w:rPr>
            </w:pPr>
          </w:p>
        </w:tc>
      </w:tr>
      <w:tr>
        <w:trPr>
          <w:trHeight w:val="344"/>
        </w:trPr>
        <w:tc>
          <w:tcPr>
            <w:tcW w:w="312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720" w:type="dxa"/>
            <w:vAlign w:val="bottom"/>
          </w:tcPr>
          <w:p>
            <w:pPr>
              <w:ind w:left="1200"/>
              <w:spacing w:after="0"/>
              <w:rPr>
                <w:sz w:val="20"/>
                <w:szCs w:val="20"/>
                <w:color w:val="auto"/>
              </w:rPr>
            </w:pPr>
            <w:r>
              <w:rPr>
                <w:rFonts w:ascii="Arial" w:cs="Arial" w:eastAsia="Arial" w:hAnsi="Arial"/>
                <w:sz w:val="14"/>
                <w:szCs w:val="14"/>
                <w:color w:val="auto"/>
              </w:rPr>
              <w:t>Investor Relations 1-888-381-7923 or</w:t>
            </w:r>
          </w:p>
        </w:tc>
        <w:tc>
          <w:tcPr>
            <w:tcW w:w="1580" w:type="dxa"/>
            <w:vAlign w:val="bottom"/>
          </w:tcPr>
          <w:p>
            <w:pPr>
              <w:spacing w:after="0"/>
              <w:rPr>
                <w:sz w:val="24"/>
                <w:szCs w:val="24"/>
                <w:color w:val="auto"/>
              </w:rPr>
            </w:pPr>
          </w:p>
        </w:tc>
      </w:tr>
      <w:tr>
        <w:trPr>
          <w:trHeight w:val="176"/>
        </w:trPr>
        <w:tc>
          <w:tcPr>
            <w:tcW w:w="3120" w:type="dxa"/>
            <w:vAlign w:val="bottom"/>
          </w:tcPr>
          <w:p>
            <w:pPr>
              <w:spacing w:after="0"/>
              <w:rPr>
                <w:sz w:val="15"/>
                <w:szCs w:val="15"/>
                <w:color w:val="auto"/>
              </w:rPr>
            </w:pPr>
          </w:p>
        </w:tc>
        <w:tc>
          <w:tcPr>
            <w:tcW w:w="6720" w:type="dxa"/>
            <w:vAlign w:val="bottom"/>
          </w:tcPr>
          <w:p>
            <w:pPr>
              <w:ind w:left="1200"/>
              <w:spacing w:after="0"/>
              <w:rPr>
                <w:sz w:val="20"/>
                <w:szCs w:val="20"/>
                <w:color w:val="auto"/>
              </w:rPr>
            </w:pPr>
            <w:r>
              <w:rPr>
                <w:rFonts w:ascii="Arial" w:cs="Arial" w:eastAsia="Arial" w:hAnsi="Arial"/>
                <w:sz w:val="14"/>
                <w:szCs w:val="14"/>
                <w:color w:val="auto"/>
              </w:rPr>
              <w:t>Ciaran Murray CFO + 353 1 291 2000</w:t>
            </w:r>
          </w:p>
        </w:tc>
        <w:tc>
          <w:tcPr>
            <w:tcW w:w="1580" w:type="dxa"/>
            <w:vAlign w:val="bottom"/>
          </w:tcPr>
          <w:p>
            <w:pPr>
              <w:spacing w:after="0"/>
              <w:rPr>
                <w:sz w:val="15"/>
                <w:szCs w:val="15"/>
                <w:color w:val="auto"/>
              </w:rPr>
            </w:pPr>
          </w:p>
        </w:tc>
      </w:tr>
      <w:tr>
        <w:trPr>
          <w:trHeight w:val="182"/>
        </w:trPr>
        <w:tc>
          <w:tcPr>
            <w:tcW w:w="3120" w:type="dxa"/>
            <w:vAlign w:val="bottom"/>
          </w:tcPr>
          <w:p>
            <w:pPr>
              <w:spacing w:after="0"/>
              <w:rPr>
                <w:sz w:val="15"/>
                <w:szCs w:val="15"/>
                <w:color w:val="auto"/>
              </w:rPr>
            </w:pPr>
          </w:p>
        </w:tc>
        <w:tc>
          <w:tcPr>
            <w:tcW w:w="6720" w:type="dxa"/>
            <w:vAlign w:val="bottom"/>
          </w:tcPr>
          <w:p>
            <w:pPr>
              <w:ind w:left="1200"/>
              <w:spacing w:after="0"/>
              <w:rPr>
                <w:sz w:val="20"/>
                <w:szCs w:val="20"/>
                <w:color w:val="auto"/>
              </w:rPr>
            </w:pPr>
            <w:r>
              <w:rPr>
                <w:rFonts w:ascii="Arial" w:cs="Arial" w:eastAsia="Arial" w:hAnsi="Arial"/>
                <w:sz w:val="14"/>
                <w:szCs w:val="14"/>
                <w:color w:val="auto"/>
              </w:rPr>
              <w:t>both at ICON.</w:t>
            </w:r>
          </w:p>
        </w:tc>
        <w:tc>
          <w:tcPr>
            <w:tcW w:w="1580" w:type="dxa"/>
            <w:vAlign w:val="bottom"/>
          </w:tcPr>
          <w:p>
            <w:pPr>
              <w:spacing w:after="0"/>
              <w:rPr>
                <w:sz w:val="15"/>
                <w:szCs w:val="15"/>
                <w:color w:val="auto"/>
              </w:rPr>
            </w:pPr>
          </w:p>
        </w:tc>
      </w:tr>
    </w:tbl>
    <w:p>
      <w:pPr>
        <w:spacing w:after="0" w:line="169" w:lineRule="exact"/>
        <w:rPr>
          <w:sz w:val="20"/>
          <w:szCs w:val="20"/>
          <w:color w:val="auto"/>
        </w:rPr>
      </w:pPr>
    </w:p>
    <w:p>
      <w:pPr>
        <w:ind w:left="4320"/>
        <w:spacing w:after="0"/>
        <w:rPr>
          <w:sz w:val="20"/>
          <w:szCs w:val="20"/>
          <w:color w:val="auto"/>
        </w:rPr>
      </w:pPr>
      <w:r>
        <w:rPr>
          <w:rFonts w:ascii="Arial" w:cs="Arial" w:eastAsia="Arial" w:hAnsi="Arial"/>
          <w:sz w:val="14"/>
          <w:szCs w:val="14"/>
          <w:u w:val="single" w:color="auto"/>
          <w:color w:val="auto"/>
        </w:rPr>
        <w:t>http://www.iconplc.com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CFO</w:t>
      </w:r>
    </w:p>
    <w:p>
      <w:pPr>
        <w:spacing w:after="0"/>
        <w:rPr>
          <w:sz w:val="20"/>
          <w:szCs w:val="20"/>
          <w:color w:val="auto"/>
        </w:rPr>
      </w:pPr>
      <w:r>
        <w:rPr>
          <w:rFonts w:ascii="Arial" w:cs="Arial" w:eastAsia="Arial" w:hAnsi="Arial"/>
          <w:sz w:val="22"/>
          <w:szCs w:val="22"/>
          <w:color w:val="auto"/>
        </w:rPr>
        <w:t>+353 –1-291-2000</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2019-12-14T20:50:26Z</dcterms:created>
  <dcterms:modified xsi:type="dcterms:W3CDTF">2019-12-14T20:50:26Z</dcterms:modified>
</cp:coreProperties>
</file>