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3"/>
          <w:szCs w:val="23"/>
          <w:b w:val="1"/>
          <w:bCs w:val="1"/>
          <w:color w:val="auto"/>
        </w:rPr>
        <w:t>FORM 6-K</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SECURITIES AND EXCHANGE COMMISSION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Washington, D.C. 20549</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Report of Foreign Private Issuer</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Pursuant to Rule 13a-16 under</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t</w:t>
      </w:r>
      <w:r>
        <w:rPr>
          <w:rFonts w:ascii="Arial" w:cs="Arial" w:eastAsia="Arial" w:hAnsi="Arial"/>
          <w:sz w:val="15"/>
          <w:szCs w:val="15"/>
          <w:b w:val="1"/>
          <w:bCs w:val="1"/>
          <w:color w:val="auto"/>
        </w:rPr>
        <w:t>he Securities Exchange Act of 1934</w:t>
      </w:r>
    </w:p>
    <w:p>
      <w:pPr>
        <w:spacing w:after="0" w:line="386"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For the month ended July, 2013</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ICON plc</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(Registrant's name)</w:t>
      </w:r>
    </w:p>
    <w:p>
      <w:pPr>
        <w:spacing w:after="0" w:line="384"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0-29714</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(Commission file number)</w:t>
      </w:r>
    </w:p>
    <w:p>
      <w:pPr>
        <w:spacing w:after="0" w:line="386"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South County Business Park, Leopardstown, Dublin 18, Ireland</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(Address of principal executive offices)</w:t>
      </w:r>
    </w:p>
    <w:p>
      <w:pPr>
        <w:spacing w:after="0" w:line="386"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Brendan Brennan, CFO</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South County Business Park, Leopardstown, Dublin 18, Ireland.</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Brendan.Brennan@iconplc.com</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00-353-1-291-2000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(Name, telephone number, email and/or facsimile number and address of Company contact person)</w:t>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Form 20-F or Form 40-F.</w:t>
      </w:r>
    </w:p>
    <w:p>
      <w:pPr>
        <w:spacing w:after="0" w:line="195" w:lineRule="exact"/>
        <w:rPr>
          <w:sz w:val="24"/>
          <w:szCs w:val="24"/>
          <w:color w:val="auto"/>
        </w:rPr>
      </w:pPr>
    </w:p>
    <w:p>
      <w:pPr>
        <w:ind w:left="4600"/>
        <w:spacing w:after="0"/>
        <w:tabs>
          <w:tab w:leader="none" w:pos="6860" w:val="left"/>
        </w:tabs>
        <w:rPr>
          <w:sz w:val="20"/>
          <w:szCs w:val="20"/>
          <w:color w:val="auto"/>
        </w:rPr>
      </w:pPr>
      <w:r>
        <w:rPr>
          <w:rFonts w:ascii="Arial" w:cs="Arial" w:eastAsia="Arial" w:hAnsi="Arial"/>
          <w:sz w:val="15"/>
          <w:szCs w:val="15"/>
          <w:color w:val="auto"/>
        </w:rPr>
        <w:t>Yes___</w:t>
      </w:r>
      <w:r>
        <w:rPr>
          <w:rFonts w:ascii="Arial" w:cs="Arial" w:eastAsia="Arial" w:hAnsi="Arial"/>
          <w:sz w:val="15"/>
          <w:szCs w:val="15"/>
          <w:b w:val="1"/>
          <w:bCs w:val="1"/>
          <w:color w:val="auto"/>
        </w:rPr>
        <w:t>X</w:t>
      </w:r>
      <w:r>
        <w:rPr>
          <w:rFonts w:ascii="Arial" w:cs="Arial" w:eastAsia="Arial" w:hAnsi="Arial"/>
          <w:sz w:val="15"/>
          <w:szCs w:val="15"/>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submitting the Form 6-K in paper as permitted by Regulation S-T Rule 101(b)(1):</w:t>
      </w:r>
    </w:p>
    <w:p>
      <w:pPr>
        <w:spacing w:after="0" w:line="195" w:lineRule="exact"/>
        <w:rPr>
          <w:sz w:val="24"/>
          <w:szCs w:val="24"/>
          <w:color w:val="auto"/>
        </w:rPr>
      </w:pPr>
    </w:p>
    <w:p>
      <w:pPr>
        <w:ind w:left="4600"/>
        <w:spacing w:after="0"/>
        <w:tabs>
          <w:tab w:leader="none" w:pos="6860" w:val="left"/>
        </w:tabs>
        <w:rPr>
          <w:sz w:val="20"/>
          <w:szCs w:val="20"/>
          <w:color w:val="auto"/>
        </w:rPr>
      </w:pPr>
      <w:r>
        <w:rPr>
          <w:rFonts w:ascii="Arial" w:cs="Arial" w:eastAsia="Arial" w:hAnsi="Arial"/>
          <w:sz w:val="15"/>
          <w:szCs w:val="15"/>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03"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71" w:lineRule="exact"/>
        <w:rPr>
          <w:sz w:val="24"/>
          <w:szCs w:val="24"/>
          <w:color w:val="auto"/>
        </w:rPr>
      </w:pPr>
    </w:p>
    <w:p>
      <w:pPr>
        <w:ind w:left="4600"/>
        <w:spacing w:after="0"/>
        <w:tabs>
          <w:tab w:leader="none" w:pos="6860" w:val="left"/>
        </w:tabs>
        <w:rPr>
          <w:sz w:val="20"/>
          <w:szCs w:val="20"/>
          <w:color w:val="auto"/>
        </w:rPr>
      </w:pPr>
      <w:r>
        <w:rPr>
          <w:rFonts w:ascii="Arial" w:cs="Arial" w:eastAsia="Arial" w:hAnsi="Arial"/>
          <w:sz w:val="15"/>
          <w:szCs w:val="15"/>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If "Yes" is marked, indicate below the file number assigned to the registrant in connection with Rule 12g3-2(b):82 </w:t>
      </w: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727837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20"/>
          </w:cols>
          <w:pgMar w:left="220" w:top="201"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u w:val="single" w:color="auto"/>
          <w:color w:val="auto"/>
        </w:rPr>
        <w:t>EXHIBIT LIST</w:t>
      </w:r>
    </w:p>
    <w:p>
      <w:pPr>
        <w:spacing w:after="0" w:line="181"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u w:val="single" w:color="auto"/>
          <w:color w:val="auto"/>
        </w:rPr>
        <w:t>Exhibit</w:t>
      </w:r>
      <w:r>
        <w:rPr>
          <w:sz w:val="20"/>
          <w:szCs w:val="20"/>
          <w:color w:val="auto"/>
        </w:rPr>
        <w:tab/>
      </w:r>
      <w:r>
        <w:rPr>
          <w:rFonts w:ascii="Arial" w:cs="Arial" w:eastAsia="Arial" w:hAnsi="Arial"/>
          <w:sz w:val="15"/>
          <w:szCs w:val="15"/>
          <w:u w:val="single" w:color="auto"/>
          <w:color w:val="auto"/>
        </w:rPr>
        <w:t>Description</w:t>
      </w:r>
    </w:p>
    <w:p>
      <w:pPr>
        <w:spacing w:after="0" w:line="199"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Letter to ISS dated 11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296545</wp:posOffset>
            </wp:positionV>
            <wp:extent cx="729234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b w:val="1"/>
                <w:bCs w:val="1"/>
                <w:color w:val="auto"/>
              </w:rPr>
              <w:t>ICON plc</w:t>
            </w:r>
          </w:p>
        </w:tc>
      </w:tr>
      <w:tr>
        <w:trPr>
          <w:trHeight w:val="702"/>
        </w:trPr>
        <w:tc>
          <w:tcPr>
            <w:tcW w:w="734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Brendan Brennan</w:t>
            </w:r>
          </w:p>
        </w:tc>
      </w:tr>
      <w:tr>
        <w:trPr>
          <w:trHeight w:val="164"/>
        </w:trPr>
        <w:tc>
          <w:tcPr>
            <w:tcW w:w="7340" w:type="dxa"/>
            <w:vAlign w:val="bottom"/>
          </w:tcPr>
          <w:p>
            <w:pPr>
              <w:spacing w:after="0" w:line="164" w:lineRule="exact"/>
              <w:rPr>
                <w:sz w:val="20"/>
                <w:szCs w:val="20"/>
                <w:color w:val="auto"/>
              </w:rPr>
            </w:pPr>
            <w:r>
              <w:rPr>
                <w:rFonts w:ascii="Arial" w:cs="Arial" w:eastAsia="Arial" w:hAnsi="Arial"/>
                <w:sz w:val="15"/>
                <w:szCs w:val="15"/>
                <w:color w:val="auto"/>
              </w:rPr>
              <w:t>Date: July 11, 2013</w:t>
            </w:r>
          </w:p>
        </w:tc>
        <w:tc>
          <w:tcPr>
            <w:tcW w:w="4120" w:type="dxa"/>
            <w:vAlign w:val="bottom"/>
          </w:tcPr>
          <w:p>
            <w:pPr>
              <w:spacing w:after="0" w:line="164" w:lineRule="exact"/>
              <w:rPr>
                <w:sz w:val="20"/>
                <w:szCs w:val="20"/>
                <w:color w:val="auto"/>
              </w:rPr>
            </w:pPr>
            <w:r>
              <w:rPr>
                <w:rFonts w:ascii="Arial" w:cs="Arial" w:eastAsia="Arial" w:hAnsi="Arial"/>
                <w:sz w:val="15"/>
                <w:szCs w:val="15"/>
                <w:color w:val="auto"/>
              </w:rPr>
              <w:t>Brendan Brennan</w:t>
            </w:r>
          </w:p>
        </w:tc>
      </w:tr>
      <w:tr>
        <w:trPr>
          <w:trHeight w:val="184"/>
        </w:trPr>
        <w:tc>
          <w:tcPr>
            <w:tcW w:w="73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Chief Financial Officer</w:t>
            </w:r>
          </w:p>
        </w:tc>
      </w:tr>
    </w:tbl>
    <w:p>
      <w:pPr>
        <w:sectPr>
          <w:pgSz w:w="11900" w:h="16838" w:orient="portrait"/>
          <w:cols w:equalWidth="0" w:num="1">
            <w:col w:w="11460"/>
          </w:cols>
          <w:pgMar w:left="220" w:top="420"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139700</wp:posOffset>
            </wp:positionV>
            <wp:extent cx="1407160" cy="2059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7160" cy="205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Mr Justin Levis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20850 King Farm Boulevard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Rockville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MD 20850</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11 July 2013</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ICON plc Annual General Meeting (AGM)</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Dear Justin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engagement in relation to the ISS report on our upcoming AGM.</w:t>
      </w:r>
    </w:p>
    <w:p>
      <w:pPr>
        <w:spacing w:after="0" w:line="199" w:lineRule="exact"/>
        <w:rPr>
          <w:sz w:val="20"/>
          <w:szCs w:val="20"/>
          <w:color w:val="auto"/>
        </w:rPr>
      </w:pPr>
    </w:p>
    <w:p>
      <w:pPr>
        <w:jc w:val="both"/>
        <w:ind w:right="60"/>
        <w:spacing w:after="0" w:line="250" w:lineRule="auto"/>
        <w:rPr>
          <w:sz w:val="20"/>
          <w:szCs w:val="20"/>
          <w:color w:val="auto"/>
        </w:rPr>
      </w:pPr>
      <w:r>
        <w:rPr>
          <w:rFonts w:ascii="Arial" w:cs="Arial" w:eastAsia="Arial" w:hAnsi="Arial"/>
          <w:sz w:val="15"/>
          <w:szCs w:val="15"/>
          <w:color w:val="auto"/>
        </w:rPr>
        <w:t>As discussed, ICON feels that resolutions 4 and 5 (which are linked and related resolutions) included in our proxy (the ability to issue shares and also to disapply offer round when shares are issued) are reasonable taking into account of ICON’s status as a solely NASDAQ listed company. However, as the ISS report notes concerns in relation to these resolutions and recommends a no vote on each, this letter is intended to give additional context in relation to the resolutions.</w:t>
      </w:r>
    </w:p>
    <w:p>
      <w:pPr>
        <w:spacing w:after="0" w:line="181" w:lineRule="exact"/>
        <w:rPr>
          <w:sz w:val="20"/>
          <w:szCs w:val="20"/>
          <w:color w:val="auto"/>
        </w:rPr>
      </w:pPr>
    </w:p>
    <w:p>
      <w:pPr>
        <w:jc w:val="both"/>
        <w:ind w:right="80"/>
        <w:spacing w:after="0" w:line="244" w:lineRule="auto"/>
        <w:rPr>
          <w:sz w:val="20"/>
          <w:szCs w:val="20"/>
          <w:color w:val="auto"/>
        </w:rPr>
      </w:pPr>
      <w:r>
        <w:rPr>
          <w:rFonts w:ascii="Arial" w:cs="Arial" w:eastAsia="Arial" w:hAnsi="Arial"/>
          <w:sz w:val="13"/>
          <w:szCs w:val="13"/>
          <w:color w:val="auto"/>
        </w:rPr>
        <w:t>In relation to resolution 5 (disapplication of statutory pre-emption rights), I can confirm that ICON plc does not currently intend to issue more than 5% of its issued share capital as at 11</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June 2013 (being the date used in our proxy for the calculation of the cap in resolution 5) in any year of the 5 year authority without offering shares to existing shareholders on a pro rata basis.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If you have any questions, please do not hesitate to contact me.</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625475</wp:posOffset>
            </wp:positionV>
            <wp:extent cx="20173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739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1351915"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19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Diarmaid Cunningham</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&amp; Company Secretary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501650</wp:posOffset>
            </wp:positionV>
            <wp:extent cx="688467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4670" cy="436880"/>
                    </a:xfrm>
                    <a:prstGeom prst="rect">
                      <a:avLst/>
                    </a:prstGeom>
                    <a:noFill/>
                  </pic:spPr>
                </pic:pic>
              </a:graphicData>
            </a:graphic>
          </wp:anchor>
        </w:drawing>
      </w:r>
    </w:p>
    <w:sectPr>
      <w:pgSz w:w="11900" w:h="16838" w:orient="portrait"/>
      <w:cols w:equalWidth="0" w:num="1">
        <w:col w:w="11460"/>
      </w:cols>
      <w:pgMar w:left="220" w:top="1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2019-12-06T20:21:30Z</dcterms:created>
  <dcterms:modified xsi:type="dcterms:W3CDTF">2019-12-06T20:21:30Z</dcterms:modified>
</cp:coreProperties>
</file>