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October, 2016</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Brendan Brennan, CFO</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Brendan.Brennan@iconplc.com</w:t>
      </w:r>
    </w:p>
    <w:p>
      <w:pPr>
        <w:jc w:val="center"/>
        <w:ind w:right="-119"/>
        <w:spacing w:after="0" w:line="231" w:lineRule="auto"/>
        <w:rPr>
          <w:sz w:val="20"/>
          <w:szCs w:val="20"/>
          <w:color w:val="auto"/>
        </w:rPr>
      </w:pPr>
      <w:r>
        <w:rPr>
          <w:rFonts w:ascii="Arial" w:cs="Arial" w:eastAsia="Arial" w:hAnsi="Arial"/>
          <w:sz w:val="22"/>
          <w:szCs w:val="22"/>
          <w:color w:val="auto"/>
        </w:rPr>
        <w:t>00-353-1-291-2000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468"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8" w:right="359" w:bottom="1440" w:gutter="0" w:footer="0" w:header="0"/>
          <w:type w:val="continuous"/>
        </w:sectPr>
      </w:pPr>
    </w:p>
    <w:bookmarkStart w:id="1" w:name="page2"/>
    <w:bookmarkEnd w:id="1"/>
    <w:p>
      <w:pPr>
        <w:ind w:left="5100"/>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ICON plc Press Release issued October 20, 2016 - ICON Reports Third Quarter 2016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364" w:right="1440"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ectPr>
          <w:pgSz w:w="11900" w:h="16838" w:orient="portrait"/>
          <w:cols w:equalWidth="0" w:num="1">
            <w:col w:w="11240"/>
          </w:cols>
          <w:pgMar w:left="240" w:top="364"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Date:</w:t>
        <w:tab/>
        <w:t>October 20, 2016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/s/ Brendan Brennan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Brendan Brennan</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2">
            <w:col w:w="6140" w:space="720"/>
            <w:col w:w="4380"/>
          </w:cols>
          <w:pgMar w:left="240" w:top="364" w:right="419" w:bottom="1440" w:gutter="0" w:footer="0" w:header="0"/>
          <w:type w:val="continuous"/>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ICON Reports Third Quarter 2016 Results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Net business wins of $510 million; net book to bill of 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Backlog of business grows 11.8% year on year to $4.25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Net revenue increases 6.4% to $420 million in the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Income from operations increases 13.7% to 19.3% of revenue before non-recurring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Earnings per share increases 17% to $1.19 before non-recurring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right="280"/>
        <w:spacing w:after="0" w:line="243" w:lineRule="auto"/>
        <w:rPr>
          <w:sz w:val="20"/>
          <w:szCs w:val="20"/>
          <w:color w:val="auto"/>
        </w:rPr>
      </w:pPr>
      <w:r>
        <w:rPr>
          <w:rFonts w:ascii="Arial" w:cs="Arial" w:eastAsia="Arial" w:hAnsi="Arial"/>
          <w:sz w:val="22"/>
          <w:szCs w:val="22"/>
          <w:color w:val="auto"/>
        </w:rPr>
        <w:t>DUBLIN--(BUSINESS WIRE)--October 20, 2016--</w:t>
      </w:r>
      <w:r>
        <w:rPr>
          <w:rFonts w:ascii="Arial" w:cs="Arial" w:eastAsia="Arial" w:hAnsi="Arial"/>
          <w:sz w:val="22"/>
          <w:szCs w:val="22"/>
          <w:b w:val="1"/>
          <w:bCs w:val="1"/>
          <w:color w:val="auto"/>
        </w:rPr>
        <w:t>ICON plc (NASDAQ: ICLR),</w:t>
      </w:r>
      <w:r>
        <w:rPr>
          <w:rFonts w:ascii="Arial" w:cs="Arial" w:eastAsia="Arial" w:hAnsi="Arial"/>
          <w:sz w:val="22"/>
          <w:szCs w:val="22"/>
          <w:color w:val="auto"/>
        </w:rPr>
        <w:t xml:space="preserve"> a global provider of drug development solutions and services to the pharmaceutical, biotechnology and medical device industries, today reported its financial results for the third quarter ended September 30, 2016.</w:t>
      </w:r>
    </w:p>
    <w:p>
      <w:pPr>
        <w:spacing w:after="0" w:line="183" w:lineRule="exact"/>
        <w:rPr>
          <w:sz w:val="20"/>
          <w:szCs w:val="20"/>
          <w:color w:val="auto"/>
        </w:rPr>
      </w:pPr>
    </w:p>
    <w:p>
      <w:pPr>
        <w:ind w:right="660"/>
        <w:spacing w:after="0" w:line="251" w:lineRule="auto"/>
        <w:rPr>
          <w:sz w:val="20"/>
          <w:szCs w:val="20"/>
          <w:color w:val="auto"/>
        </w:rPr>
      </w:pPr>
      <w:r>
        <w:rPr>
          <w:rFonts w:ascii="Arial" w:cs="Arial" w:eastAsia="Arial" w:hAnsi="Arial"/>
          <w:sz w:val="22"/>
          <w:szCs w:val="22"/>
          <w:color w:val="auto"/>
        </w:rPr>
        <w:t>Gross business wins in the third quarter were $572 million and cancellations in the quarter were $62 million, resulting in net business wins of $510 million, a net book to bill of 1.21.</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color w:val="auto"/>
        </w:rPr>
        <w:t>In the third quarter net revenue grew 6.4% year on year to $420.2 million from $394.7 million in the same quarter last year.</w:t>
      </w:r>
    </w:p>
    <w:p>
      <w:pPr>
        <w:spacing w:after="0" w:line="218" w:lineRule="exact"/>
        <w:rPr>
          <w:sz w:val="20"/>
          <w:szCs w:val="20"/>
          <w:color w:val="auto"/>
        </w:rPr>
      </w:pPr>
    </w:p>
    <w:p>
      <w:pPr>
        <w:ind w:right="400"/>
        <w:spacing w:after="0" w:line="251" w:lineRule="auto"/>
        <w:rPr>
          <w:sz w:val="20"/>
          <w:szCs w:val="20"/>
          <w:color w:val="auto"/>
        </w:rPr>
      </w:pPr>
      <w:r>
        <w:rPr>
          <w:rFonts w:ascii="Arial" w:cs="Arial" w:eastAsia="Arial" w:hAnsi="Arial"/>
          <w:sz w:val="22"/>
          <w:szCs w:val="22"/>
          <w:color w:val="auto"/>
        </w:rPr>
        <w:t>Income from operations, before non-recurring charges in the quarter, increased by 13.7% to $81.2 million or 19.3% of revenue, compared to $71.4 million or 18.1% for the same quarter last year.</w:t>
      </w:r>
    </w:p>
    <w:p>
      <w:pPr>
        <w:spacing w:after="0" w:line="173"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Net income, before non-recurring charges in the quarter, increased by 9.6% to $67.4 million compared with $61.5 million in the same quarter last year.</w:t>
      </w:r>
    </w:p>
    <w:p>
      <w:pPr>
        <w:spacing w:after="0" w:line="173" w:lineRule="exact"/>
        <w:rPr>
          <w:sz w:val="20"/>
          <w:szCs w:val="20"/>
          <w:color w:val="auto"/>
        </w:rPr>
      </w:pPr>
    </w:p>
    <w:p>
      <w:pPr>
        <w:ind w:right="80"/>
        <w:spacing w:after="0" w:line="251" w:lineRule="auto"/>
        <w:rPr>
          <w:sz w:val="20"/>
          <w:szCs w:val="20"/>
          <w:color w:val="auto"/>
        </w:rPr>
      </w:pPr>
      <w:r>
        <w:rPr>
          <w:rFonts w:ascii="Arial" w:cs="Arial" w:eastAsia="Arial" w:hAnsi="Arial"/>
          <w:sz w:val="22"/>
          <w:szCs w:val="22"/>
          <w:color w:val="auto"/>
        </w:rPr>
        <w:t>Earnings per share, before non-recurring charges, increased to $1.19 per share on a diluted basis, from $1.02 per share for the same quarter last year, an increase of 17%.</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Year to date revenue for 2016 increased by 5.1% to $1,231.4 million from $1,171.6 million in 2015.</w:t>
      </w:r>
    </w:p>
    <w:p>
      <w:pPr>
        <w:spacing w:after="0" w:line="206"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Year to date income from operations for 2016, before non-recurring charges, increased by 14.1% to $235.2 million or 19.1% of revenue compared with $206.2 million or 17.6% of revenue in the previous year.</w:t>
      </w:r>
    </w:p>
    <w:p>
      <w:pPr>
        <w:spacing w:after="0" w:line="173" w:lineRule="exact"/>
        <w:rPr>
          <w:sz w:val="20"/>
          <w:szCs w:val="20"/>
          <w:color w:val="auto"/>
        </w:rPr>
      </w:pPr>
    </w:p>
    <w:p>
      <w:pPr>
        <w:ind w:right="620"/>
        <w:spacing w:after="0" w:line="251" w:lineRule="auto"/>
        <w:rPr>
          <w:sz w:val="20"/>
          <w:szCs w:val="20"/>
          <w:color w:val="auto"/>
        </w:rPr>
      </w:pPr>
      <w:r>
        <w:rPr>
          <w:rFonts w:ascii="Arial" w:cs="Arial" w:eastAsia="Arial" w:hAnsi="Arial"/>
          <w:sz w:val="22"/>
          <w:szCs w:val="22"/>
          <w:color w:val="auto"/>
        </w:rPr>
        <w:t>Year to date net income for 2016, before non-recurring charges, increased by 10.8% to $195.1 million compared with $176.0 million last year.</w:t>
      </w:r>
    </w:p>
    <w:p>
      <w:pPr>
        <w:spacing w:after="0" w:line="173" w:lineRule="exact"/>
        <w:rPr>
          <w:sz w:val="20"/>
          <w:szCs w:val="20"/>
          <w:color w:val="auto"/>
        </w:rPr>
      </w:pPr>
    </w:p>
    <w:p>
      <w:pPr>
        <w:ind w:right="160"/>
        <w:spacing w:after="0" w:line="251" w:lineRule="auto"/>
        <w:rPr>
          <w:sz w:val="20"/>
          <w:szCs w:val="20"/>
          <w:color w:val="auto"/>
        </w:rPr>
      </w:pPr>
      <w:r>
        <w:rPr>
          <w:rFonts w:ascii="Arial" w:cs="Arial" w:eastAsia="Arial" w:hAnsi="Arial"/>
          <w:sz w:val="22"/>
          <w:szCs w:val="22"/>
          <w:color w:val="auto"/>
        </w:rPr>
        <w:t>Year to date earnings per share before non-recurring charges increased to $3.45 per share on a diluted basis from $2.85 per diluted share last year, an increase of 21%.</w:t>
      </w:r>
    </w:p>
    <w:p>
      <w:pPr>
        <w:spacing w:after="0" w:line="173" w:lineRule="exact"/>
        <w:rPr>
          <w:sz w:val="20"/>
          <w:szCs w:val="20"/>
          <w:color w:val="auto"/>
        </w:rPr>
      </w:pPr>
    </w:p>
    <w:p>
      <w:pPr>
        <w:ind w:right="960"/>
        <w:spacing w:after="0" w:line="328" w:lineRule="auto"/>
        <w:rPr>
          <w:sz w:val="20"/>
          <w:szCs w:val="20"/>
          <w:color w:val="auto"/>
        </w:rPr>
      </w:pPr>
      <w:r>
        <w:rPr>
          <w:rFonts w:ascii="Arial" w:cs="Arial" w:eastAsia="Arial" w:hAnsi="Arial"/>
          <w:sz w:val="19"/>
          <w:szCs w:val="19"/>
          <w:color w:val="auto"/>
        </w:rPr>
        <w:t>Day’s sales outstanding, comprising accounts receivable and unbilled revenue less payments on account, were 50 days at September 30, 2016, compared with 46 days at the end of June 30, 2016 and 46 days at the end of September 2015.</w:t>
      </w:r>
    </w:p>
    <w:p>
      <w:pPr>
        <w:spacing w:after="0" w:line="105"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Cash generated from operating activities for the quarter was $52 million. Capital expenditure for the quarter was $9.5 million and the acquisition of Clinical Research Management, Inc. was completed for an initial cash consideration of $52.4 million. As a result, at September 30, 2016, the company had net debt of $98 million, compared to net debt of $97 million at June 30, 2016 and net debt of $31 million at end of September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7202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jc w:val="both"/>
        <w:ind w:right="620"/>
        <w:spacing w:after="0" w:line="241" w:lineRule="auto"/>
        <w:rPr>
          <w:sz w:val="20"/>
          <w:szCs w:val="20"/>
          <w:color w:val="auto"/>
        </w:rPr>
      </w:pPr>
      <w:r>
        <w:rPr>
          <w:rFonts w:ascii="Arial" w:cs="Arial" w:eastAsia="Arial" w:hAnsi="Arial"/>
          <w:sz w:val="22"/>
          <w:szCs w:val="22"/>
          <w:color w:val="auto"/>
        </w:rPr>
        <w:t>During the quarter the company recorded a charge of $4.1 million in relation to restructuring costs. US GAAP income from operations after these items amounted to $77.1 million or 18.4% of revenue. US GAAP net income for the quarter was $63.9 million or $1.13 per diluted share.</w:t>
      </w:r>
    </w:p>
    <w:p>
      <w:pPr>
        <w:spacing w:after="0" w:line="184" w:lineRule="exact"/>
        <w:rPr>
          <w:sz w:val="20"/>
          <w:szCs w:val="20"/>
          <w:color w:val="auto"/>
        </w:rPr>
      </w:pPr>
    </w:p>
    <w:p>
      <w:pPr>
        <w:jc w:val="both"/>
        <w:ind w:right="340"/>
        <w:spacing w:after="0" w:line="276" w:lineRule="auto"/>
        <w:rPr>
          <w:sz w:val="20"/>
          <w:szCs w:val="20"/>
          <w:color w:val="auto"/>
        </w:rPr>
      </w:pPr>
      <w:r>
        <w:rPr>
          <w:rFonts w:ascii="Arial" w:cs="Arial" w:eastAsia="Arial" w:hAnsi="Arial"/>
          <w:sz w:val="19"/>
          <w:szCs w:val="19"/>
          <w:color w:val="auto"/>
        </w:rPr>
        <w:t>CEO Ciaran Murray commented</w:t>
      </w:r>
      <w:r>
        <w:rPr>
          <w:rFonts w:ascii="Arial" w:cs="Arial" w:eastAsia="Arial" w:hAnsi="Arial"/>
          <w:sz w:val="19"/>
          <w:szCs w:val="19"/>
          <w:i w:val="1"/>
          <w:iCs w:val="1"/>
          <w:color w:val="auto"/>
        </w:rPr>
        <w:t>, “Quarter three was a strong quarter for ICON. Net business wins were $510 million,</w:t>
      </w:r>
      <w:r>
        <w:rPr>
          <w:rFonts w:ascii="Arial" w:cs="Arial" w:eastAsia="Arial" w:hAnsi="Arial"/>
          <w:sz w:val="19"/>
          <w:szCs w:val="19"/>
          <w:color w:val="auto"/>
        </w:rPr>
        <w:t xml:space="preserve"> </w:t>
      </w:r>
      <w:r>
        <w:rPr>
          <w:rFonts w:ascii="Arial" w:cs="Arial" w:eastAsia="Arial" w:hAnsi="Arial"/>
          <w:sz w:val="19"/>
          <w:szCs w:val="19"/>
          <w:i w:val="1"/>
          <w:iCs w:val="1"/>
          <w:color w:val="auto"/>
        </w:rPr>
        <w:t>representing a book to bill of 1.21 and our backlog grew by almost 12% over last year to $4.25 billion. As a result revenue grew</w:t>
      </w:r>
    </w:p>
    <w:p>
      <w:pPr>
        <w:spacing w:after="0" w:line="2" w:lineRule="exact"/>
        <w:rPr>
          <w:sz w:val="20"/>
          <w:szCs w:val="20"/>
          <w:color w:val="auto"/>
        </w:rPr>
      </w:pPr>
    </w:p>
    <w:p>
      <w:pPr>
        <w:ind w:right="60"/>
        <w:spacing w:after="0" w:line="256" w:lineRule="auto"/>
        <w:rPr>
          <w:sz w:val="20"/>
          <w:szCs w:val="20"/>
          <w:color w:val="auto"/>
        </w:rPr>
      </w:pPr>
      <w:r>
        <w:rPr>
          <w:rFonts w:ascii="Arial" w:cs="Arial" w:eastAsia="Arial" w:hAnsi="Arial"/>
          <w:sz w:val="21"/>
          <w:szCs w:val="21"/>
          <w:i w:val="1"/>
          <w:iCs w:val="1"/>
          <w:color w:val="auto"/>
        </w:rPr>
        <w:t>6.4% over the same quarter last year to $420 million and earnings per share increased by 17% to $1.19. Our continuing success in winning business, growing our backlog and diversifying our customer base positions us well for future growth.”</w:t>
      </w:r>
    </w:p>
    <w:p>
      <w:pPr>
        <w:spacing w:after="0" w:line="169" w:lineRule="exact"/>
        <w:rPr>
          <w:sz w:val="20"/>
          <w:szCs w:val="20"/>
          <w:color w:val="auto"/>
        </w:rPr>
      </w:pPr>
    </w:p>
    <w:p>
      <w:pPr>
        <w:jc w:val="both"/>
        <w:ind w:right="360"/>
        <w:spacing w:after="0" w:line="287" w:lineRule="auto"/>
        <w:rPr>
          <w:sz w:val="20"/>
          <w:szCs w:val="20"/>
          <w:color w:val="auto"/>
        </w:rPr>
      </w:pPr>
      <w:r>
        <w:rPr>
          <w:rFonts w:ascii="Arial" w:cs="Arial" w:eastAsia="Arial" w:hAnsi="Arial"/>
          <w:sz w:val="19"/>
          <w:szCs w:val="19"/>
          <w:color w:val="auto"/>
        </w:rPr>
        <w:t>In addition to the financial measures prepared in accordance with generally accepted accounting principles (GAAP), this press release contains certain non-GAAP financial measures, including non-GAAP operating and net income and non-GAAP diluted earnings per share. While non-GAAP financial measures are not superior to or a substitute for the comparable GAAP measures, ICON believes certain non-GAAP information is useful to investors for historical comparison purposes.</w:t>
      </w:r>
    </w:p>
    <w:p>
      <w:pPr>
        <w:spacing w:after="0" w:line="143" w:lineRule="exact"/>
        <w:rPr>
          <w:sz w:val="20"/>
          <w:szCs w:val="20"/>
          <w:color w:val="auto"/>
        </w:rPr>
      </w:pPr>
    </w:p>
    <w:p>
      <w:pPr>
        <w:ind w:right="140"/>
        <w:spacing w:after="0" w:line="252" w:lineRule="auto"/>
        <w:rPr>
          <w:sz w:val="20"/>
          <w:szCs w:val="20"/>
          <w:color w:val="auto"/>
        </w:rPr>
      </w:pPr>
      <w:r>
        <w:rPr>
          <w:rFonts w:ascii="Arial" w:cs="Arial" w:eastAsia="Arial" w:hAnsi="Arial"/>
          <w:sz w:val="21"/>
          <w:szCs w:val="21"/>
          <w:color w:val="auto"/>
        </w:rPr>
        <w:t xml:space="preserve">ICON will hold its third quarter conference call today, October 20, 2016 at 9:00 EDT [14:00 Ireland &amp; UK]. This call and linked slide presentation can be accessed live from our website at </w:t>
      </w:r>
      <w:r>
        <w:rPr>
          <w:rFonts w:ascii="Arial" w:cs="Arial" w:eastAsia="Arial" w:hAnsi="Arial"/>
          <w:sz w:val="21"/>
          <w:szCs w:val="21"/>
          <w:u w:val="single" w:color="auto"/>
          <w:color w:val="auto"/>
        </w:rPr>
        <w:t>http://investor.iconplc.com</w:t>
      </w:r>
      <w:r>
        <w:rPr>
          <w:rFonts w:ascii="Arial" w:cs="Arial" w:eastAsia="Arial" w:hAnsi="Arial"/>
          <w:sz w:val="21"/>
          <w:szCs w:val="21"/>
          <w:color w:val="auto"/>
        </w:rPr>
        <w:t>. A recording will also be available on the website for 90 days following the call. In addition, a calendar of company events, including upcoming conference presentations, is available on our website, under “Investors”. This calendar will be updated regularly.</w:t>
      </w:r>
    </w:p>
    <w:p>
      <w:pPr>
        <w:spacing w:after="0" w:line="174"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 xml:space="preserve">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w:t>
      </w:r>
      <w:r>
        <w:rPr>
          <w:rFonts w:ascii="Arial" w:cs="Arial" w:eastAsia="Arial" w:hAnsi="Arial"/>
          <w:sz w:val="19"/>
          <w:szCs w:val="19"/>
          <w:u w:val="single" w:color="auto"/>
          <w:color w:val="auto"/>
        </w:rPr>
        <w:t>http://www.sec.gov</w:t>
      </w:r>
      <w:r>
        <w:rPr>
          <w:rFonts w:ascii="Arial" w:cs="Arial" w:eastAsia="Arial" w:hAnsi="Arial"/>
          <w:sz w:val="19"/>
          <w:szCs w:val="19"/>
          <w:color w:val="auto"/>
        </w:rPr>
        <w:t>.</w:t>
      </w:r>
    </w:p>
    <w:p>
      <w:pPr>
        <w:spacing w:after="0" w:line="165"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 xml:space="preserve">ICON plc is a global provider of drug development solutions and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currently, operates from 88 locations in 37 countries and has approximately 12,600 employees. Further information is available at </w:t>
      </w:r>
      <w:r>
        <w:rPr>
          <w:rFonts w:ascii="Arial" w:cs="Arial" w:eastAsia="Arial" w:hAnsi="Arial"/>
          <w:sz w:val="22"/>
          <w:szCs w:val="22"/>
          <w:u w:val="single" w:color="auto"/>
          <w:color w:val="auto"/>
        </w:rPr>
        <w:t>www.iconplc.com</w:t>
      </w:r>
      <w:r>
        <w:rPr>
          <w:rFonts w:ascii="Arial" w:cs="Arial" w:eastAsia="Arial" w:hAnsi="Arial"/>
          <w:sz w:val="22"/>
          <w:szCs w:val="22"/>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ICON plc</w:t>
      </w:r>
    </w:p>
    <w:p>
      <w:pPr>
        <w:jc w:val="center"/>
        <w:spacing w:after="0" w:line="226" w:lineRule="auto"/>
        <w:rPr>
          <w:sz w:val="20"/>
          <w:szCs w:val="20"/>
          <w:color w:val="auto"/>
        </w:rPr>
      </w:pPr>
      <w:r>
        <w:rPr>
          <w:rFonts w:ascii="Arial" w:cs="Arial" w:eastAsia="Arial" w:hAnsi="Arial"/>
          <w:sz w:val="14"/>
          <w:szCs w:val="14"/>
          <w:b w:val="1"/>
          <w:bCs w:val="1"/>
          <w:color w:val="auto"/>
        </w:rPr>
        <w:t>Consolidated Income Statements (Unaudited)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(Before restructuring costs)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and Nine Months ended September 30, 2016 and September 30, 2015</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data)</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240" w:type="dxa"/>
            <w:vAlign w:val="bottom"/>
          </w:tcPr>
          <w:p>
            <w:pPr>
              <w:spacing w:after="0"/>
              <w:rPr>
                <w:sz w:val="15"/>
                <w:szCs w:val="15"/>
                <w:color w:val="auto"/>
              </w:rPr>
            </w:pPr>
          </w:p>
        </w:tc>
        <w:tc>
          <w:tcPr>
            <w:tcW w:w="3140" w:type="dxa"/>
            <w:vAlign w:val="bottom"/>
            <w:gridSpan w:val="6"/>
          </w:tcPr>
          <w:p>
            <w:pPr>
              <w:ind w:left="820"/>
              <w:spacing w:after="0"/>
              <w:rPr>
                <w:sz w:val="20"/>
                <w:szCs w:val="20"/>
                <w:color w:val="auto"/>
              </w:rPr>
            </w:pPr>
            <w:r>
              <w:rPr>
                <w:rFonts w:ascii="Arial" w:cs="Arial" w:eastAsia="Arial" w:hAnsi="Arial"/>
                <w:sz w:val="14"/>
                <w:szCs w:val="14"/>
                <w:b w:val="1"/>
                <w:bCs w:val="1"/>
                <w:color w:val="auto"/>
              </w:rPr>
              <w:t>Three Months Ended</w:t>
            </w:r>
          </w:p>
        </w:tc>
        <w:tc>
          <w:tcPr>
            <w:tcW w:w="304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5240" w:type="dxa"/>
            <w:vAlign w:val="bottom"/>
          </w:tcPr>
          <w:p>
            <w:pPr>
              <w:spacing w:after="0"/>
              <w:rPr>
                <w:sz w:val="16"/>
                <w:szCs w:val="16"/>
                <w:color w:val="auto"/>
              </w:rPr>
            </w:pPr>
          </w:p>
        </w:tc>
        <w:tc>
          <w:tcPr>
            <w:tcW w:w="1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46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318"/>
        </w:trPr>
        <w:tc>
          <w:tcPr>
            <w:tcW w:w="5240" w:type="dxa"/>
            <w:vAlign w:val="bottom"/>
            <w:vMerge w:val="restart"/>
          </w:tcPr>
          <w:p>
            <w:pPr>
              <w:spacing w:after="0"/>
              <w:rPr>
                <w:sz w:val="20"/>
                <w:szCs w:val="20"/>
                <w:color w:val="auto"/>
              </w:rPr>
            </w:pPr>
            <w:r>
              <w:rPr>
                <w:rFonts w:ascii="Arial" w:cs="Arial" w:eastAsia="Arial" w:hAnsi="Arial"/>
                <w:sz w:val="14"/>
                <w:szCs w:val="14"/>
                <w:color w:val="auto"/>
              </w:rPr>
              <w:t>Revenue:</w:t>
            </w:r>
          </w:p>
        </w:tc>
        <w:tc>
          <w:tcPr>
            <w:tcW w:w="15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2016</w:t>
            </w: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24"/>
                <w:szCs w:val="24"/>
                <w:color w:val="auto"/>
              </w:rPr>
            </w:pPr>
          </w:p>
        </w:tc>
        <w:tc>
          <w:tcPr>
            <w:tcW w:w="15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2016</w:t>
            </w: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77"/>
        </w:trPr>
        <w:tc>
          <w:tcPr>
            <w:tcW w:w="5240" w:type="dxa"/>
            <w:vAlign w:val="bottom"/>
            <w:vMerge w:val="continue"/>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40" w:type="dxa"/>
            <w:vAlign w:val="bottom"/>
          </w:tcPr>
          <w:p>
            <w:pPr>
              <w:spacing w:after="0"/>
              <w:rPr>
                <w:sz w:val="20"/>
                <w:szCs w:val="20"/>
                <w:color w:val="auto"/>
              </w:rPr>
            </w:pPr>
            <w:r>
              <w:rPr>
                <w:rFonts w:ascii="Arial" w:cs="Arial" w:eastAsia="Arial" w:hAnsi="Arial"/>
                <w:sz w:val="14"/>
                <w:szCs w:val="14"/>
                <w:color w:val="auto"/>
              </w:rPr>
              <w:t>Gross revenue</w:t>
            </w:r>
          </w:p>
        </w:tc>
        <w:tc>
          <w:tcPr>
            <w:tcW w:w="1560" w:type="dxa"/>
            <w:vAlign w:val="bottom"/>
            <w:gridSpan w:val="3"/>
          </w:tcPr>
          <w:p>
            <w:pPr>
              <w:jc w:val="right"/>
              <w:ind w:right="180"/>
              <w:spacing w:after="0"/>
              <w:rPr>
                <w:sz w:val="20"/>
                <w:szCs w:val="20"/>
                <w:color w:val="auto"/>
              </w:rPr>
            </w:pPr>
            <w:r>
              <w:rPr>
                <w:rFonts w:ascii="Arial" w:cs="Arial" w:eastAsia="Arial" w:hAnsi="Arial"/>
                <w:sz w:val="14"/>
                <w:szCs w:val="14"/>
                <w:color w:val="auto"/>
              </w:rPr>
              <w:t>$622,261</w:t>
            </w:r>
          </w:p>
        </w:tc>
        <w:tc>
          <w:tcPr>
            <w:tcW w:w="1580" w:type="dxa"/>
            <w:vAlign w:val="bottom"/>
            <w:gridSpan w:val="3"/>
          </w:tcPr>
          <w:p>
            <w:pPr>
              <w:jc w:val="right"/>
              <w:ind w:right="180"/>
              <w:spacing w:after="0"/>
              <w:rPr>
                <w:sz w:val="20"/>
                <w:szCs w:val="20"/>
                <w:color w:val="auto"/>
              </w:rPr>
            </w:pPr>
            <w:r>
              <w:rPr>
                <w:rFonts w:ascii="Arial" w:cs="Arial" w:eastAsia="Arial" w:hAnsi="Arial"/>
                <w:sz w:val="14"/>
                <w:szCs w:val="14"/>
                <w:color w:val="auto"/>
              </w:rPr>
              <w:t>$557,095</w:t>
            </w:r>
          </w:p>
        </w:tc>
        <w:tc>
          <w:tcPr>
            <w:tcW w:w="1580" w:type="dxa"/>
            <w:vAlign w:val="bottom"/>
            <w:gridSpan w:val="3"/>
          </w:tcPr>
          <w:p>
            <w:pPr>
              <w:jc w:val="right"/>
              <w:ind w:right="180"/>
              <w:spacing w:after="0"/>
              <w:rPr>
                <w:sz w:val="20"/>
                <w:szCs w:val="20"/>
                <w:color w:val="auto"/>
              </w:rPr>
            </w:pPr>
            <w:r>
              <w:rPr>
                <w:rFonts w:ascii="Arial" w:cs="Arial" w:eastAsia="Arial" w:hAnsi="Arial"/>
                <w:sz w:val="14"/>
                <w:szCs w:val="14"/>
                <w:color w:val="auto"/>
              </w:rPr>
              <w:t>$1,754,491</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$1,584,559</w:t>
            </w:r>
          </w:p>
        </w:tc>
        <w:tc>
          <w:tcPr>
            <w:tcW w:w="0" w:type="dxa"/>
            <w:vAlign w:val="bottom"/>
          </w:tcPr>
          <w:p>
            <w:pPr>
              <w:spacing w:after="0"/>
              <w:rPr>
                <w:sz w:val="1"/>
                <w:szCs w:val="1"/>
                <w:color w:val="auto"/>
              </w:rPr>
            </w:pPr>
          </w:p>
        </w:tc>
      </w:tr>
      <w:tr>
        <w:trPr>
          <w:trHeight w:val="181"/>
        </w:trPr>
        <w:tc>
          <w:tcPr>
            <w:tcW w:w="5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Reimbursable expenses</w:t>
            </w:r>
          </w:p>
        </w:tc>
        <w:tc>
          <w:tcPr>
            <w:tcW w:w="15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(202,060)</w:t>
            </w:r>
          </w:p>
        </w:tc>
        <w:tc>
          <w:tcPr>
            <w:tcW w:w="15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(162,354)</w:t>
            </w:r>
          </w:p>
        </w:tc>
        <w:tc>
          <w:tcPr>
            <w:tcW w:w="15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(523,138)</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(412,930)</w:t>
            </w:r>
          </w:p>
        </w:tc>
        <w:tc>
          <w:tcPr>
            <w:tcW w:w="0" w:type="dxa"/>
            <w:vAlign w:val="bottom"/>
          </w:tcPr>
          <w:p>
            <w:pPr>
              <w:spacing w:after="0"/>
              <w:rPr>
                <w:sz w:val="1"/>
                <w:szCs w:val="1"/>
                <w:color w:val="auto"/>
              </w:rPr>
            </w:pPr>
          </w:p>
        </w:tc>
      </w:tr>
      <w:tr>
        <w:trPr>
          <w:trHeight w:val="346"/>
        </w:trPr>
        <w:tc>
          <w:tcPr>
            <w:tcW w:w="5240" w:type="dxa"/>
            <w:vAlign w:val="bottom"/>
          </w:tcPr>
          <w:p>
            <w:pPr>
              <w:spacing w:after="0"/>
              <w:rPr>
                <w:sz w:val="20"/>
                <w:szCs w:val="20"/>
                <w:color w:val="auto"/>
              </w:rPr>
            </w:pPr>
            <w:r>
              <w:rPr>
                <w:rFonts w:ascii="Arial" w:cs="Arial" w:eastAsia="Arial" w:hAnsi="Arial"/>
                <w:sz w:val="14"/>
                <w:szCs w:val="14"/>
                <w:b w:val="1"/>
                <w:bCs w:val="1"/>
                <w:color w:val="auto"/>
              </w:rPr>
              <w:t>Net revenue</w:t>
            </w:r>
          </w:p>
        </w:tc>
        <w:tc>
          <w:tcPr>
            <w:tcW w:w="1560" w:type="dxa"/>
            <w:vAlign w:val="bottom"/>
            <w:gridSpan w:val="3"/>
          </w:tcPr>
          <w:p>
            <w:pPr>
              <w:jc w:val="right"/>
              <w:ind w:right="180"/>
              <w:spacing w:after="0"/>
              <w:rPr>
                <w:sz w:val="20"/>
                <w:szCs w:val="20"/>
                <w:color w:val="auto"/>
              </w:rPr>
            </w:pPr>
            <w:r>
              <w:rPr>
                <w:rFonts w:ascii="Arial" w:cs="Arial" w:eastAsia="Arial" w:hAnsi="Arial"/>
                <w:sz w:val="14"/>
                <w:szCs w:val="14"/>
                <w:color w:val="auto"/>
              </w:rPr>
              <w:t>420,201</w:t>
            </w:r>
          </w:p>
        </w:tc>
        <w:tc>
          <w:tcPr>
            <w:tcW w:w="1580" w:type="dxa"/>
            <w:vAlign w:val="bottom"/>
            <w:gridSpan w:val="3"/>
          </w:tcPr>
          <w:p>
            <w:pPr>
              <w:jc w:val="right"/>
              <w:ind w:right="180"/>
              <w:spacing w:after="0"/>
              <w:rPr>
                <w:sz w:val="20"/>
                <w:szCs w:val="20"/>
                <w:color w:val="auto"/>
              </w:rPr>
            </w:pPr>
            <w:r>
              <w:rPr>
                <w:rFonts w:ascii="Arial" w:cs="Arial" w:eastAsia="Arial" w:hAnsi="Arial"/>
                <w:sz w:val="14"/>
                <w:szCs w:val="14"/>
                <w:color w:val="auto"/>
              </w:rPr>
              <w:t>394,741</w:t>
            </w:r>
          </w:p>
        </w:tc>
        <w:tc>
          <w:tcPr>
            <w:tcW w:w="1580" w:type="dxa"/>
            <w:vAlign w:val="bottom"/>
            <w:gridSpan w:val="3"/>
          </w:tcPr>
          <w:p>
            <w:pPr>
              <w:jc w:val="right"/>
              <w:ind w:right="180"/>
              <w:spacing w:after="0"/>
              <w:rPr>
                <w:sz w:val="20"/>
                <w:szCs w:val="20"/>
                <w:color w:val="auto"/>
              </w:rPr>
            </w:pPr>
            <w:r>
              <w:rPr>
                <w:rFonts w:ascii="Arial" w:cs="Arial" w:eastAsia="Arial" w:hAnsi="Arial"/>
                <w:sz w:val="14"/>
                <w:szCs w:val="14"/>
                <w:color w:val="auto"/>
              </w:rPr>
              <w:t>1,231,353</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1,171,629</w:t>
            </w:r>
          </w:p>
        </w:tc>
        <w:tc>
          <w:tcPr>
            <w:tcW w:w="0" w:type="dxa"/>
            <w:vAlign w:val="bottom"/>
          </w:tcPr>
          <w:p>
            <w:pPr>
              <w:spacing w:after="0"/>
              <w:rPr>
                <w:sz w:val="1"/>
                <w:szCs w:val="1"/>
                <w:color w:val="auto"/>
              </w:rPr>
            </w:pPr>
          </w:p>
        </w:tc>
      </w:tr>
      <w:tr>
        <w:trPr>
          <w:trHeight w:val="344"/>
        </w:trPr>
        <w:tc>
          <w:tcPr>
            <w:tcW w:w="5240" w:type="dxa"/>
            <w:vAlign w:val="bottom"/>
          </w:tcPr>
          <w:p>
            <w:pPr>
              <w:spacing w:after="0"/>
              <w:rPr>
                <w:sz w:val="20"/>
                <w:szCs w:val="20"/>
                <w:color w:val="auto"/>
              </w:rPr>
            </w:pPr>
            <w:r>
              <w:rPr>
                <w:rFonts w:ascii="Arial" w:cs="Arial" w:eastAsia="Arial" w:hAnsi="Arial"/>
                <w:sz w:val="14"/>
                <w:szCs w:val="14"/>
                <w:b w:val="1"/>
                <w:bCs w:val="1"/>
                <w:color w:val="auto"/>
              </w:rPr>
              <w:t>Costs and expenses:</w:t>
            </w: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240" w:type="dxa"/>
            <w:vAlign w:val="bottom"/>
          </w:tcPr>
          <w:p>
            <w:pPr>
              <w:spacing w:after="0"/>
              <w:rPr>
                <w:sz w:val="20"/>
                <w:szCs w:val="20"/>
                <w:color w:val="auto"/>
              </w:rPr>
            </w:pPr>
            <w:r>
              <w:rPr>
                <w:rFonts w:ascii="Arial" w:cs="Arial" w:eastAsia="Arial" w:hAnsi="Arial"/>
                <w:sz w:val="14"/>
                <w:szCs w:val="14"/>
                <w:color w:val="auto"/>
              </w:rPr>
              <w:t>Direct costs</w:t>
            </w:r>
          </w:p>
        </w:tc>
        <w:tc>
          <w:tcPr>
            <w:tcW w:w="1560" w:type="dxa"/>
            <w:vAlign w:val="bottom"/>
            <w:gridSpan w:val="3"/>
          </w:tcPr>
          <w:p>
            <w:pPr>
              <w:jc w:val="right"/>
              <w:ind w:right="180"/>
              <w:spacing w:after="0"/>
              <w:rPr>
                <w:sz w:val="20"/>
                <w:szCs w:val="20"/>
                <w:color w:val="auto"/>
              </w:rPr>
            </w:pPr>
            <w:r>
              <w:rPr>
                <w:rFonts w:ascii="Arial" w:cs="Arial" w:eastAsia="Arial" w:hAnsi="Arial"/>
                <w:sz w:val="14"/>
                <w:szCs w:val="14"/>
                <w:color w:val="auto"/>
              </w:rPr>
              <w:t>243,244</w:t>
            </w:r>
          </w:p>
        </w:tc>
        <w:tc>
          <w:tcPr>
            <w:tcW w:w="1580" w:type="dxa"/>
            <w:vAlign w:val="bottom"/>
            <w:gridSpan w:val="3"/>
          </w:tcPr>
          <w:p>
            <w:pPr>
              <w:jc w:val="right"/>
              <w:ind w:right="180"/>
              <w:spacing w:after="0"/>
              <w:rPr>
                <w:sz w:val="20"/>
                <w:szCs w:val="20"/>
                <w:color w:val="auto"/>
              </w:rPr>
            </w:pPr>
            <w:r>
              <w:rPr>
                <w:rFonts w:ascii="Arial" w:cs="Arial" w:eastAsia="Arial" w:hAnsi="Arial"/>
                <w:sz w:val="14"/>
                <w:szCs w:val="14"/>
                <w:color w:val="auto"/>
              </w:rPr>
              <w:t>226,555</w:t>
            </w:r>
          </w:p>
        </w:tc>
        <w:tc>
          <w:tcPr>
            <w:tcW w:w="1580" w:type="dxa"/>
            <w:vAlign w:val="bottom"/>
            <w:gridSpan w:val="3"/>
          </w:tcPr>
          <w:p>
            <w:pPr>
              <w:jc w:val="right"/>
              <w:ind w:right="180"/>
              <w:spacing w:after="0"/>
              <w:rPr>
                <w:sz w:val="20"/>
                <w:szCs w:val="20"/>
                <w:color w:val="auto"/>
              </w:rPr>
            </w:pPr>
            <w:r>
              <w:rPr>
                <w:rFonts w:ascii="Arial" w:cs="Arial" w:eastAsia="Arial" w:hAnsi="Arial"/>
                <w:sz w:val="14"/>
                <w:szCs w:val="14"/>
                <w:color w:val="auto"/>
              </w:rPr>
              <w:t>709,831</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679,593</w:t>
            </w:r>
          </w:p>
        </w:tc>
        <w:tc>
          <w:tcPr>
            <w:tcW w:w="0" w:type="dxa"/>
            <w:vAlign w:val="bottom"/>
          </w:tcPr>
          <w:p>
            <w:pPr>
              <w:spacing w:after="0"/>
              <w:rPr>
                <w:sz w:val="1"/>
                <w:szCs w:val="1"/>
                <w:color w:val="auto"/>
              </w:rPr>
            </w:pPr>
          </w:p>
        </w:tc>
      </w:tr>
      <w:tr>
        <w:trPr>
          <w:trHeight w:val="176"/>
        </w:trPr>
        <w:tc>
          <w:tcPr>
            <w:tcW w:w="5240" w:type="dxa"/>
            <w:vAlign w:val="bottom"/>
          </w:tcPr>
          <w:p>
            <w:pPr>
              <w:spacing w:after="0"/>
              <w:rPr>
                <w:sz w:val="20"/>
                <w:szCs w:val="20"/>
                <w:color w:val="auto"/>
              </w:rPr>
            </w:pPr>
            <w:r>
              <w:rPr>
                <w:rFonts w:ascii="Arial" w:cs="Arial" w:eastAsia="Arial" w:hAnsi="Arial"/>
                <w:sz w:val="14"/>
                <w:szCs w:val="14"/>
                <w:color w:val="auto"/>
              </w:rPr>
              <w:t>Selling, general and administrative expense</w:t>
            </w:r>
          </w:p>
        </w:tc>
        <w:tc>
          <w:tcPr>
            <w:tcW w:w="1560" w:type="dxa"/>
            <w:vAlign w:val="bottom"/>
            <w:gridSpan w:val="3"/>
          </w:tcPr>
          <w:p>
            <w:pPr>
              <w:jc w:val="right"/>
              <w:ind w:right="180"/>
              <w:spacing w:after="0"/>
              <w:rPr>
                <w:sz w:val="20"/>
                <w:szCs w:val="20"/>
                <w:color w:val="auto"/>
              </w:rPr>
            </w:pPr>
            <w:r>
              <w:rPr>
                <w:rFonts w:ascii="Arial" w:cs="Arial" w:eastAsia="Arial" w:hAnsi="Arial"/>
                <w:sz w:val="14"/>
                <w:szCs w:val="14"/>
                <w:color w:val="auto"/>
              </w:rPr>
              <w:t>81,235</w:t>
            </w:r>
          </w:p>
        </w:tc>
        <w:tc>
          <w:tcPr>
            <w:tcW w:w="1580" w:type="dxa"/>
            <w:vAlign w:val="bottom"/>
            <w:gridSpan w:val="3"/>
          </w:tcPr>
          <w:p>
            <w:pPr>
              <w:jc w:val="right"/>
              <w:ind w:right="180"/>
              <w:spacing w:after="0"/>
              <w:rPr>
                <w:sz w:val="20"/>
                <w:szCs w:val="20"/>
                <w:color w:val="auto"/>
              </w:rPr>
            </w:pPr>
            <w:r>
              <w:rPr>
                <w:rFonts w:ascii="Arial" w:cs="Arial" w:eastAsia="Arial" w:hAnsi="Arial"/>
                <w:sz w:val="14"/>
                <w:szCs w:val="14"/>
                <w:color w:val="auto"/>
              </w:rPr>
              <w:t>82,435</w:t>
            </w:r>
          </w:p>
        </w:tc>
        <w:tc>
          <w:tcPr>
            <w:tcW w:w="1580" w:type="dxa"/>
            <w:vAlign w:val="bottom"/>
            <w:gridSpan w:val="3"/>
          </w:tcPr>
          <w:p>
            <w:pPr>
              <w:jc w:val="right"/>
              <w:ind w:right="180"/>
              <w:spacing w:after="0"/>
              <w:rPr>
                <w:sz w:val="20"/>
                <w:szCs w:val="20"/>
                <w:color w:val="auto"/>
              </w:rPr>
            </w:pPr>
            <w:r>
              <w:rPr>
                <w:rFonts w:ascii="Arial" w:cs="Arial" w:eastAsia="Arial" w:hAnsi="Arial"/>
                <w:sz w:val="14"/>
                <w:szCs w:val="14"/>
                <w:color w:val="auto"/>
              </w:rPr>
              <w:t>242,192</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243,310</w:t>
            </w:r>
          </w:p>
        </w:tc>
        <w:tc>
          <w:tcPr>
            <w:tcW w:w="0" w:type="dxa"/>
            <w:vAlign w:val="bottom"/>
          </w:tcPr>
          <w:p>
            <w:pPr>
              <w:spacing w:after="0"/>
              <w:rPr>
                <w:sz w:val="1"/>
                <w:szCs w:val="1"/>
                <w:color w:val="auto"/>
              </w:rPr>
            </w:pPr>
          </w:p>
        </w:tc>
      </w:tr>
      <w:tr>
        <w:trPr>
          <w:trHeight w:val="181"/>
        </w:trPr>
        <w:tc>
          <w:tcPr>
            <w:tcW w:w="5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Depreciation and amortization</w:t>
            </w:r>
          </w:p>
        </w:tc>
        <w:tc>
          <w:tcPr>
            <w:tcW w:w="15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14,543</w:t>
            </w:r>
          </w:p>
        </w:tc>
        <w:tc>
          <w:tcPr>
            <w:tcW w:w="15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14,366</w:t>
            </w:r>
          </w:p>
        </w:tc>
        <w:tc>
          <w:tcPr>
            <w:tcW w:w="15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44,120</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42,535</w:t>
            </w:r>
          </w:p>
        </w:tc>
        <w:tc>
          <w:tcPr>
            <w:tcW w:w="0" w:type="dxa"/>
            <w:vAlign w:val="bottom"/>
          </w:tcPr>
          <w:p>
            <w:pPr>
              <w:spacing w:after="0"/>
              <w:rPr>
                <w:sz w:val="1"/>
                <w:szCs w:val="1"/>
                <w:color w:val="auto"/>
              </w:rPr>
            </w:pPr>
          </w:p>
        </w:tc>
      </w:tr>
      <w:tr>
        <w:trPr>
          <w:trHeight w:val="345"/>
        </w:trPr>
        <w:tc>
          <w:tcPr>
            <w:tcW w:w="5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 costs and expenses</w:t>
            </w:r>
          </w:p>
        </w:tc>
        <w:tc>
          <w:tcPr>
            <w:tcW w:w="15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339,022</w:t>
            </w:r>
          </w:p>
        </w:tc>
        <w:tc>
          <w:tcPr>
            <w:tcW w:w="15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323,356</w:t>
            </w:r>
          </w:p>
        </w:tc>
        <w:tc>
          <w:tcPr>
            <w:tcW w:w="15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996,143</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965,438</w:t>
            </w:r>
          </w:p>
        </w:tc>
        <w:tc>
          <w:tcPr>
            <w:tcW w:w="0" w:type="dxa"/>
            <w:vAlign w:val="bottom"/>
          </w:tcPr>
          <w:p>
            <w:pPr>
              <w:spacing w:after="0"/>
              <w:rPr>
                <w:sz w:val="1"/>
                <w:szCs w:val="1"/>
                <w:color w:val="auto"/>
              </w:rPr>
            </w:pPr>
          </w:p>
        </w:tc>
      </w:tr>
      <w:tr>
        <w:trPr>
          <w:trHeight w:val="346"/>
        </w:trPr>
        <w:tc>
          <w:tcPr>
            <w:tcW w:w="5240" w:type="dxa"/>
            <w:vAlign w:val="bottom"/>
          </w:tcPr>
          <w:p>
            <w:pPr>
              <w:spacing w:after="0"/>
              <w:rPr>
                <w:sz w:val="20"/>
                <w:szCs w:val="20"/>
                <w:color w:val="auto"/>
              </w:rPr>
            </w:pPr>
            <w:r>
              <w:rPr>
                <w:rFonts w:ascii="Arial" w:cs="Arial" w:eastAsia="Arial" w:hAnsi="Arial"/>
                <w:sz w:val="14"/>
                <w:szCs w:val="14"/>
                <w:b w:val="1"/>
                <w:bCs w:val="1"/>
                <w:color w:val="auto"/>
              </w:rPr>
              <w:t>Income from operations</w:t>
            </w:r>
          </w:p>
        </w:tc>
        <w:tc>
          <w:tcPr>
            <w:tcW w:w="1560" w:type="dxa"/>
            <w:vAlign w:val="bottom"/>
            <w:gridSpan w:val="3"/>
          </w:tcPr>
          <w:p>
            <w:pPr>
              <w:jc w:val="right"/>
              <w:ind w:right="180"/>
              <w:spacing w:after="0"/>
              <w:rPr>
                <w:sz w:val="20"/>
                <w:szCs w:val="20"/>
                <w:color w:val="auto"/>
              </w:rPr>
            </w:pPr>
            <w:r>
              <w:rPr>
                <w:rFonts w:ascii="Arial" w:cs="Arial" w:eastAsia="Arial" w:hAnsi="Arial"/>
                <w:sz w:val="14"/>
                <w:szCs w:val="14"/>
                <w:color w:val="auto"/>
              </w:rPr>
              <w:t>81,179</w:t>
            </w:r>
          </w:p>
        </w:tc>
        <w:tc>
          <w:tcPr>
            <w:tcW w:w="1580" w:type="dxa"/>
            <w:vAlign w:val="bottom"/>
            <w:gridSpan w:val="3"/>
          </w:tcPr>
          <w:p>
            <w:pPr>
              <w:jc w:val="right"/>
              <w:ind w:right="180"/>
              <w:spacing w:after="0"/>
              <w:rPr>
                <w:sz w:val="20"/>
                <w:szCs w:val="20"/>
                <w:color w:val="auto"/>
              </w:rPr>
            </w:pPr>
            <w:r>
              <w:rPr>
                <w:rFonts w:ascii="Arial" w:cs="Arial" w:eastAsia="Arial" w:hAnsi="Arial"/>
                <w:sz w:val="14"/>
                <w:szCs w:val="14"/>
                <w:color w:val="auto"/>
              </w:rPr>
              <w:t>71,385</w:t>
            </w:r>
          </w:p>
        </w:tc>
        <w:tc>
          <w:tcPr>
            <w:tcW w:w="1580" w:type="dxa"/>
            <w:vAlign w:val="bottom"/>
            <w:gridSpan w:val="3"/>
          </w:tcPr>
          <w:p>
            <w:pPr>
              <w:jc w:val="right"/>
              <w:ind w:right="180"/>
              <w:spacing w:after="0"/>
              <w:rPr>
                <w:sz w:val="20"/>
                <w:szCs w:val="20"/>
                <w:color w:val="auto"/>
              </w:rPr>
            </w:pPr>
            <w:r>
              <w:rPr>
                <w:rFonts w:ascii="Arial" w:cs="Arial" w:eastAsia="Arial" w:hAnsi="Arial"/>
                <w:sz w:val="14"/>
                <w:szCs w:val="14"/>
                <w:color w:val="auto"/>
              </w:rPr>
              <w:t>235,210</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206,191</w:t>
            </w:r>
          </w:p>
        </w:tc>
        <w:tc>
          <w:tcPr>
            <w:tcW w:w="0" w:type="dxa"/>
            <w:vAlign w:val="bottom"/>
          </w:tcPr>
          <w:p>
            <w:pPr>
              <w:spacing w:after="0"/>
              <w:rPr>
                <w:sz w:val="1"/>
                <w:szCs w:val="1"/>
                <w:color w:val="auto"/>
              </w:rPr>
            </w:pPr>
          </w:p>
        </w:tc>
      </w:tr>
      <w:tr>
        <w:trPr>
          <w:trHeight w:val="350"/>
        </w:trPr>
        <w:tc>
          <w:tcPr>
            <w:tcW w:w="5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interest expense</w:t>
            </w:r>
          </w:p>
        </w:tc>
        <w:tc>
          <w:tcPr>
            <w:tcW w:w="15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(2,765)</w:t>
            </w: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(647)</w:t>
            </w:r>
          </w:p>
        </w:tc>
        <w:tc>
          <w:tcPr>
            <w:tcW w:w="1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(8,485)</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(660)</w:t>
            </w:r>
          </w:p>
        </w:tc>
        <w:tc>
          <w:tcPr>
            <w:tcW w:w="0" w:type="dxa"/>
            <w:vAlign w:val="bottom"/>
          </w:tcPr>
          <w:p>
            <w:pPr>
              <w:spacing w:after="0"/>
              <w:rPr>
                <w:sz w:val="1"/>
                <w:szCs w:val="1"/>
                <w:color w:val="auto"/>
              </w:rPr>
            </w:pPr>
          </w:p>
        </w:tc>
      </w:tr>
      <w:tr>
        <w:trPr>
          <w:trHeight w:val="346"/>
        </w:trPr>
        <w:tc>
          <w:tcPr>
            <w:tcW w:w="5240" w:type="dxa"/>
            <w:vAlign w:val="bottom"/>
          </w:tcPr>
          <w:p>
            <w:pPr>
              <w:spacing w:after="0"/>
              <w:rPr>
                <w:sz w:val="20"/>
                <w:szCs w:val="20"/>
                <w:color w:val="auto"/>
              </w:rPr>
            </w:pPr>
            <w:r>
              <w:rPr>
                <w:rFonts w:ascii="Arial" w:cs="Arial" w:eastAsia="Arial" w:hAnsi="Arial"/>
                <w:sz w:val="14"/>
                <w:szCs w:val="14"/>
                <w:b w:val="1"/>
                <w:bCs w:val="1"/>
                <w:color w:val="auto"/>
              </w:rPr>
              <w:t>Income before provision for income taxes</w:t>
            </w:r>
          </w:p>
        </w:tc>
        <w:tc>
          <w:tcPr>
            <w:tcW w:w="1560" w:type="dxa"/>
            <w:vAlign w:val="bottom"/>
            <w:gridSpan w:val="3"/>
          </w:tcPr>
          <w:p>
            <w:pPr>
              <w:jc w:val="right"/>
              <w:ind w:right="180"/>
              <w:spacing w:after="0"/>
              <w:rPr>
                <w:sz w:val="20"/>
                <w:szCs w:val="20"/>
                <w:color w:val="auto"/>
              </w:rPr>
            </w:pPr>
            <w:r>
              <w:rPr>
                <w:rFonts w:ascii="Arial" w:cs="Arial" w:eastAsia="Arial" w:hAnsi="Arial"/>
                <w:sz w:val="14"/>
                <w:szCs w:val="14"/>
                <w:color w:val="auto"/>
              </w:rPr>
              <w:t>78,414</w:t>
            </w:r>
          </w:p>
        </w:tc>
        <w:tc>
          <w:tcPr>
            <w:tcW w:w="1580" w:type="dxa"/>
            <w:vAlign w:val="bottom"/>
            <w:gridSpan w:val="3"/>
          </w:tcPr>
          <w:p>
            <w:pPr>
              <w:jc w:val="right"/>
              <w:ind w:right="180"/>
              <w:spacing w:after="0"/>
              <w:rPr>
                <w:sz w:val="20"/>
                <w:szCs w:val="20"/>
                <w:color w:val="auto"/>
              </w:rPr>
            </w:pPr>
            <w:r>
              <w:rPr>
                <w:rFonts w:ascii="Arial" w:cs="Arial" w:eastAsia="Arial" w:hAnsi="Arial"/>
                <w:sz w:val="14"/>
                <w:szCs w:val="14"/>
                <w:color w:val="auto"/>
              </w:rPr>
              <w:t>70,738</w:t>
            </w:r>
          </w:p>
        </w:tc>
        <w:tc>
          <w:tcPr>
            <w:tcW w:w="1580" w:type="dxa"/>
            <w:vAlign w:val="bottom"/>
            <w:gridSpan w:val="3"/>
          </w:tcPr>
          <w:p>
            <w:pPr>
              <w:jc w:val="right"/>
              <w:ind w:right="180"/>
              <w:spacing w:after="0"/>
              <w:rPr>
                <w:sz w:val="20"/>
                <w:szCs w:val="20"/>
                <w:color w:val="auto"/>
              </w:rPr>
            </w:pPr>
            <w:r>
              <w:rPr>
                <w:rFonts w:ascii="Arial" w:cs="Arial" w:eastAsia="Arial" w:hAnsi="Arial"/>
                <w:sz w:val="14"/>
                <w:szCs w:val="14"/>
                <w:color w:val="auto"/>
              </w:rPr>
              <w:t>226,725</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205,531</w:t>
            </w:r>
          </w:p>
        </w:tc>
        <w:tc>
          <w:tcPr>
            <w:tcW w:w="0" w:type="dxa"/>
            <w:vAlign w:val="bottom"/>
          </w:tcPr>
          <w:p>
            <w:pPr>
              <w:spacing w:after="0"/>
              <w:rPr>
                <w:sz w:val="1"/>
                <w:szCs w:val="1"/>
                <w:color w:val="auto"/>
              </w:rPr>
            </w:pPr>
          </w:p>
        </w:tc>
      </w:tr>
      <w:tr>
        <w:trPr>
          <w:trHeight w:val="350"/>
        </w:trPr>
        <w:tc>
          <w:tcPr>
            <w:tcW w:w="5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Provision for income taxes</w:t>
            </w:r>
          </w:p>
        </w:tc>
        <w:tc>
          <w:tcPr>
            <w:tcW w:w="15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(10,978)</w:t>
            </w:r>
          </w:p>
        </w:tc>
        <w:tc>
          <w:tcPr>
            <w:tcW w:w="15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(9,196)</w:t>
            </w:r>
          </w:p>
        </w:tc>
        <w:tc>
          <w:tcPr>
            <w:tcW w:w="15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(31,668)</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(29,534)</w:t>
            </w:r>
          </w:p>
        </w:tc>
        <w:tc>
          <w:tcPr>
            <w:tcW w:w="0" w:type="dxa"/>
            <w:vAlign w:val="bottom"/>
          </w:tcPr>
          <w:p>
            <w:pPr>
              <w:spacing w:after="0"/>
              <w:rPr>
                <w:sz w:val="1"/>
                <w:szCs w:val="1"/>
                <w:color w:val="auto"/>
              </w:rPr>
            </w:pPr>
          </w:p>
        </w:tc>
      </w:tr>
      <w:tr>
        <w:trPr>
          <w:trHeight w:val="345"/>
        </w:trPr>
        <w:tc>
          <w:tcPr>
            <w:tcW w:w="5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Net income</w:t>
            </w:r>
          </w:p>
        </w:tc>
        <w:tc>
          <w:tcPr>
            <w:tcW w:w="15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$67,436</w:t>
            </w:r>
          </w:p>
        </w:tc>
        <w:tc>
          <w:tcPr>
            <w:tcW w:w="15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$61,542</w:t>
            </w:r>
          </w:p>
        </w:tc>
        <w:tc>
          <w:tcPr>
            <w:tcW w:w="15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$195,057</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$175,997</w:t>
            </w:r>
          </w:p>
        </w:tc>
        <w:tc>
          <w:tcPr>
            <w:tcW w:w="0" w:type="dxa"/>
            <w:vAlign w:val="bottom"/>
          </w:tcPr>
          <w:p>
            <w:pPr>
              <w:spacing w:after="0"/>
              <w:rPr>
                <w:sz w:val="1"/>
                <w:szCs w:val="1"/>
                <w:color w:val="auto"/>
              </w:rPr>
            </w:pPr>
          </w:p>
        </w:tc>
      </w:tr>
      <w:tr>
        <w:trPr>
          <w:trHeight w:val="346"/>
        </w:trPr>
        <w:tc>
          <w:tcPr>
            <w:tcW w:w="5240" w:type="dxa"/>
            <w:vAlign w:val="bottom"/>
          </w:tcPr>
          <w:p>
            <w:pPr>
              <w:spacing w:after="0"/>
              <w:rPr>
                <w:sz w:val="20"/>
                <w:szCs w:val="20"/>
                <w:color w:val="auto"/>
              </w:rPr>
            </w:pPr>
            <w:r>
              <w:rPr>
                <w:rFonts w:ascii="Arial" w:cs="Arial" w:eastAsia="Arial" w:hAnsi="Arial"/>
                <w:sz w:val="14"/>
                <w:szCs w:val="14"/>
                <w:color w:val="auto"/>
              </w:rPr>
              <w:t>Net income per Ordinary Share:</w:t>
            </w: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5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Basic</w:t>
            </w:r>
          </w:p>
        </w:tc>
        <w:tc>
          <w:tcPr>
            <w:tcW w:w="15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$1.21</w:t>
            </w:r>
          </w:p>
        </w:tc>
        <w:tc>
          <w:tcPr>
            <w:tcW w:w="15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$1.05</w:t>
            </w:r>
          </w:p>
        </w:tc>
        <w:tc>
          <w:tcPr>
            <w:tcW w:w="15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$3.52</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345"/>
        </w:trPr>
        <w:tc>
          <w:tcPr>
            <w:tcW w:w="5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Diluted</w:t>
            </w:r>
          </w:p>
        </w:tc>
        <w:tc>
          <w:tcPr>
            <w:tcW w:w="15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$1.19</w:t>
            </w:r>
          </w:p>
        </w:tc>
        <w:tc>
          <w:tcPr>
            <w:tcW w:w="15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$1.02</w:t>
            </w:r>
          </w:p>
        </w:tc>
        <w:tc>
          <w:tcPr>
            <w:tcW w:w="15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$3.45</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$2.85</w:t>
            </w:r>
          </w:p>
        </w:tc>
        <w:tc>
          <w:tcPr>
            <w:tcW w:w="0" w:type="dxa"/>
            <w:vAlign w:val="bottom"/>
          </w:tcPr>
          <w:p>
            <w:pPr>
              <w:spacing w:after="0"/>
              <w:rPr>
                <w:sz w:val="1"/>
                <w:szCs w:val="1"/>
                <w:color w:val="auto"/>
              </w:rPr>
            </w:pPr>
          </w:p>
        </w:tc>
      </w:tr>
      <w:tr>
        <w:trPr>
          <w:trHeight w:val="346"/>
        </w:trPr>
        <w:tc>
          <w:tcPr>
            <w:tcW w:w="5240" w:type="dxa"/>
            <w:vAlign w:val="bottom"/>
          </w:tcPr>
          <w:p>
            <w:pPr>
              <w:spacing w:after="0"/>
              <w:rPr>
                <w:sz w:val="20"/>
                <w:szCs w:val="20"/>
                <w:color w:val="auto"/>
              </w:rPr>
            </w:pPr>
            <w:r>
              <w:rPr>
                <w:rFonts w:ascii="Arial" w:cs="Arial" w:eastAsia="Arial" w:hAnsi="Arial"/>
                <w:sz w:val="14"/>
                <w:szCs w:val="14"/>
                <w:color w:val="auto"/>
              </w:rPr>
              <w:t>Weighted average number of Ordinary Shares outstanding:</w:t>
            </w: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5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Basic</w:t>
            </w:r>
          </w:p>
        </w:tc>
        <w:tc>
          <w:tcPr>
            <w:tcW w:w="15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55,734,773</w:t>
            </w: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58,659,782</w:t>
            </w:r>
          </w:p>
        </w:tc>
        <w:tc>
          <w:tcPr>
            <w:tcW w:w="1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55,355,020</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59,728,608</w:t>
            </w:r>
          </w:p>
        </w:tc>
        <w:tc>
          <w:tcPr>
            <w:tcW w:w="0" w:type="dxa"/>
            <w:vAlign w:val="bottom"/>
          </w:tcPr>
          <w:p>
            <w:pPr>
              <w:spacing w:after="0"/>
              <w:rPr>
                <w:sz w:val="1"/>
                <w:szCs w:val="1"/>
                <w:color w:val="auto"/>
              </w:rPr>
            </w:pPr>
          </w:p>
        </w:tc>
      </w:tr>
      <w:tr>
        <w:trPr>
          <w:trHeight w:val="345"/>
        </w:trPr>
        <w:tc>
          <w:tcPr>
            <w:tcW w:w="5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Diluted</w:t>
            </w:r>
          </w:p>
        </w:tc>
        <w:tc>
          <w:tcPr>
            <w:tcW w:w="15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56,645,239</w:t>
            </w: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60,369,898</w:t>
            </w:r>
          </w:p>
        </w:tc>
        <w:tc>
          <w:tcPr>
            <w:tcW w:w="1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56,475,319</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61,785,849</w:t>
            </w:r>
          </w:p>
        </w:tc>
        <w:tc>
          <w:tcPr>
            <w:tcW w:w="0" w:type="dxa"/>
            <w:vAlign w:val="bottom"/>
          </w:tcPr>
          <w:p>
            <w:pPr>
              <w:spacing w:after="0"/>
              <w:rPr>
                <w:sz w:val="1"/>
                <w:szCs w:val="1"/>
                <w:color w:val="auto"/>
              </w:rPr>
            </w:pPr>
          </w:p>
        </w:tc>
      </w:tr>
      <w:tr>
        <w:trPr>
          <w:trHeight w:val="304"/>
        </w:trPr>
        <w:tc>
          <w:tcPr>
            <w:tcW w:w="52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24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18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Consolidated Income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 GAAP including restructuring costs)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and Nine Months ended September 30, 2016 and September 30, 2015</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data)</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240" w:type="dxa"/>
            <w:vAlign w:val="bottom"/>
          </w:tcPr>
          <w:p>
            <w:pPr>
              <w:spacing w:after="0"/>
              <w:rPr>
                <w:sz w:val="15"/>
                <w:szCs w:val="15"/>
                <w:color w:val="auto"/>
              </w:rPr>
            </w:pPr>
          </w:p>
        </w:tc>
        <w:tc>
          <w:tcPr>
            <w:tcW w:w="3140" w:type="dxa"/>
            <w:vAlign w:val="bottom"/>
            <w:gridSpan w:val="6"/>
          </w:tcPr>
          <w:p>
            <w:pPr>
              <w:ind w:left="900"/>
              <w:spacing w:after="0"/>
              <w:rPr>
                <w:sz w:val="20"/>
                <w:szCs w:val="20"/>
                <w:color w:val="auto"/>
              </w:rPr>
            </w:pPr>
            <w:r>
              <w:rPr>
                <w:rFonts w:ascii="Arial" w:cs="Arial" w:eastAsia="Arial" w:hAnsi="Arial"/>
                <w:sz w:val="14"/>
                <w:szCs w:val="14"/>
                <w:b w:val="1"/>
                <w:bCs w:val="1"/>
                <w:color w:val="auto"/>
              </w:rPr>
              <w:t>Three Months Ended</w:t>
            </w:r>
          </w:p>
        </w:tc>
        <w:tc>
          <w:tcPr>
            <w:tcW w:w="304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5240" w:type="dxa"/>
            <w:vAlign w:val="bottom"/>
          </w:tcPr>
          <w:p>
            <w:pPr>
              <w:spacing w:after="0"/>
              <w:rPr>
                <w:sz w:val="16"/>
                <w:szCs w:val="16"/>
                <w:color w:val="auto"/>
              </w:rPr>
            </w:pPr>
          </w:p>
        </w:tc>
        <w:tc>
          <w:tcPr>
            <w:tcW w:w="1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46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318"/>
        </w:trPr>
        <w:tc>
          <w:tcPr>
            <w:tcW w:w="5240" w:type="dxa"/>
            <w:vAlign w:val="bottom"/>
            <w:vMerge w:val="restart"/>
          </w:tcPr>
          <w:p>
            <w:pPr>
              <w:spacing w:after="0"/>
              <w:rPr>
                <w:sz w:val="20"/>
                <w:szCs w:val="20"/>
                <w:color w:val="auto"/>
              </w:rPr>
            </w:pPr>
            <w:r>
              <w:rPr>
                <w:rFonts w:ascii="Arial" w:cs="Arial" w:eastAsia="Arial" w:hAnsi="Arial"/>
                <w:sz w:val="14"/>
                <w:szCs w:val="14"/>
                <w:color w:val="auto"/>
              </w:rPr>
              <w:t>Revenue:</w:t>
            </w:r>
          </w:p>
        </w:tc>
        <w:tc>
          <w:tcPr>
            <w:tcW w:w="15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2016</w:t>
            </w: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24"/>
                <w:szCs w:val="24"/>
                <w:color w:val="auto"/>
              </w:rPr>
            </w:pPr>
          </w:p>
        </w:tc>
        <w:tc>
          <w:tcPr>
            <w:tcW w:w="15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2016</w:t>
            </w: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77"/>
        </w:trPr>
        <w:tc>
          <w:tcPr>
            <w:tcW w:w="5240" w:type="dxa"/>
            <w:vAlign w:val="bottom"/>
            <w:vMerge w:val="continue"/>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40" w:type="dxa"/>
            <w:vAlign w:val="bottom"/>
          </w:tcPr>
          <w:p>
            <w:pPr>
              <w:spacing w:after="0"/>
              <w:rPr>
                <w:sz w:val="20"/>
                <w:szCs w:val="20"/>
                <w:color w:val="auto"/>
              </w:rPr>
            </w:pPr>
            <w:r>
              <w:rPr>
                <w:rFonts w:ascii="Arial" w:cs="Arial" w:eastAsia="Arial" w:hAnsi="Arial"/>
                <w:sz w:val="14"/>
                <w:szCs w:val="14"/>
                <w:color w:val="auto"/>
              </w:rPr>
              <w:t>Gross revenue</w:t>
            </w:r>
          </w:p>
        </w:tc>
        <w:tc>
          <w:tcPr>
            <w:tcW w:w="1560" w:type="dxa"/>
            <w:vAlign w:val="bottom"/>
            <w:gridSpan w:val="3"/>
          </w:tcPr>
          <w:p>
            <w:pPr>
              <w:jc w:val="right"/>
              <w:ind w:right="180"/>
              <w:spacing w:after="0"/>
              <w:rPr>
                <w:sz w:val="20"/>
                <w:szCs w:val="20"/>
                <w:color w:val="auto"/>
              </w:rPr>
            </w:pPr>
            <w:r>
              <w:rPr>
                <w:rFonts w:ascii="Arial" w:cs="Arial" w:eastAsia="Arial" w:hAnsi="Arial"/>
                <w:sz w:val="14"/>
                <w:szCs w:val="14"/>
                <w:color w:val="auto"/>
              </w:rPr>
              <w:t>$622,261</w:t>
            </w:r>
          </w:p>
        </w:tc>
        <w:tc>
          <w:tcPr>
            <w:tcW w:w="1580" w:type="dxa"/>
            <w:vAlign w:val="bottom"/>
            <w:gridSpan w:val="3"/>
          </w:tcPr>
          <w:p>
            <w:pPr>
              <w:jc w:val="right"/>
              <w:ind w:right="180"/>
              <w:spacing w:after="0"/>
              <w:rPr>
                <w:sz w:val="20"/>
                <w:szCs w:val="20"/>
                <w:color w:val="auto"/>
              </w:rPr>
            </w:pPr>
            <w:r>
              <w:rPr>
                <w:rFonts w:ascii="Arial" w:cs="Arial" w:eastAsia="Arial" w:hAnsi="Arial"/>
                <w:sz w:val="14"/>
                <w:szCs w:val="14"/>
                <w:color w:val="auto"/>
              </w:rPr>
              <w:t>$557,095</w:t>
            </w:r>
          </w:p>
        </w:tc>
        <w:tc>
          <w:tcPr>
            <w:tcW w:w="1580" w:type="dxa"/>
            <w:vAlign w:val="bottom"/>
            <w:gridSpan w:val="3"/>
          </w:tcPr>
          <w:p>
            <w:pPr>
              <w:jc w:val="right"/>
              <w:ind w:right="180"/>
              <w:spacing w:after="0"/>
              <w:rPr>
                <w:sz w:val="20"/>
                <w:szCs w:val="20"/>
                <w:color w:val="auto"/>
              </w:rPr>
            </w:pPr>
            <w:r>
              <w:rPr>
                <w:rFonts w:ascii="Arial" w:cs="Arial" w:eastAsia="Arial" w:hAnsi="Arial"/>
                <w:sz w:val="14"/>
                <w:szCs w:val="14"/>
                <w:color w:val="auto"/>
              </w:rPr>
              <w:t>$1,754,491</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$1,584,559</w:t>
            </w:r>
          </w:p>
        </w:tc>
        <w:tc>
          <w:tcPr>
            <w:tcW w:w="0" w:type="dxa"/>
            <w:vAlign w:val="bottom"/>
          </w:tcPr>
          <w:p>
            <w:pPr>
              <w:spacing w:after="0"/>
              <w:rPr>
                <w:sz w:val="1"/>
                <w:szCs w:val="1"/>
                <w:color w:val="auto"/>
              </w:rPr>
            </w:pPr>
          </w:p>
        </w:tc>
      </w:tr>
      <w:tr>
        <w:trPr>
          <w:trHeight w:val="181"/>
        </w:trPr>
        <w:tc>
          <w:tcPr>
            <w:tcW w:w="5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Reimbursable expenses</w:t>
            </w:r>
          </w:p>
        </w:tc>
        <w:tc>
          <w:tcPr>
            <w:tcW w:w="15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(202,060)</w:t>
            </w:r>
          </w:p>
        </w:tc>
        <w:tc>
          <w:tcPr>
            <w:tcW w:w="15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(162,354)</w:t>
            </w:r>
          </w:p>
        </w:tc>
        <w:tc>
          <w:tcPr>
            <w:tcW w:w="15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(523,138)</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(412,930)</w:t>
            </w:r>
          </w:p>
        </w:tc>
        <w:tc>
          <w:tcPr>
            <w:tcW w:w="0" w:type="dxa"/>
            <w:vAlign w:val="bottom"/>
          </w:tcPr>
          <w:p>
            <w:pPr>
              <w:spacing w:after="0"/>
              <w:rPr>
                <w:sz w:val="1"/>
                <w:szCs w:val="1"/>
                <w:color w:val="auto"/>
              </w:rPr>
            </w:pPr>
          </w:p>
        </w:tc>
      </w:tr>
      <w:tr>
        <w:trPr>
          <w:trHeight w:val="346"/>
        </w:trPr>
        <w:tc>
          <w:tcPr>
            <w:tcW w:w="5240" w:type="dxa"/>
            <w:vAlign w:val="bottom"/>
          </w:tcPr>
          <w:p>
            <w:pPr>
              <w:spacing w:after="0"/>
              <w:rPr>
                <w:sz w:val="20"/>
                <w:szCs w:val="20"/>
                <w:color w:val="auto"/>
              </w:rPr>
            </w:pPr>
            <w:r>
              <w:rPr>
                <w:rFonts w:ascii="Arial" w:cs="Arial" w:eastAsia="Arial" w:hAnsi="Arial"/>
                <w:sz w:val="14"/>
                <w:szCs w:val="14"/>
                <w:b w:val="1"/>
                <w:bCs w:val="1"/>
                <w:color w:val="auto"/>
              </w:rPr>
              <w:t>Net revenue</w:t>
            </w:r>
          </w:p>
        </w:tc>
        <w:tc>
          <w:tcPr>
            <w:tcW w:w="1560" w:type="dxa"/>
            <w:vAlign w:val="bottom"/>
            <w:gridSpan w:val="3"/>
          </w:tcPr>
          <w:p>
            <w:pPr>
              <w:jc w:val="right"/>
              <w:ind w:right="180"/>
              <w:spacing w:after="0"/>
              <w:rPr>
                <w:sz w:val="20"/>
                <w:szCs w:val="20"/>
                <w:color w:val="auto"/>
              </w:rPr>
            </w:pPr>
            <w:r>
              <w:rPr>
                <w:rFonts w:ascii="Arial" w:cs="Arial" w:eastAsia="Arial" w:hAnsi="Arial"/>
                <w:sz w:val="14"/>
                <w:szCs w:val="14"/>
                <w:color w:val="auto"/>
              </w:rPr>
              <w:t>420,201</w:t>
            </w:r>
          </w:p>
        </w:tc>
        <w:tc>
          <w:tcPr>
            <w:tcW w:w="1580" w:type="dxa"/>
            <w:vAlign w:val="bottom"/>
            <w:gridSpan w:val="3"/>
          </w:tcPr>
          <w:p>
            <w:pPr>
              <w:jc w:val="right"/>
              <w:ind w:right="180"/>
              <w:spacing w:after="0"/>
              <w:rPr>
                <w:sz w:val="20"/>
                <w:szCs w:val="20"/>
                <w:color w:val="auto"/>
              </w:rPr>
            </w:pPr>
            <w:r>
              <w:rPr>
                <w:rFonts w:ascii="Arial" w:cs="Arial" w:eastAsia="Arial" w:hAnsi="Arial"/>
                <w:sz w:val="14"/>
                <w:szCs w:val="14"/>
                <w:color w:val="auto"/>
              </w:rPr>
              <w:t>394,741</w:t>
            </w:r>
          </w:p>
        </w:tc>
        <w:tc>
          <w:tcPr>
            <w:tcW w:w="1580" w:type="dxa"/>
            <w:vAlign w:val="bottom"/>
            <w:gridSpan w:val="3"/>
          </w:tcPr>
          <w:p>
            <w:pPr>
              <w:jc w:val="right"/>
              <w:ind w:right="180"/>
              <w:spacing w:after="0"/>
              <w:rPr>
                <w:sz w:val="20"/>
                <w:szCs w:val="20"/>
                <w:color w:val="auto"/>
              </w:rPr>
            </w:pPr>
            <w:r>
              <w:rPr>
                <w:rFonts w:ascii="Arial" w:cs="Arial" w:eastAsia="Arial" w:hAnsi="Arial"/>
                <w:sz w:val="14"/>
                <w:szCs w:val="14"/>
                <w:color w:val="auto"/>
              </w:rPr>
              <w:t>1,231,353</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1,171,629</w:t>
            </w:r>
          </w:p>
        </w:tc>
        <w:tc>
          <w:tcPr>
            <w:tcW w:w="0" w:type="dxa"/>
            <w:vAlign w:val="bottom"/>
          </w:tcPr>
          <w:p>
            <w:pPr>
              <w:spacing w:after="0"/>
              <w:rPr>
                <w:sz w:val="1"/>
                <w:szCs w:val="1"/>
                <w:color w:val="auto"/>
              </w:rPr>
            </w:pPr>
          </w:p>
        </w:tc>
      </w:tr>
      <w:tr>
        <w:trPr>
          <w:trHeight w:val="344"/>
        </w:trPr>
        <w:tc>
          <w:tcPr>
            <w:tcW w:w="5240" w:type="dxa"/>
            <w:vAlign w:val="bottom"/>
          </w:tcPr>
          <w:p>
            <w:pPr>
              <w:spacing w:after="0"/>
              <w:rPr>
                <w:sz w:val="20"/>
                <w:szCs w:val="20"/>
                <w:color w:val="auto"/>
              </w:rPr>
            </w:pPr>
            <w:r>
              <w:rPr>
                <w:rFonts w:ascii="Arial" w:cs="Arial" w:eastAsia="Arial" w:hAnsi="Arial"/>
                <w:sz w:val="14"/>
                <w:szCs w:val="14"/>
                <w:b w:val="1"/>
                <w:bCs w:val="1"/>
                <w:color w:val="auto"/>
              </w:rPr>
              <w:t>Costs and expenses:</w:t>
            </w: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240" w:type="dxa"/>
            <w:vAlign w:val="bottom"/>
          </w:tcPr>
          <w:p>
            <w:pPr>
              <w:spacing w:after="0"/>
              <w:rPr>
                <w:sz w:val="20"/>
                <w:szCs w:val="20"/>
                <w:color w:val="auto"/>
              </w:rPr>
            </w:pPr>
            <w:r>
              <w:rPr>
                <w:rFonts w:ascii="Arial" w:cs="Arial" w:eastAsia="Arial" w:hAnsi="Arial"/>
                <w:sz w:val="14"/>
                <w:szCs w:val="14"/>
                <w:color w:val="auto"/>
              </w:rPr>
              <w:t>Direct costs</w:t>
            </w:r>
          </w:p>
        </w:tc>
        <w:tc>
          <w:tcPr>
            <w:tcW w:w="1560" w:type="dxa"/>
            <w:vAlign w:val="bottom"/>
            <w:gridSpan w:val="3"/>
          </w:tcPr>
          <w:p>
            <w:pPr>
              <w:jc w:val="right"/>
              <w:ind w:right="180"/>
              <w:spacing w:after="0"/>
              <w:rPr>
                <w:sz w:val="20"/>
                <w:szCs w:val="20"/>
                <w:color w:val="auto"/>
              </w:rPr>
            </w:pPr>
            <w:r>
              <w:rPr>
                <w:rFonts w:ascii="Arial" w:cs="Arial" w:eastAsia="Arial" w:hAnsi="Arial"/>
                <w:sz w:val="14"/>
                <w:szCs w:val="14"/>
                <w:color w:val="auto"/>
              </w:rPr>
              <w:t>243,244</w:t>
            </w:r>
          </w:p>
        </w:tc>
        <w:tc>
          <w:tcPr>
            <w:tcW w:w="1580" w:type="dxa"/>
            <w:vAlign w:val="bottom"/>
            <w:gridSpan w:val="3"/>
          </w:tcPr>
          <w:p>
            <w:pPr>
              <w:jc w:val="right"/>
              <w:ind w:right="180"/>
              <w:spacing w:after="0"/>
              <w:rPr>
                <w:sz w:val="20"/>
                <w:szCs w:val="20"/>
                <w:color w:val="auto"/>
              </w:rPr>
            </w:pPr>
            <w:r>
              <w:rPr>
                <w:rFonts w:ascii="Arial" w:cs="Arial" w:eastAsia="Arial" w:hAnsi="Arial"/>
                <w:sz w:val="14"/>
                <w:szCs w:val="14"/>
                <w:color w:val="auto"/>
              </w:rPr>
              <w:t>226,555</w:t>
            </w:r>
          </w:p>
        </w:tc>
        <w:tc>
          <w:tcPr>
            <w:tcW w:w="1580" w:type="dxa"/>
            <w:vAlign w:val="bottom"/>
            <w:gridSpan w:val="3"/>
          </w:tcPr>
          <w:p>
            <w:pPr>
              <w:jc w:val="right"/>
              <w:ind w:right="180"/>
              <w:spacing w:after="0"/>
              <w:rPr>
                <w:sz w:val="20"/>
                <w:szCs w:val="20"/>
                <w:color w:val="auto"/>
              </w:rPr>
            </w:pPr>
            <w:r>
              <w:rPr>
                <w:rFonts w:ascii="Arial" w:cs="Arial" w:eastAsia="Arial" w:hAnsi="Arial"/>
                <w:sz w:val="14"/>
                <w:szCs w:val="14"/>
                <w:color w:val="auto"/>
              </w:rPr>
              <w:t>709,831</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679,593</w:t>
            </w:r>
          </w:p>
        </w:tc>
        <w:tc>
          <w:tcPr>
            <w:tcW w:w="0" w:type="dxa"/>
            <w:vAlign w:val="bottom"/>
          </w:tcPr>
          <w:p>
            <w:pPr>
              <w:spacing w:after="0"/>
              <w:rPr>
                <w:sz w:val="1"/>
                <w:szCs w:val="1"/>
                <w:color w:val="auto"/>
              </w:rPr>
            </w:pPr>
          </w:p>
        </w:tc>
      </w:tr>
      <w:tr>
        <w:trPr>
          <w:trHeight w:val="176"/>
        </w:trPr>
        <w:tc>
          <w:tcPr>
            <w:tcW w:w="5240" w:type="dxa"/>
            <w:vAlign w:val="bottom"/>
          </w:tcPr>
          <w:p>
            <w:pPr>
              <w:spacing w:after="0"/>
              <w:rPr>
                <w:sz w:val="20"/>
                <w:szCs w:val="20"/>
                <w:color w:val="auto"/>
              </w:rPr>
            </w:pPr>
            <w:r>
              <w:rPr>
                <w:rFonts w:ascii="Arial" w:cs="Arial" w:eastAsia="Arial" w:hAnsi="Arial"/>
                <w:sz w:val="14"/>
                <w:szCs w:val="14"/>
                <w:color w:val="auto"/>
              </w:rPr>
              <w:t>Selling, general and administrative expense</w:t>
            </w:r>
          </w:p>
        </w:tc>
        <w:tc>
          <w:tcPr>
            <w:tcW w:w="1560" w:type="dxa"/>
            <w:vAlign w:val="bottom"/>
            <w:gridSpan w:val="3"/>
          </w:tcPr>
          <w:p>
            <w:pPr>
              <w:jc w:val="right"/>
              <w:ind w:right="180"/>
              <w:spacing w:after="0"/>
              <w:rPr>
                <w:sz w:val="20"/>
                <w:szCs w:val="20"/>
                <w:color w:val="auto"/>
              </w:rPr>
            </w:pPr>
            <w:r>
              <w:rPr>
                <w:rFonts w:ascii="Arial" w:cs="Arial" w:eastAsia="Arial" w:hAnsi="Arial"/>
                <w:sz w:val="14"/>
                <w:szCs w:val="14"/>
                <w:color w:val="auto"/>
              </w:rPr>
              <w:t>81,235</w:t>
            </w:r>
          </w:p>
        </w:tc>
        <w:tc>
          <w:tcPr>
            <w:tcW w:w="1580" w:type="dxa"/>
            <w:vAlign w:val="bottom"/>
            <w:gridSpan w:val="3"/>
          </w:tcPr>
          <w:p>
            <w:pPr>
              <w:jc w:val="right"/>
              <w:ind w:right="180"/>
              <w:spacing w:after="0"/>
              <w:rPr>
                <w:sz w:val="20"/>
                <w:szCs w:val="20"/>
                <w:color w:val="auto"/>
              </w:rPr>
            </w:pPr>
            <w:r>
              <w:rPr>
                <w:rFonts w:ascii="Arial" w:cs="Arial" w:eastAsia="Arial" w:hAnsi="Arial"/>
                <w:sz w:val="14"/>
                <w:szCs w:val="14"/>
                <w:color w:val="auto"/>
              </w:rPr>
              <w:t>82,435</w:t>
            </w:r>
          </w:p>
        </w:tc>
        <w:tc>
          <w:tcPr>
            <w:tcW w:w="1580" w:type="dxa"/>
            <w:vAlign w:val="bottom"/>
            <w:gridSpan w:val="3"/>
          </w:tcPr>
          <w:p>
            <w:pPr>
              <w:jc w:val="right"/>
              <w:ind w:right="180"/>
              <w:spacing w:after="0"/>
              <w:rPr>
                <w:sz w:val="20"/>
                <w:szCs w:val="20"/>
                <w:color w:val="auto"/>
              </w:rPr>
            </w:pPr>
            <w:r>
              <w:rPr>
                <w:rFonts w:ascii="Arial" w:cs="Arial" w:eastAsia="Arial" w:hAnsi="Arial"/>
                <w:sz w:val="14"/>
                <w:szCs w:val="14"/>
                <w:color w:val="auto"/>
              </w:rPr>
              <w:t>242,192</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243,310</w:t>
            </w:r>
          </w:p>
        </w:tc>
        <w:tc>
          <w:tcPr>
            <w:tcW w:w="0" w:type="dxa"/>
            <w:vAlign w:val="bottom"/>
          </w:tcPr>
          <w:p>
            <w:pPr>
              <w:spacing w:after="0"/>
              <w:rPr>
                <w:sz w:val="1"/>
                <w:szCs w:val="1"/>
                <w:color w:val="auto"/>
              </w:rPr>
            </w:pPr>
          </w:p>
        </w:tc>
      </w:tr>
      <w:tr>
        <w:trPr>
          <w:trHeight w:val="176"/>
        </w:trPr>
        <w:tc>
          <w:tcPr>
            <w:tcW w:w="524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1560" w:type="dxa"/>
            <w:vAlign w:val="bottom"/>
            <w:gridSpan w:val="3"/>
          </w:tcPr>
          <w:p>
            <w:pPr>
              <w:jc w:val="right"/>
              <w:ind w:right="180"/>
              <w:spacing w:after="0"/>
              <w:rPr>
                <w:sz w:val="20"/>
                <w:szCs w:val="20"/>
                <w:color w:val="auto"/>
              </w:rPr>
            </w:pPr>
            <w:r>
              <w:rPr>
                <w:rFonts w:ascii="Arial" w:cs="Arial" w:eastAsia="Arial" w:hAnsi="Arial"/>
                <w:sz w:val="14"/>
                <w:szCs w:val="14"/>
                <w:color w:val="auto"/>
              </w:rPr>
              <w:t>14,543</w:t>
            </w:r>
          </w:p>
        </w:tc>
        <w:tc>
          <w:tcPr>
            <w:tcW w:w="1580" w:type="dxa"/>
            <w:vAlign w:val="bottom"/>
            <w:gridSpan w:val="3"/>
          </w:tcPr>
          <w:p>
            <w:pPr>
              <w:jc w:val="right"/>
              <w:ind w:right="180"/>
              <w:spacing w:after="0"/>
              <w:rPr>
                <w:sz w:val="20"/>
                <w:szCs w:val="20"/>
                <w:color w:val="auto"/>
              </w:rPr>
            </w:pPr>
            <w:r>
              <w:rPr>
                <w:rFonts w:ascii="Arial" w:cs="Arial" w:eastAsia="Arial" w:hAnsi="Arial"/>
                <w:sz w:val="14"/>
                <w:szCs w:val="14"/>
                <w:color w:val="auto"/>
              </w:rPr>
              <w:t>14,366</w:t>
            </w:r>
          </w:p>
        </w:tc>
        <w:tc>
          <w:tcPr>
            <w:tcW w:w="1580" w:type="dxa"/>
            <w:vAlign w:val="bottom"/>
            <w:gridSpan w:val="3"/>
          </w:tcPr>
          <w:p>
            <w:pPr>
              <w:jc w:val="right"/>
              <w:ind w:right="180"/>
              <w:spacing w:after="0"/>
              <w:rPr>
                <w:sz w:val="20"/>
                <w:szCs w:val="20"/>
                <w:color w:val="auto"/>
              </w:rPr>
            </w:pPr>
            <w:r>
              <w:rPr>
                <w:rFonts w:ascii="Arial" w:cs="Arial" w:eastAsia="Arial" w:hAnsi="Arial"/>
                <w:sz w:val="14"/>
                <w:szCs w:val="14"/>
                <w:color w:val="auto"/>
              </w:rPr>
              <w:t>44,120</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42,535</w:t>
            </w:r>
          </w:p>
        </w:tc>
        <w:tc>
          <w:tcPr>
            <w:tcW w:w="0" w:type="dxa"/>
            <w:vAlign w:val="bottom"/>
          </w:tcPr>
          <w:p>
            <w:pPr>
              <w:spacing w:after="0"/>
              <w:rPr>
                <w:sz w:val="1"/>
                <w:szCs w:val="1"/>
                <w:color w:val="auto"/>
              </w:rPr>
            </w:pPr>
          </w:p>
        </w:tc>
      </w:tr>
      <w:tr>
        <w:trPr>
          <w:trHeight w:val="181"/>
        </w:trPr>
        <w:tc>
          <w:tcPr>
            <w:tcW w:w="5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Restructuring charge</w:t>
            </w:r>
          </w:p>
        </w:tc>
        <w:tc>
          <w:tcPr>
            <w:tcW w:w="15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4,065</w:t>
            </w: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8,159</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45"/>
        </w:trPr>
        <w:tc>
          <w:tcPr>
            <w:tcW w:w="5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 costs and expenses</w:t>
            </w:r>
          </w:p>
        </w:tc>
        <w:tc>
          <w:tcPr>
            <w:tcW w:w="15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343,087</w:t>
            </w:r>
          </w:p>
        </w:tc>
        <w:tc>
          <w:tcPr>
            <w:tcW w:w="15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323,356</w:t>
            </w:r>
          </w:p>
        </w:tc>
        <w:tc>
          <w:tcPr>
            <w:tcW w:w="15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1,004,302</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965,438</w:t>
            </w:r>
          </w:p>
        </w:tc>
        <w:tc>
          <w:tcPr>
            <w:tcW w:w="0" w:type="dxa"/>
            <w:vAlign w:val="bottom"/>
          </w:tcPr>
          <w:p>
            <w:pPr>
              <w:spacing w:after="0"/>
              <w:rPr>
                <w:sz w:val="1"/>
                <w:szCs w:val="1"/>
                <w:color w:val="auto"/>
              </w:rPr>
            </w:pPr>
          </w:p>
        </w:tc>
      </w:tr>
      <w:tr>
        <w:trPr>
          <w:trHeight w:val="346"/>
        </w:trPr>
        <w:tc>
          <w:tcPr>
            <w:tcW w:w="5240" w:type="dxa"/>
            <w:vAlign w:val="bottom"/>
          </w:tcPr>
          <w:p>
            <w:pPr>
              <w:spacing w:after="0"/>
              <w:rPr>
                <w:sz w:val="20"/>
                <w:szCs w:val="20"/>
                <w:color w:val="auto"/>
              </w:rPr>
            </w:pPr>
            <w:r>
              <w:rPr>
                <w:rFonts w:ascii="Arial" w:cs="Arial" w:eastAsia="Arial" w:hAnsi="Arial"/>
                <w:sz w:val="14"/>
                <w:szCs w:val="14"/>
                <w:b w:val="1"/>
                <w:bCs w:val="1"/>
                <w:color w:val="auto"/>
              </w:rPr>
              <w:t>Income from operations</w:t>
            </w:r>
          </w:p>
        </w:tc>
        <w:tc>
          <w:tcPr>
            <w:tcW w:w="1560" w:type="dxa"/>
            <w:vAlign w:val="bottom"/>
            <w:gridSpan w:val="3"/>
          </w:tcPr>
          <w:p>
            <w:pPr>
              <w:jc w:val="right"/>
              <w:ind w:right="180"/>
              <w:spacing w:after="0"/>
              <w:rPr>
                <w:sz w:val="20"/>
                <w:szCs w:val="20"/>
                <w:color w:val="auto"/>
              </w:rPr>
            </w:pPr>
            <w:r>
              <w:rPr>
                <w:rFonts w:ascii="Arial" w:cs="Arial" w:eastAsia="Arial" w:hAnsi="Arial"/>
                <w:sz w:val="14"/>
                <w:szCs w:val="14"/>
                <w:color w:val="auto"/>
              </w:rPr>
              <w:t>77,114</w:t>
            </w:r>
          </w:p>
        </w:tc>
        <w:tc>
          <w:tcPr>
            <w:tcW w:w="1580" w:type="dxa"/>
            <w:vAlign w:val="bottom"/>
            <w:gridSpan w:val="3"/>
          </w:tcPr>
          <w:p>
            <w:pPr>
              <w:jc w:val="right"/>
              <w:ind w:right="180"/>
              <w:spacing w:after="0"/>
              <w:rPr>
                <w:sz w:val="20"/>
                <w:szCs w:val="20"/>
                <w:color w:val="auto"/>
              </w:rPr>
            </w:pPr>
            <w:r>
              <w:rPr>
                <w:rFonts w:ascii="Arial" w:cs="Arial" w:eastAsia="Arial" w:hAnsi="Arial"/>
                <w:sz w:val="14"/>
                <w:szCs w:val="14"/>
                <w:color w:val="auto"/>
              </w:rPr>
              <w:t>71,385</w:t>
            </w:r>
          </w:p>
        </w:tc>
        <w:tc>
          <w:tcPr>
            <w:tcW w:w="1580" w:type="dxa"/>
            <w:vAlign w:val="bottom"/>
            <w:gridSpan w:val="3"/>
          </w:tcPr>
          <w:p>
            <w:pPr>
              <w:jc w:val="right"/>
              <w:ind w:right="180"/>
              <w:spacing w:after="0"/>
              <w:rPr>
                <w:sz w:val="20"/>
                <w:szCs w:val="20"/>
                <w:color w:val="auto"/>
              </w:rPr>
            </w:pPr>
            <w:r>
              <w:rPr>
                <w:rFonts w:ascii="Arial" w:cs="Arial" w:eastAsia="Arial" w:hAnsi="Arial"/>
                <w:sz w:val="14"/>
                <w:szCs w:val="14"/>
                <w:color w:val="auto"/>
              </w:rPr>
              <w:t>227,051</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206,191</w:t>
            </w:r>
          </w:p>
        </w:tc>
        <w:tc>
          <w:tcPr>
            <w:tcW w:w="0" w:type="dxa"/>
            <w:vAlign w:val="bottom"/>
          </w:tcPr>
          <w:p>
            <w:pPr>
              <w:spacing w:after="0"/>
              <w:rPr>
                <w:sz w:val="1"/>
                <w:szCs w:val="1"/>
                <w:color w:val="auto"/>
              </w:rPr>
            </w:pPr>
          </w:p>
        </w:tc>
      </w:tr>
      <w:tr>
        <w:trPr>
          <w:trHeight w:val="350"/>
        </w:trPr>
        <w:tc>
          <w:tcPr>
            <w:tcW w:w="5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interest expense</w:t>
            </w:r>
          </w:p>
        </w:tc>
        <w:tc>
          <w:tcPr>
            <w:tcW w:w="15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(2,765)</w:t>
            </w: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(647)</w:t>
            </w:r>
          </w:p>
        </w:tc>
        <w:tc>
          <w:tcPr>
            <w:tcW w:w="1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(8,485)</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(660)</w:t>
            </w:r>
          </w:p>
        </w:tc>
        <w:tc>
          <w:tcPr>
            <w:tcW w:w="0" w:type="dxa"/>
            <w:vAlign w:val="bottom"/>
          </w:tcPr>
          <w:p>
            <w:pPr>
              <w:spacing w:after="0"/>
              <w:rPr>
                <w:sz w:val="1"/>
                <w:szCs w:val="1"/>
                <w:color w:val="auto"/>
              </w:rPr>
            </w:pPr>
          </w:p>
        </w:tc>
      </w:tr>
      <w:tr>
        <w:trPr>
          <w:trHeight w:val="346"/>
        </w:trPr>
        <w:tc>
          <w:tcPr>
            <w:tcW w:w="5240" w:type="dxa"/>
            <w:vAlign w:val="bottom"/>
          </w:tcPr>
          <w:p>
            <w:pPr>
              <w:spacing w:after="0"/>
              <w:rPr>
                <w:sz w:val="20"/>
                <w:szCs w:val="20"/>
                <w:color w:val="auto"/>
              </w:rPr>
            </w:pPr>
            <w:r>
              <w:rPr>
                <w:rFonts w:ascii="Arial" w:cs="Arial" w:eastAsia="Arial" w:hAnsi="Arial"/>
                <w:sz w:val="14"/>
                <w:szCs w:val="14"/>
                <w:b w:val="1"/>
                <w:bCs w:val="1"/>
                <w:color w:val="auto"/>
              </w:rPr>
              <w:t>Income before provision for income taxes</w:t>
            </w:r>
          </w:p>
        </w:tc>
        <w:tc>
          <w:tcPr>
            <w:tcW w:w="1560" w:type="dxa"/>
            <w:vAlign w:val="bottom"/>
            <w:gridSpan w:val="3"/>
          </w:tcPr>
          <w:p>
            <w:pPr>
              <w:jc w:val="right"/>
              <w:ind w:right="180"/>
              <w:spacing w:after="0"/>
              <w:rPr>
                <w:sz w:val="20"/>
                <w:szCs w:val="20"/>
                <w:color w:val="auto"/>
              </w:rPr>
            </w:pPr>
            <w:r>
              <w:rPr>
                <w:rFonts w:ascii="Arial" w:cs="Arial" w:eastAsia="Arial" w:hAnsi="Arial"/>
                <w:sz w:val="14"/>
                <w:szCs w:val="14"/>
                <w:color w:val="auto"/>
              </w:rPr>
              <w:t>74,349</w:t>
            </w:r>
          </w:p>
        </w:tc>
        <w:tc>
          <w:tcPr>
            <w:tcW w:w="1580" w:type="dxa"/>
            <w:vAlign w:val="bottom"/>
            <w:gridSpan w:val="3"/>
          </w:tcPr>
          <w:p>
            <w:pPr>
              <w:jc w:val="right"/>
              <w:ind w:right="180"/>
              <w:spacing w:after="0"/>
              <w:rPr>
                <w:sz w:val="20"/>
                <w:szCs w:val="20"/>
                <w:color w:val="auto"/>
              </w:rPr>
            </w:pPr>
            <w:r>
              <w:rPr>
                <w:rFonts w:ascii="Arial" w:cs="Arial" w:eastAsia="Arial" w:hAnsi="Arial"/>
                <w:sz w:val="14"/>
                <w:szCs w:val="14"/>
                <w:color w:val="auto"/>
              </w:rPr>
              <w:t>70,738</w:t>
            </w:r>
          </w:p>
        </w:tc>
        <w:tc>
          <w:tcPr>
            <w:tcW w:w="1580" w:type="dxa"/>
            <w:vAlign w:val="bottom"/>
            <w:gridSpan w:val="3"/>
          </w:tcPr>
          <w:p>
            <w:pPr>
              <w:jc w:val="right"/>
              <w:ind w:right="180"/>
              <w:spacing w:after="0"/>
              <w:rPr>
                <w:sz w:val="20"/>
                <w:szCs w:val="20"/>
                <w:color w:val="auto"/>
              </w:rPr>
            </w:pPr>
            <w:r>
              <w:rPr>
                <w:rFonts w:ascii="Arial" w:cs="Arial" w:eastAsia="Arial" w:hAnsi="Arial"/>
                <w:sz w:val="14"/>
                <w:szCs w:val="14"/>
                <w:color w:val="auto"/>
              </w:rPr>
              <w:t>218,566</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205,531</w:t>
            </w:r>
          </w:p>
        </w:tc>
        <w:tc>
          <w:tcPr>
            <w:tcW w:w="0" w:type="dxa"/>
            <w:vAlign w:val="bottom"/>
          </w:tcPr>
          <w:p>
            <w:pPr>
              <w:spacing w:after="0"/>
              <w:rPr>
                <w:sz w:val="1"/>
                <w:szCs w:val="1"/>
                <w:color w:val="auto"/>
              </w:rPr>
            </w:pPr>
          </w:p>
        </w:tc>
      </w:tr>
      <w:tr>
        <w:trPr>
          <w:trHeight w:val="350"/>
        </w:trPr>
        <w:tc>
          <w:tcPr>
            <w:tcW w:w="5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Provision for income taxes</w:t>
            </w:r>
          </w:p>
        </w:tc>
        <w:tc>
          <w:tcPr>
            <w:tcW w:w="15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(10,470)</w:t>
            </w:r>
          </w:p>
        </w:tc>
        <w:tc>
          <w:tcPr>
            <w:tcW w:w="15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(9,196)</w:t>
            </w:r>
          </w:p>
        </w:tc>
        <w:tc>
          <w:tcPr>
            <w:tcW w:w="15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(30,649)</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(29,534)</w:t>
            </w:r>
          </w:p>
        </w:tc>
        <w:tc>
          <w:tcPr>
            <w:tcW w:w="0" w:type="dxa"/>
            <w:vAlign w:val="bottom"/>
          </w:tcPr>
          <w:p>
            <w:pPr>
              <w:spacing w:after="0"/>
              <w:rPr>
                <w:sz w:val="1"/>
                <w:szCs w:val="1"/>
                <w:color w:val="auto"/>
              </w:rPr>
            </w:pPr>
          </w:p>
        </w:tc>
      </w:tr>
      <w:tr>
        <w:trPr>
          <w:trHeight w:val="345"/>
        </w:trPr>
        <w:tc>
          <w:tcPr>
            <w:tcW w:w="5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Net income</w:t>
            </w:r>
          </w:p>
        </w:tc>
        <w:tc>
          <w:tcPr>
            <w:tcW w:w="15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$63,879</w:t>
            </w:r>
          </w:p>
        </w:tc>
        <w:tc>
          <w:tcPr>
            <w:tcW w:w="15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$61,542</w:t>
            </w:r>
          </w:p>
        </w:tc>
        <w:tc>
          <w:tcPr>
            <w:tcW w:w="15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$187,917</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$175,997</w:t>
            </w:r>
          </w:p>
        </w:tc>
        <w:tc>
          <w:tcPr>
            <w:tcW w:w="0" w:type="dxa"/>
            <w:vAlign w:val="bottom"/>
          </w:tcPr>
          <w:p>
            <w:pPr>
              <w:spacing w:after="0"/>
              <w:rPr>
                <w:sz w:val="1"/>
                <w:szCs w:val="1"/>
                <w:color w:val="auto"/>
              </w:rPr>
            </w:pPr>
          </w:p>
        </w:tc>
      </w:tr>
      <w:tr>
        <w:trPr>
          <w:trHeight w:val="346"/>
        </w:trPr>
        <w:tc>
          <w:tcPr>
            <w:tcW w:w="5240" w:type="dxa"/>
            <w:vAlign w:val="bottom"/>
          </w:tcPr>
          <w:p>
            <w:pPr>
              <w:spacing w:after="0"/>
              <w:rPr>
                <w:sz w:val="20"/>
                <w:szCs w:val="20"/>
                <w:color w:val="auto"/>
              </w:rPr>
            </w:pPr>
            <w:r>
              <w:rPr>
                <w:rFonts w:ascii="Arial" w:cs="Arial" w:eastAsia="Arial" w:hAnsi="Arial"/>
                <w:sz w:val="14"/>
                <w:szCs w:val="14"/>
                <w:color w:val="auto"/>
              </w:rPr>
              <w:t>Net income per Ordinary Share:</w:t>
            </w: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5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Basic</w:t>
            </w:r>
          </w:p>
        </w:tc>
        <w:tc>
          <w:tcPr>
            <w:tcW w:w="15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$1.15</w:t>
            </w:r>
          </w:p>
        </w:tc>
        <w:tc>
          <w:tcPr>
            <w:tcW w:w="15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$1.05</w:t>
            </w:r>
          </w:p>
        </w:tc>
        <w:tc>
          <w:tcPr>
            <w:tcW w:w="15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$3.39</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345"/>
        </w:trPr>
        <w:tc>
          <w:tcPr>
            <w:tcW w:w="5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Diluted</w:t>
            </w:r>
          </w:p>
        </w:tc>
        <w:tc>
          <w:tcPr>
            <w:tcW w:w="15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$1.13</w:t>
            </w:r>
          </w:p>
        </w:tc>
        <w:tc>
          <w:tcPr>
            <w:tcW w:w="15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$1.02</w:t>
            </w:r>
          </w:p>
        </w:tc>
        <w:tc>
          <w:tcPr>
            <w:tcW w:w="15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$3.33</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$2.85</w:t>
            </w:r>
          </w:p>
        </w:tc>
        <w:tc>
          <w:tcPr>
            <w:tcW w:w="0" w:type="dxa"/>
            <w:vAlign w:val="bottom"/>
          </w:tcPr>
          <w:p>
            <w:pPr>
              <w:spacing w:after="0"/>
              <w:rPr>
                <w:sz w:val="1"/>
                <w:szCs w:val="1"/>
                <w:color w:val="auto"/>
              </w:rPr>
            </w:pPr>
          </w:p>
        </w:tc>
      </w:tr>
      <w:tr>
        <w:trPr>
          <w:trHeight w:val="346"/>
        </w:trPr>
        <w:tc>
          <w:tcPr>
            <w:tcW w:w="5240" w:type="dxa"/>
            <w:vAlign w:val="bottom"/>
          </w:tcPr>
          <w:p>
            <w:pPr>
              <w:spacing w:after="0"/>
              <w:rPr>
                <w:sz w:val="20"/>
                <w:szCs w:val="20"/>
                <w:color w:val="auto"/>
              </w:rPr>
            </w:pPr>
            <w:r>
              <w:rPr>
                <w:rFonts w:ascii="Arial" w:cs="Arial" w:eastAsia="Arial" w:hAnsi="Arial"/>
                <w:sz w:val="14"/>
                <w:szCs w:val="14"/>
                <w:color w:val="auto"/>
              </w:rPr>
              <w:t>Weighted average number of Ordinary Shares outstanding:</w:t>
            </w: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5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Basic</w:t>
            </w:r>
          </w:p>
        </w:tc>
        <w:tc>
          <w:tcPr>
            <w:tcW w:w="15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55,734,773</w:t>
            </w: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58,659,782</w:t>
            </w:r>
          </w:p>
        </w:tc>
        <w:tc>
          <w:tcPr>
            <w:tcW w:w="1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55,355,020</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59,728,608</w:t>
            </w:r>
          </w:p>
        </w:tc>
        <w:tc>
          <w:tcPr>
            <w:tcW w:w="0" w:type="dxa"/>
            <w:vAlign w:val="bottom"/>
          </w:tcPr>
          <w:p>
            <w:pPr>
              <w:spacing w:after="0"/>
              <w:rPr>
                <w:sz w:val="1"/>
                <w:szCs w:val="1"/>
                <w:color w:val="auto"/>
              </w:rPr>
            </w:pPr>
          </w:p>
        </w:tc>
      </w:tr>
      <w:tr>
        <w:trPr>
          <w:trHeight w:val="345"/>
        </w:trPr>
        <w:tc>
          <w:tcPr>
            <w:tcW w:w="5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Diluted</w:t>
            </w:r>
          </w:p>
        </w:tc>
        <w:tc>
          <w:tcPr>
            <w:tcW w:w="15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56,645,239</w:t>
            </w: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60,369,898</w:t>
            </w:r>
          </w:p>
        </w:tc>
        <w:tc>
          <w:tcPr>
            <w:tcW w:w="1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56,475,319</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61,785,849</w:t>
            </w:r>
          </w:p>
        </w:tc>
        <w:tc>
          <w:tcPr>
            <w:tcW w:w="0" w:type="dxa"/>
            <w:vAlign w:val="bottom"/>
          </w:tcPr>
          <w:p>
            <w:pPr>
              <w:spacing w:after="0"/>
              <w:rPr>
                <w:sz w:val="1"/>
                <w:szCs w:val="1"/>
                <w:color w:val="auto"/>
              </w:rPr>
            </w:pPr>
          </w:p>
        </w:tc>
      </w:tr>
      <w:tr>
        <w:trPr>
          <w:trHeight w:val="304"/>
        </w:trPr>
        <w:tc>
          <w:tcPr>
            <w:tcW w:w="52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24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18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7" w:name="page8"/>
    <w:bookmarkEnd w:id="7"/>
    <w:p>
      <w:pPr>
        <w:jc w:val="center"/>
        <w:ind w:right="-799"/>
        <w:spacing w:after="0"/>
        <w:rPr>
          <w:sz w:val="20"/>
          <w:szCs w:val="20"/>
          <w:color w:val="auto"/>
        </w:rPr>
      </w:pPr>
      <w:r>
        <w:rPr>
          <w:rFonts w:ascii="Arial" w:cs="Arial" w:eastAsia="Arial" w:hAnsi="Arial"/>
          <w:sz w:val="14"/>
          <w:szCs w:val="14"/>
          <w:b w:val="1"/>
          <w:bCs w:val="1"/>
          <w:color w:val="auto"/>
        </w:rPr>
        <w:t>ICON plc</w:t>
      </w:r>
    </w:p>
    <w:p>
      <w:pPr>
        <w:jc w:val="center"/>
        <w:ind w:right="-799"/>
        <w:spacing w:after="0" w:line="226" w:lineRule="auto"/>
        <w:rPr>
          <w:sz w:val="20"/>
          <w:szCs w:val="20"/>
          <w:color w:val="auto"/>
        </w:rPr>
      </w:pPr>
      <w:r>
        <w:rPr>
          <w:rFonts w:ascii="Arial" w:cs="Arial" w:eastAsia="Arial" w:hAnsi="Arial"/>
          <w:sz w:val="14"/>
          <w:szCs w:val="14"/>
          <w:b w:val="1"/>
          <w:bCs w:val="1"/>
          <w:color w:val="auto"/>
        </w:rPr>
        <w:t>Summary Balance Sheet Data</w:t>
      </w:r>
    </w:p>
    <w:p>
      <w:pPr>
        <w:jc w:val="center"/>
        <w:ind w:right="-799"/>
        <w:spacing w:after="0" w:line="222" w:lineRule="auto"/>
        <w:rPr>
          <w:sz w:val="20"/>
          <w:szCs w:val="20"/>
          <w:color w:val="auto"/>
        </w:rPr>
      </w:pPr>
      <w:r>
        <w:rPr>
          <w:rFonts w:ascii="Arial" w:cs="Arial" w:eastAsia="Arial" w:hAnsi="Arial"/>
          <w:sz w:val="14"/>
          <w:szCs w:val="14"/>
          <w:b w:val="1"/>
          <w:bCs w:val="1"/>
          <w:color w:val="auto"/>
        </w:rPr>
        <w:t>September 30, 2016 and June 30, 2016</w:t>
      </w:r>
    </w:p>
    <w:p>
      <w:pPr>
        <w:jc w:val="center"/>
        <w:ind w:right="-799"/>
        <w:spacing w:after="0"/>
        <w:rPr>
          <w:sz w:val="20"/>
          <w:szCs w:val="20"/>
          <w:color w:val="auto"/>
        </w:rPr>
      </w:pPr>
      <w:r>
        <w:rPr>
          <w:rFonts w:ascii="Arial" w:cs="Arial" w:eastAsia="Arial" w:hAnsi="Arial"/>
          <w:sz w:val="14"/>
          <w:szCs w:val="14"/>
          <w:b w:val="1"/>
          <w:bCs w:val="1"/>
          <w:color w:val="auto"/>
        </w:rPr>
        <w:t>(Dollars,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320" w:type="dxa"/>
            <w:vAlign w:val="bottom"/>
          </w:tcPr>
          <w:p>
            <w:pPr>
              <w:spacing w:after="0"/>
              <w:rPr>
                <w:sz w:val="15"/>
                <w:szCs w:val="15"/>
                <w:color w:val="auto"/>
              </w:rPr>
            </w:pPr>
          </w:p>
        </w:tc>
        <w:tc>
          <w:tcPr>
            <w:tcW w:w="4340" w:type="dxa"/>
            <w:vAlign w:val="bottom"/>
          </w:tcPr>
          <w:p>
            <w:pPr>
              <w:jc w:val="center"/>
              <w:ind w:left="1308"/>
              <w:spacing w:after="0"/>
              <w:rPr>
                <w:sz w:val="20"/>
                <w:szCs w:val="20"/>
                <w:color w:val="auto"/>
              </w:rPr>
            </w:pPr>
            <w:r>
              <w:rPr>
                <w:rFonts w:ascii="Arial" w:cs="Arial" w:eastAsia="Arial" w:hAnsi="Arial"/>
                <w:sz w:val="14"/>
                <w:szCs w:val="14"/>
                <w:b w:val="1"/>
                <w:bCs w:val="1"/>
                <w:color w:val="auto"/>
                <w:w w:val="91"/>
              </w:rPr>
              <w:t>September 30,</w:t>
            </w:r>
          </w:p>
        </w:tc>
        <w:tc>
          <w:tcPr>
            <w:tcW w:w="1760" w:type="dxa"/>
            <w:vAlign w:val="bottom"/>
          </w:tcPr>
          <w:p>
            <w:pPr>
              <w:jc w:val="center"/>
              <w:ind w:left="968"/>
              <w:spacing w:after="0"/>
              <w:rPr>
                <w:sz w:val="20"/>
                <w:szCs w:val="20"/>
                <w:color w:val="auto"/>
              </w:rPr>
            </w:pPr>
            <w:r>
              <w:rPr>
                <w:rFonts w:ascii="Arial" w:cs="Arial" w:eastAsia="Arial" w:hAnsi="Arial"/>
                <w:sz w:val="14"/>
                <w:szCs w:val="14"/>
                <w:b w:val="1"/>
                <w:bCs w:val="1"/>
                <w:color w:val="auto"/>
                <w:w w:val="92"/>
              </w:rPr>
              <w:t>June 30,</w:t>
            </w:r>
          </w:p>
        </w:tc>
      </w:tr>
      <w:tr>
        <w:trPr>
          <w:trHeight w:val="176"/>
        </w:trPr>
        <w:tc>
          <w:tcPr>
            <w:tcW w:w="4320" w:type="dxa"/>
            <w:vAlign w:val="bottom"/>
          </w:tcPr>
          <w:p>
            <w:pPr>
              <w:spacing w:after="0"/>
              <w:rPr>
                <w:sz w:val="15"/>
                <w:szCs w:val="15"/>
                <w:color w:val="auto"/>
              </w:rPr>
            </w:pPr>
          </w:p>
        </w:tc>
        <w:tc>
          <w:tcPr>
            <w:tcW w:w="4340" w:type="dxa"/>
            <w:vAlign w:val="bottom"/>
          </w:tcPr>
          <w:p>
            <w:pPr>
              <w:jc w:val="center"/>
              <w:ind w:left="1328"/>
              <w:spacing w:after="0"/>
              <w:rPr>
                <w:sz w:val="20"/>
                <w:szCs w:val="20"/>
                <w:color w:val="auto"/>
              </w:rPr>
            </w:pPr>
            <w:r>
              <w:rPr>
                <w:rFonts w:ascii="Arial" w:cs="Arial" w:eastAsia="Arial" w:hAnsi="Arial"/>
                <w:sz w:val="14"/>
                <w:szCs w:val="14"/>
                <w:b w:val="1"/>
                <w:bCs w:val="1"/>
                <w:color w:val="auto"/>
                <w:w w:val="96"/>
              </w:rPr>
              <w:t>2016</w:t>
            </w:r>
          </w:p>
        </w:tc>
        <w:tc>
          <w:tcPr>
            <w:tcW w:w="1760" w:type="dxa"/>
            <w:vAlign w:val="bottom"/>
          </w:tcPr>
          <w:p>
            <w:pPr>
              <w:jc w:val="center"/>
              <w:ind w:left="968"/>
              <w:spacing w:after="0"/>
              <w:rPr>
                <w:sz w:val="20"/>
                <w:szCs w:val="20"/>
                <w:color w:val="auto"/>
              </w:rPr>
            </w:pPr>
            <w:r>
              <w:rPr>
                <w:rFonts w:ascii="Arial" w:cs="Arial" w:eastAsia="Arial" w:hAnsi="Arial"/>
                <w:sz w:val="14"/>
                <w:szCs w:val="14"/>
                <w:b w:val="1"/>
                <w:bCs w:val="1"/>
                <w:color w:val="auto"/>
                <w:w w:val="89"/>
              </w:rPr>
              <w:t>2016</w:t>
            </w:r>
          </w:p>
        </w:tc>
      </w:tr>
      <w:tr>
        <w:trPr>
          <w:trHeight w:val="186"/>
        </w:trPr>
        <w:tc>
          <w:tcPr>
            <w:tcW w:w="4320" w:type="dxa"/>
            <w:vAlign w:val="bottom"/>
          </w:tcPr>
          <w:p>
            <w:pPr>
              <w:spacing w:after="0"/>
              <w:rPr>
                <w:sz w:val="16"/>
                <w:szCs w:val="16"/>
                <w:color w:val="auto"/>
              </w:rPr>
            </w:pPr>
          </w:p>
        </w:tc>
        <w:tc>
          <w:tcPr>
            <w:tcW w:w="4340" w:type="dxa"/>
            <w:vAlign w:val="bottom"/>
          </w:tcPr>
          <w:p>
            <w:pPr>
              <w:jc w:val="center"/>
              <w:ind w:left="1308"/>
              <w:spacing w:after="0"/>
              <w:rPr>
                <w:sz w:val="20"/>
                <w:szCs w:val="20"/>
                <w:color w:val="auto"/>
              </w:rPr>
            </w:pPr>
            <w:r>
              <w:rPr>
                <w:rFonts w:ascii="Arial" w:cs="Arial" w:eastAsia="Arial" w:hAnsi="Arial"/>
                <w:sz w:val="14"/>
                <w:szCs w:val="14"/>
                <w:b w:val="1"/>
                <w:bCs w:val="1"/>
                <w:color w:val="auto"/>
                <w:w w:val="97"/>
              </w:rPr>
              <w:t>(Unaudited)</w:t>
            </w:r>
          </w:p>
        </w:tc>
        <w:tc>
          <w:tcPr>
            <w:tcW w:w="1760" w:type="dxa"/>
            <w:vAlign w:val="bottom"/>
          </w:tcPr>
          <w:p>
            <w:pPr>
              <w:jc w:val="center"/>
              <w:ind w:left="948"/>
              <w:spacing w:after="0"/>
              <w:rPr>
                <w:sz w:val="20"/>
                <w:szCs w:val="20"/>
                <w:color w:val="auto"/>
              </w:rPr>
            </w:pPr>
            <w:r>
              <w:rPr>
                <w:rFonts w:ascii="Arial" w:cs="Arial" w:eastAsia="Arial" w:hAnsi="Arial"/>
                <w:sz w:val="14"/>
                <w:szCs w:val="14"/>
                <w:b w:val="1"/>
                <w:bCs w:val="1"/>
                <w:color w:val="auto"/>
                <w:w w:val="95"/>
              </w:rPr>
              <w:t>(Unaudited)</w:t>
            </w:r>
          </w:p>
        </w:tc>
      </w:tr>
      <w:tr>
        <w:trPr>
          <w:trHeight w:val="520"/>
        </w:trPr>
        <w:tc>
          <w:tcPr>
            <w:tcW w:w="4320" w:type="dxa"/>
            <w:vAlign w:val="bottom"/>
          </w:tcPr>
          <w:p>
            <w:pPr>
              <w:spacing w:after="0"/>
              <w:rPr>
                <w:sz w:val="20"/>
                <w:szCs w:val="20"/>
                <w:color w:val="auto"/>
              </w:rPr>
            </w:pPr>
            <w:r>
              <w:rPr>
                <w:rFonts w:ascii="Arial" w:cs="Arial" w:eastAsia="Arial" w:hAnsi="Arial"/>
                <w:sz w:val="14"/>
                <w:szCs w:val="14"/>
                <w:color w:val="auto"/>
              </w:rPr>
              <w:t>Cash and short-term investments</w:t>
            </w:r>
          </w:p>
        </w:tc>
        <w:tc>
          <w:tcPr>
            <w:tcW w:w="4340" w:type="dxa"/>
            <w:vAlign w:val="bottom"/>
          </w:tcPr>
          <w:p>
            <w:pPr>
              <w:jc w:val="center"/>
              <w:ind w:left="1328"/>
              <w:spacing w:after="0"/>
              <w:rPr>
                <w:sz w:val="20"/>
                <w:szCs w:val="20"/>
                <w:color w:val="auto"/>
              </w:rPr>
            </w:pPr>
            <w:r>
              <w:rPr>
                <w:rFonts w:ascii="Arial" w:cs="Arial" w:eastAsia="Arial" w:hAnsi="Arial"/>
                <w:sz w:val="14"/>
                <w:szCs w:val="14"/>
                <w:color w:val="auto"/>
                <w:w w:val="90"/>
              </w:rPr>
              <w:t>303,720</w:t>
            </w:r>
          </w:p>
        </w:tc>
        <w:tc>
          <w:tcPr>
            <w:tcW w:w="1760" w:type="dxa"/>
            <w:vAlign w:val="bottom"/>
          </w:tcPr>
          <w:p>
            <w:pPr>
              <w:jc w:val="center"/>
              <w:ind w:left="968"/>
              <w:spacing w:after="0"/>
              <w:rPr>
                <w:sz w:val="20"/>
                <w:szCs w:val="20"/>
                <w:color w:val="auto"/>
              </w:rPr>
            </w:pPr>
            <w:r>
              <w:rPr>
                <w:rFonts w:ascii="Arial" w:cs="Arial" w:eastAsia="Arial" w:hAnsi="Arial"/>
                <w:sz w:val="14"/>
                <w:szCs w:val="14"/>
                <w:color w:val="auto"/>
                <w:w w:val="94"/>
              </w:rPr>
              <w:t>250,951</w:t>
            </w:r>
          </w:p>
        </w:tc>
      </w:tr>
      <w:tr>
        <w:trPr>
          <w:trHeight w:val="176"/>
        </w:trPr>
        <w:tc>
          <w:tcPr>
            <w:tcW w:w="4320" w:type="dxa"/>
            <w:vAlign w:val="bottom"/>
          </w:tcPr>
          <w:p>
            <w:pPr>
              <w:spacing w:after="0"/>
              <w:rPr>
                <w:sz w:val="20"/>
                <w:szCs w:val="20"/>
                <w:color w:val="auto"/>
              </w:rPr>
            </w:pPr>
            <w:r>
              <w:rPr>
                <w:rFonts w:ascii="Arial" w:cs="Arial" w:eastAsia="Arial" w:hAnsi="Arial"/>
                <w:sz w:val="14"/>
                <w:szCs w:val="14"/>
                <w:color w:val="auto"/>
              </w:rPr>
              <w:t>Debt</w:t>
            </w:r>
          </w:p>
        </w:tc>
        <w:tc>
          <w:tcPr>
            <w:tcW w:w="4340" w:type="dxa"/>
            <w:vAlign w:val="bottom"/>
          </w:tcPr>
          <w:p>
            <w:pPr>
              <w:jc w:val="center"/>
              <w:ind w:left="1308"/>
              <w:spacing w:after="0"/>
              <w:rPr>
                <w:sz w:val="20"/>
                <w:szCs w:val="20"/>
                <w:color w:val="auto"/>
              </w:rPr>
            </w:pPr>
            <w:r>
              <w:rPr>
                <w:rFonts w:ascii="Arial" w:cs="Arial" w:eastAsia="Arial" w:hAnsi="Arial"/>
                <w:sz w:val="14"/>
                <w:szCs w:val="14"/>
                <w:color w:val="auto"/>
                <w:w w:val="93"/>
              </w:rPr>
              <w:t>(401,417)</w:t>
            </w:r>
          </w:p>
        </w:tc>
        <w:tc>
          <w:tcPr>
            <w:tcW w:w="1760" w:type="dxa"/>
            <w:vAlign w:val="bottom"/>
          </w:tcPr>
          <w:p>
            <w:pPr>
              <w:jc w:val="center"/>
              <w:ind w:left="968"/>
              <w:spacing w:after="0"/>
              <w:rPr>
                <w:sz w:val="20"/>
                <w:szCs w:val="20"/>
                <w:color w:val="auto"/>
              </w:rPr>
            </w:pPr>
            <w:r>
              <w:rPr>
                <w:rFonts w:ascii="Arial" w:cs="Arial" w:eastAsia="Arial" w:hAnsi="Arial"/>
                <w:sz w:val="14"/>
                <w:szCs w:val="14"/>
                <w:color w:val="auto"/>
                <w:w w:val="93"/>
              </w:rPr>
              <w:t>(348,322)</w:t>
            </w:r>
          </w:p>
        </w:tc>
      </w:tr>
      <w:tr>
        <w:trPr>
          <w:trHeight w:val="182"/>
        </w:trPr>
        <w:tc>
          <w:tcPr>
            <w:tcW w:w="4320" w:type="dxa"/>
            <w:vAlign w:val="bottom"/>
          </w:tcPr>
          <w:p>
            <w:pPr>
              <w:spacing w:after="0"/>
              <w:rPr>
                <w:sz w:val="20"/>
                <w:szCs w:val="20"/>
                <w:color w:val="auto"/>
              </w:rPr>
            </w:pPr>
            <w:r>
              <w:rPr>
                <w:rFonts w:ascii="Arial" w:cs="Arial" w:eastAsia="Arial" w:hAnsi="Arial"/>
                <w:sz w:val="14"/>
                <w:szCs w:val="14"/>
                <w:color w:val="auto"/>
              </w:rPr>
              <w:t>Net (debt)/cash</w:t>
            </w:r>
          </w:p>
        </w:tc>
        <w:tc>
          <w:tcPr>
            <w:tcW w:w="4340" w:type="dxa"/>
            <w:vAlign w:val="bottom"/>
          </w:tcPr>
          <w:p>
            <w:pPr>
              <w:jc w:val="center"/>
              <w:ind w:left="1328"/>
              <w:spacing w:after="0"/>
              <w:rPr>
                <w:sz w:val="20"/>
                <w:szCs w:val="20"/>
                <w:color w:val="auto"/>
              </w:rPr>
            </w:pPr>
            <w:r>
              <w:rPr>
                <w:rFonts w:ascii="Arial" w:cs="Arial" w:eastAsia="Arial" w:hAnsi="Arial"/>
                <w:sz w:val="14"/>
                <w:szCs w:val="14"/>
                <w:color w:val="auto"/>
                <w:w w:val="95"/>
              </w:rPr>
              <w:t>(97,697)</w:t>
            </w:r>
          </w:p>
        </w:tc>
        <w:tc>
          <w:tcPr>
            <w:tcW w:w="1760" w:type="dxa"/>
            <w:vAlign w:val="bottom"/>
          </w:tcPr>
          <w:p>
            <w:pPr>
              <w:jc w:val="center"/>
              <w:ind w:left="968"/>
              <w:spacing w:after="0"/>
              <w:rPr>
                <w:sz w:val="20"/>
                <w:szCs w:val="20"/>
                <w:color w:val="auto"/>
              </w:rPr>
            </w:pPr>
            <w:r>
              <w:rPr>
                <w:rFonts w:ascii="Arial" w:cs="Arial" w:eastAsia="Arial" w:hAnsi="Arial"/>
                <w:sz w:val="14"/>
                <w:szCs w:val="14"/>
                <w:color w:val="auto"/>
                <w:w w:val="91"/>
              </w:rPr>
              <w:t>(97,371)</w:t>
            </w:r>
          </w:p>
        </w:tc>
      </w:tr>
      <w:tr>
        <w:trPr>
          <w:trHeight w:val="344"/>
        </w:trPr>
        <w:tc>
          <w:tcPr>
            <w:tcW w:w="4320" w:type="dxa"/>
            <w:vAlign w:val="bottom"/>
          </w:tcPr>
          <w:p>
            <w:pPr>
              <w:spacing w:after="0"/>
              <w:rPr>
                <w:sz w:val="20"/>
                <w:szCs w:val="20"/>
                <w:color w:val="auto"/>
              </w:rPr>
            </w:pPr>
            <w:r>
              <w:rPr>
                <w:rFonts w:ascii="Arial" w:cs="Arial" w:eastAsia="Arial" w:hAnsi="Arial"/>
                <w:sz w:val="14"/>
                <w:szCs w:val="14"/>
                <w:color w:val="auto"/>
              </w:rPr>
              <w:t>Accounts receivable</w:t>
            </w:r>
          </w:p>
        </w:tc>
        <w:tc>
          <w:tcPr>
            <w:tcW w:w="4340" w:type="dxa"/>
            <w:vAlign w:val="bottom"/>
          </w:tcPr>
          <w:p>
            <w:pPr>
              <w:jc w:val="center"/>
              <w:ind w:left="1328"/>
              <w:spacing w:after="0"/>
              <w:rPr>
                <w:sz w:val="20"/>
                <w:szCs w:val="20"/>
                <w:color w:val="auto"/>
              </w:rPr>
            </w:pPr>
            <w:r>
              <w:rPr>
                <w:rFonts w:ascii="Arial" w:cs="Arial" w:eastAsia="Arial" w:hAnsi="Arial"/>
                <w:sz w:val="14"/>
                <w:szCs w:val="14"/>
                <w:color w:val="auto"/>
                <w:w w:val="90"/>
              </w:rPr>
              <w:t>403,667</w:t>
            </w:r>
          </w:p>
        </w:tc>
        <w:tc>
          <w:tcPr>
            <w:tcW w:w="1760" w:type="dxa"/>
            <w:vAlign w:val="bottom"/>
          </w:tcPr>
          <w:p>
            <w:pPr>
              <w:jc w:val="center"/>
              <w:ind w:left="968"/>
              <w:spacing w:after="0"/>
              <w:rPr>
                <w:sz w:val="20"/>
                <w:szCs w:val="20"/>
                <w:color w:val="auto"/>
              </w:rPr>
            </w:pPr>
            <w:r>
              <w:rPr>
                <w:rFonts w:ascii="Arial" w:cs="Arial" w:eastAsia="Arial" w:hAnsi="Arial"/>
                <w:sz w:val="14"/>
                <w:szCs w:val="14"/>
                <w:color w:val="auto"/>
                <w:w w:val="94"/>
              </w:rPr>
              <w:t>366,903</w:t>
            </w:r>
          </w:p>
        </w:tc>
      </w:tr>
      <w:tr>
        <w:trPr>
          <w:trHeight w:val="176"/>
        </w:trPr>
        <w:tc>
          <w:tcPr>
            <w:tcW w:w="4320" w:type="dxa"/>
            <w:vAlign w:val="bottom"/>
          </w:tcPr>
          <w:p>
            <w:pPr>
              <w:spacing w:after="0"/>
              <w:rPr>
                <w:sz w:val="20"/>
                <w:szCs w:val="20"/>
                <w:color w:val="auto"/>
              </w:rPr>
            </w:pPr>
            <w:r>
              <w:rPr>
                <w:rFonts w:ascii="Arial" w:cs="Arial" w:eastAsia="Arial" w:hAnsi="Arial"/>
                <w:sz w:val="14"/>
                <w:szCs w:val="14"/>
                <w:color w:val="auto"/>
              </w:rPr>
              <w:t>Unbilled revenue</w:t>
            </w:r>
          </w:p>
        </w:tc>
        <w:tc>
          <w:tcPr>
            <w:tcW w:w="4340" w:type="dxa"/>
            <w:vAlign w:val="bottom"/>
          </w:tcPr>
          <w:p>
            <w:pPr>
              <w:jc w:val="center"/>
              <w:ind w:left="1328"/>
              <w:spacing w:after="0"/>
              <w:rPr>
                <w:sz w:val="20"/>
                <w:szCs w:val="20"/>
                <w:color w:val="auto"/>
              </w:rPr>
            </w:pPr>
            <w:r>
              <w:rPr>
                <w:rFonts w:ascii="Arial" w:cs="Arial" w:eastAsia="Arial" w:hAnsi="Arial"/>
                <w:sz w:val="14"/>
                <w:szCs w:val="14"/>
                <w:color w:val="auto"/>
                <w:w w:val="90"/>
              </w:rPr>
              <w:t>196,863</w:t>
            </w:r>
          </w:p>
        </w:tc>
        <w:tc>
          <w:tcPr>
            <w:tcW w:w="1760" w:type="dxa"/>
            <w:vAlign w:val="bottom"/>
          </w:tcPr>
          <w:p>
            <w:pPr>
              <w:jc w:val="center"/>
              <w:ind w:left="968"/>
              <w:spacing w:after="0"/>
              <w:rPr>
                <w:sz w:val="20"/>
                <w:szCs w:val="20"/>
                <w:color w:val="auto"/>
              </w:rPr>
            </w:pPr>
            <w:r>
              <w:rPr>
                <w:rFonts w:ascii="Arial" w:cs="Arial" w:eastAsia="Arial" w:hAnsi="Arial"/>
                <w:sz w:val="14"/>
                <w:szCs w:val="14"/>
                <w:color w:val="auto"/>
                <w:w w:val="94"/>
              </w:rPr>
              <w:t>190,025</w:t>
            </w:r>
          </w:p>
        </w:tc>
      </w:tr>
      <w:tr>
        <w:trPr>
          <w:trHeight w:val="176"/>
        </w:trPr>
        <w:tc>
          <w:tcPr>
            <w:tcW w:w="4320" w:type="dxa"/>
            <w:vAlign w:val="bottom"/>
          </w:tcPr>
          <w:p>
            <w:pPr>
              <w:spacing w:after="0"/>
              <w:rPr>
                <w:sz w:val="20"/>
                <w:szCs w:val="20"/>
                <w:color w:val="auto"/>
              </w:rPr>
            </w:pPr>
            <w:r>
              <w:rPr>
                <w:rFonts w:ascii="Arial" w:cs="Arial" w:eastAsia="Arial" w:hAnsi="Arial"/>
                <w:sz w:val="14"/>
                <w:szCs w:val="14"/>
                <w:color w:val="auto"/>
              </w:rPr>
              <w:t>Payments on account</w:t>
            </w:r>
          </w:p>
        </w:tc>
        <w:tc>
          <w:tcPr>
            <w:tcW w:w="4340" w:type="dxa"/>
            <w:vAlign w:val="bottom"/>
          </w:tcPr>
          <w:p>
            <w:pPr>
              <w:jc w:val="center"/>
              <w:ind w:left="1308"/>
              <w:spacing w:after="0"/>
              <w:rPr>
                <w:sz w:val="20"/>
                <w:szCs w:val="20"/>
                <w:color w:val="auto"/>
              </w:rPr>
            </w:pPr>
            <w:r>
              <w:rPr>
                <w:rFonts w:ascii="Arial" w:cs="Arial" w:eastAsia="Arial" w:hAnsi="Arial"/>
                <w:sz w:val="14"/>
                <w:szCs w:val="14"/>
                <w:color w:val="auto"/>
                <w:w w:val="93"/>
              </w:rPr>
              <w:t>(250,833)</w:t>
            </w:r>
          </w:p>
        </w:tc>
        <w:tc>
          <w:tcPr>
            <w:tcW w:w="1760" w:type="dxa"/>
            <w:vAlign w:val="bottom"/>
          </w:tcPr>
          <w:p>
            <w:pPr>
              <w:jc w:val="center"/>
              <w:ind w:left="968"/>
              <w:spacing w:after="0"/>
              <w:rPr>
                <w:sz w:val="20"/>
                <w:szCs w:val="20"/>
                <w:color w:val="auto"/>
              </w:rPr>
            </w:pPr>
            <w:r>
              <w:rPr>
                <w:rFonts w:ascii="Arial" w:cs="Arial" w:eastAsia="Arial" w:hAnsi="Arial"/>
                <w:sz w:val="14"/>
                <w:szCs w:val="14"/>
                <w:color w:val="auto"/>
                <w:w w:val="93"/>
              </w:rPr>
              <w:t>(257,514)</w:t>
            </w:r>
          </w:p>
        </w:tc>
      </w:tr>
      <w:tr>
        <w:trPr>
          <w:trHeight w:val="182"/>
        </w:trPr>
        <w:tc>
          <w:tcPr>
            <w:tcW w:w="4320" w:type="dxa"/>
            <w:vAlign w:val="bottom"/>
          </w:tcPr>
          <w:p>
            <w:pPr>
              <w:spacing w:after="0"/>
              <w:rPr>
                <w:sz w:val="20"/>
                <w:szCs w:val="20"/>
                <w:color w:val="auto"/>
              </w:rPr>
            </w:pPr>
            <w:r>
              <w:rPr>
                <w:rFonts w:ascii="Arial" w:cs="Arial" w:eastAsia="Arial" w:hAnsi="Arial"/>
                <w:sz w:val="14"/>
                <w:szCs w:val="14"/>
                <w:color w:val="auto"/>
              </w:rPr>
              <w:t>Total</w:t>
            </w:r>
          </w:p>
        </w:tc>
        <w:tc>
          <w:tcPr>
            <w:tcW w:w="4340" w:type="dxa"/>
            <w:vAlign w:val="bottom"/>
          </w:tcPr>
          <w:p>
            <w:pPr>
              <w:jc w:val="center"/>
              <w:ind w:left="1328"/>
              <w:spacing w:after="0"/>
              <w:rPr>
                <w:sz w:val="20"/>
                <w:szCs w:val="20"/>
                <w:color w:val="auto"/>
              </w:rPr>
            </w:pPr>
            <w:r>
              <w:rPr>
                <w:rFonts w:ascii="Arial" w:cs="Arial" w:eastAsia="Arial" w:hAnsi="Arial"/>
                <w:sz w:val="14"/>
                <w:szCs w:val="14"/>
                <w:color w:val="auto"/>
                <w:w w:val="90"/>
              </w:rPr>
              <w:t>349,697</w:t>
            </w:r>
          </w:p>
        </w:tc>
        <w:tc>
          <w:tcPr>
            <w:tcW w:w="1760" w:type="dxa"/>
            <w:vAlign w:val="bottom"/>
          </w:tcPr>
          <w:p>
            <w:pPr>
              <w:jc w:val="center"/>
              <w:ind w:left="968"/>
              <w:spacing w:after="0"/>
              <w:rPr>
                <w:sz w:val="20"/>
                <w:szCs w:val="20"/>
                <w:color w:val="auto"/>
              </w:rPr>
            </w:pPr>
            <w:r>
              <w:rPr>
                <w:rFonts w:ascii="Arial" w:cs="Arial" w:eastAsia="Arial" w:hAnsi="Arial"/>
                <w:sz w:val="14"/>
                <w:szCs w:val="14"/>
                <w:color w:val="auto"/>
                <w:w w:val="94"/>
              </w:rPr>
              <w:t>299,414</w:t>
            </w:r>
          </w:p>
        </w:tc>
      </w:tr>
      <w:tr>
        <w:trPr>
          <w:trHeight w:val="351"/>
        </w:trPr>
        <w:tc>
          <w:tcPr>
            <w:tcW w:w="4320" w:type="dxa"/>
            <w:vAlign w:val="bottom"/>
          </w:tcPr>
          <w:p>
            <w:pPr>
              <w:spacing w:after="0"/>
              <w:rPr>
                <w:sz w:val="20"/>
                <w:szCs w:val="20"/>
                <w:color w:val="auto"/>
              </w:rPr>
            </w:pPr>
            <w:r>
              <w:rPr>
                <w:rFonts w:ascii="Arial" w:cs="Arial" w:eastAsia="Arial" w:hAnsi="Arial"/>
                <w:sz w:val="14"/>
                <w:szCs w:val="14"/>
                <w:color w:val="auto"/>
              </w:rPr>
              <w:t>Working Capital</w:t>
            </w:r>
          </w:p>
        </w:tc>
        <w:tc>
          <w:tcPr>
            <w:tcW w:w="4340" w:type="dxa"/>
            <w:vAlign w:val="bottom"/>
          </w:tcPr>
          <w:p>
            <w:pPr>
              <w:jc w:val="center"/>
              <w:ind w:left="1328"/>
              <w:spacing w:after="0"/>
              <w:rPr>
                <w:sz w:val="20"/>
                <w:szCs w:val="20"/>
                <w:color w:val="auto"/>
              </w:rPr>
            </w:pPr>
            <w:r>
              <w:rPr>
                <w:rFonts w:ascii="Arial" w:cs="Arial" w:eastAsia="Arial" w:hAnsi="Arial"/>
                <w:sz w:val="14"/>
                <w:szCs w:val="14"/>
                <w:color w:val="auto"/>
                <w:w w:val="90"/>
              </w:rPr>
              <w:t>550,789</w:t>
            </w:r>
          </w:p>
        </w:tc>
        <w:tc>
          <w:tcPr>
            <w:tcW w:w="1760" w:type="dxa"/>
            <w:vAlign w:val="bottom"/>
          </w:tcPr>
          <w:p>
            <w:pPr>
              <w:jc w:val="center"/>
              <w:ind w:left="968"/>
              <w:spacing w:after="0"/>
              <w:rPr>
                <w:sz w:val="20"/>
                <w:szCs w:val="20"/>
                <w:color w:val="auto"/>
              </w:rPr>
            </w:pPr>
            <w:r>
              <w:rPr>
                <w:rFonts w:ascii="Arial" w:cs="Arial" w:eastAsia="Arial" w:hAnsi="Arial"/>
                <w:sz w:val="14"/>
                <w:szCs w:val="14"/>
                <w:color w:val="auto"/>
                <w:w w:val="94"/>
              </w:rPr>
              <w:t>452,073</w:t>
            </w:r>
          </w:p>
        </w:tc>
      </w:tr>
      <w:tr>
        <w:trPr>
          <w:trHeight w:val="351"/>
        </w:trPr>
        <w:tc>
          <w:tcPr>
            <w:tcW w:w="4320" w:type="dxa"/>
            <w:vAlign w:val="bottom"/>
          </w:tcPr>
          <w:p>
            <w:pPr>
              <w:spacing w:after="0"/>
              <w:rPr>
                <w:sz w:val="20"/>
                <w:szCs w:val="20"/>
                <w:color w:val="auto"/>
              </w:rPr>
            </w:pPr>
            <w:r>
              <w:rPr>
                <w:rFonts w:ascii="Arial" w:cs="Arial" w:eastAsia="Arial" w:hAnsi="Arial"/>
                <w:sz w:val="14"/>
                <w:szCs w:val="14"/>
                <w:color w:val="auto"/>
              </w:rPr>
              <w:t>Total Assets</w:t>
            </w:r>
          </w:p>
        </w:tc>
        <w:tc>
          <w:tcPr>
            <w:tcW w:w="4340" w:type="dxa"/>
            <w:vAlign w:val="bottom"/>
          </w:tcPr>
          <w:p>
            <w:pPr>
              <w:jc w:val="center"/>
              <w:ind w:left="1328"/>
              <w:spacing w:after="0"/>
              <w:rPr>
                <w:sz w:val="20"/>
                <w:szCs w:val="20"/>
                <w:color w:val="auto"/>
              </w:rPr>
            </w:pPr>
            <w:r>
              <w:rPr>
                <w:rFonts w:ascii="Arial" w:cs="Arial" w:eastAsia="Arial" w:hAnsi="Arial"/>
                <w:sz w:val="14"/>
                <w:szCs w:val="14"/>
                <w:color w:val="auto"/>
                <w:w w:val="93"/>
              </w:rPr>
              <w:t>1,900,478</w:t>
            </w:r>
          </w:p>
        </w:tc>
        <w:tc>
          <w:tcPr>
            <w:tcW w:w="1760" w:type="dxa"/>
            <w:vAlign w:val="bottom"/>
          </w:tcPr>
          <w:p>
            <w:pPr>
              <w:jc w:val="center"/>
              <w:ind w:left="988"/>
              <w:spacing w:after="0"/>
              <w:rPr>
                <w:sz w:val="20"/>
                <w:szCs w:val="20"/>
                <w:color w:val="auto"/>
              </w:rPr>
            </w:pPr>
            <w:r>
              <w:rPr>
                <w:rFonts w:ascii="Arial" w:cs="Arial" w:eastAsia="Arial" w:hAnsi="Arial"/>
                <w:sz w:val="14"/>
                <w:szCs w:val="14"/>
                <w:color w:val="auto"/>
                <w:w w:val="93"/>
              </w:rPr>
              <w:t>1,750,240</w:t>
            </w:r>
          </w:p>
        </w:tc>
      </w:tr>
      <w:tr>
        <w:trPr>
          <w:trHeight w:val="351"/>
        </w:trPr>
        <w:tc>
          <w:tcPr>
            <w:tcW w:w="4320" w:type="dxa"/>
            <w:vAlign w:val="bottom"/>
          </w:tcPr>
          <w:p>
            <w:pPr>
              <w:spacing w:after="0"/>
              <w:rPr>
                <w:sz w:val="20"/>
                <w:szCs w:val="20"/>
                <w:color w:val="auto"/>
              </w:rPr>
            </w:pPr>
            <w:r>
              <w:rPr>
                <w:rFonts w:ascii="Arial" w:cs="Arial" w:eastAsia="Arial" w:hAnsi="Arial"/>
                <w:sz w:val="14"/>
                <w:szCs w:val="14"/>
                <w:color w:val="auto"/>
              </w:rPr>
              <w:t>Shareholder's Equity</w:t>
            </w:r>
          </w:p>
        </w:tc>
        <w:tc>
          <w:tcPr>
            <w:tcW w:w="4340" w:type="dxa"/>
            <w:vAlign w:val="bottom"/>
          </w:tcPr>
          <w:p>
            <w:pPr>
              <w:jc w:val="center"/>
              <w:ind w:left="1328"/>
              <w:spacing w:after="0"/>
              <w:rPr>
                <w:sz w:val="20"/>
                <w:szCs w:val="20"/>
                <w:color w:val="auto"/>
              </w:rPr>
            </w:pPr>
            <w:r>
              <w:rPr>
                <w:rFonts w:ascii="Arial" w:cs="Arial" w:eastAsia="Arial" w:hAnsi="Arial"/>
                <w:sz w:val="14"/>
                <w:szCs w:val="14"/>
                <w:color w:val="auto"/>
                <w:w w:val="90"/>
              </w:rPr>
              <w:t>991,860</w:t>
            </w:r>
          </w:p>
        </w:tc>
        <w:tc>
          <w:tcPr>
            <w:tcW w:w="1760" w:type="dxa"/>
            <w:vAlign w:val="bottom"/>
          </w:tcPr>
          <w:p>
            <w:pPr>
              <w:jc w:val="center"/>
              <w:ind w:left="968"/>
              <w:spacing w:after="0"/>
              <w:rPr>
                <w:sz w:val="20"/>
                <w:szCs w:val="20"/>
                <w:color w:val="auto"/>
              </w:rPr>
            </w:pPr>
            <w:r>
              <w:rPr>
                <w:rFonts w:ascii="Arial" w:cs="Arial" w:eastAsia="Arial" w:hAnsi="Arial"/>
                <w:sz w:val="14"/>
                <w:szCs w:val="14"/>
                <w:color w:val="auto"/>
                <w:w w:val="94"/>
              </w:rPr>
              <w:t>909,969</w:t>
            </w:r>
          </w:p>
        </w:tc>
      </w:tr>
    </w:tbl>
    <w:p>
      <w:pPr>
        <w:spacing w:after="0" w:line="369"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ICON plc</w:t>
      </w:r>
    </w:p>
    <w:p>
      <w:pPr>
        <w:spacing w:after="0" w:line="230" w:lineRule="auto"/>
        <w:rPr>
          <w:sz w:val="20"/>
          <w:szCs w:val="20"/>
          <w:color w:val="auto"/>
        </w:rPr>
      </w:pPr>
      <w:r>
        <w:rPr>
          <w:rFonts w:ascii="Arial" w:cs="Arial" w:eastAsia="Arial" w:hAnsi="Arial"/>
          <w:sz w:val="22"/>
          <w:szCs w:val="22"/>
          <w:color w:val="auto"/>
        </w:rPr>
        <w:t>Investor Relations, 1-888-381-7923</w:t>
      </w:r>
    </w:p>
    <w:p>
      <w:pPr>
        <w:spacing w:after="0" w:line="231"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Brendan Brennan, + 353 1 291 2000</w:t>
      </w:r>
    </w:p>
    <w:p>
      <w:pPr>
        <w:spacing w:after="0" w:line="230" w:lineRule="auto"/>
        <w:rPr>
          <w:sz w:val="20"/>
          <w:szCs w:val="20"/>
          <w:color w:val="auto"/>
        </w:rPr>
      </w:pPr>
      <w:r>
        <w:rPr>
          <w:rFonts w:ascii="Arial" w:cs="Arial" w:eastAsia="Arial" w:hAnsi="Arial"/>
          <w:sz w:val="22"/>
          <w:szCs w:val="22"/>
          <w:color w:val="auto"/>
        </w:rPr>
        <w:t>Chief Financial Officer</w:t>
      </w:r>
    </w:p>
    <w:p>
      <w:pPr>
        <w:spacing w:after="0" w:line="231"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Simon Holmes, +353 1 291 2000</w:t>
      </w:r>
    </w:p>
    <w:p>
      <w:pPr>
        <w:spacing w:after="0" w:line="230" w:lineRule="auto"/>
        <w:rPr>
          <w:sz w:val="20"/>
          <w:szCs w:val="20"/>
          <w:color w:val="auto"/>
        </w:rPr>
      </w:pPr>
      <w:r>
        <w:rPr>
          <w:rFonts w:ascii="Arial" w:cs="Arial" w:eastAsia="Arial" w:hAnsi="Arial"/>
          <w:sz w:val="22"/>
          <w:szCs w:val="22"/>
          <w:color w:val="auto"/>
        </w:rPr>
        <w:t>EVP IR &amp; Corporate Development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http://www.iconplc.com</w:t>
      </w:r>
    </w:p>
    <w:sectPr>
      <w:pgSz w:w="11900" w:h="16838" w:orient="portrait"/>
      <w:cols w:equalWidth="0" w:num="1">
        <w:col w:w="10420"/>
      </w:cols>
      <w:pgMar w:left="240" w:top="306"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2019-12-06T22:39:07Z</dcterms:created>
  <dcterms:modified xsi:type="dcterms:W3CDTF">2019-12-06T22:39:07Z</dcterms:modified>
</cp:coreProperties>
</file>