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5"/>
          <w:szCs w:val="15"/>
          <w:b w:val="1"/>
          <w:bCs w:val="1"/>
          <w:color w:val="auto"/>
        </w:rPr>
        <w:t>UNITED STATES</w:t>
      </w:r>
    </w:p>
    <w:p>
      <w:pPr>
        <w:spacing w:after="0" w:line="24"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SECURITIES AND EXCHANGE COMMISSION</w:t>
      </w:r>
    </w:p>
    <w:p>
      <w:pPr>
        <w:spacing w:after="0" w:line="239"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Washington, D.C. 20549</w:t>
      </w:r>
    </w:p>
    <w:p>
      <w:pPr>
        <w:spacing w:after="0" w:line="238" w:lineRule="exact"/>
        <w:rPr>
          <w:sz w:val="24"/>
          <w:szCs w:val="24"/>
          <w:color w:val="auto"/>
        </w:rPr>
      </w:pPr>
    </w:p>
    <w:p>
      <w:pPr>
        <w:ind w:left="5240"/>
        <w:spacing w:after="0"/>
        <w:rPr>
          <w:sz w:val="20"/>
          <w:szCs w:val="20"/>
          <w:color w:val="auto"/>
        </w:rPr>
      </w:pPr>
      <w:r>
        <w:rPr>
          <w:rFonts w:ascii="Arial" w:cs="Arial" w:eastAsia="Arial" w:hAnsi="Arial"/>
          <w:sz w:val="15"/>
          <w:szCs w:val="15"/>
          <w:b w:val="1"/>
          <w:bCs w:val="1"/>
          <w:color w:val="auto"/>
        </w:rPr>
        <w:t>FORM 6-K</w:t>
      </w:r>
    </w:p>
    <w:p>
      <w:pPr>
        <w:spacing w:after="0" w:line="253"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Report of Foreign Private Issuer</w:t>
      </w:r>
    </w:p>
    <w:p>
      <w:pPr>
        <w:spacing w:after="0" w:line="24"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Pursuant to Rule 13a-16 or 15d-16 under</w:t>
      </w:r>
    </w:p>
    <w:p>
      <w:pPr>
        <w:spacing w:after="0" w:line="8"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the Securities Exchange Act of 1934</w:t>
      </w:r>
    </w:p>
    <w:p>
      <w:pPr>
        <w:spacing w:after="0" w:line="200" w:lineRule="exact"/>
        <w:rPr>
          <w:sz w:val="24"/>
          <w:szCs w:val="24"/>
          <w:color w:val="auto"/>
        </w:rPr>
      </w:pPr>
    </w:p>
    <w:p>
      <w:pPr>
        <w:spacing w:after="0" w:line="271"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For the month of</w:t>
      </w:r>
    </w:p>
    <w:p>
      <w:pPr>
        <w:spacing w:after="0" w:line="22"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April 2025</w:t>
      </w:r>
    </w:p>
    <w:p>
      <w:pPr>
        <w:spacing w:after="0" w:line="200" w:lineRule="exact"/>
        <w:rPr>
          <w:sz w:val="24"/>
          <w:szCs w:val="24"/>
          <w:color w:val="auto"/>
        </w:rPr>
      </w:pPr>
    </w:p>
    <w:p>
      <w:pPr>
        <w:spacing w:after="0" w:line="271"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333-08704</w:t>
      </w:r>
    </w:p>
    <w:p>
      <w:pPr>
        <w:spacing w:after="0" w:line="22"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(Commission file number)</w:t>
      </w:r>
    </w:p>
    <w:p>
      <w:pPr>
        <w:spacing w:after="0" w:line="200" w:lineRule="exact"/>
        <w:rPr>
          <w:sz w:val="24"/>
          <w:szCs w:val="24"/>
          <w:color w:val="auto"/>
        </w:rPr>
      </w:pPr>
    </w:p>
    <w:p>
      <w:pPr>
        <w:spacing w:after="0" w:line="256"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ICON plc</w:t>
      </w:r>
    </w:p>
    <w:p>
      <w:pPr>
        <w:spacing w:after="0" w:line="37"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(Translation of registrant's name into English)</w:t>
      </w:r>
    </w:p>
    <w:p>
      <w:pPr>
        <w:spacing w:after="0" w:line="200" w:lineRule="exact"/>
        <w:rPr>
          <w:sz w:val="24"/>
          <w:szCs w:val="24"/>
          <w:color w:val="auto"/>
        </w:rPr>
      </w:pPr>
    </w:p>
    <w:p>
      <w:pPr>
        <w:spacing w:after="0" w:line="258"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South County Business Park, Leopardstown, Dublin 18, D18 X5R3, Ireland</w:t>
      </w:r>
    </w:p>
    <w:p>
      <w:pPr>
        <w:spacing w:after="0" w:line="22"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(Address of principal executive offices)</w:t>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32" w:lineRule="exact"/>
        <w:rPr>
          <w:sz w:val="24"/>
          <w:szCs w:val="24"/>
          <w:color w:val="auto"/>
        </w:rPr>
      </w:pPr>
    </w:p>
    <w:p>
      <w:pPr>
        <w:ind w:left="4380"/>
        <w:spacing w:after="0"/>
        <w:tabs>
          <w:tab w:leader="none" w:pos="6520" w:val="left"/>
        </w:tabs>
        <w:rPr>
          <w:sz w:val="20"/>
          <w:szCs w:val="20"/>
          <w:color w:val="auto"/>
        </w:rPr>
      </w:pPr>
      <w:r>
        <w:rPr>
          <w:rFonts w:ascii="Arial" w:cs="Arial" w:eastAsia="Arial" w:hAnsi="Arial"/>
          <w:sz w:val="15"/>
          <w:szCs w:val="15"/>
          <w:color w:val="auto"/>
        </w:rPr>
        <w:t>Form 20-F___</w:t>
      </w:r>
      <w:r>
        <w:rPr>
          <w:rFonts w:ascii="Arial" w:cs="Arial" w:eastAsia="Arial" w:hAnsi="Arial"/>
          <w:sz w:val="15"/>
          <w:szCs w:val="15"/>
          <w:b w:val="1"/>
          <w:bCs w:val="1"/>
          <w:color w:val="auto"/>
        </w:rPr>
        <w:t>X</w:t>
      </w:r>
      <w:r>
        <w:rPr>
          <w:rFonts w:ascii="Arial" w:cs="Arial" w:eastAsia="Arial" w:hAnsi="Arial"/>
          <w:sz w:val="15"/>
          <w:szCs w:val="15"/>
          <w:color w:val="auto"/>
        </w:rPr>
        <w:t>___</w:t>
      </w:r>
      <w:r>
        <w:rPr>
          <w:sz w:val="20"/>
          <w:szCs w:val="20"/>
          <w:color w:val="auto"/>
        </w:rPr>
        <w:tab/>
      </w:r>
      <w:r>
        <w:rPr>
          <w:rFonts w:ascii="Arial" w:cs="Arial" w:eastAsia="Arial" w:hAnsi="Arial"/>
          <w:sz w:val="15"/>
          <w:szCs w:val="15"/>
          <w:color w:val="auto"/>
        </w:rPr>
        <w:t>Form 40-F______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754380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19"/>
          </w:cols>
          <w:pgMar w:left="340" w:top="1195"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ICON plc</w:t>
      </w:r>
    </w:p>
    <w:p>
      <w:pPr>
        <w:spacing w:after="0" w:line="16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This report on Form 6-K is hereby incorporated by reference into the registration statements of ICON plc on Form S-8 (Registration Nos. 333-152802, 333-204153, 333-231527, 333-254891, 333-257578 and 333-282826) and on Form F-3 (Registration No. 333-278943),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GENERAL</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As used herein, “ICON plc”, “ICON”, "ICON Group", the “Company” and “we”, "our" or “us” refer to ICON public limited company and its consolidated subsidiaries, unless the context requires otherwise.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42"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5"/>
          <w:szCs w:val="15"/>
          <w:color w:val="auto"/>
        </w:rPr>
        <w:t>ICON is a contract research organization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 from compound selection to Phase I-IV clinical studies. Our vision is to be the healthcare intelligence partner of choice by delivering industry leading solutions and best in class performance in clinical development.</w:t>
      </w:r>
    </w:p>
    <w:p>
      <w:pPr>
        <w:spacing w:after="0" w:line="20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March 31, 2025 we had approximately 41,250 employees in 97 locations in 55 countries. During the three months ended March 31, 2025 we derived 33.6%, 54.8% and 11.6% of our revenue in the United States, Europe and Rest of World respectively (during the three months ended March 31, 2024: 38.7%,</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49.9% and 11.4% respectively).</w:t>
      </w:r>
    </w:p>
    <w:p>
      <w:pPr>
        <w:spacing w:after="0" w:line="22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developments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 program</w:t>
      </w:r>
    </w:p>
    <w:p>
      <w:pPr>
        <w:spacing w:after="0" w:line="24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On February 18, 2025, the Company's Board of Directors authorized an additional buyback program of up to $750.0 million of the outstanding ordinary shares of the Company. Along with $250.0 million remaining under prior authorizations, the total remaining authorization under the buyback program as of February 18, 2025 was up to $1.0 billion worth of ordinary shares.</w:t>
      </w:r>
    </w:p>
    <w:p>
      <w:pPr>
        <w:spacing w:after="0" w:line="198"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March 2025, 1,360,537 shares were redeemed by the Company under our buyback program for a total consideration of $250.0 million. As of March 31, 2025, the Company had remaining authorization to repurchase up to $750.0 million of ordinary shares under the buyback program.</w:t>
      </w:r>
    </w:p>
    <w:p>
      <w:pPr>
        <w:spacing w:after="0" w:line="18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All ordinary shares repurchased under the buyback program were canceled in accordance with the constitution of the Company and the nominal value of these shares transferred to other undenominated capital as required by Irish Company law.</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Update on Vaccine Study</w:t>
      </w:r>
    </w:p>
    <w:p>
      <w:pPr>
        <w:spacing w:after="0" w:line="22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5"/>
          <w:szCs w:val="15"/>
          <w:color w:val="auto"/>
        </w:rPr>
        <w:t>On March 3, 2025, the Company announced that the large-scale next generation COVID vaccine study, which was highlighted on our earnings call on February 20, 2025 as actively screening and moving forward as planned, has been delayed by the sponsor. This indicated a delay of 90 days, suggesting that the study will re-commence late in the second quarter of 2025. We have very recently received a positive update that it may resume sooner and are now actively working with the sponsor to resume work on this trial.</w:t>
      </w:r>
    </w:p>
    <w:p>
      <w:pPr>
        <w:spacing w:after="0" w:line="184"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Please also refer to the section entitled "Risk Factors" of our Form 20-F filed on February 21, 2025 for a discussion of some of the principal risks that could adversely affect our business, operations and financial results including the termination or delay of a large contract, or of multiple contracts which could have a material adverse effect on our revenue and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Global Tariffs</w:t>
      </w:r>
    </w:p>
    <w:p>
      <w:pPr>
        <w:spacing w:after="0" w:line="25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On April 2, 2025, the U.S. government announced additional tariffs on certain goods imported to the United States of America. On April 9, 2025, the U.S. government announced reduced tariffs for a 90 day period. We continue to consider the impact of these developments on our business and our industry, and the actions we can take to minimize their impact.</w:t>
      </w:r>
    </w:p>
    <w:p>
      <w:pPr>
        <w:spacing w:after="0" w:line="198"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These developments present recessionary global risks and create economic uncertainty. Further escalation of economic uncertainty, which could lead to global recession, could have a material adverse effect on our revenue, operations and profitability.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color w:val="auto"/>
        </w:rPr>
        <w:t>Foreign exchange translation</w:t>
      </w:r>
    </w:p>
    <w:p>
      <w:pPr>
        <w:spacing w:after="0" w:line="15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prepares its financial statements in United States ("U.S.") dollar while the local results of a certain number of our subsidiaries are prepared in currencies other than U.S. dollars, including, amongst others, the pound sterling and the euro. In addition, the Company's contracts with clients are sometimes denominated in currencies other than the U.S. dollar. Finally, the Company is exposed to a wide variety of currencies in the expenses line due to most expenses being incurred in the local currencies of where our global operations are based. Accordingly, changes in exchange rates between the U.S. dollar and those other currencies can impact the Company’s financial results.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 w:name="page5"/>
    <w:bookmarkEnd w:id="4"/>
    <w:p>
      <w:pPr>
        <w:ind w:left="5620"/>
        <w:spacing w:after="0"/>
        <w:rPr>
          <w:sz w:val="20"/>
          <w:szCs w:val="20"/>
          <w:color w:val="auto"/>
        </w:rPr>
      </w:pPr>
      <w:r>
        <w:rPr>
          <w:rFonts w:ascii="Arial" w:cs="Arial" w:eastAsia="Arial" w:hAnsi="Arial"/>
          <w:sz w:val="15"/>
          <w:szCs w:val="15"/>
          <w:b w:val="1"/>
          <w:bCs w:val="1"/>
          <w:color w:val="auto"/>
        </w:rPr>
        <w:t>ICON plc</w:t>
      </w:r>
    </w:p>
    <w:p>
      <w:pPr>
        <w:spacing w:after="0" w:line="37"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AS AT MARCH 31, 2025 AND 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(Audited)</w:t>
            </w:r>
          </w:p>
        </w:tc>
      </w:tr>
      <w:tr>
        <w:trPr>
          <w:trHeight w:val="148"/>
        </w:trPr>
        <w:tc>
          <w:tcPr>
            <w:tcW w:w="6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54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r>
      <w:tr>
        <w:trPr>
          <w:trHeight w:val="206"/>
        </w:trPr>
        <w:tc>
          <w:tcPr>
            <w:tcW w:w="69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6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3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c>
          <w:tcPr>
            <w:tcW w:w="1040" w:type="dxa"/>
            <w:vAlign w:val="bottom"/>
            <w:shd w:val="clear" w:color="auto" w:fill="CCEEFF"/>
          </w:tcPr>
          <w:p>
            <w:pPr>
              <w:spacing w:after="0"/>
              <w:rPr>
                <w:sz w:val="17"/>
                <w:szCs w:val="17"/>
                <w:color w:val="auto"/>
              </w:rPr>
            </w:pPr>
          </w:p>
        </w:tc>
      </w:tr>
      <w:tr>
        <w:trPr>
          <w:trHeight w:val="205"/>
        </w:trPr>
        <w:tc>
          <w:tcPr>
            <w:tcW w:w="6960" w:type="dxa"/>
            <w:vAlign w:val="bottom"/>
          </w:tcPr>
          <w:p>
            <w:pPr>
              <w:spacing w:after="0"/>
              <w:rPr>
                <w:sz w:val="20"/>
                <w:szCs w:val="20"/>
                <w:color w:val="auto"/>
              </w:rPr>
            </w:pPr>
            <w:r>
              <w:rPr>
                <w:rFonts w:ascii="Arial" w:cs="Arial" w:eastAsia="Arial" w:hAnsi="Arial"/>
                <w:sz w:val="15"/>
                <w:szCs w:val="15"/>
                <w:color w:val="auto"/>
              </w:rPr>
              <w:t>Current assets:</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132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526,698</w:t>
            </w:r>
          </w:p>
        </w:tc>
        <w:tc>
          <w:tcPr>
            <w:tcW w:w="54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538,785</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Accounts receivable, net of allowance for credit losses</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1,387,462</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1,401,989</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Unbilled revenue</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1,197,080</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1,286,274</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Other receivables</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87,490</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79,487</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Prepayments and other current assets</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153,340</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140,435</w:t>
            </w:r>
          </w:p>
        </w:tc>
      </w:tr>
      <w:tr>
        <w:trPr>
          <w:trHeight w:val="205"/>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Income taxes receivable</w:t>
            </w: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63,969</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83,523</w:t>
            </w:r>
          </w:p>
        </w:tc>
      </w:tr>
      <w:tr>
        <w:trPr>
          <w:trHeight w:val="200"/>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132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3,416,039</w:t>
            </w:r>
          </w:p>
        </w:tc>
        <w:tc>
          <w:tcPr>
            <w:tcW w:w="54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3,530,493</w:t>
            </w:r>
          </w:p>
        </w:tc>
      </w:tr>
      <w:tr>
        <w:trPr>
          <w:trHeight w:val="155"/>
        </w:trPr>
        <w:tc>
          <w:tcPr>
            <w:tcW w:w="6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6"/>
        </w:trPr>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Non-current assets:</w:t>
            </w:r>
          </w:p>
        </w:tc>
        <w:tc>
          <w:tcPr>
            <w:tcW w:w="1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Property, plant and equipment, net</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378,253</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382,879</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Goodwill</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9,065,335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9,051,410</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Intangible assets, net</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3,501,307</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3,559,792</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 right-of-use assets</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147,377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147,602</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Other receivables</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75,122</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72,796</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tax asset</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77,404</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74,758</w:t>
            </w:r>
          </w:p>
        </w:tc>
      </w:tr>
      <w:tr>
        <w:trPr>
          <w:trHeight w:val="205"/>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Investments in equity</w:t>
            </w: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62,160</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57,948</w:t>
            </w:r>
          </w:p>
        </w:tc>
      </w:tr>
      <w:tr>
        <w:trPr>
          <w:trHeight w:val="224"/>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1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16,722,997</w:t>
            </w:r>
          </w:p>
        </w:tc>
        <w:tc>
          <w:tcPr>
            <w:tcW w:w="5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16,877,678</w:t>
            </w:r>
          </w:p>
        </w:tc>
      </w:tr>
      <w:tr>
        <w:trPr>
          <w:trHeight w:val="20"/>
        </w:trPr>
        <w:tc>
          <w:tcPr>
            <w:tcW w:w="69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6"/>
        </w:trPr>
        <w:tc>
          <w:tcPr>
            <w:tcW w:w="6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5"/>
        </w:trPr>
        <w:tc>
          <w:tcPr>
            <w:tcW w:w="6960" w:type="dxa"/>
            <w:vAlign w:val="bottom"/>
          </w:tcPr>
          <w:p>
            <w:pPr>
              <w:spacing w:after="0"/>
              <w:rPr>
                <w:sz w:val="20"/>
                <w:szCs w:val="20"/>
                <w:color w:val="auto"/>
              </w:rPr>
            </w:pPr>
            <w:r>
              <w:rPr>
                <w:rFonts w:ascii="Arial" w:cs="Arial" w:eastAsia="Arial" w:hAnsi="Arial"/>
                <w:sz w:val="15"/>
                <w:szCs w:val="15"/>
                <w:color w:val="auto"/>
              </w:rPr>
              <w:t>Current liabilities:</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132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118,168</w:t>
            </w:r>
          </w:p>
        </w:tc>
        <w:tc>
          <w:tcPr>
            <w:tcW w:w="54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173,025</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Unearned revenue</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1,497,166</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1,614,758</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liabilities</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994,308</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923,603</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Income taxes payable</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49,888</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55,258</w:t>
            </w:r>
          </w:p>
        </w:tc>
      </w:tr>
      <w:tr>
        <w:trPr>
          <w:trHeight w:val="206"/>
        </w:trPr>
        <w:tc>
          <w:tcPr>
            <w:tcW w:w="69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Current bank credit lines, loan facilities and notes</w:t>
            </w:r>
          </w:p>
        </w:tc>
        <w:tc>
          <w:tcPr>
            <w:tcW w:w="1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29,762</w:t>
            </w: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29,762</w:t>
            </w:r>
          </w:p>
        </w:tc>
      </w:tr>
      <w:tr>
        <w:trPr>
          <w:trHeight w:val="199"/>
        </w:trPr>
        <w:tc>
          <w:tcPr>
            <w:tcW w:w="6960" w:type="dxa"/>
            <w:vAlign w:val="bottom"/>
          </w:tcPr>
          <w:p>
            <w:pPr>
              <w:ind w:left="320"/>
              <w:spacing w:after="0"/>
              <w:rPr>
                <w:sz w:val="20"/>
                <w:szCs w:val="20"/>
                <w:color w:val="auto"/>
              </w:rPr>
            </w:pPr>
            <w:r>
              <w:rPr>
                <w:rFonts w:ascii="Arial" w:cs="Arial" w:eastAsia="Arial" w:hAnsi="Arial"/>
                <w:sz w:val="15"/>
                <w:szCs w:val="15"/>
                <w:color w:val="auto"/>
              </w:rPr>
              <w:t>Total current liabilities</w:t>
            </w:r>
          </w:p>
        </w:tc>
        <w:tc>
          <w:tcPr>
            <w:tcW w:w="132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2,689,292</w:t>
            </w:r>
          </w:p>
        </w:tc>
        <w:tc>
          <w:tcPr>
            <w:tcW w:w="54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2,796,406</w:t>
            </w:r>
          </w:p>
        </w:tc>
      </w:tr>
      <w:tr>
        <w:trPr>
          <w:trHeight w:val="207"/>
        </w:trPr>
        <w:tc>
          <w:tcPr>
            <w:tcW w:w="6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5"/>
        </w:trPr>
        <w:tc>
          <w:tcPr>
            <w:tcW w:w="6960" w:type="dxa"/>
            <w:vAlign w:val="bottom"/>
          </w:tcPr>
          <w:p>
            <w:pPr>
              <w:spacing w:after="0"/>
              <w:rPr>
                <w:sz w:val="20"/>
                <w:szCs w:val="20"/>
                <w:color w:val="auto"/>
              </w:rPr>
            </w:pPr>
            <w:r>
              <w:rPr>
                <w:rFonts w:ascii="Arial" w:cs="Arial" w:eastAsia="Arial" w:hAnsi="Arial"/>
                <w:sz w:val="15"/>
                <w:szCs w:val="15"/>
                <w:color w:val="auto"/>
              </w:rPr>
              <w:t>Non-current liabilities:</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Non-current bank credit lines, loan facilities and notes, net</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3,390,438</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3,396,398</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Lease liabilities</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138,354</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140,085</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Non-current other liabilities</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85,713</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83,470</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Non-current income taxes payable</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129,529</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125,834</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tax liability</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788,816</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812,486</w:t>
            </w:r>
          </w:p>
        </w:tc>
      </w:tr>
      <w:tr>
        <w:trPr>
          <w:trHeight w:val="205"/>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Commitments and contingencies</w:t>
            </w: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69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Total Liabilities</w:t>
            </w:r>
          </w:p>
        </w:tc>
        <w:tc>
          <w:tcPr>
            <w:tcW w:w="1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7,222,142</w:t>
            </w:r>
          </w:p>
        </w:tc>
        <w:tc>
          <w:tcPr>
            <w:tcW w:w="5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7,354,679</w:t>
            </w:r>
          </w:p>
        </w:tc>
      </w:tr>
      <w:tr>
        <w:trPr>
          <w:trHeight w:val="187"/>
        </w:trPr>
        <w:tc>
          <w:tcPr>
            <w:tcW w:w="6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1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Ordinary shares, par value 6 euro cents per share; 100,000,000 shares authorized,</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79,464,252 shares issued and outstanding at March 31, 2025 and</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80,756,860 shares issued and outstanding at December 31, 2024</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6,505</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6,586</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7,037,344</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7,020,231</w:t>
            </w:r>
          </w:p>
        </w:tc>
      </w:tr>
      <w:tr>
        <w:trPr>
          <w:trHeight w:val="205"/>
        </w:trPr>
        <w:tc>
          <w:tcPr>
            <w:tcW w:w="6960" w:type="dxa"/>
            <w:vAlign w:val="bottom"/>
          </w:tcPr>
          <w:p>
            <w:pPr>
              <w:ind w:left="320"/>
              <w:spacing w:after="0"/>
              <w:rPr>
                <w:sz w:val="20"/>
                <w:szCs w:val="20"/>
                <w:color w:val="auto"/>
              </w:rPr>
            </w:pPr>
            <w:r>
              <w:rPr>
                <w:rFonts w:ascii="Arial" w:cs="Arial" w:eastAsia="Arial" w:hAnsi="Arial"/>
                <w:sz w:val="15"/>
                <w:szCs w:val="15"/>
                <w:color w:val="auto"/>
              </w:rPr>
              <w:t>Other undenominated capital</w:t>
            </w:r>
          </w:p>
        </w:tc>
        <w:tc>
          <w:tcPr>
            <w:tcW w:w="1320" w:type="dxa"/>
            <w:vAlign w:val="bottom"/>
          </w:tcPr>
          <w:p>
            <w:pPr>
              <w:spacing w:after="0"/>
              <w:rPr>
                <w:sz w:val="17"/>
                <w:szCs w:val="17"/>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1,389</w:t>
            </w: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1,304</w:t>
            </w:r>
          </w:p>
        </w:tc>
      </w:tr>
      <w:tr>
        <w:trPr>
          <w:trHeight w:val="207"/>
        </w:trPr>
        <w:tc>
          <w:tcPr>
            <w:tcW w:w="6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(173,191)</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(229,929)</w:t>
            </w:r>
          </w:p>
        </w:tc>
      </w:tr>
      <w:tr>
        <w:trPr>
          <w:trHeight w:val="205"/>
        </w:trPr>
        <w:tc>
          <w:tcPr>
            <w:tcW w:w="696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Retained earnings</w:t>
            </w:r>
          </w:p>
        </w:tc>
        <w:tc>
          <w:tcPr>
            <w:tcW w:w="1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2,628,808</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2,724,807</w:t>
            </w:r>
          </w:p>
        </w:tc>
      </w:tr>
      <w:tr>
        <w:trPr>
          <w:trHeight w:val="199"/>
        </w:trPr>
        <w:tc>
          <w:tcPr>
            <w:tcW w:w="6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Total Shareholders' Equity</w:t>
            </w:r>
          </w:p>
        </w:tc>
        <w:tc>
          <w:tcPr>
            <w:tcW w:w="1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9,500,855</w:t>
            </w:r>
          </w:p>
        </w:tc>
        <w:tc>
          <w:tcPr>
            <w:tcW w:w="5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9,522,999</w:t>
            </w:r>
          </w:p>
        </w:tc>
      </w:tr>
      <w:tr>
        <w:trPr>
          <w:trHeight w:val="199"/>
        </w:trPr>
        <w:tc>
          <w:tcPr>
            <w:tcW w:w="6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Liabilities and Shareholders' Equity</w:t>
            </w:r>
          </w:p>
        </w:tc>
        <w:tc>
          <w:tcPr>
            <w:tcW w:w="13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16,722,997</w:t>
            </w:r>
          </w:p>
        </w:tc>
        <w:tc>
          <w:tcPr>
            <w:tcW w:w="5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16,877,678</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420" w:top="448" w:right="4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 THE THREE MONTHS ENDED MARCH 31, 2025 AND MARCH 31, 2024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44" w:lineRule="exact"/>
        <w:rPr>
          <w:sz w:val="20"/>
          <w:szCs w:val="20"/>
          <w:color w:val="auto"/>
        </w:rPr>
      </w:pPr>
    </w:p>
    <w:p>
      <w:pPr>
        <w:ind w:left="8120"/>
        <w:spacing w:after="0"/>
        <w:rPr>
          <w:sz w:val="20"/>
          <w:szCs w:val="20"/>
          <w:color w:val="auto"/>
        </w:rPr>
      </w:pPr>
      <w:r>
        <w:rPr>
          <w:rFonts w:ascii="Arial" w:cs="Arial" w:eastAsia="Arial" w:hAnsi="Arial"/>
          <w:sz w:val="15"/>
          <w:szCs w:val="15"/>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6623050" cy="130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3050" cy="13081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64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4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56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48"/>
        </w:trPr>
        <w:tc>
          <w:tcPr>
            <w:tcW w:w="5640" w:type="dxa"/>
            <w:vAlign w:val="bottom"/>
            <w:shd w:val="clear" w:color="auto" w:fill="CCEEFF"/>
          </w:tcPr>
          <w:p>
            <w:pPr>
              <w:spacing w:after="0"/>
              <w:rPr>
                <w:sz w:val="12"/>
                <w:szCs w:val="12"/>
                <w:color w:val="auto"/>
              </w:rPr>
            </w:pPr>
          </w:p>
        </w:tc>
        <w:tc>
          <w:tcPr>
            <w:tcW w:w="4780" w:type="dxa"/>
            <w:vAlign w:val="bottom"/>
            <w:gridSpan w:val="4"/>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(in thousands except share and per share</w:t>
            </w:r>
          </w:p>
        </w:tc>
      </w:tr>
      <w:tr>
        <w:trPr>
          <w:trHeight w:val="206"/>
        </w:trPr>
        <w:tc>
          <w:tcPr>
            <w:tcW w:w="56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data)</w:t>
            </w:r>
          </w:p>
        </w:tc>
        <w:tc>
          <w:tcPr>
            <w:tcW w:w="1120" w:type="dxa"/>
            <w:vAlign w:val="bottom"/>
            <w:shd w:val="clear" w:color="auto" w:fill="CCEEFF"/>
          </w:tcPr>
          <w:p>
            <w:pPr>
              <w:spacing w:after="0"/>
              <w:rPr>
                <w:sz w:val="17"/>
                <w:szCs w:val="17"/>
                <w:color w:val="auto"/>
              </w:rPr>
            </w:pPr>
          </w:p>
        </w:tc>
      </w:tr>
      <w:tr>
        <w:trPr>
          <w:trHeight w:val="258"/>
        </w:trPr>
        <w:tc>
          <w:tcPr>
            <w:tcW w:w="56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6"/>
        </w:trPr>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20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2,001,332</w:t>
            </w:r>
          </w:p>
        </w:tc>
        <w:tc>
          <w:tcPr>
            <w:tcW w:w="4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2,090,386</w:t>
            </w:r>
          </w:p>
        </w:tc>
      </w:tr>
      <w:tr>
        <w:trPr>
          <w:trHeight w:val="258"/>
        </w:trPr>
        <w:tc>
          <w:tcPr>
            <w:tcW w:w="56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6"/>
        </w:trPr>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Costs and expenses:</w:t>
            </w:r>
          </w:p>
        </w:tc>
        <w:tc>
          <w:tcPr>
            <w:tcW w:w="20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5"/>
        </w:trPr>
        <w:tc>
          <w:tcPr>
            <w:tcW w:w="5640" w:type="dxa"/>
            <w:vAlign w:val="bottom"/>
          </w:tcPr>
          <w:p>
            <w:pPr>
              <w:ind w:left="320"/>
              <w:spacing w:after="0"/>
              <w:rPr>
                <w:sz w:val="20"/>
                <w:szCs w:val="20"/>
                <w:color w:val="auto"/>
              </w:rPr>
            </w:pPr>
            <w:r>
              <w:rPr>
                <w:rFonts w:ascii="Arial" w:cs="Arial" w:eastAsia="Arial" w:hAnsi="Arial"/>
                <w:sz w:val="15"/>
                <w:szCs w:val="15"/>
                <w:color w:val="auto"/>
              </w:rPr>
              <w:t>Direct costs</w:t>
            </w:r>
          </w:p>
        </w:tc>
        <w:tc>
          <w:tcPr>
            <w:tcW w:w="208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1,442,679</w:t>
            </w:r>
          </w:p>
        </w:tc>
        <w:tc>
          <w:tcPr>
            <w:tcW w:w="4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1,471,367</w:t>
            </w:r>
          </w:p>
        </w:tc>
      </w:tr>
      <w:tr>
        <w:trPr>
          <w:trHeight w:val="207"/>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Selling, general and administrative</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198,384</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177,350</w:t>
            </w:r>
          </w:p>
        </w:tc>
      </w:tr>
      <w:tr>
        <w:trPr>
          <w:trHeight w:val="205"/>
        </w:trPr>
        <w:tc>
          <w:tcPr>
            <w:tcW w:w="564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208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95,958</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149,181</w:t>
            </w:r>
          </w:p>
        </w:tc>
      </w:tr>
      <w:tr>
        <w:trPr>
          <w:trHeight w:val="207"/>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Transaction and integration related</w:t>
            </w:r>
          </w:p>
        </w:tc>
        <w:tc>
          <w:tcPr>
            <w:tcW w:w="20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5,404</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6,991</w:t>
            </w:r>
          </w:p>
        </w:tc>
      </w:tr>
      <w:tr>
        <w:trPr>
          <w:trHeight w:val="205"/>
        </w:trPr>
        <w:tc>
          <w:tcPr>
            <w:tcW w:w="564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Restructuring</w:t>
            </w:r>
          </w:p>
        </w:tc>
        <w:tc>
          <w:tcPr>
            <w:tcW w:w="20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39,346</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56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Total costs and expenses</w:t>
            </w:r>
          </w:p>
        </w:tc>
        <w:tc>
          <w:tcPr>
            <w:tcW w:w="20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1,781,771</w:t>
            </w: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1,804,889</w:t>
            </w:r>
          </w:p>
        </w:tc>
      </w:tr>
      <w:tr>
        <w:trPr>
          <w:trHeight w:val="239"/>
        </w:trPr>
        <w:tc>
          <w:tcPr>
            <w:tcW w:w="5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6"/>
        </w:trPr>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20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219,561</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285,497</w:t>
            </w:r>
          </w:p>
        </w:tc>
      </w:tr>
      <w:tr>
        <w:trPr>
          <w:trHeight w:val="205"/>
        </w:trPr>
        <w:tc>
          <w:tcPr>
            <w:tcW w:w="5640" w:type="dxa"/>
            <w:vAlign w:val="bottom"/>
          </w:tcPr>
          <w:p>
            <w:pPr>
              <w:ind w:left="320"/>
              <w:spacing w:after="0"/>
              <w:rPr>
                <w:sz w:val="20"/>
                <w:szCs w:val="20"/>
                <w:color w:val="auto"/>
              </w:rPr>
            </w:pPr>
            <w:r>
              <w:rPr>
                <w:rFonts w:ascii="Arial" w:cs="Arial" w:eastAsia="Arial" w:hAnsi="Arial"/>
                <w:sz w:val="15"/>
                <w:szCs w:val="15"/>
                <w:color w:val="auto"/>
              </w:rPr>
              <w:t>Interest income</w:t>
            </w:r>
          </w:p>
        </w:tc>
        <w:tc>
          <w:tcPr>
            <w:tcW w:w="208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1,802</w:t>
            </w: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1,930</w:t>
            </w:r>
          </w:p>
        </w:tc>
      </w:tr>
      <w:tr>
        <w:trPr>
          <w:trHeight w:val="206"/>
        </w:trPr>
        <w:tc>
          <w:tcPr>
            <w:tcW w:w="5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Interest expense</w:t>
            </w:r>
          </w:p>
        </w:tc>
        <w:tc>
          <w:tcPr>
            <w:tcW w:w="20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(47,609)</w:t>
            </w: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(71,665)</w:t>
            </w:r>
          </w:p>
        </w:tc>
      </w:tr>
      <w:tr>
        <w:trPr>
          <w:trHeight w:val="239"/>
        </w:trPr>
        <w:tc>
          <w:tcPr>
            <w:tcW w:w="5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6"/>
        </w:trPr>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Income before income tax expense</w:t>
            </w:r>
          </w:p>
        </w:tc>
        <w:tc>
          <w:tcPr>
            <w:tcW w:w="20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173,754</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215,762</w:t>
            </w:r>
          </w:p>
        </w:tc>
      </w:tr>
      <w:tr>
        <w:trPr>
          <w:trHeight w:val="205"/>
        </w:trPr>
        <w:tc>
          <w:tcPr>
            <w:tcW w:w="564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Income tax expense</w:t>
            </w:r>
          </w:p>
        </w:tc>
        <w:tc>
          <w:tcPr>
            <w:tcW w:w="20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(19,603)</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(28,324)</w:t>
            </w:r>
          </w:p>
        </w:tc>
      </w:tr>
      <w:tr>
        <w:trPr>
          <w:trHeight w:val="224"/>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20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154,151</w:t>
            </w:r>
          </w:p>
        </w:tc>
        <w:tc>
          <w:tcPr>
            <w:tcW w:w="4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187,438</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5640" w:type="dxa"/>
            <w:vAlign w:val="bottom"/>
            <w:shd w:val="clear" w:color="auto" w:fill="CCEEFF"/>
          </w:tcPr>
          <w:p>
            <w:pPr>
              <w:spacing w:after="0"/>
              <w:rPr>
                <w:sz w:val="20"/>
                <w:szCs w:val="20"/>
                <w:color w:val="auto"/>
              </w:rPr>
            </w:pPr>
            <w:r>
              <w:rPr>
                <w:rFonts w:ascii="Arial" w:cs="Arial" w:eastAsia="Arial" w:hAnsi="Arial"/>
                <w:sz w:val="15"/>
                <w:szCs w:val="15"/>
                <w:color w:val="auto"/>
              </w:rPr>
              <w:t>Net income per ordinary share:</w:t>
            </w:r>
          </w:p>
        </w:tc>
        <w:tc>
          <w:tcPr>
            <w:tcW w:w="20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58"/>
        </w:trPr>
        <w:tc>
          <w:tcPr>
            <w:tcW w:w="56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6"/>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20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1.91</w:t>
            </w:r>
          </w:p>
        </w:tc>
        <w:tc>
          <w:tcPr>
            <w:tcW w:w="4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r>
      <w:tr>
        <w:trPr>
          <w:trHeight w:val="205"/>
        </w:trPr>
        <w:tc>
          <w:tcPr>
            <w:tcW w:w="564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Diluted</w:t>
            </w:r>
          </w:p>
        </w:tc>
        <w:tc>
          <w:tcPr>
            <w:tcW w:w="20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1.90</w:t>
            </w:r>
          </w:p>
        </w:tc>
        <w:tc>
          <w:tcPr>
            <w:tcW w:w="4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56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5"/>
        </w:trPr>
        <w:tc>
          <w:tcPr>
            <w:tcW w:w="5640" w:type="dxa"/>
            <w:vAlign w:val="bottom"/>
          </w:tcPr>
          <w:p>
            <w:pPr>
              <w:spacing w:after="0"/>
              <w:rPr>
                <w:sz w:val="20"/>
                <w:szCs w:val="20"/>
                <w:color w:val="auto"/>
              </w:rPr>
            </w:pPr>
            <w:r>
              <w:rPr>
                <w:rFonts w:ascii="Arial" w:cs="Arial" w:eastAsia="Arial" w:hAnsi="Arial"/>
                <w:sz w:val="15"/>
                <w:szCs w:val="15"/>
                <w:color w:val="auto"/>
              </w:rPr>
              <w:t>Weighted average number of ordinary shares outstanding:</w:t>
            </w:r>
          </w:p>
        </w:tc>
        <w:tc>
          <w:tcPr>
            <w:tcW w:w="2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9"/>
        </w:trPr>
        <w:tc>
          <w:tcPr>
            <w:tcW w:w="564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05"/>
        </w:trPr>
        <w:tc>
          <w:tcPr>
            <w:tcW w:w="5640" w:type="dxa"/>
            <w:vAlign w:val="bottom"/>
          </w:tcPr>
          <w:p>
            <w:pPr>
              <w:ind w:left="320"/>
              <w:spacing w:after="0"/>
              <w:rPr>
                <w:sz w:val="20"/>
                <w:szCs w:val="20"/>
                <w:color w:val="auto"/>
              </w:rPr>
            </w:pPr>
            <w:r>
              <w:rPr>
                <w:rFonts w:ascii="Arial" w:cs="Arial" w:eastAsia="Arial" w:hAnsi="Arial"/>
                <w:sz w:val="15"/>
                <w:szCs w:val="15"/>
                <w:color w:val="auto"/>
              </w:rPr>
              <w:t>Basic</w:t>
            </w:r>
          </w:p>
        </w:tc>
        <w:tc>
          <w:tcPr>
            <w:tcW w:w="208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80,552,734</w:t>
            </w:r>
          </w:p>
        </w:tc>
        <w:tc>
          <w:tcPr>
            <w:tcW w:w="4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82,579,203</w:t>
            </w:r>
          </w:p>
        </w:tc>
      </w:tr>
      <w:tr>
        <w:trPr>
          <w:trHeight w:val="231"/>
        </w:trPr>
        <w:tc>
          <w:tcPr>
            <w:tcW w:w="5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Diluted</w:t>
            </w:r>
          </w:p>
        </w:tc>
        <w:tc>
          <w:tcPr>
            <w:tcW w:w="20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80,924,355</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83,249,303</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73660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20"/>
          </w:cols>
          <w:pgMar w:left="740" w:top="667" w:right="7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ind w:right="20"/>
        <w:spacing w:after="0" w:line="277" w:lineRule="auto"/>
        <w:rPr>
          <w:sz w:val="20"/>
          <w:szCs w:val="20"/>
          <w:color w:val="auto"/>
        </w:rPr>
      </w:pPr>
      <w:r>
        <w:rPr>
          <w:rFonts w:ascii="Arial" w:cs="Arial" w:eastAsia="Arial" w:hAnsi="Arial"/>
          <w:sz w:val="15"/>
          <w:szCs w:val="15"/>
          <w:b w:val="1"/>
          <w:bCs w:val="1"/>
          <w:color w:val="auto"/>
        </w:rPr>
        <w:t>CONDENSED CONSOLIDATED STATEMENTS OF COMPREHENSIVE INCOME FOR THE THREE MONTHS ENDED MARCH 31, 2025 AND MARCH 31, 2024 (UNAUDITED)</w:t>
      </w:r>
    </w:p>
    <w:p>
      <w:pPr>
        <w:spacing w:after="0" w:line="225" w:lineRule="exact"/>
        <w:rPr>
          <w:sz w:val="20"/>
          <w:szCs w:val="20"/>
          <w:color w:val="auto"/>
        </w:rPr>
      </w:pPr>
    </w:p>
    <w:p>
      <w:pPr>
        <w:ind w:left="7960"/>
        <w:spacing w:after="0"/>
        <w:rPr>
          <w:sz w:val="20"/>
          <w:szCs w:val="20"/>
          <w:color w:val="auto"/>
        </w:rPr>
      </w:pPr>
      <w:r>
        <w:rPr>
          <w:rFonts w:ascii="Arial" w:cs="Arial" w:eastAsia="Arial" w:hAnsi="Arial"/>
          <w:sz w:val="15"/>
          <w:szCs w:val="15"/>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516370" cy="130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6370" cy="13081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00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6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50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0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(in thousands)</w:t>
            </w:r>
          </w:p>
        </w:tc>
        <w:tc>
          <w:tcPr>
            <w:tcW w:w="860" w:type="dxa"/>
            <w:vAlign w:val="bottom"/>
            <w:shd w:val="clear" w:color="auto" w:fill="CCEEFF"/>
          </w:tcPr>
          <w:p>
            <w:pPr>
              <w:spacing w:after="0"/>
              <w:rPr>
                <w:sz w:val="17"/>
                <w:szCs w:val="17"/>
                <w:color w:val="auto"/>
              </w:rPr>
            </w:pPr>
          </w:p>
        </w:tc>
      </w:tr>
      <w:tr>
        <w:trPr>
          <w:trHeight w:val="205"/>
        </w:trPr>
        <w:tc>
          <w:tcPr>
            <w:tcW w:w="500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62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154,151</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187,438</w:t>
            </w:r>
          </w:p>
        </w:tc>
      </w:tr>
      <w:tr>
        <w:trPr>
          <w:trHeight w:val="207"/>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Other comprehensive income, net of tax:</w:t>
            </w:r>
          </w:p>
        </w:tc>
        <w:tc>
          <w:tcPr>
            <w:tcW w:w="2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5"/>
        </w:trPr>
        <w:tc>
          <w:tcPr>
            <w:tcW w:w="500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2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59,158</w:t>
            </w: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(32,040)</w:t>
            </w:r>
          </w:p>
        </w:tc>
      </w:tr>
      <w:tr>
        <w:trPr>
          <w:trHeight w:val="206"/>
        </w:trPr>
        <w:tc>
          <w:tcPr>
            <w:tcW w:w="5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(Gain) / loss on cash flow hedge</w:t>
            </w:r>
          </w:p>
        </w:tc>
        <w:tc>
          <w:tcPr>
            <w:tcW w:w="26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6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9,084</w:t>
            </w:r>
          </w:p>
        </w:tc>
      </w:tr>
      <w:tr>
        <w:trPr>
          <w:trHeight w:val="20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26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210,889</w:t>
            </w:r>
          </w:p>
        </w:tc>
        <w:tc>
          <w:tcPr>
            <w:tcW w:w="6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164,482</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65405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60"/>
          </w:cols>
          <w:pgMar w:left="820" w:top="667" w:right="8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SHAREHOLDERS' EQUITY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Number of</w:t>
            </w: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Additional</w:t>
            </w:r>
          </w:p>
        </w:tc>
        <w:tc>
          <w:tcPr>
            <w:tcW w:w="3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Other</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b w:val="1"/>
                <w:bCs w:val="1"/>
                <w:color w:val="auto"/>
              </w:rPr>
              <w:t>Accumulated</w:t>
            </w: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Ordinary</w:t>
            </w:r>
          </w:p>
        </w:tc>
        <w:tc>
          <w:tcPr>
            <w:tcW w:w="2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Other</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Retained</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Ordinary</w:t>
            </w:r>
          </w:p>
        </w:tc>
        <w:tc>
          <w:tcPr>
            <w:tcW w:w="2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80" w:type="dxa"/>
            <w:vAlign w:val="bottom"/>
            <w:gridSpan w:val="5"/>
            <w:shd w:val="clear" w:color="auto" w:fill="CCEEFF"/>
          </w:tcPr>
          <w:p>
            <w:pPr>
              <w:ind w:left="340"/>
              <w:spacing w:after="0" w:line="155" w:lineRule="exact"/>
              <w:rPr>
                <w:sz w:val="20"/>
                <w:szCs w:val="20"/>
                <w:color w:val="auto"/>
              </w:rPr>
            </w:pPr>
            <w:r>
              <w:rPr>
                <w:rFonts w:ascii="Arial" w:cs="Arial" w:eastAsia="Arial" w:hAnsi="Arial"/>
                <w:sz w:val="15"/>
                <w:szCs w:val="15"/>
                <w:b w:val="1"/>
                <w:bCs w:val="1"/>
                <w:color w:val="auto"/>
              </w:rPr>
              <w:t>Paid-in Undenominated Comprehensive</w:t>
            </w:r>
          </w:p>
        </w:tc>
        <w:tc>
          <w:tcPr>
            <w:tcW w:w="2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b w:val="1"/>
                <w:bCs w:val="1"/>
                <w:color w:val="auto"/>
              </w:rPr>
              <w:t>Capital</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Loss</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Earnings</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ind w:left="320"/>
              <w:spacing w:after="0"/>
              <w:rPr>
                <w:sz w:val="20"/>
                <w:szCs w:val="20"/>
                <w:color w:val="auto"/>
              </w:rPr>
            </w:pPr>
            <w:r>
              <w:rPr>
                <w:rFonts w:ascii="Arial" w:cs="Arial" w:eastAsia="Arial" w:hAnsi="Arial"/>
                <w:sz w:val="15"/>
                <w:szCs w:val="15"/>
                <w:b w:val="1"/>
                <w:bCs w:val="1"/>
                <w:color w:val="auto"/>
              </w:rPr>
              <w:t>(in thousands, except share data)</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80,756,860</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6,586</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7,020,231</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(229,929)</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2,724,807</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9,522,999</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154,151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154,151</w:t>
            </w:r>
          </w:p>
        </w:tc>
        <w:tc>
          <w:tcPr>
            <w:tcW w:w="0" w:type="dxa"/>
            <w:vAlign w:val="bottom"/>
          </w:tcPr>
          <w:p>
            <w:pPr>
              <w:spacing w:after="0"/>
              <w:rPr>
                <w:sz w:val="1"/>
                <w:szCs w:val="1"/>
                <w:color w:val="auto"/>
              </w:rPr>
            </w:pPr>
          </w:p>
        </w:tc>
      </w:tr>
      <w:tr>
        <w:trPr>
          <w:trHeight w:val="205"/>
        </w:trPr>
        <w:tc>
          <w:tcPr>
            <w:tcW w:w="33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59,158</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59,158</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cash flow hedge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(2,420)</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210,889</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40,883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4,759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4,762</w:t>
            </w: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27,046</w:t>
            </w:r>
          </w:p>
        </w:tc>
        <w:tc>
          <w:tcPr>
            <w:tcW w:w="26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12,359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12,359</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ordinary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(1,360,537)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repurchase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79,464,252</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6,505</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7,037,344</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(173,191)</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2,628,808</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9,500,855</w:t>
            </w:r>
          </w:p>
        </w:tc>
        <w:tc>
          <w:tcPr>
            <w:tcW w:w="0" w:type="dxa"/>
            <w:vAlign w:val="bottom"/>
          </w:tcPr>
          <w:p>
            <w:pPr>
              <w:spacing w:after="0"/>
              <w:rPr>
                <w:sz w:val="1"/>
                <w:szCs w:val="1"/>
                <w:color w:val="auto"/>
              </w:rPr>
            </w:pPr>
          </w:p>
        </w:tc>
      </w:tr>
      <w:tr>
        <w:trPr>
          <w:trHeight w:val="560"/>
        </w:trPr>
        <w:tc>
          <w:tcPr>
            <w:tcW w:w="3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Number of</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Additional</w:t>
            </w:r>
          </w:p>
        </w:tc>
        <w:tc>
          <w:tcPr>
            <w:tcW w:w="3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Other</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Accumulated</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Ordinary</w:t>
            </w:r>
          </w:p>
        </w:tc>
        <w:tc>
          <w:tcPr>
            <w:tcW w:w="2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Other</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Retained</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Ordinary</w:t>
            </w:r>
          </w:p>
        </w:tc>
        <w:tc>
          <w:tcPr>
            <w:tcW w:w="2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80" w:type="dxa"/>
            <w:vAlign w:val="bottom"/>
            <w:gridSpan w:val="5"/>
            <w:shd w:val="clear" w:color="auto" w:fill="CCEEFF"/>
          </w:tcPr>
          <w:p>
            <w:pPr>
              <w:ind w:left="340"/>
              <w:spacing w:after="0" w:line="155" w:lineRule="exact"/>
              <w:rPr>
                <w:sz w:val="20"/>
                <w:szCs w:val="20"/>
                <w:color w:val="auto"/>
              </w:rPr>
            </w:pPr>
            <w:r>
              <w:rPr>
                <w:rFonts w:ascii="Arial" w:cs="Arial" w:eastAsia="Arial" w:hAnsi="Arial"/>
                <w:sz w:val="15"/>
                <w:szCs w:val="15"/>
                <w:b w:val="1"/>
                <w:bCs w:val="1"/>
                <w:color w:val="auto"/>
              </w:rPr>
              <w:t>Paid-in Undenominated Comprehensive</w:t>
            </w:r>
          </w:p>
        </w:tc>
        <w:tc>
          <w:tcPr>
            <w:tcW w:w="22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b w:val="1"/>
                <w:bCs w:val="1"/>
                <w:color w:val="auto"/>
              </w:rPr>
              <w:t>Capital</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Capital</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Loss</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Earnings</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ind w:left="320"/>
              <w:spacing w:after="0"/>
              <w:rPr>
                <w:sz w:val="20"/>
                <w:szCs w:val="20"/>
                <w:color w:val="auto"/>
              </w:rPr>
            </w:pPr>
            <w:r>
              <w:rPr>
                <w:rFonts w:ascii="Arial" w:cs="Arial" w:eastAsia="Arial" w:hAnsi="Arial"/>
                <w:sz w:val="15"/>
                <w:szCs w:val="15"/>
                <w:b w:val="1"/>
                <w:bCs w:val="1"/>
                <w:color w:val="auto"/>
              </w:rPr>
              <w:t>(in thousands, except share data)</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82,495,086</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6,699</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6,942,669</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(143,506)</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2,433,719</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9,240,743</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color w:val="auto"/>
              </w:rPr>
              <w:t>Comprehensive income, net of tax:</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187,438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187,438</w:t>
            </w:r>
          </w:p>
        </w:tc>
        <w:tc>
          <w:tcPr>
            <w:tcW w:w="0" w:type="dxa"/>
            <w:vAlign w:val="bottom"/>
          </w:tcPr>
          <w:p>
            <w:pPr>
              <w:spacing w:after="0"/>
              <w:rPr>
                <w:sz w:val="1"/>
                <w:szCs w:val="1"/>
                <w:color w:val="auto"/>
              </w:rPr>
            </w:pPr>
          </w:p>
        </w:tc>
      </w:tr>
      <w:tr>
        <w:trPr>
          <w:trHeight w:val="205"/>
        </w:trPr>
        <w:tc>
          <w:tcPr>
            <w:tcW w:w="3340" w:type="dxa"/>
            <w:vAlign w:val="bottom"/>
          </w:tcPr>
          <w:p>
            <w:pPr>
              <w:ind w:left="120"/>
              <w:spacing w:after="0"/>
              <w:rPr>
                <w:sz w:val="20"/>
                <w:szCs w:val="20"/>
                <w:color w:val="auto"/>
              </w:rPr>
            </w:pPr>
            <w:r>
              <w:rPr>
                <w:rFonts w:ascii="Arial" w:cs="Arial" w:eastAsia="Arial" w:hAnsi="Arial"/>
                <w:sz w:val="15"/>
                <w:szCs w:val="15"/>
                <w:color w:val="auto"/>
              </w:rPr>
              <w:t>Currency translation adjustment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(32,040)</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(32,040)</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cash flow hedge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9,084</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164,482</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156,527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16,293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16,303</w:t>
            </w: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Issue of restricted share units / performance</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32,192</w:t>
            </w:r>
          </w:p>
        </w:tc>
        <w:tc>
          <w:tcPr>
            <w:tcW w:w="26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share units</w:t>
            </w:r>
          </w:p>
        </w:tc>
        <w:tc>
          <w:tcPr>
            <w:tcW w:w="1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11,121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11,121</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Share issuance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82,683,805</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6,711</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6,970,079</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(166,462)</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2,621,157</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9,432,647</w:t>
            </w:r>
          </w:p>
        </w:tc>
        <w:tc>
          <w:tcPr>
            <w:tcW w:w="0" w:type="dxa"/>
            <w:vAlign w:val="bottom"/>
          </w:tcPr>
          <w:p>
            <w:pPr>
              <w:spacing w:after="0"/>
              <w:rPr>
                <w:sz w:val="1"/>
                <w:szCs w:val="1"/>
                <w:color w:val="auto"/>
              </w:rPr>
            </w:pPr>
          </w:p>
        </w:tc>
      </w:tr>
    </w:tbl>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73660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60"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 THE THREE MONTHS ENDED MARCH 31, 2025 AND MARCH 31, 2024</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44" w:lineRule="exact"/>
        <w:rPr>
          <w:sz w:val="20"/>
          <w:szCs w:val="20"/>
          <w:color w:val="auto"/>
        </w:rPr>
      </w:pPr>
    </w:p>
    <w:p>
      <w:pPr>
        <w:ind w:left="8700"/>
        <w:spacing w:after="0"/>
        <w:rPr>
          <w:sz w:val="20"/>
          <w:szCs w:val="20"/>
          <w:color w:val="auto"/>
        </w:rPr>
      </w:pPr>
      <w:r>
        <w:rPr>
          <w:rFonts w:ascii="Arial" w:cs="Arial" w:eastAsia="Arial" w:hAnsi="Arial"/>
          <w:sz w:val="15"/>
          <w:szCs w:val="15"/>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6999605" cy="130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9605" cy="13081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7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6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67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67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(in thousands)</w:t>
            </w:r>
          </w:p>
        </w:tc>
        <w:tc>
          <w:tcPr>
            <w:tcW w:w="880" w:type="dxa"/>
            <w:vAlign w:val="bottom"/>
            <w:shd w:val="clear" w:color="auto" w:fill="CCEEFF"/>
          </w:tcPr>
          <w:p>
            <w:pPr>
              <w:spacing w:after="0"/>
              <w:rPr>
                <w:sz w:val="17"/>
                <w:szCs w:val="17"/>
                <w:color w:val="auto"/>
              </w:rPr>
            </w:pPr>
          </w:p>
        </w:tc>
      </w:tr>
      <w:tr>
        <w:trPr>
          <w:trHeight w:val="206"/>
        </w:trPr>
        <w:tc>
          <w:tcPr>
            <w:tcW w:w="6760" w:type="dxa"/>
            <w:vAlign w:val="bottom"/>
          </w:tcPr>
          <w:p>
            <w:pPr>
              <w:ind w:left="120"/>
              <w:spacing w:after="0"/>
              <w:rPr>
                <w:sz w:val="20"/>
                <w:szCs w:val="20"/>
                <w:color w:val="auto"/>
              </w:rPr>
            </w:pPr>
            <w:r>
              <w:rPr>
                <w:rFonts w:ascii="Arial" w:cs="Arial" w:eastAsia="Arial" w:hAnsi="Arial"/>
                <w:sz w:val="15"/>
                <w:szCs w:val="15"/>
                <w:b w:val="1"/>
                <w:bCs w:val="1"/>
                <w:color w:val="auto"/>
              </w:rPr>
              <w:t>Cash flows provided by operating activities:</w:t>
            </w: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67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162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154,151</w:t>
            </w:r>
          </w:p>
        </w:tc>
        <w:tc>
          <w:tcPr>
            <w:tcW w:w="68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187,438</w:t>
            </w:r>
          </w:p>
        </w:tc>
      </w:tr>
      <w:tr>
        <w:trPr>
          <w:trHeight w:val="245"/>
        </w:trPr>
        <w:tc>
          <w:tcPr>
            <w:tcW w:w="6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6"/>
        </w:trPr>
        <w:tc>
          <w:tcPr>
            <w:tcW w:w="6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5"/>
        </w:trPr>
        <w:tc>
          <w:tcPr>
            <w:tcW w:w="6760" w:type="dxa"/>
            <w:vAlign w:val="bottom"/>
          </w:tcPr>
          <w:p>
            <w:pPr>
              <w:ind w:left="200"/>
              <w:spacing w:after="0"/>
              <w:rPr>
                <w:sz w:val="20"/>
                <w:szCs w:val="20"/>
                <w:color w:val="auto"/>
              </w:rPr>
            </w:pPr>
            <w:r>
              <w:rPr>
                <w:rFonts w:ascii="Arial" w:cs="Arial" w:eastAsia="Arial" w:hAnsi="Arial"/>
                <w:sz w:val="15"/>
                <w:szCs w:val="15"/>
                <w:color w:val="auto"/>
              </w:rPr>
              <w:t>Depreciation and amortization expense</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95,958</w:t>
            </w:r>
          </w:p>
        </w:tc>
        <w:tc>
          <w:tcPr>
            <w:tcW w:w="6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149,181</w:t>
            </w:r>
          </w:p>
        </w:tc>
      </w:tr>
      <w:tr>
        <w:trPr>
          <w:trHeight w:val="207"/>
        </w:trPr>
        <w:tc>
          <w:tcPr>
            <w:tcW w:w="6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Reduction in carrying value of operating right-of-use assets</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9,384</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11,472</w:t>
            </w:r>
          </w:p>
        </w:tc>
      </w:tr>
      <w:tr>
        <w:trPr>
          <w:trHeight w:val="205"/>
        </w:trPr>
        <w:tc>
          <w:tcPr>
            <w:tcW w:w="6760" w:type="dxa"/>
            <w:vAlign w:val="bottom"/>
          </w:tcPr>
          <w:p>
            <w:pPr>
              <w:ind w:left="200"/>
              <w:spacing w:after="0"/>
              <w:rPr>
                <w:sz w:val="20"/>
                <w:szCs w:val="20"/>
                <w:color w:val="auto"/>
              </w:rPr>
            </w:pPr>
            <w:r>
              <w:rPr>
                <w:rFonts w:ascii="Arial" w:cs="Arial" w:eastAsia="Arial" w:hAnsi="Arial"/>
                <w:sz w:val="15"/>
                <w:szCs w:val="15"/>
                <w:color w:val="auto"/>
              </w:rPr>
              <w:t>Amortization of financing costs and debt discount</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1,480</w:t>
            </w:r>
          </w:p>
        </w:tc>
        <w:tc>
          <w:tcPr>
            <w:tcW w:w="6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3,907</w:t>
            </w:r>
          </w:p>
        </w:tc>
      </w:tr>
      <w:tr>
        <w:trPr>
          <w:trHeight w:val="207"/>
        </w:trPr>
        <w:tc>
          <w:tcPr>
            <w:tcW w:w="6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 compensation expense</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12,359</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13,181</w:t>
            </w:r>
          </w:p>
        </w:tc>
      </w:tr>
      <w:tr>
        <w:trPr>
          <w:trHeight w:val="205"/>
        </w:trPr>
        <w:tc>
          <w:tcPr>
            <w:tcW w:w="6760" w:type="dxa"/>
            <w:vAlign w:val="bottom"/>
          </w:tcPr>
          <w:p>
            <w:pPr>
              <w:ind w:left="200"/>
              <w:spacing w:after="0"/>
              <w:rPr>
                <w:sz w:val="20"/>
                <w:szCs w:val="20"/>
                <w:color w:val="auto"/>
              </w:rPr>
            </w:pPr>
            <w:r>
              <w:rPr>
                <w:rFonts w:ascii="Arial" w:cs="Arial" w:eastAsia="Arial" w:hAnsi="Arial"/>
                <w:sz w:val="15"/>
                <w:szCs w:val="15"/>
                <w:color w:val="auto"/>
              </w:rPr>
              <w:t>Deferred tax benefit</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(25,014)</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(35,145)</w:t>
            </w:r>
          </w:p>
        </w:tc>
      </w:tr>
      <w:tr>
        <w:trPr>
          <w:trHeight w:val="207"/>
        </w:trPr>
        <w:tc>
          <w:tcPr>
            <w:tcW w:w="6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Unrealized foreign exchange movements</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18,081</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w:t>
            </w:r>
          </w:p>
        </w:tc>
      </w:tr>
      <w:tr>
        <w:trPr>
          <w:trHeight w:val="205"/>
        </w:trPr>
        <w:tc>
          <w:tcPr>
            <w:tcW w:w="6760" w:type="dxa"/>
            <w:vAlign w:val="bottom"/>
          </w:tcPr>
          <w:p>
            <w:pPr>
              <w:ind w:left="200"/>
              <w:spacing w:after="0"/>
              <w:rPr>
                <w:sz w:val="20"/>
                <w:szCs w:val="20"/>
                <w:color w:val="auto"/>
              </w:rPr>
            </w:pPr>
            <w:r>
              <w:rPr>
                <w:rFonts w:ascii="Arial" w:cs="Arial" w:eastAsia="Arial" w:hAnsi="Arial"/>
                <w:sz w:val="15"/>
                <w:szCs w:val="15"/>
                <w:color w:val="auto"/>
              </w:rPr>
              <w:t>Other non-cash items</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8,240</w:t>
            </w:r>
          </w:p>
        </w:tc>
        <w:tc>
          <w:tcPr>
            <w:tcW w:w="6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4,629</w:t>
            </w:r>
          </w:p>
        </w:tc>
      </w:tr>
      <w:tr>
        <w:trPr>
          <w:trHeight w:val="207"/>
        </w:trPr>
        <w:tc>
          <w:tcPr>
            <w:tcW w:w="6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Changes in operating assets and liabilities:</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5"/>
        </w:trPr>
        <w:tc>
          <w:tcPr>
            <w:tcW w:w="6760" w:type="dxa"/>
            <w:vAlign w:val="bottom"/>
          </w:tcPr>
          <w:p>
            <w:pPr>
              <w:ind w:left="200"/>
              <w:spacing w:after="0"/>
              <w:rPr>
                <w:sz w:val="20"/>
                <w:szCs w:val="20"/>
                <w:color w:val="auto"/>
              </w:rPr>
            </w:pPr>
            <w:r>
              <w:rPr>
                <w:rFonts w:ascii="Arial" w:cs="Arial" w:eastAsia="Arial" w:hAnsi="Arial"/>
                <w:sz w:val="15"/>
                <w:szCs w:val="15"/>
                <w:color w:val="auto"/>
              </w:rPr>
              <w:t>Accounts receivable</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9,706</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(80,431)</w:t>
            </w:r>
          </w:p>
        </w:tc>
      </w:tr>
      <w:tr>
        <w:trPr>
          <w:trHeight w:val="207"/>
        </w:trPr>
        <w:tc>
          <w:tcPr>
            <w:tcW w:w="6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Unbilled revenue</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84,155</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(42,546)</w:t>
            </w:r>
          </w:p>
        </w:tc>
      </w:tr>
      <w:tr>
        <w:trPr>
          <w:trHeight w:val="205"/>
        </w:trPr>
        <w:tc>
          <w:tcPr>
            <w:tcW w:w="6760" w:type="dxa"/>
            <w:vAlign w:val="bottom"/>
          </w:tcPr>
          <w:p>
            <w:pPr>
              <w:ind w:left="200"/>
              <w:spacing w:after="0"/>
              <w:rPr>
                <w:sz w:val="20"/>
                <w:szCs w:val="20"/>
                <w:color w:val="auto"/>
              </w:rPr>
            </w:pPr>
            <w:r>
              <w:rPr>
                <w:rFonts w:ascii="Arial" w:cs="Arial" w:eastAsia="Arial" w:hAnsi="Arial"/>
                <w:sz w:val="15"/>
                <w:szCs w:val="15"/>
                <w:color w:val="auto"/>
              </w:rPr>
              <w:t>Unearned revenue</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(122,305)</w:t>
            </w:r>
          </w:p>
        </w:tc>
        <w:tc>
          <w:tcPr>
            <w:tcW w:w="6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56,485</w:t>
            </w:r>
          </w:p>
        </w:tc>
      </w:tr>
      <w:tr>
        <w:trPr>
          <w:trHeight w:val="206"/>
        </w:trPr>
        <w:tc>
          <w:tcPr>
            <w:tcW w:w="6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Other net assets</w:t>
            </w:r>
          </w:p>
        </w:tc>
        <w:tc>
          <w:tcPr>
            <w:tcW w:w="1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22,045</w:t>
            </w:r>
          </w:p>
        </w:tc>
        <w:tc>
          <w:tcPr>
            <w:tcW w:w="6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59,932</w:t>
            </w:r>
          </w:p>
        </w:tc>
      </w:tr>
      <w:tr>
        <w:trPr>
          <w:trHeight w:val="199"/>
        </w:trPr>
        <w:tc>
          <w:tcPr>
            <w:tcW w:w="6760" w:type="dxa"/>
            <w:vAlign w:val="bottom"/>
          </w:tcPr>
          <w:p>
            <w:pPr>
              <w:ind w:left="120"/>
              <w:spacing w:after="0"/>
              <w:rPr>
                <w:sz w:val="20"/>
                <w:szCs w:val="20"/>
                <w:color w:val="auto"/>
              </w:rPr>
            </w:pPr>
            <w:r>
              <w:rPr>
                <w:rFonts w:ascii="Arial" w:cs="Arial" w:eastAsia="Arial" w:hAnsi="Arial"/>
                <w:sz w:val="15"/>
                <w:szCs w:val="15"/>
                <w:color w:val="auto"/>
              </w:rPr>
              <w:t>Net cash provided by operating activities</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268,240</w:t>
            </w:r>
          </w:p>
        </w:tc>
        <w:tc>
          <w:tcPr>
            <w:tcW w:w="6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327,076</w:t>
            </w:r>
          </w:p>
        </w:tc>
      </w:tr>
      <w:tr>
        <w:trPr>
          <w:trHeight w:val="246"/>
        </w:trPr>
        <w:tc>
          <w:tcPr>
            <w:tcW w:w="67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06"/>
        </w:trPr>
        <w:tc>
          <w:tcPr>
            <w:tcW w:w="6760" w:type="dxa"/>
            <w:vAlign w:val="bottom"/>
          </w:tcPr>
          <w:p>
            <w:pPr>
              <w:ind w:left="120"/>
              <w:spacing w:after="0"/>
              <w:rPr>
                <w:sz w:val="20"/>
                <w:szCs w:val="20"/>
                <w:color w:val="auto"/>
              </w:rPr>
            </w:pPr>
            <w:r>
              <w:rPr>
                <w:rFonts w:ascii="Arial" w:cs="Arial" w:eastAsia="Arial" w:hAnsi="Arial"/>
                <w:sz w:val="15"/>
                <w:szCs w:val="15"/>
                <w:b w:val="1"/>
                <w:bCs w:val="1"/>
                <w:color w:val="auto"/>
              </w:rPr>
              <w:t>Cash flows used in investing activities:</w:t>
            </w: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6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Purchase of property, plant and equipment</w:t>
            </w:r>
          </w:p>
        </w:tc>
        <w:tc>
          <w:tcPr>
            <w:tcW w:w="1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(28,907)</w:t>
            </w: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(27,152)</w:t>
            </w:r>
          </w:p>
        </w:tc>
      </w:tr>
      <w:tr>
        <w:trPr>
          <w:trHeight w:val="205"/>
        </w:trPr>
        <w:tc>
          <w:tcPr>
            <w:tcW w:w="6760" w:type="dxa"/>
            <w:vAlign w:val="bottom"/>
          </w:tcPr>
          <w:p>
            <w:pPr>
              <w:ind w:left="200"/>
              <w:spacing w:after="0"/>
              <w:rPr>
                <w:sz w:val="20"/>
                <w:szCs w:val="20"/>
                <w:color w:val="auto"/>
              </w:rPr>
            </w:pPr>
            <w:r>
              <w:rPr>
                <w:rFonts w:ascii="Arial" w:cs="Arial" w:eastAsia="Arial" w:hAnsi="Arial"/>
                <w:sz w:val="15"/>
                <w:szCs w:val="15"/>
                <w:color w:val="auto"/>
              </w:rPr>
              <w:t>Purchase of subsidiary undertakings (net of cash acquired)</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(2,537)</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(7,831)</w:t>
            </w:r>
          </w:p>
        </w:tc>
      </w:tr>
      <w:tr>
        <w:trPr>
          <w:trHeight w:val="207"/>
        </w:trPr>
        <w:tc>
          <w:tcPr>
            <w:tcW w:w="6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Movement of available for sale investments</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5"/>
        </w:trPr>
        <w:tc>
          <w:tcPr>
            <w:tcW w:w="6760" w:type="dxa"/>
            <w:vAlign w:val="bottom"/>
          </w:tcPr>
          <w:p>
            <w:pPr>
              <w:ind w:left="200"/>
              <w:spacing w:after="0"/>
              <w:rPr>
                <w:sz w:val="20"/>
                <w:szCs w:val="20"/>
                <w:color w:val="auto"/>
              </w:rPr>
            </w:pPr>
            <w:r>
              <w:rPr>
                <w:rFonts w:ascii="Arial" w:cs="Arial" w:eastAsia="Arial" w:hAnsi="Arial"/>
                <w:sz w:val="15"/>
                <w:szCs w:val="15"/>
                <w:color w:val="auto"/>
              </w:rPr>
              <w:t>Proceeds from investments in equity</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103</w:t>
            </w:r>
          </w:p>
        </w:tc>
        <w:tc>
          <w:tcPr>
            <w:tcW w:w="6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6"/>
        </w:trPr>
        <w:tc>
          <w:tcPr>
            <w:tcW w:w="6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Purchase of investments in equity</w:t>
            </w:r>
          </w:p>
        </w:tc>
        <w:tc>
          <w:tcPr>
            <w:tcW w:w="1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(5,941)</w:t>
            </w:r>
          </w:p>
        </w:tc>
        <w:tc>
          <w:tcPr>
            <w:tcW w:w="6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(4,381)</w:t>
            </w:r>
          </w:p>
        </w:tc>
      </w:tr>
      <w:tr>
        <w:trPr>
          <w:trHeight w:val="199"/>
        </w:trPr>
        <w:tc>
          <w:tcPr>
            <w:tcW w:w="6760" w:type="dxa"/>
            <w:vAlign w:val="bottom"/>
          </w:tcPr>
          <w:p>
            <w:pPr>
              <w:ind w:left="120"/>
              <w:spacing w:after="0"/>
              <w:rPr>
                <w:sz w:val="20"/>
                <w:szCs w:val="20"/>
                <w:color w:val="auto"/>
              </w:rPr>
            </w:pPr>
            <w:r>
              <w:rPr>
                <w:rFonts w:ascii="Arial" w:cs="Arial" w:eastAsia="Arial" w:hAnsi="Arial"/>
                <w:sz w:val="15"/>
                <w:szCs w:val="15"/>
                <w:color w:val="auto"/>
              </w:rPr>
              <w:t>Net cash used in investing activities</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(37,282)</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(39,365)</w:t>
            </w:r>
          </w:p>
        </w:tc>
      </w:tr>
      <w:tr>
        <w:trPr>
          <w:trHeight w:val="246"/>
        </w:trPr>
        <w:tc>
          <w:tcPr>
            <w:tcW w:w="67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06"/>
        </w:trPr>
        <w:tc>
          <w:tcPr>
            <w:tcW w:w="6760" w:type="dxa"/>
            <w:vAlign w:val="bottom"/>
          </w:tcPr>
          <w:p>
            <w:pPr>
              <w:ind w:left="120"/>
              <w:spacing w:after="0"/>
              <w:rPr>
                <w:sz w:val="20"/>
                <w:szCs w:val="20"/>
                <w:color w:val="auto"/>
              </w:rPr>
            </w:pPr>
            <w:r>
              <w:rPr>
                <w:rFonts w:ascii="Arial" w:cs="Arial" w:eastAsia="Arial" w:hAnsi="Arial"/>
                <w:sz w:val="15"/>
                <w:szCs w:val="15"/>
                <w:b w:val="1"/>
                <w:bCs w:val="1"/>
                <w:color w:val="auto"/>
              </w:rPr>
              <w:t>Cash flows used in financing activities:</w:t>
            </w: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6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Drawdown of credit lines and loan facilities</w:t>
            </w:r>
          </w:p>
        </w:tc>
        <w:tc>
          <w:tcPr>
            <w:tcW w:w="1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50,000</w:t>
            </w:r>
          </w:p>
        </w:tc>
      </w:tr>
      <w:tr>
        <w:trPr>
          <w:trHeight w:val="205"/>
        </w:trPr>
        <w:tc>
          <w:tcPr>
            <w:tcW w:w="6760" w:type="dxa"/>
            <w:vAlign w:val="bottom"/>
          </w:tcPr>
          <w:p>
            <w:pPr>
              <w:ind w:left="200"/>
              <w:spacing w:after="0"/>
              <w:rPr>
                <w:sz w:val="20"/>
                <w:szCs w:val="20"/>
                <w:color w:val="auto"/>
              </w:rPr>
            </w:pPr>
            <w:r>
              <w:rPr>
                <w:rFonts w:ascii="Arial" w:cs="Arial" w:eastAsia="Arial" w:hAnsi="Arial"/>
                <w:sz w:val="15"/>
                <w:szCs w:val="15"/>
                <w:color w:val="auto"/>
              </w:rPr>
              <w:t>Repayment of credit lines and loan facilities</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(57,440)</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(330,000)</w:t>
            </w:r>
          </w:p>
        </w:tc>
      </w:tr>
      <w:tr>
        <w:trPr>
          <w:trHeight w:val="207"/>
        </w:trPr>
        <w:tc>
          <w:tcPr>
            <w:tcW w:w="6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exercise of equity compensation</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4,763</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16,305</w:t>
            </w:r>
          </w:p>
        </w:tc>
      </w:tr>
      <w:tr>
        <w:trPr>
          <w:trHeight w:val="205"/>
        </w:trPr>
        <w:tc>
          <w:tcPr>
            <w:tcW w:w="6760" w:type="dxa"/>
            <w:vAlign w:val="bottom"/>
          </w:tcPr>
          <w:p>
            <w:pPr>
              <w:ind w:left="200"/>
              <w:spacing w:after="0"/>
              <w:rPr>
                <w:sz w:val="20"/>
                <w:szCs w:val="20"/>
                <w:color w:val="auto"/>
              </w:rPr>
            </w:pPr>
            <w:r>
              <w:rPr>
                <w:rFonts w:ascii="Arial" w:cs="Arial" w:eastAsia="Arial" w:hAnsi="Arial"/>
                <w:sz w:val="15"/>
                <w:szCs w:val="15"/>
                <w:color w:val="auto"/>
              </w:rPr>
              <w:t>Share issue costs</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w:t>
            </w:r>
          </w:p>
        </w:tc>
        <w:tc>
          <w:tcPr>
            <w:tcW w:w="6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7"/>
        </w:trPr>
        <w:tc>
          <w:tcPr>
            <w:tcW w:w="6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Repurchase of ordinary shares</w:t>
            </w:r>
          </w:p>
        </w:tc>
        <w:tc>
          <w:tcPr>
            <w:tcW w:w="1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5"/>
        </w:trPr>
        <w:tc>
          <w:tcPr>
            <w:tcW w:w="676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Share repurchase costs</w:t>
            </w:r>
          </w:p>
        </w:tc>
        <w:tc>
          <w:tcPr>
            <w:tcW w:w="1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200"/>
        </w:trPr>
        <w:tc>
          <w:tcPr>
            <w:tcW w:w="67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cash used in financing activities</w:t>
            </w:r>
          </w:p>
        </w:tc>
        <w:tc>
          <w:tcPr>
            <w:tcW w:w="1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(252,832)</w:t>
            </w: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(263,699)</w:t>
            </w:r>
          </w:p>
        </w:tc>
      </w:tr>
      <w:tr>
        <w:trPr>
          <w:trHeight w:val="245"/>
        </w:trPr>
        <w:tc>
          <w:tcPr>
            <w:tcW w:w="6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5"/>
        </w:trPr>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Effect of exchange rate movements on cash</w:t>
            </w:r>
          </w:p>
        </w:tc>
        <w:tc>
          <w:tcPr>
            <w:tcW w:w="1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9,787</w:t>
            </w:r>
          </w:p>
        </w:tc>
        <w:tc>
          <w:tcPr>
            <w:tcW w:w="6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(6,032)</w:t>
            </w:r>
          </w:p>
        </w:tc>
      </w:tr>
      <w:tr>
        <w:trPr>
          <w:trHeight w:val="200"/>
        </w:trPr>
        <w:tc>
          <w:tcPr>
            <w:tcW w:w="6760" w:type="dxa"/>
            <w:vAlign w:val="bottom"/>
          </w:tcPr>
          <w:p>
            <w:pPr>
              <w:spacing w:after="0"/>
              <w:rPr>
                <w:sz w:val="20"/>
                <w:szCs w:val="20"/>
                <w:color w:val="auto"/>
              </w:rPr>
            </w:pPr>
            <w:r>
              <w:rPr>
                <w:rFonts w:ascii="Arial" w:cs="Arial" w:eastAsia="Arial" w:hAnsi="Arial"/>
                <w:sz w:val="15"/>
                <w:szCs w:val="15"/>
                <w:b w:val="1"/>
                <w:bCs w:val="1"/>
                <w:color w:val="auto"/>
              </w:rPr>
              <w:t>Net (decrease) / increase in cash and cash equivalents</w:t>
            </w:r>
          </w:p>
        </w:tc>
        <w:tc>
          <w:tcPr>
            <w:tcW w:w="1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(12,087)</w:t>
            </w:r>
          </w:p>
        </w:tc>
        <w:tc>
          <w:tcPr>
            <w:tcW w:w="6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17,980</w:t>
            </w:r>
          </w:p>
        </w:tc>
      </w:tr>
      <w:tr>
        <w:trPr>
          <w:trHeight w:val="205"/>
        </w:trPr>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Cash and cash equivalents at beginning of period</w:t>
            </w:r>
          </w:p>
        </w:tc>
        <w:tc>
          <w:tcPr>
            <w:tcW w:w="16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538,785</w:t>
            </w:r>
          </w:p>
        </w:tc>
        <w:tc>
          <w:tcPr>
            <w:tcW w:w="6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378,102</w:t>
            </w:r>
          </w:p>
        </w:tc>
      </w:tr>
      <w:tr>
        <w:trPr>
          <w:trHeight w:val="200"/>
        </w:trPr>
        <w:tc>
          <w:tcPr>
            <w:tcW w:w="6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6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526,698</w:t>
            </w:r>
          </w:p>
        </w:tc>
        <w:tc>
          <w:tcPr>
            <w:tcW w:w="68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396,082</w:t>
            </w: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73660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440" w:top="667"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CONDENSED CONSOLIDATED FINANCIAL STATEMENTS</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(UNAUDITED)</w:t>
      </w:r>
    </w:p>
    <w:p>
      <w:pPr>
        <w:spacing w:after="0" w:line="8"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March 31, 2025</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1. Basis of presentation</w:t>
      </w:r>
    </w:p>
    <w:p>
      <w:pPr>
        <w:spacing w:after="0" w:line="24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8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condensed consolidated financial statements should be read in conjunction with the accounting policies and notes to the consolidated financial statements included in ICON’s Form 20-F for the year ended December 31, 2024 (see note 2 - Summary of significant accounting policies). Operating results for the three months ended March 31, 2025 are not necessarily indicative of the results that may be expected for the fiscal period ending December 31, 2025.</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5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18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Clinical trial service revenue</w:t>
      </w:r>
    </w:p>
    <w:p>
      <w:pPr>
        <w:spacing w:after="0" w:line="227"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5"/>
          <w:szCs w:val="15"/>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 reimbursable expenses) at each reporting period as a percentage of forecasted total project costs.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Laboratory services revenue</w:t>
      </w:r>
    </w:p>
    <w:p>
      <w:pPr>
        <w:spacing w:after="0" w:line="227"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5"/>
          <w:szCs w:val="15"/>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Contracting services revenue</w:t>
      </w:r>
    </w:p>
    <w:p>
      <w:pPr>
        <w:spacing w:after="0" w:line="25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 w:name="page11"/>
    <w:bookmarkEnd w:id="10"/>
    <w:p>
      <w:pPr>
        <w:ind w:left="620"/>
        <w:spacing w:after="0"/>
        <w:rPr>
          <w:sz w:val="20"/>
          <w:szCs w:val="20"/>
          <w:color w:val="auto"/>
        </w:rPr>
      </w:pPr>
      <w:r>
        <w:rPr>
          <w:rFonts w:ascii="Arial" w:cs="Arial" w:eastAsia="Arial" w:hAnsi="Arial"/>
          <w:sz w:val="15"/>
          <w:szCs w:val="15"/>
          <w:i w:val="1"/>
          <w:iCs w:val="1"/>
          <w:color w:val="auto"/>
        </w:rPr>
        <w:t>Consulting services revenue</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Data services revenue</w:t>
      </w:r>
    </w:p>
    <w:p>
      <w:pPr>
        <w:spacing w:after="0" w:line="24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18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18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20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are measured at fair value at the date of acquisition and amortized on a straight-line basis over their respective estimated useful lives.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no indefinite-lived intangible assets. The Company evaluates its intangible assets for impairment when indicators of impairment exist.</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are amortized on a straight-line basis over their estimated useful lives, as set forth in the table below:</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00" w:type="dxa"/>
            <w:vAlign w:val="bottom"/>
            <w:shd w:val="clear" w:color="auto" w:fill="CCEEFF"/>
          </w:tcPr>
          <w:p>
            <w:pPr>
              <w:spacing w:after="0"/>
              <w:rPr>
                <w:sz w:val="17"/>
                <w:szCs w:val="17"/>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Estimated Useful Life</w:t>
            </w:r>
          </w:p>
        </w:tc>
      </w:tr>
      <w:tr>
        <w:trPr>
          <w:trHeight w:val="198"/>
        </w:trPr>
        <w:tc>
          <w:tcPr>
            <w:tcW w:w="840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2820" w:type="dxa"/>
            <w:vAlign w:val="bottom"/>
          </w:tcPr>
          <w:p>
            <w:pPr>
              <w:jc w:val="right"/>
              <w:spacing w:after="0"/>
              <w:rPr>
                <w:sz w:val="20"/>
                <w:szCs w:val="20"/>
                <w:color w:val="auto"/>
              </w:rPr>
            </w:pPr>
            <w:r>
              <w:rPr>
                <w:rFonts w:ascii="Arial" w:cs="Arial" w:eastAsia="Arial" w:hAnsi="Arial"/>
                <w:sz w:val="15"/>
                <w:szCs w:val="15"/>
                <w:color w:val="auto"/>
              </w:rPr>
              <w:t>8 - 23 years</w:t>
            </w:r>
          </w:p>
        </w:tc>
      </w:tr>
      <w:tr>
        <w:trPr>
          <w:trHeight w:val="207"/>
        </w:trPr>
        <w:tc>
          <w:tcPr>
            <w:tcW w:w="8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 backlog</w:t>
            </w:r>
          </w:p>
        </w:tc>
        <w:tc>
          <w:tcPr>
            <w:tcW w:w="2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3 - 5 years</w:t>
            </w:r>
          </w:p>
        </w:tc>
      </w:tr>
      <w:tr>
        <w:trPr>
          <w:trHeight w:val="205"/>
        </w:trPr>
        <w:tc>
          <w:tcPr>
            <w:tcW w:w="8400" w:type="dxa"/>
            <w:vAlign w:val="bottom"/>
          </w:tcPr>
          <w:p>
            <w:pPr>
              <w:ind w:left="20"/>
              <w:spacing w:after="0"/>
              <w:rPr>
                <w:sz w:val="20"/>
                <w:szCs w:val="20"/>
                <w:color w:val="auto"/>
              </w:rPr>
            </w:pPr>
            <w:r>
              <w:rPr>
                <w:rFonts w:ascii="Arial" w:cs="Arial" w:eastAsia="Arial" w:hAnsi="Arial"/>
                <w:sz w:val="15"/>
                <w:szCs w:val="15"/>
                <w:color w:val="auto"/>
              </w:rPr>
              <w:t>Patient database</w:t>
            </w:r>
          </w:p>
        </w:tc>
        <w:tc>
          <w:tcPr>
            <w:tcW w:w="2820" w:type="dxa"/>
            <w:vAlign w:val="bottom"/>
          </w:tcPr>
          <w:p>
            <w:pPr>
              <w:jc w:val="right"/>
              <w:spacing w:after="0"/>
              <w:rPr>
                <w:sz w:val="20"/>
                <w:szCs w:val="20"/>
                <w:color w:val="auto"/>
              </w:rPr>
            </w:pPr>
            <w:r>
              <w:rPr>
                <w:rFonts w:ascii="Arial" w:cs="Arial" w:eastAsia="Arial" w:hAnsi="Arial"/>
                <w:sz w:val="15"/>
                <w:szCs w:val="15"/>
                <w:color w:val="auto"/>
              </w:rPr>
              <w:t>7 years</w:t>
            </w:r>
          </w:p>
        </w:tc>
      </w:tr>
      <w:tr>
        <w:trPr>
          <w:trHeight w:val="206"/>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Technology assets</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 years</w:t>
            </w:r>
          </w:p>
        </w:tc>
      </w:tr>
    </w:tbl>
    <w:p>
      <w:pPr>
        <w:spacing w:after="0" w:line="29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Company periodically assesses the estimated useful lives of intangible assets to evaluate whether what was established at acquisition continues to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240"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Global Intangible Low-Taxed Income ("GILTI") in the period it arises and has therefore not provided for deferred taxes in respect of this item.</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80" w:type="dxa"/>
            <w:vAlign w:val="bottom"/>
          </w:tcPr>
          <w:p>
            <w:pPr>
              <w:spacing w:after="0"/>
              <w:rPr>
                <w:sz w:val="20"/>
                <w:szCs w:val="20"/>
                <w:color w:val="auto"/>
              </w:rPr>
            </w:pPr>
            <w:r>
              <w:rPr>
                <w:rFonts w:ascii="Arial" w:cs="Arial" w:eastAsia="Arial" w:hAnsi="Arial"/>
                <w:sz w:val="15"/>
                <w:szCs w:val="15"/>
                <w:b w:val="1"/>
                <w:bCs w:val="1"/>
                <w:color w:val="auto"/>
              </w:rPr>
              <w:t>3. Revenue</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17"/>
        </w:trPr>
        <w:tc>
          <w:tcPr>
            <w:tcW w:w="8180" w:type="dxa"/>
            <w:vAlign w:val="bottom"/>
          </w:tcPr>
          <w:p>
            <w:pPr>
              <w:ind w:left="620"/>
              <w:spacing w:after="0"/>
              <w:rPr>
                <w:sz w:val="20"/>
                <w:szCs w:val="20"/>
                <w:color w:val="auto"/>
              </w:rPr>
            </w:pPr>
            <w:r>
              <w:rPr>
                <w:rFonts w:ascii="Arial" w:cs="Arial" w:eastAsia="Arial" w:hAnsi="Arial"/>
                <w:sz w:val="15"/>
                <w:szCs w:val="15"/>
                <w:color w:val="auto"/>
              </w:rPr>
              <w:t>Revenue disaggregated by customer concentration is as follows: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5"/>
        </w:trPr>
        <w:tc>
          <w:tcPr>
            <w:tcW w:w="8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580" w:type="dxa"/>
            <w:vAlign w:val="bottom"/>
            <w:gridSpan w:val="3"/>
          </w:tcPr>
          <w:p>
            <w:pPr>
              <w:spacing w:after="0"/>
              <w:rPr>
                <w:sz w:val="9"/>
                <w:szCs w:val="9"/>
                <w:color w:val="auto"/>
              </w:rPr>
            </w:pPr>
          </w:p>
        </w:tc>
      </w:tr>
      <w:tr>
        <w:trPr>
          <w:trHeight w:val="206"/>
        </w:trPr>
        <w:tc>
          <w:tcPr>
            <w:tcW w:w="81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3"/>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Three Months Ended</w:t>
            </w:r>
          </w:p>
        </w:tc>
      </w:tr>
      <w:tr>
        <w:trPr>
          <w:trHeight w:val="148"/>
        </w:trPr>
        <w:tc>
          <w:tcPr>
            <w:tcW w:w="8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64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8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(in thousands)</w:t>
            </w:r>
          </w:p>
        </w:tc>
        <w:tc>
          <w:tcPr>
            <w:tcW w:w="860" w:type="dxa"/>
            <w:vAlign w:val="bottom"/>
            <w:shd w:val="clear" w:color="auto" w:fill="CCEEFF"/>
          </w:tcPr>
          <w:p>
            <w:pPr>
              <w:spacing w:after="0"/>
              <w:rPr>
                <w:sz w:val="17"/>
                <w:szCs w:val="17"/>
                <w:color w:val="auto"/>
              </w:rPr>
            </w:pPr>
          </w:p>
        </w:tc>
      </w:tr>
      <w:tr>
        <w:trPr>
          <w:trHeight w:val="205"/>
        </w:trPr>
        <w:tc>
          <w:tcPr>
            <w:tcW w:w="8180" w:type="dxa"/>
            <w:vAlign w:val="bottom"/>
          </w:tcPr>
          <w:p>
            <w:pPr>
              <w:ind w:left="20"/>
              <w:spacing w:after="0"/>
              <w:rPr>
                <w:sz w:val="20"/>
                <w:szCs w:val="20"/>
                <w:color w:val="auto"/>
              </w:rPr>
            </w:pPr>
            <w:r>
              <w:rPr>
                <w:rFonts w:ascii="Arial" w:cs="Arial" w:eastAsia="Arial" w:hAnsi="Arial"/>
                <w:sz w:val="15"/>
                <w:szCs w:val="15"/>
                <w:color w:val="auto"/>
              </w:rPr>
              <w:t>Clients 1-5</w:t>
            </w: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498,484</w:t>
            </w:r>
          </w:p>
        </w:tc>
        <w:tc>
          <w:tcPr>
            <w:tcW w:w="640" w:type="dxa"/>
            <w:vAlign w:val="bottom"/>
          </w:tcPr>
          <w:p>
            <w:pPr>
              <w:jc w:val="right"/>
              <w:ind w:right="46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543,960</w:t>
            </w:r>
          </w:p>
        </w:tc>
      </w:tr>
      <w:tr>
        <w:trPr>
          <w:trHeight w:val="207"/>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Clients 6-10</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305,389</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321,259</w:t>
            </w:r>
          </w:p>
        </w:tc>
      </w:tr>
      <w:tr>
        <w:trPr>
          <w:trHeight w:val="205"/>
        </w:trPr>
        <w:tc>
          <w:tcPr>
            <w:tcW w:w="8180" w:type="dxa"/>
            <w:vAlign w:val="bottom"/>
          </w:tcPr>
          <w:p>
            <w:pPr>
              <w:ind w:left="20"/>
              <w:spacing w:after="0"/>
              <w:rPr>
                <w:sz w:val="20"/>
                <w:szCs w:val="20"/>
                <w:color w:val="auto"/>
              </w:rPr>
            </w:pPr>
            <w:r>
              <w:rPr>
                <w:rFonts w:ascii="Arial" w:cs="Arial" w:eastAsia="Arial" w:hAnsi="Arial"/>
                <w:sz w:val="15"/>
                <w:szCs w:val="15"/>
                <w:color w:val="auto"/>
              </w:rPr>
              <w:t>Clients 11-25</w:t>
            </w:r>
          </w:p>
        </w:tc>
        <w:tc>
          <w:tcPr>
            <w:tcW w:w="4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475,859</w:t>
            </w:r>
          </w:p>
        </w:tc>
        <w:tc>
          <w:tcPr>
            <w:tcW w:w="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430,323</w:t>
            </w:r>
          </w:p>
        </w:tc>
      </w:tr>
      <w:tr>
        <w:trPr>
          <w:trHeight w:val="206"/>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721,600</w:t>
            </w:r>
          </w:p>
        </w:tc>
        <w:tc>
          <w:tcPr>
            <w:tcW w:w="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794,844</w:t>
            </w:r>
          </w:p>
        </w:tc>
      </w:tr>
      <w:tr>
        <w:trPr>
          <w:trHeight w:val="19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2,001,332</w:t>
            </w:r>
          </w:p>
        </w:tc>
        <w:tc>
          <w:tcPr>
            <w:tcW w:w="6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2,090,386</w:t>
            </w: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was no revenue from individual customers greater than 10% of consolidated revenue in the respective periods.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Accounts receivable, unbilled revenue (contract assets) and unearned revenue or payments on account (contract liabilities)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Accounts receivables and unbilled revenue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6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March 31,</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4360" w:type="dxa"/>
            <w:vAlign w:val="bottom"/>
            <w:tcBorders>
              <w:bottom w:val="single" w:sz="8" w:color="auto"/>
            </w:tcBorders>
            <w:shd w:val="clear" w:color="auto" w:fill="CCEEFF"/>
          </w:tcPr>
          <w:p>
            <w:pPr>
              <w:spacing w:after="0"/>
              <w:rPr>
                <w:sz w:val="17"/>
                <w:szCs w:val="17"/>
                <w:color w:val="auto"/>
              </w:rPr>
            </w:pPr>
          </w:p>
        </w:tc>
        <w:tc>
          <w:tcPr>
            <w:tcW w:w="4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43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580" w:type="dxa"/>
            <w:vAlign w:val="bottom"/>
            <w:gridSpan w:val="3"/>
          </w:tcPr>
          <w:p>
            <w:pPr>
              <w:jc w:val="right"/>
              <w:ind w:right="903"/>
              <w:spacing w:after="0"/>
              <w:rPr>
                <w:sz w:val="20"/>
                <w:szCs w:val="20"/>
                <w:color w:val="auto"/>
              </w:rPr>
            </w:pPr>
            <w:r>
              <w:rPr>
                <w:rFonts w:ascii="Arial" w:cs="Arial" w:eastAsia="Arial" w:hAnsi="Arial"/>
                <w:sz w:val="15"/>
                <w:szCs w:val="15"/>
                <w:b w:val="1"/>
                <w:bCs w:val="1"/>
                <w:color w:val="auto"/>
              </w:rPr>
              <w:t>(in thousands)</w:t>
            </w:r>
          </w:p>
        </w:tc>
      </w:tr>
      <w:tr>
        <w:trPr>
          <w:trHeight w:val="206"/>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Billed services (accounts receivable)</w:t>
            </w:r>
          </w:p>
        </w:tc>
        <w:tc>
          <w:tcPr>
            <w:tcW w:w="43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1,426,035</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1,437,653</w:t>
            </w:r>
          </w:p>
        </w:tc>
      </w:tr>
      <w:tr>
        <w:trPr>
          <w:trHeight w:val="205"/>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Allowance for credit losses</w:t>
            </w:r>
          </w:p>
        </w:tc>
        <w:tc>
          <w:tcPr>
            <w:tcW w:w="4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(38,573)</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(35,664)</w:t>
            </w:r>
          </w:p>
        </w:tc>
      </w:tr>
      <w:tr>
        <w:trPr>
          <w:trHeight w:val="200"/>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4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1,387,462</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1,401,989</w:t>
            </w:r>
          </w:p>
        </w:tc>
      </w:tr>
      <w:tr>
        <w:trPr>
          <w:trHeight w:val="205"/>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Unbilled services (unbilled revenue)</w:t>
            </w:r>
          </w:p>
        </w:tc>
        <w:tc>
          <w:tcPr>
            <w:tcW w:w="4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1,197,080</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1,286,274</w:t>
            </w:r>
          </w:p>
        </w:tc>
      </w:tr>
      <w:tr>
        <w:trPr>
          <w:trHeight w:val="224"/>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Accounts receivable and unbilled revenue, net</w:t>
            </w:r>
          </w:p>
        </w:tc>
        <w:tc>
          <w:tcPr>
            <w:tcW w:w="43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2,584,542</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2,688,263</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4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796"/>
        </w:trPr>
        <w:tc>
          <w:tcPr>
            <w:tcW w:w="4360" w:type="dxa"/>
            <w:vAlign w:val="bottom"/>
          </w:tcPr>
          <w:p>
            <w:pPr>
              <w:spacing w:after="0"/>
              <w:rPr>
                <w:sz w:val="24"/>
                <w:szCs w:val="24"/>
                <w:color w:val="auto"/>
              </w:rPr>
            </w:pPr>
          </w:p>
        </w:tc>
        <w:tc>
          <w:tcPr>
            <w:tcW w:w="4300" w:type="dxa"/>
            <w:vAlign w:val="bottom"/>
          </w:tcPr>
          <w:p>
            <w:pPr>
              <w:jc w:val="right"/>
              <w:ind w:right="2883"/>
              <w:spacing w:after="0"/>
              <w:rPr>
                <w:sz w:val="20"/>
                <w:szCs w:val="20"/>
                <w:color w:val="auto"/>
              </w:rPr>
            </w:pPr>
            <w:r>
              <w:rPr>
                <w:rFonts w:ascii="Arial" w:cs="Arial" w:eastAsia="Arial" w:hAnsi="Arial"/>
                <w:sz w:val="15"/>
                <w:szCs w:val="15"/>
                <w:color w:val="auto"/>
              </w:rPr>
              <w:t>11</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0"/>
        </w:trPr>
        <w:tc>
          <w:tcPr>
            <w:tcW w:w="436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2" w:name="page13"/>
    <w:bookmarkEnd w:id="12"/>
    <w:p>
      <w:pPr>
        <w:ind w:left="620"/>
        <w:spacing w:after="0"/>
        <w:rPr>
          <w:sz w:val="20"/>
          <w:szCs w:val="20"/>
          <w:color w:val="auto"/>
        </w:rPr>
      </w:pPr>
      <w:r>
        <w:rPr>
          <w:rFonts w:ascii="Arial" w:cs="Arial" w:eastAsia="Arial" w:hAnsi="Arial"/>
          <w:sz w:val="15"/>
          <w:szCs w:val="15"/>
          <w:color w:val="auto"/>
        </w:rPr>
        <w:t>Unbilled services and unearned revenue or payments on account (contract assets and liabilities) were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0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March 31,</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523"/>
              <w:spacing w:after="0"/>
              <w:rPr>
                <w:sz w:val="20"/>
                <w:szCs w:val="20"/>
                <w:color w:val="auto"/>
              </w:rPr>
            </w:pPr>
            <w:r>
              <w:rPr>
                <w:rFonts w:ascii="Arial" w:cs="Arial" w:eastAsia="Arial" w:hAnsi="Arial"/>
                <w:sz w:val="15"/>
                <w:szCs w:val="15"/>
                <w:b w:val="1"/>
                <w:bCs w:val="1"/>
                <w:color w:val="auto"/>
              </w:rPr>
              <w:t>$ Change</w:t>
            </w:r>
          </w:p>
        </w:tc>
        <w:tc>
          <w:tcPr>
            <w:tcW w:w="1400" w:type="dxa"/>
            <w:vAlign w:val="bottom"/>
            <w:vMerge w:val="restart"/>
            <w:shd w:val="clear" w:color="auto" w:fill="CCEEFF"/>
          </w:tcPr>
          <w:p>
            <w:pPr>
              <w:jc w:val="right"/>
              <w:ind w:right="34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3"/>
          </w:tcPr>
          <w:p>
            <w:pPr>
              <w:jc w:val="center"/>
              <w:ind w:right="163"/>
              <w:spacing w:after="0"/>
              <w:rPr>
                <w:sz w:val="20"/>
                <w:szCs w:val="20"/>
                <w:color w:val="auto"/>
              </w:rPr>
            </w:pPr>
            <w:r>
              <w:rPr>
                <w:rFonts w:ascii="Arial" w:cs="Arial" w:eastAsia="Arial" w:hAnsi="Arial"/>
                <w:sz w:val="15"/>
                <w:szCs w:val="15"/>
                <w:b w:val="1"/>
                <w:bCs w:val="1"/>
                <w:color w:val="auto"/>
              </w:rPr>
              <w:t>(in thousands, except percentages)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Unbilled services (unbilled revenue)</w:t>
            </w:r>
          </w:p>
        </w:tc>
        <w:tc>
          <w:tcPr>
            <w:tcW w:w="15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1,197,080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1,286,274</w:t>
            </w:r>
          </w:p>
        </w:tc>
        <w:tc>
          <w:tcPr>
            <w:tcW w:w="240" w:type="dxa"/>
            <w:vAlign w:val="bottom"/>
            <w:shd w:val="clear" w:color="auto" w:fill="CCEEFF"/>
          </w:tcPr>
          <w:p>
            <w:pPr>
              <w:jc w:val="center"/>
              <w:ind w:right="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(89,194)</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05"/>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Unearned revenue (payments on account)</w:t>
            </w:r>
          </w:p>
        </w:tc>
        <w:tc>
          <w:tcPr>
            <w:tcW w:w="1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(1,497,166)</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(1,614,758)</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117,592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Net balance</w:t>
            </w:r>
          </w:p>
        </w:tc>
        <w:tc>
          <w:tcPr>
            <w:tcW w:w="15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(300,086)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(328,484)</w:t>
            </w:r>
          </w:p>
        </w:tc>
        <w:tc>
          <w:tcPr>
            <w:tcW w:w="240" w:type="dxa"/>
            <w:vAlign w:val="bottom"/>
            <w:tcBorders>
              <w:bottom w:val="single" w:sz="8" w:color="auto"/>
            </w:tcBorders>
            <w:shd w:val="clear" w:color="auto" w:fill="CCEEFF"/>
          </w:tcPr>
          <w:p>
            <w:pPr>
              <w:jc w:val="center"/>
              <w:ind w:right="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28,398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8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Condensed Consolidated Balance Sheet.</w:t>
      </w:r>
    </w:p>
    <w:p>
      <w:pPr>
        <w:spacing w:after="0" w:line="20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Unbilled services as at March 31, 2025 decreased by $89.2 million compared to December 31, 2024. Unearned revenue decreased by $117.6 million over the same period resulting in a decrease of $28.4 million in the net balance of unbilled services and unearned revenue or payments on account between December 31, 2024 and March 31, 2025. These fluctuations are primarily due to the timing of payments and invoicing related to the Company's clinical trial management contracts. Billings and payments are established by contractual provisions on the delivery of units/milestones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18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 of March 31, 2025, approximately $15.5 billion (December 31, 2024, $15.9 billion) of revenue is expected to be recognized in the future in respect of unsatisfied performance obligations. The Company expects to recognize revenue on approximately 48% of the unsatisfied performance obligations over the next 12 months (December 31, 2024: 47%), with the remainder recognized thereafter over the duration of the customer contracts.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Goodwill</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 in the carrying amount of goodwill between December 31, 2024 and March 31, 2025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Three Months</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w:t>
            </w:r>
          </w:p>
        </w:tc>
      </w:tr>
      <w:tr>
        <w:trPr>
          <w:trHeight w:val="206"/>
        </w:trPr>
        <w:tc>
          <w:tcPr>
            <w:tcW w:w="8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r>
      <w:tr>
        <w:trPr>
          <w:trHeight w:val="148"/>
        </w:trPr>
        <w:tc>
          <w:tcPr>
            <w:tcW w:w="8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30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r>
      <w:tr>
        <w:trPr>
          <w:trHeight w:val="206"/>
        </w:trPr>
        <w:tc>
          <w:tcPr>
            <w:tcW w:w="8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720" w:type="dxa"/>
            <w:vAlign w:val="bottom"/>
            <w:gridSpan w:val="3"/>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(in thousands)</w:t>
            </w: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Opening balance</w:t>
            </w: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9,051,410</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9,022,075</w:t>
            </w: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period acquisitions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46,126</w:t>
            </w:r>
          </w:p>
        </w:tc>
      </w:tr>
      <w:tr>
        <w:trPr>
          <w:trHeight w:val="20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Foreign exchange movement</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13,925</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(16,791)</w:t>
            </w:r>
          </w:p>
        </w:tc>
      </w:tr>
      <w:tr>
        <w:trPr>
          <w:trHeight w:val="224"/>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Closing balance</w:t>
            </w: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9,065,335</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9,051,410</w:t>
            </w: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There were no impairment charges for the three months ended March 31, 2025 or the year ended December 31, 2024.</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KCR S.A. Group Acquisition</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August 19, 2024, the Company acquired the KCR S.A. Group ("KCR"), a CRO offering full service and functional services partnership ("FSP") clinical trial services, in exchange for consideration of $92.5 million. The acquisition of KCR has been accounted for as a business combination in accordance with ASC 805 'Business Combinations' ('ASC 805').</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Deferred consideration of $1.3 million was paid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3" w:name="page14"/>
    <w:bookmarkEnd w:id="13"/>
    <w:p>
      <w:pPr>
        <w:jc w:val="both"/>
        <w:ind w:firstLine="619"/>
        <w:spacing w:after="0" w:line="264" w:lineRule="auto"/>
        <w:rPr>
          <w:sz w:val="20"/>
          <w:szCs w:val="20"/>
          <w:color w:val="auto"/>
        </w:rPr>
      </w:pPr>
      <w:r>
        <w:rPr>
          <w:rFonts w:ascii="Arial" w:cs="Arial" w:eastAsia="Arial" w:hAnsi="Arial"/>
          <w:sz w:val="15"/>
          <w:szCs w:val="15"/>
          <w:color w:val="auto"/>
        </w:rPr>
        <w:t>The purchase price allocation resulted in the recognition of goodwill of $43.4 million and intangible assets of $45.1 million, comprising customer relationships of $41.4 million and order backlog of $3.7 million. Goodwill arising in connection with the acquisition is primarily attributable to the assembled workforce of KCR and the expected synergies of the acquisition. The goodwill recognized is not deductible for income tax purposes.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HumanFirst Inc.</w:t>
      </w:r>
    </w:p>
    <w:p>
      <w:pPr>
        <w:spacing w:after="0" w:line="11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On January 9, 2024, the Company acquired HumanFirst Inc. ("HumanFirst"), a life sciences technology company in exchange for consideration of $13.3 million. The acquisition of HumanFirst has been accounted for as a business combination in accordance with ASC 805.</w:t>
      </w:r>
    </w:p>
    <w:p>
      <w:pPr>
        <w:spacing w:after="0" w:line="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Deferred consideration of $1.2 million was paid during the three months ended March 31, 2025.</w:t>
      </w:r>
    </w:p>
    <w:p>
      <w:pPr>
        <w:spacing w:after="0" w:line="12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final purchase price allocation resulted in the recognition of goodwill of $2.7 million and a developed technology intangible asset of $9.9 million. Goodwill arising in connection with the acquisition is primarily attributable to the assembled workforce of HumanFirst. The goodwill recognized is not deductible for income tax purposes.</w:t>
      </w:r>
    </w:p>
    <w:p>
      <w:pPr>
        <w:spacing w:after="0" w:line="56"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5"/>
          <w:szCs w:val="15"/>
          <w:color w:val="auto"/>
        </w:rPr>
        <w:t>Please also refer to the section entitled "Risk Factors" of our Form 20-F filed on February 21, 2025 for a discussion of some of the principal risks that could adversely affect our business, operations and financial results including 'impairment of goodwill and intangible assets may adversely impact future results of operations'.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Intangible assets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carrying amount of Intangible Assets as of March 31, 2025 and December 31, 2024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March 31,</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5020" w:type="dxa"/>
            <w:vAlign w:val="bottom"/>
            <w:tcBorders>
              <w:bottom w:val="single" w:sz="8" w:color="auto"/>
            </w:tcBorders>
            <w:shd w:val="clear" w:color="auto" w:fill="CCEEFF"/>
          </w:tcPr>
          <w:p>
            <w:pPr>
              <w:spacing w:after="0"/>
              <w:rPr>
                <w:sz w:val="17"/>
                <w:szCs w:val="17"/>
                <w:color w:val="auto"/>
              </w:rPr>
            </w:pPr>
          </w:p>
        </w:tc>
        <w:tc>
          <w:tcPr>
            <w:tcW w:w="36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50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20" w:type="dxa"/>
            <w:vAlign w:val="bottom"/>
            <w:gridSpan w:val="3"/>
          </w:tcPr>
          <w:p>
            <w:pPr>
              <w:jc w:val="right"/>
              <w:ind w:right="903"/>
              <w:spacing w:after="0"/>
              <w:rPr>
                <w:sz w:val="20"/>
                <w:szCs w:val="20"/>
                <w:color w:val="auto"/>
              </w:rPr>
            </w:pPr>
            <w:r>
              <w:rPr>
                <w:rFonts w:ascii="Arial" w:cs="Arial" w:eastAsia="Arial" w:hAnsi="Arial"/>
                <w:sz w:val="15"/>
                <w:szCs w:val="15"/>
                <w:b w:val="1"/>
                <w:bCs w:val="1"/>
                <w:color w:val="auto"/>
              </w:rPr>
              <w:t>(in thousands)</w:t>
            </w:r>
          </w:p>
        </w:tc>
      </w:tr>
      <w:tr>
        <w:trPr>
          <w:trHeight w:val="206"/>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Cost</w:t>
            </w:r>
          </w:p>
        </w:tc>
        <w:tc>
          <w:tcPr>
            <w:tcW w:w="3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5"/>
        </w:trPr>
        <w:tc>
          <w:tcPr>
            <w:tcW w:w="502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36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4,131,176</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4,129,501</w:t>
            </w: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Order backlog</w:t>
            </w:r>
          </w:p>
        </w:tc>
        <w:tc>
          <w:tcPr>
            <w:tcW w:w="3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544,618</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543,933</w:t>
            </w:r>
          </w:p>
        </w:tc>
      </w:tr>
      <w:tr>
        <w:trPr>
          <w:trHeight w:val="205"/>
        </w:trPr>
        <w:tc>
          <w:tcPr>
            <w:tcW w:w="5020" w:type="dxa"/>
            <w:vAlign w:val="bottom"/>
          </w:tcPr>
          <w:p>
            <w:pPr>
              <w:ind w:left="20"/>
              <w:spacing w:after="0"/>
              <w:rPr>
                <w:sz w:val="20"/>
                <w:szCs w:val="20"/>
                <w:color w:val="auto"/>
              </w:rPr>
            </w:pPr>
            <w:r>
              <w:rPr>
                <w:rFonts w:ascii="Arial" w:cs="Arial" w:eastAsia="Arial" w:hAnsi="Arial"/>
                <w:sz w:val="15"/>
                <w:szCs w:val="15"/>
                <w:color w:val="auto"/>
              </w:rPr>
              <w:t>Trade names &amp; brands</w:t>
            </w:r>
          </w:p>
        </w:tc>
        <w:tc>
          <w:tcPr>
            <w:tcW w:w="360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204,631</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204,588</w:t>
            </w: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Patient database</w:t>
            </w:r>
          </w:p>
        </w:tc>
        <w:tc>
          <w:tcPr>
            <w:tcW w:w="3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170,409</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170,324</w:t>
            </w:r>
          </w:p>
        </w:tc>
      </w:tr>
      <w:tr>
        <w:trPr>
          <w:trHeight w:val="205"/>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Technology assets</w:t>
            </w:r>
          </w:p>
        </w:tc>
        <w:tc>
          <w:tcPr>
            <w:tcW w:w="3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151,010</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150,658</w:t>
            </w: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cost</w:t>
            </w:r>
          </w:p>
        </w:tc>
        <w:tc>
          <w:tcPr>
            <w:tcW w:w="36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5,201,844</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5,199,004</w:t>
            </w:r>
          </w:p>
        </w:tc>
      </w:tr>
      <w:tr>
        <w:trPr>
          <w:trHeight w:val="205"/>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Accumulated amortization</w:t>
            </w:r>
          </w:p>
        </w:tc>
        <w:tc>
          <w:tcPr>
            <w:tcW w:w="3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(1,700,537)</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(1,639,212)</w:t>
            </w:r>
          </w:p>
        </w:tc>
      </w:tr>
      <w:tr>
        <w:trPr>
          <w:trHeight w:val="224"/>
        </w:trPr>
        <w:tc>
          <w:tcPr>
            <w:tcW w:w="50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Net book value</w:t>
            </w:r>
          </w:p>
        </w:tc>
        <w:tc>
          <w:tcPr>
            <w:tcW w:w="36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3,501,307</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3,559,792</w:t>
            </w:r>
          </w:p>
        </w:tc>
      </w:tr>
      <w:tr>
        <w:trPr>
          <w:trHeight w:val="20"/>
        </w:trPr>
        <w:tc>
          <w:tcPr>
            <w:tcW w:w="502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5"/>
          <w:szCs w:val="15"/>
          <w:color w:val="auto"/>
        </w:rPr>
        <w:t>In the three months ended March 31, 2025, the amortization expense recognized by the Company was $58.9 million (three months ended March 31, 2024: $116.5 million and year ended December 31, 2024: $350.3 million). The decrease in amortization is due to the order backlog and trade name intangible assets recognized in connection with the merger of Indigo Merger Sub, Inc., a Delaware corporation and subsidiary of ICON, with and into PRA Health Sciences, Inc., the parent of PRA Health Sciences on July 1, 2021 ("PRA Merger") amounting to $500.0 million and $202.0 million respectively as of the date of acquisition, becoming fully amortized on July 1, 2024.</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additions to intangible assets during the three months ended March 31, 2025.</w:t>
      </w:r>
    </w:p>
    <w:p>
      <w:pPr>
        <w:spacing w:after="0" w:line="22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 xml:space="preserve">On August 19, 2024, the Company acquired KCR. The acquisition resulted in the recognition of intangible assets of $45.1 million, comprising customer relationships of $41.4 million and order backlog of $3.7 million. The purchase price allocation, as of the date of acquisition, was based on a preliminary valuation and may be subject to revision. Refer to note 5. </w:t>
      </w:r>
      <w:r>
        <w:rPr>
          <w:rFonts w:ascii="Arial" w:cs="Arial" w:eastAsia="Arial" w:hAnsi="Arial"/>
          <w:sz w:val="15"/>
          <w:szCs w:val="15"/>
          <w:i w:val="1"/>
          <w:iCs w:val="1"/>
          <w:color w:val="auto"/>
        </w:rPr>
        <w:t>Goodwill</w:t>
      </w:r>
      <w:r>
        <w:rPr>
          <w:rFonts w:ascii="Arial" w:cs="Arial" w:eastAsia="Arial" w:hAnsi="Arial"/>
          <w:sz w:val="15"/>
          <w:szCs w:val="15"/>
          <w:color w:val="auto"/>
        </w:rPr>
        <w:t xml:space="preserve"> for further details.</w:t>
      </w:r>
    </w:p>
    <w:p>
      <w:pPr>
        <w:spacing w:after="0" w:line="19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 xml:space="preserve">On January 9, 2024, the Company acquired HumanFirst. The acquisition resulted in the recognition of a developed technology intangible asset of $9.9 million. Refer to note 5. </w:t>
      </w:r>
      <w:r>
        <w:rPr>
          <w:rFonts w:ascii="Arial" w:cs="Arial" w:eastAsia="Arial" w:hAnsi="Arial"/>
          <w:sz w:val="15"/>
          <w:szCs w:val="15"/>
          <w:i w:val="1"/>
          <w:iCs w:val="1"/>
          <w:color w:val="auto"/>
        </w:rPr>
        <w:t>Goodwill</w:t>
      </w:r>
      <w:r>
        <w:rPr>
          <w:rFonts w:ascii="Arial" w:cs="Arial" w:eastAsia="Arial" w:hAnsi="Arial"/>
          <w:sz w:val="15"/>
          <w:szCs w:val="15"/>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7. Fair value measurements</w:t>
      </w:r>
    </w:p>
    <w:p>
      <w:pPr>
        <w:spacing w:after="0" w:line="24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183" w:lineRule="exact"/>
        <w:rPr>
          <w:sz w:val="20"/>
          <w:szCs w:val="20"/>
          <w:color w:val="auto"/>
        </w:rPr>
      </w:pPr>
    </w:p>
    <w:p>
      <w:pPr>
        <w:ind w:left="620" w:hanging="307"/>
        <w:spacing w:after="0"/>
        <w:tabs>
          <w:tab w:leader="none" w:pos="620" w:val="left"/>
        </w:tabs>
        <w:numPr>
          <w:ilvl w:val="0"/>
          <w:numId w:val="1"/>
        </w:numPr>
        <w:rPr>
          <w:rFonts w:ascii="Arial" w:cs="Arial" w:eastAsia="Arial" w:hAnsi="Arial"/>
          <w:sz w:val="15"/>
          <w:szCs w:val="15"/>
          <w:color w:val="auto"/>
        </w:rPr>
      </w:pPr>
      <w:r>
        <w:rPr>
          <w:rFonts w:ascii="Arial" w:cs="Arial" w:eastAsia="Arial" w:hAnsi="Arial"/>
          <w:sz w:val="15"/>
          <w:szCs w:val="15"/>
          <w:color w:val="auto"/>
        </w:rPr>
        <w:t>Level 1 — Quoted prices in active markets for identical assets or liabilities.</w:t>
      </w:r>
    </w:p>
    <w:p>
      <w:pPr>
        <w:spacing w:after="0" w:line="22" w:lineRule="exact"/>
        <w:rPr>
          <w:rFonts w:ascii="Arial" w:cs="Arial" w:eastAsia="Arial" w:hAnsi="Arial"/>
          <w:sz w:val="15"/>
          <w:szCs w:val="15"/>
          <w:color w:val="auto"/>
        </w:rPr>
      </w:pPr>
    </w:p>
    <w:p>
      <w:pPr>
        <w:jc w:val="both"/>
        <w:ind w:left="620" w:hanging="307"/>
        <w:spacing w:after="0" w:line="283" w:lineRule="auto"/>
        <w:tabs>
          <w:tab w:leader="none" w:pos="609" w:val="left"/>
        </w:tabs>
        <w:numPr>
          <w:ilvl w:val="0"/>
          <w:numId w:val="1"/>
        </w:numPr>
        <w:rPr>
          <w:rFonts w:ascii="Arial" w:cs="Arial" w:eastAsia="Arial" w:hAnsi="Arial"/>
          <w:sz w:val="15"/>
          <w:szCs w:val="15"/>
          <w:color w:val="auto"/>
        </w:rPr>
      </w:pPr>
      <w:r>
        <w:rPr>
          <w:rFonts w:ascii="Arial" w:cs="Arial" w:eastAsia="Arial" w:hAnsi="Arial"/>
          <w:sz w:val="15"/>
          <w:szCs w:val="15"/>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57" w:lineRule="exact"/>
        <w:rPr>
          <w:rFonts w:ascii="Arial" w:cs="Arial" w:eastAsia="Arial" w:hAnsi="Arial"/>
          <w:sz w:val="15"/>
          <w:szCs w:val="15"/>
          <w:color w:val="auto"/>
        </w:rPr>
      </w:pPr>
    </w:p>
    <w:p>
      <w:pPr>
        <w:ind w:left="620" w:hanging="307"/>
        <w:spacing w:after="0" w:line="280" w:lineRule="auto"/>
        <w:tabs>
          <w:tab w:leader="none" w:pos="609" w:val="left"/>
        </w:tabs>
        <w:numPr>
          <w:ilvl w:val="0"/>
          <w:numId w:val="1"/>
        </w:numPr>
        <w:rPr>
          <w:rFonts w:ascii="Arial" w:cs="Arial" w:eastAsia="Arial" w:hAnsi="Arial"/>
          <w:sz w:val="15"/>
          <w:szCs w:val="15"/>
          <w:color w:val="auto"/>
        </w:rPr>
      </w:pPr>
      <w:r>
        <w:rPr>
          <w:rFonts w:ascii="Arial" w:cs="Arial" w:eastAsia="Arial" w:hAnsi="Arial"/>
          <w:sz w:val="15"/>
          <w:szCs w:val="15"/>
          <w:color w:val="auto"/>
        </w:rPr>
        <w:t>Level 3 — Unobservable inputs that are supported by little or no market activity. This includes certain pricing models, discounted cash flow methodologies, and similar techniques that use significant unobservable inputs.</w:t>
      </w:r>
    </w:p>
    <w:p>
      <w:pPr>
        <w:spacing w:after="0" w:line="18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carrying amounts of financial instruments, including cash and cash equivalents, accounts receivable and accounts payable approximate fair value due to the short maturities of these instruments.</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March 31, 2025, the fair value of the major classes of the Company's assets and liabilities measured at fair value on a recurring basis were 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Investments</w:t>
            </w: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ind w:left="380"/>
              <w:spacing w:after="0"/>
              <w:rPr>
                <w:sz w:val="20"/>
                <w:szCs w:val="20"/>
                <w:color w:val="auto"/>
              </w:rPr>
            </w:pPr>
            <w:r>
              <w:rPr>
                <w:rFonts w:ascii="Arial" w:cs="Arial" w:eastAsia="Arial" w:hAnsi="Arial"/>
                <w:sz w:val="15"/>
                <w:szCs w:val="15"/>
                <w:b w:val="1"/>
                <w:bCs w:val="1"/>
                <w:color w:val="auto"/>
              </w:rPr>
              <w:t>Level 1</w:t>
            </w:r>
          </w:p>
        </w:tc>
        <w:tc>
          <w:tcPr>
            <w:tcW w:w="1020" w:type="dxa"/>
            <w:vAlign w:val="bottom"/>
            <w:vMerge w:val="restart"/>
            <w:shd w:val="clear" w:color="auto" w:fill="CCEEFF"/>
          </w:tcPr>
          <w:p>
            <w:pPr>
              <w:ind w:left="360"/>
              <w:spacing w:after="0"/>
              <w:rPr>
                <w:sz w:val="20"/>
                <w:szCs w:val="20"/>
                <w:color w:val="auto"/>
              </w:rPr>
            </w:pPr>
            <w:r>
              <w:rPr>
                <w:rFonts w:ascii="Arial" w:cs="Arial" w:eastAsia="Arial" w:hAnsi="Arial"/>
                <w:sz w:val="15"/>
                <w:szCs w:val="15"/>
                <w:b w:val="1"/>
                <w:bCs w:val="1"/>
                <w:color w:val="auto"/>
              </w:rPr>
              <w:t>Level 2</w:t>
            </w:r>
          </w:p>
        </w:tc>
        <w:tc>
          <w:tcPr>
            <w:tcW w:w="1320" w:type="dxa"/>
            <w:vAlign w:val="bottom"/>
            <w:vMerge w:val="restart"/>
            <w:shd w:val="clear" w:color="auto" w:fill="CCEEFF"/>
          </w:tcPr>
          <w:p>
            <w:pPr>
              <w:ind w:left="660"/>
              <w:spacing w:after="0"/>
              <w:rPr>
                <w:sz w:val="20"/>
                <w:szCs w:val="20"/>
                <w:color w:val="auto"/>
              </w:rPr>
            </w:pPr>
            <w:r>
              <w:rPr>
                <w:rFonts w:ascii="Arial" w:cs="Arial" w:eastAsia="Arial" w:hAnsi="Arial"/>
                <w:sz w:val="15"/>
                <w:szCs w:val="15"/>
                <w:b w:val="1"/>
                <w:bCs w:val="1"/>
                <w:color w:val="auto"/>
              </w:rPr>
              <w:t>Level 3</w:t>
            </w:r>
          </w:p>
        </w:tc>
        <w:tc>
          <w:tcPr>
            <w:tcW w:w="1640" w:type="dxa"/>
            <w:vAlign w:val="bottom"/>
            <w:gridSpan w:val="2"/>
            <w:shd w:val="clear" w:color="auto" w:fill="CCEEFF"/>
          </w:tcPr>
          <w:p>
            <w:pPr>
              <w:jc w:val="right"/>
              <w:ind w:right="363"/>
              <w:spacing w:after="0" w:line="155" w:lineRule="exact"/>
              <w:rPr>
                <w:sz w:val="20"/>
                <w:szCs w:val="20"/>
                <w:color w:val="auto"/>
              </w:rPr>
            </w:pPr>
            <w:r>
              <w:rPr>
                <w:rFonts w:ascii="Arial" w:cs="Arial" w:eastAsia="Arial" w:hAnsi="Arial"/>
                <w:sz w:val="15"/>
                <w:szCs w:val="15"/>
                <w:b w:val="1"/>
                <w:bCs w:val="1"/>
                <w:color w:val="auto"/>
              </w:rPr>
              <w:t>Measured at Net</w:t>
            </w: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1640" w:type="dxa"/>
            <w:vAlign w:val="bottom"/>
            <w:tcBorders>
              <w:bottom w:val="single" w:sz="8" w:color="auto"/>
            </w:tcBorders>
            <w:gridSpan w:val="2"/>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Asset Value</w:t>
            </w:r>
          </w:p>
        </w:tc>
        <w:tc>
          <w:tcPr>
            <w:tcW w:w="90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b w:val="1"/>
                <w:bCs w:val="1"/>
                <w:color w:val="auto"/>
              </w:rPr>
              <w:t>(in thousands)</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9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5"/>
                <w:szCs w:val="15"/>
                <w:color w:val="auto"/>
              </w:rPr>
              <w:t>Investments in equity</w:t>
            </w:r>
            <w:r>
              <w:rPr>
                <w:rFonts w:ascii="Arial" w:cs="Arial" w:eastAsia="Arial" w:hAnsi="Arial"/>
                <w:sz w:val="20"/>
                <w:szCs w:val="20"/>
                <w:color w:val="auto"/>
                <w:vertAlign w:val="superscript"/>
              </w:rPr>
              <w:t>1</w:t>
            </w:r>
          </w:p>
        </w:tc>
        <w:tc>
          <w:tcPr>
            <w:tcW w:w="19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58,660</w:t>
            </w:r>
          </w:p>
        </w:tc>
        <w:tc>
          <w:tcPr>
            <w:tcW w:w="4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58,660</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96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58,660</w:t>
            </w:r>
          </w:p>
        </w:tc>
        <w:tc>
          <w:tcPr>
            <w:tcW w:w="4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58,660</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0" w:type="dxa"/>
            <w:vAlign w:val="bottom"/>
            <w:tcBorders>
              <w:top w:val="single" w:sz="8" w:color="CCEEFF"/>
              <w:bottom w:val="single" w:sz="8" w:color="auto"/>
            </w:tcBorders>
            <w:gridSpan w:val="8"/>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1240" w:type="dxa"/>
            <w:vAlign w:val="bottom"/>
            <w:gridSpan w:val="9"/>
          </w:tcPr>
          <w:p>
            <w:pPr>
              <w:jc w:val="right"/>
              <w:spacing w:after="0"/>
              <w:rPr>
                <w:sz w:val="20"/>
                <w:szCs w:val="20"/>
                <w:color w:val="auto"/>
              </w:rPr>
            </w:pPr>
            <w:r>
              <w:rPr>
                <w:rFonts w:ascii="Arial" w:cs="Arial" w:eastAsia="Arial" w:hAnsi="Arial"/>
                <w:sz w:val="15"/>
                <w:szCs w:val="15"/>
                <w:color w:val="auto"/>
              </w:rPr>
              <w:t>As of December 31, 2024, the fair value of the major classes of the Company's assets and liabilities measured at fair value on a recurring basis were as</w:t>
            </w:r>
          </w:p>
        </w:tc>
        <w:tc>
          <w:tcPr>
            <w:tcW w:w="0" w:type="dxa"/>
            <w:vAlign w:val="bottom"/>
          </w:tcPr>
          <w:p>
            <w:pPr>
              <w:spacing w:after="0"/>
              <w:rPr>
                <w:sz w:val="1"/>
                <w:szCs w:val="1"/>
                <w:color w:val="auto"/>
              </w:rPr>
            </w:pPr>
          </w:p>
        </w:tc>
      </w:tr>
      <w:tr>
        <w:trPr>
          <w:trHeight w:val="204"/>
        </w:trPr>
        <w:tc>
          <w:tcPr>
            <w:tcW w:w="3060" w:type="dxa"/>
            <w:vAlign w:val="bottom"/>
          </w:tcPr>
          <w:p>
            <w:pPr>
              <w:spacing w:after="0"/>
              <w:rPr>
                <w:sz w:val="20"/>
                <w:szCs w:val="20"/>
                <w:color w:val="auto"/>
              </w:rPr>
            </w:pPr>
            <w:r>
              <w:rPr>
                <w:rFonts w:ascii="Arial" w:cs="Arial" w:eastAsia="Arial" w:hAnsi="Arial"/>
                <w:sz w:val="15"/>
                <w:szCs w:val="15"/>
                <w:color w:val="auto"/>
              </w:rPr>
              <w:t>follows:</w:t>
            </w: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0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Investments</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ind w:left="320"/>
              <w:spacing w:after="0"/>
              <w:rPr>
                <w:sz w:val="20"/>
                <w:szCs w:val="20"/>
                <w:color w:val="auto"/>
              </w:rPr>
            </w:pPr>
            <w:r>
              <w:rPr>
                <w:rFonts w:ascii="Arial" w:cs="Arial" w:eastAsia="Arial" w:hAnsi="Arial"/>
                <w:sz w:val="15"/>
                <w:szCs w:val="15"/>
                <w:b w:val="1"/>
                <w:bCs w:val="1"/>
                <w:color w:val="auto"/>
              </w:rPr>
              <w:t>Level 1</w:t>
            </w:r>
          </w:p>
        </w:tc>
        <w:tc>
          <w:tcPr>
            <w:tcW w:w="1020" w:type="dxa"/>
            <w:vAlign w:val="bottom"/>
            <w:vMerge w:val="restart"/>
            <w:shd w:val="clear" w:color="auto" w:fill="CCEEFF"/>
          </w:tcPr>
          <w:p>
            <w:pPr>
              <w:ind w:left="300"/>
              <w:spacing w:after="0"/>
              <w:rPr>
                <w:sz w:val="20"/>
                <w:szCs w:val="20"/>
                <w:color w:val="auto"/>
              </w:rPr>
            </w:pPr>
            <w:r>
              <w:rPr>
                <w:rFonts w:ascii="Arial" w:cs="Arial" w:eastAsia="Arial" w:hAnsi="Arial"/>
                <w:sz w:val="15"/>
                <w:szCs w:val="15"/>
                <w:b w:val="1"/>
                <w:bCs w:val="1"/>
                <w:color w:val="auto"/>
              </w:rPr>
              <w:t>Level 2</w:t>
            </w:r>
          </w:p>
        </w:tc>
        <w:tc>
          <w:tcPr>
            <w:tcW w:w="24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Measured at Net</w:t>
            </w:r>
          </w:p>
        </w:tc>
        <w:tc>
          <w:tcPr>
            <w:tcW w:w="4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5"/>
                <w:szCs w:val="15"/>
                <w:b w:val="1"/>
                <w:bCs w:val="1"/>
                <w:color w:val="auto"/>
              </w:rPr>
              <w:t>Level 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Asset Value</w:t>
            </w: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40" w:type="dxa"/>
            <w:vAlign w:val="bottom"/>
            <w:gridSpan w:val="2"/>
          </w:tcPr>
          <w:p>
            <w:pPr>
              <w:ind w:left="980"/>
              <w:spacing w:after="0"/>
              <w:rPr>
                <w:sz w:val="20"/>
                <w:szCs w:val="20"/>
                <w:color w:val="auto"/>
              </w:rPr>
            </w:pPr>
            <w:r>
              <w:rPr>
                <w:rFonts w:ascii="Arial" w:cs="Arial" w:eastAsia="Arial" w:hAnsi="Arial"/>
                <w:sz w:val="15"/>
                <w:szCs w:val="15"/>
                <w:b w:val="1"/>
                <w:bCs w:val="1"/>
                <w:color w:val="auto"/>
              </w:rPr>
              <w:t>(in thousands)</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9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5"/>
                <w:szCs w:val="15"/>
                <w:color w:val="auto"/>
              </w:rPr>
              <w:t>Investments in equity</w:t>
            </w:r>
            <w:r>
              <w:rPr>
                <w:rFonts w:ascii="Arial" w:cs="Arial" w:eastAsia="Arial" w:hAnsi="Arial"/>
                <w:sz w:val="20"/>
                <w:szCs w:val="20"/>
                <w:color w:val="auto"/>
                <w:vertAlign w:val="superscript"/>
              </w:rPr>
              <w:t>1</w:t>
            </w:r>
          </w:p>
        </w:tc>
        <w:tc>
          <w:tcPr>
            <w:tcW w:w="19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54,448</w:t>
            </w: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54,448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9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 $</w:t>
            </w:r>
          </w:p>
        </w:tc>
        <w:tc>
          <w:tcPr>
            <w:tcW w:w="10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 $</w:t>
            </w:r>
          </w:p>
        </w:tc>
        <w:tc>
          <w:tcPr>
            <w:tcW w:w="13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5"/>
                <w:szCs w:val="15"/>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54,448</w:t>
            </w: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54,448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5"/>
          <w:szCs w:val="15"/>
          <w:color w:val="auto"/>
        </w:rPr>
        <w:t xml:space="preserve">To determine the classification of its investments in equity, the Company considered the nature of its investment, the extent of influence over operating and financial decisions and the availability of readily determinable fair values. The Company determined that certain interests in funds meet the definition of equity securities without readily determinable fair values, which qualify for the Net Asset Value (NAV) practical expedient in ASC 820 'Fair value measurement'. Any increases or decreases in fair value are recognized in net income in the period. Investments in equity excludes investments in equity securities recorded at cost of $3.5 million </w:t>
      </w:r>
      <w:r>
        <w:rPr>
          <w:rFonts w:ascii="Times New Roman" w:cs="Times New Roman" w:eastAsia="Times New Roman" w:hAnsi="Times New Roman"/>
          <w:sz w:val="17"/>
          <w:szCs w:val="17"/>
          <w:color w:val="auto"/>
        </w:rPr>
        <w:t>(</w:t>
      </w:r>
      <w:r>
        <w:rPr>
          <w:rFonts w:ascii="Arial" w:cs="Arial" w:eastAsia="Arial" w:hAnsi="Arial"/>
          <w:sz w:val="15"/>
          <w:szCs w:val="15"/>
          <w:color w:val="auto"/>
        </w:rPr>
        <w:t>December 31, 2024: $3.5 million) which do not qualify for the NAV practical expedient.</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Non-recurring Fair Value Measurements</w:t>
      </w:r>
    </w:p>
    <w:p>
      <w:pPr>
        <w:spacing w:after="0" w:line="24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March 31, 2025, assets carried on the Condensed Consolidated Balance Sheet which are not re-measured to fair value on a recurring basis totaled $12,570.1 million (December 31, 2024: $12,614.7 million) and are identified as Level 3 assets. These assets are comprised of goodwill of $9,065.3 million (December 31, 2024: $9,051.4 million), intangible assets of $3,501.3 million (December 31, 2024: $3,559.8 million) and investments in equity recorded at cost of $3.5 million (December 31, 2024: $3.5 million).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5" w:name="page16"/>
    <w:bookmarkEnd w:id="15"/>
    <w:p>
      <w:pPr>
        <w:ind w:firstLine="619"/>
        <w:spacing w:after="0" w:line="294" w:lineRule="auto"/>
        <w:rPr>
          <w:sz w:val="20"/>
          <w:szCs w:val="20"/>
          <w:color w:val="auto"/>
        </w:rPr>
      </w:pPr>
      <w:r>
        <w:rPr>
          <w:rFonts w:ascii="Arial" w:cs="Arial" w:eastAsia="Arial" w:hAnsi="Arial"/>
          <w:sz w:val="15"/>
          <w:szCs w:val="15"/>
          <w:color w:val="auto"/>
        </w:rPr>
        <w:t>The estimated fair value of the Company’s debt was $3,479.6 million at March 31, 2025 (December 31, 2024: $3,469.2 million). The fair values of the senior secured term loan facility, the 2026 Notes and the New Notes were determined based on rates at which the debt is traded among financial institutions.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Restructuring</w:t>
      </w:r>
    </w:p>
    <w:p>
      <w:pPr>
        <w:spacing w:after="0" w:line="242"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In the three months ended March 31, 2025, a restructuring charge of $39.3 million (March 31, 2024: $nil) was recorded in the Condensed Consolidated Statement of Operations under a restructuring plan reflecting a workforce reduction.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5"/>
                <w:szCs w:val="15"/>
                <w:b w:val="1"/>
                <w:bCs w:val="1"/>
                <w:color w:val="auto"/>
              </w:rPr>
              <w:t>Three Months Ended</w:t>
            </w:r>
          </w:p>
        </w:tc>
        <w:tc>
          <w:tcPr>
            <w:tcW w:w="740" w:type="dxa"/>
            <w:vAlign w:val="bottom"/>
            <w:tcBorders>
              <w:bottom w:val="single" w:sz="8" w:color="auto"/>
            </w:tcBorders>
            <w:shd w:val="clear" w:color="auto" w:fill="CCEEFF"/>
          </w:tcPr>
          <w:p>
            <w:pPr>
              <w:spacing w:after="0"/>
              <w:rPr>
                <w:sz w:val="17"/>
                <w:szCs w:val="17"/>
                <w:color w:val="auto"/>
              </w:rPr>
            </w:pPr>
          </w:p>
        </w:tc>
      </w:tr>
      <w:tr>
        <w:trPr>
          <w:trHeight w:val="148"/>
        </w:trPr>
        <w:tc>
          <w:tcPr>
            <w:tcW w:w="8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76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8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5"/>
                <w:szCs w:val="15"/>
                <w:b w:val="1"/>
                <w:bCs w:val="1"/>
                <w:color w:val="auto"/>
              </w:rPr>
              <w:t>(in thousands)</w:t>
            </w:r>
          </w:p>
        </w:tc>
        <w:tc>
          <w:tcPr>
            <w:tcW w:w="740" w:type="dxa"/>
            <w:vAlign w:val="bottom"/>
            <w:shd w:val="clear" w:color="auto" w:fill="CCEEFF"/>
          </w:tcPr>
          <w:p>
            <w:pPr>
              <w:spacing w:after="0"/>
              <w:rPr>
                <w:sz w:val="17"/>
                <w:szCs w:val="17"/>
                <w:color w:val="auto"/>
              </w:rPr>
            </w:pPr>
          </w:p>
        </w:tc>
      </w:tr>
      <w:tr>
        <w:trPr>
          <w:trHeight w:val="20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Restructuring charges</w:t>
            </w: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rPr>
              <w:t>39,346</w:t>
            </w: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39,346</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At March 31, 2025, a total liability of $52.0 million (December 31, 2024: $31.5 million) was recorded on the Condensed Consolidated Balance Sheet relating to restructuring activities.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Three Months</w:t>
            </w: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Year</w:t>
            </w: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c>
          <w:tcPr>
            <w:tcW w:w="7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Ended</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15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5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(in thousands)</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Opening provision</w:t>
            </w: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31,474</w:t>
            </w:r>
          </w:p>
        </w:tc>
        <w:tc>
          <w:tcPr>
            <w:tcW w:w="720" w:type="dxa"/>
            <w:vAlign w:val="bottom"/>
          </w:tcPr>
          <w:p>
            <w:pPr>
              <w:jc w:val="right"/>
              <w:ind w:right="5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6,999</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Charge during the period</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39,346</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76,392</w:t>
            </w:r>
          </w:p>
        </w:tc>
        <w:tc>
          <w:tcPr>
            <w:tcW w:w="0" w:type="dxa"/>
            <w:vAlign w:val="bottom"/>
          </w:tcPr>
          <w:p>
            <w:pPr>
              <w:spacing w:after="0"/>
              <w:rPr>
                <w:sz w:val="1"/>
                <w:szCs w:val="1"/>
                <w:color w:val="auto"/>
              </w:rPr>
            </w:pPr>
          </w:p>
        </w:tc>
      </w:tr>
      <w:tr>
        <w:trPr>
          <w:trHeight w:val="20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Utilization</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(18,820)</w:t>
            </w:r>
          </w:p>
        </w:tc>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(51,917)</w:t>
            </w:r>
          </w:p>
        </w:tc>
        <w:tc>
          <w:tcPr>
            <w:tcW w:w="0" w:type="dxa"/>
            <w:vAlign w:val="bottom"/>
          </w:tcPr>
          <w:p>
            <w:pPr>
              <w:spacing w:after="0"/>
              <w:rPr>
                <w:sz w:val="1"/>
                <w:szCs w:val="1"/>
                <w:color w:val="auto"/>
              </w:rPr>
            </w:pPr>
          </w:p>
        </w:tc>
      </w:tr>
      <w:tr>
        <w:trPr>
          <w:trHeight w:val="224"/>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Closing provision</w:t>
            </w: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52,000</w:t>
            </w: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31,474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closing provision of $52.0 million (December 31, 2024: $31.5 million) reflects:</w:t>
      </w:r>
    </w:p>
    <w:p>
      <w:pPr>
        <w:spacing w:after="0" w:line="98" w:lineRule="exact"/>
        <w:rPr>
          <w:sz w:val="20"/>
          <w:szCs w:val="20"/>
          <w:color w:val="auto"/>
        </w:rPr>
      </w:pPr>
    </w:p>
    <w:p>
      <w:pPr>
        <w:ind w:firstLine="622"/>
        <w:spacing w:after="0" w:line="312" w:lineRule="auto"/>
        <w:tabs>
          <w:tab w:leader="none" w:pos="851" w:val="left"/>
        </w:tabs>
        <w:numPr>
          <w:ilvl w:val="0"/>
          <w:numId w:val="2"/>
        </w:numPr>
        <w:rPr>
          <w:rFonts w:ascii="Arial" w:cs="Arial" w:eastAsia="Arial" w:hAnsi="Arial"/>
          <w:sz w:val="15"/>
          <w:szCs w:val="15"/>
          <w:color w:val="auto"/>
        </w:rPr>
      </w:pPr>
      <w:r>
        <w:rPr>
          <w:rFonts w:ascii="Arial" w:cs="Arial" w:eastAsia="Arial" w:hAnsi="Arial"/>
          <w:sz w:val="15"/>
          <w:szCs w:val="15"/>
          <w:color w:val="auto"/>
        </w:rPr>
        <w:t>$48.5 million (December 31, 2024: $27.7 million) of personnel related liabilities as a result of the workforce reduction; all of which have been classified as short-term within Other Liabilities, and</w:t>
      </w:r>
    </w:p>
    <w:p>
      <w:pPr>
        <w:spacing w:after="0" w:line="28" w:lineRule="exact"/>
        <w:rPr>
          <w:rFonts w:ascii="Arial" w:cs="Arial" w:eastAsia="Arial" w:hAnsi="Arial"/>
          <w:sz w:val="15"/>
          <w:szCs w:val="15"/>
          <w:color w:val="auto"/>
        </w:rPr>
      </w:pPr>
    </w:p>
    <w:p>
      <w:pPr>
        <w:ind w:firstLine="622"/>
        <w:spacing w:after="0" w:line="330" w:lineRule="auto"/>
        <w:tabs>
          <w:tab w:leader="none" w:pos="864" w:val="left"/>
        </w:tabs>
        <w:numPr>
          <w:ilvl w:val="0"/>
          <w:numId w:val="2"/>
        </w:numPr>
        <w:rPr>
          <w:rFonts w:ascii="Arial" w:cs="Arial" w:eastAsia="Arial" w:hAnsi="Arial"/>
          <w:sz w:val="15"/>
          <w:szCs w:val="15"/>
          <w:color w:val="auto"/>
        </w:rPr>
      </w:pPr>
      <w:r>
        <w:rPr>
          <w:rFonts w:ascii="Arial" w:cs="Arial" w:eastAsia="Arial" w:hAnsi="Arial"/>
          <w:sz w:val="15"/>
          <w:szCs w:val="15"/>
          <w:color w:val="auto"/>
        </w:rPr>
        <w:t>$3.5 million (December 31, 2024: $3.8 million) of facilities related liabilities of which $1.3 million (December 31, 2024: $1.4 million) is included within Other Liabilities and $2.2 million (December 31, 2024: $2.4 million) is included within Non-Current Other Liabilities.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9. Operating leases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740" w:type="dxa"/>
            <w:vAlign w:val="bottom"/>
            <w:gridSpan w:val="3"/>
          </w:tcPr>
          <w:p>
            <w:pPr>
              <w:jc w:val="right"/>
              <w:ind w:right="623"/>
              <w:spacing w:after="0"/>
              <w:rPr>
                <w:sz w:val="20"/>
                <w:szCs w:val="20"/>
                <w:color w:val="auto"/>
              </w:rPr>
            </w:pPr>
            <w:r>
              <w:rPr>
                <w:rFonts w:ascii="Arial" w:cs="Arial" w:eastAsia="Arial" w:hAnsi="Arial"/>
                <w:sz w:val="15"/>
                <w:szCs w:val="15"/>
                <w:color w:val="auto"/>
              </w:rPr>
              <w:t>Lease costs recorded under operating leases for three months ended March 31, 2025 and March 31, 2024 were as follows:</w:t>
            </w: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9"/>
        </w:trPr>
        <w:tc>
          <w:tcPr>
            <w:tcW w:w="8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06"/>
        </w:trPr>
        <w:tc>
          <w:tcPr>
            <w:tcW w:w="8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740" w:type="dxa"/>
            <w:vAlign w:val="bottom"/>
            <w:tcBorders>
              <w:bottom w:val="single" w:sz="8" w:color="auto"/>
            </w:tcBorders>
            <w:shd w:val="clear" w:color="auto" w:fill="CCEEFF"/>
          </w:tcPr>
          <w:p>
            <w:pPr>
              <w:spacing w:after="0"/>
              <w:rPr>
                <w:sz w:val="17"/>
                <w:szCs w:val="17"/>
                <w:color w:val="auto"/>
              </w:rPr>
            </w:pPr>
          </w:p>
        </w:tc>
      </w:tr>
      <w:tr>
        <w:trPr>
          <w:trHeight w:val="148"/>
        </w:trPr>
        <w:tc>
          <w:tcPr>
            <w:tcW w:w="8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76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8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(in thousands)</w:t>
            </w:r>
          </w:p>
        </w:tc>
        <w:tc>
          <w:tcPr>
            <w:tcW w:w="740" w:type="dxa"/>
            <w:vAlign w:val="bottom"/>
            <w:shd w:val="clear" w:color="auto" w:fill="CCEEFF"/>
          </w:tcPr>
          <w:p>
            <w:pPr>
              <w:spacing w:after="0"/>
              <w:rPr>
                <w:sz w:val="17"/>
                <w:szCs w:val="17"/>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Operating lease costs</w:t>
            </w: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11,199</w:t>
            </w:r>
          </w:p>
        </w:tc>
        <w:tc>
          <w:tcPr>
            <w:tcW w:w="760" w:type="dxa"/>
            <w:vAlign w:val="bottom"/>
          </w:tcPr>
          <w:p>
            <w:pPr>
              <w:jc w:val="right"/>
              <w:ind w:right="58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13,163</w:t>
            </w:r>
          </w:p>
        </w:tc>
      </w:tr>
      <w:tr>
        <w:trPr>
          <w:trHeight w:val="20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sub-leases</w:t>
            </w: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(768)</w:t>
            </w:r>
          </w:p>
        </w:tc>
        <w:tc>
          <w:tcPr>
            <w:tcW w:w="7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w:t>
            </w:r>
          </w:p>
        </w:tc>
      </w:tr>
      <w:tr>
        <w:trPr>
          <w:trHeight w:val="19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operating lease costs</w:t>
            </w: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10,431</w:t>
            </w: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12,827</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Of the total cost of $10.4 million incurred in the three months ended March 31, 2025 (March 31, 2024: $12.8 million), $8.9 million (March 31, 2024: $10.0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million) is recorded within selling, general and administration costs and $1.5 million (March 31, 2024: $2.8 million) is recorded within direct costs.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the three months ended March 31, 2025 and March 31, 2024, costs incurred by the Group related to variable lease payments were de minimis.</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Right-of-use assets obtained, in exchange for lease obligations during the three months ended March 31, 2025, totaled $7.0 million (March 31, 2024: $35.6</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million).</w:t>
      </w:r>
    </w:p>
    <w:p>
      <w:pPr>
        <w:spacing w:after="0" w:line="22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weighted average remaining lease term and weighted-average discount rate at March 31, 2025 were 6.33 years and 3.93%, respectively. The weighted average remaining lease term and weighted-average discount rate at December 31, 2024 were 6.56 years and 4.01%,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80" w:type="dxa"/>
            <w:vAlign w:val="bottom"/>
          </w:tcPr>
          <w:p>
            <w:pPr>
              <w:ind w:left="620"/>
              <w:spacing w:after="0"/>
              <w:rPr>
                <w:sz w:val="20"/>
                <w:szCs w:val="20"/>
                <w:color w:val="auto"/>
              </w:rPr>
            </w:pPr>
            <w:r>
              <w:rPr>
                <w:rFonts w:ascii="Arial" w:cs="Arial" w:eastAsia="Arial" w:hAnsi="Arial"/>
                <w:sz w:val="15"/>
                <w:szCs w:val="15"/>
                <w:color w:val="auto"/>
              </w:rPr>
              <w:t>Future minimum lease payments under non-cancelable leases as of March 31, 2025 were as follows:</w:t>
            </w: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05"/>
        </w:trPr>
        <w:tc>
          <w:tcPr>
            <w:tcW w:w="8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06"/>
        </w:trPr>
        <w:tc>
          <w:tcPr>
            <w:tcW w:w="86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198"/>
        </w:trPr>
        <w:tc>
          <w:tcPr>
            <w:tcW w:w="8680" w:type="dxa"/>
            <w:vAlign w:val="bottom"/>
          </w:tcPr>
          <w:p>
            <w:pPr>
              <w:ind w:left="20"/>
              <w:spacing w:after="0"/>
              <w:rPr>
                <w:sz w:val="20"/>
                <w:szCs w:val="20"/>
                <w:color w:val="auto"/>
              </w:rPr>
            </w:pPr>
            <w:r>
              <w:rPr>
                <w:rFonts w:ascii="Arial" w:cs="Arial" w:eastAsia="Arial" w:hAnsi="Arial"/>
                <w:sz w:val="15"/>
                <w:szCs w:val="15"/>
                <w:color w:val="auto"/>
              </w:rPr>
              <w:t>Year 1</w:t>
            </w:r>
          </w:p>
        </w:tc>
        <w:tc>
          <w:tcPr>
            <w:tcW w:w="13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42,309</w:t>
            </w: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2</w:t>
            </w: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38,927</w:t>
            </w:r>
          </w:p>
        </w:tc>
      </w:tr>
      <w:tr>
        <w:trPr>
          <w:trHeight w:val="205"/>
        </w:trPr>
        <w:tc>
          <w:tcPr>
            <w:tcW w:w="8680" w:type="dxa"/>
            <w:vAlign w:val="bottom"/>
          </w:tcPr>
          <w:p>
            <w:pPr>
              <w:ind w:left="20"/>
              <w:spacing w:after="0"/>
              <w:rPr>
                <w:sz w:val="20"/>
                <w:szCs w:val="20"/>
                <w:color w:val="auto"/>
              </w:rPr>
            </w:pPr>
            <w:r>
              <w:rPr>
                <w:rFonts w:ascii="Arial" w:cs="Arial" w:eastAsia="Arial" w:hAnsi="Arial"/>
                <w:sz w:val="15"/>
                <w:szCs w:val="15"/>
                <w:color w:val="auto"/>
              </w:rPr>
              <w:t>Year 3</w:t>
            </w:r>
          </w:p>
        </w:tc>
        <w:tc>
          <w:tcPr>
            <w:tcW w:w="1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32,339</w:t>
            </w: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4</w:t>
            </w: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24,316</w:t>
            </w:r>
          </w:p>
        </w:tc>
      </w:tr>
      <w:tr>
        <w:trPr>
          <w:trHeight w:val="205"/>
        </w:trPr>
        <w:tc>
          <w:tcPr>
            <w:tcW w:w="8680" w:type="dxa"/>
            <w:vAlign w:val="bottom"/>
          </w:tcPr>
          <w:p>
            <w:pPr>
              <w:ind w:left="20"/>
              <w:spacing w:after="0"/>
              <w:rPr>
                <w:sz w:val="20"/>
                <w:szCs w:val="20"/>
                <w:color w:val="auto"/>
              </w:rPr>
            </w:pPr>
            <w:r>
              <w:rPr>
                <w:rFonts w:ascii="Arial" w:cs="Arial" w:eastAsia="Arial" w:hAnsi="Arial"/>
                <w:sz w:val="15"/>
                <w:szCs w:val="15"/>
                <w:color w:val="auto"/>
              </w:rPr>
              <w:t>Year 5</w:t>
            </w:r>
          </w:p>
        </w:tc>
        <w:tc>
          <w:tcPr>
            <w:tcW w:w="1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17,843</w:t>
            </w:r>
          </w:p>
        </w:tc>
      </w:tr>
      <w:tr>
        <w:trPr>
          <w:trHeight w:val="206"/>
        </w:trPr>
        <w:tc>
          <w:tcPr>
            <w:tcW w:w="8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Thereafter</w:t>
            </w:r>
          </w:p>
        </w:tc>
        <w:tc>
          <w:tcPr>
            <w:tcW w:w="1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39,798</w:t>
            </w:r>
          </w:p>
        </w:tc>
      </w:tr>
      <w:tr>
        <w:trPr>
          <w:trHeight w:val="199"/>
        </w:trPr>
        <w:tc>
          <w:tcPr>
            <w:tcW w:w="8680" w:type="dxa"/>
            <w:vAlign w:val="bottom"/>
          </w:tcPr>
          <w:p>
            <w:pPr>
              <w:ind w:left="20"/>
              <w:spacing w:after="0"/>
              <w:rPr>
                <w:sz w:val="20"/>
                <w:szCs w:val="20"/>
                <w:color w:val="auto"/>
              </w:rPr>
            </w:pPr>
            <w:r>
              <w:rPr>
                <w:rFonts w:ascii="Arial" w:cs="Arial" w:eastAsia="Arial" w:hAnsi="Arial"/>
                <w:sz w:val="15"/>
                <w:szCs w:val="15"/>
                <w:color w:val="auto"/>
              </w:rPr>
              <w:t>Total future minimum lease payments</w:t>
            </w:r>
          </w:p>
        </w:tc>
        <w:tc>
          <w:tcPr>
            <w:tcW w:w="1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195,532</w:t>
            </w:r>
          </w:p>
        </w:tc>
      </w:tr>
      <w:tr>
        <w:trPr>
          <w:trHeight w:val="206"/>
        </w:trPr>
        <w:tc>
          <w:tcPr>
            <w:tcW w:w="8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Lease imputed interest</w:t>
            </w:r>
          </w:p>
        </w:tc>
        <w:tc>
          <w:tcPr>
            <w:tcW w:w="1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(20,777)</w:t>
            </w:r>
          </w:p>
        </w:tc>
      </w:tr>
      <w:tr>
        <w:trPr>
          <w:trHeight w:val="199"/>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174,755</w:t>
            </w: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Operating lease liabilities are presented as current and non-current. As at March 31, 2025, operating lease liabilities of $36.4 million have been included in Other liabilities (December 31, 2024: $36.8 million) and $138.4 million have been classified as Non-current Lease Liabilities (December 31, 2024: $140.1 million).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4"/>
        </w:trPr>
        <w:tc>
          <w:tcPr>
            <w:tcW w:w="3800" w:type="dxa"/>
            <w:vAlign w:val="bottom"/>
          </w:tcPr>
          <w:p>
            <w:pPr>
              <w:spacing w:after="0"/>
              <w:rPr>
                <w:sz w:val="20"/>
                <w:szCs w:val="20"/>
                <w:color w:val="auto"/>
              </w:rPr>
            </w:pPr>
            <w:r>
              <w:rPr>
                <w:rFonts w:ascii="Arial" w:cs="Arial" w:eastAsia="Arial" w:hAnsi="Arial"/>
                <w:sz w:val="15"/>
                <w:szCs w:val="15"/>
                <w:b w:val="1"/>
                <w:bCs w:val="1"/>
                <w:color w:val="auto"/>
              </w:rPr>
              <w:t>10. Bank credit lines, loan facilities and notes</w:t>
            </w:r>
          </w:p>
        </w:tc>
        <w:tc>
          <w:tcPr>
            <w:tcW w:w="1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260" w:type="dxa"/>
            <w:vAlign w:val="bottom"/>
            <w:gridSpan w:val="3"/>
          </w:tcPr>
          <w:p>
            <w:pPr>
              <w:ind w:left="620"/>
              <w:spacing w:after="0"/>
              <w:rPr>
                <w:sz w:val="20"/>
                <w:szCs w:val="20"/>
                <w:color w:val="auto"/>
              </w:rPr>
            </w:pPr>
            <w:r>
              <w:rPr>
                <w:rFonts w:ascii="Arial" w:cs="Arial" w:eastAsia="Arial" w:hAnsi="Arial"/>
                <w:sz w:val="15"/>
                <w:szCs w:val="15"/>
                <w:color w:val="auto"/>
              </w:rPr>
              <w:t>The Company had the following debt outstanding as of March 31, 2025 and December 31, 2024:</w:t>
            </w: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320" w:type="dxa"/>
            <w:vAlign w:val="bottom"/>
            <w:gridSpan w:val="2"/>
          </w:tcPr>
          <w:p>
            <w:pPr>
              <w:spacing w:after="0"/>
              <w:rPr>
                <w:sz w:val="22"/>
                <w:szCs w:val="22"/>
                <w:color w:val="auto"/>
              </w:rPr>
            </w:pPr>
          </w:p>
        </w:tc>
        <w:tc>
          <w:tcPr>
            <w:tcW w:w="25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3320" w:type="dxa"/>
            <w:vAlign w:val="bottom"/>
            <w:tcBorders>
              <w:bottom w:val="single" w:sz="8" w:color="auto"/>
            </w:tcBorders>
            <w:gridSpan w:val="2"/>
            <w:shd w:val="clear" w:color="auto" w:fill="CCEEFF"/>
          </w:tcPr>
          <w:p>
            <w:pPr>
              <w:jc w:val="right"/>
              <w:ind w:right="1263"/>
              <w:spacing w:after="0"/>
              <w:rPr>
                <w:sz w:val="20"/>
                <w:szCs w:val="20"/>
                <w:color w:val="auto"/>
              </w:rPr>
            </w:pPr>
            <w:r>
              <w:rPr>
                <w:rFonts w:ascii="Arial" w:cs="Arial" w:eastAsia="Arial" w:hAnsi="Arial"/>
                <w:sz w:val="15"/>
                <w:szCs w:val="15"/>
                <w:b w:val="1"/>
                <w:bCs w:val="1"/>
                <w:color w:val="auto"/>
              </w:rPr>
              <w:t>Interest rate as of</w:t>
            </w:r>
          </w:p>
        </w:tc>
        <w:tc>
          <w:tcPr>
            <w:tcW w:w="2520" w:type="dxa"/>
            <w:vAlign w:val="bottom"/>
            <w:tcBorders>
              <w:bottom w:val="single" w:sz="8" w:color="auto"/>
            </w:tcBorders>
            <w:gridSpan w:val="3"/>
            <w:shd w:val="clear" w:color="auto" w:fill="CCEEFF"/>
          </w:tcPr>
          <w:p>
            <w:pPr>
              <w:jc w:val="right"/>
              <w:ind w:right="763"/>
              <w:spacing w:after="0"/>
              <w:rPr>
                <w:sz w:val="20"/>
                <w:szCs w:val="20"/>
                <w:color w:val="auto"/>
              </w:rPr>
            </w:pPr>
            <w:r>
              <w:rPr>
                <w:rFonts w:ascii="Arial" w:cs="Arial" w:eastAsia="Arial" w:hAnsi="Arial"/>
                <w:sz w:val="15"/>
                <w:szCs w:val="15"/>
                <w:b w:val="1"/>
                <w:bCs w:val="1"/>
                <w:color w:val="auto"/>
              </w:rPr>
              <w:t>Principal amount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Maturity Date</w:t>
            </w:r>
          </w:p>
        </w:tc>
        <w:tc>
          <w:tcPr>
            <w:tcW w:w="1860" w:type="dxa"/>
            <w:vAlign w:val="bottom"/>
          </w:tcPr>
          <w:p>
            <w:pPr>
              <w:jc w:val="right"/>
              <w:ind w:right="483"/>
              <w:spacing w:after="0" w:line="148" w:lineRule="exact"/>
              <w:rPr>
                <w:sz w:val="20"/>
                <w:szCs w:val="20"/>
                <w:color w:val="auto"/>
              </w:rPr>
            </w:pPr>
            <w:r>
              <w:rPr>
                <w:rFonts w:ascii="Arial" w:cs="Arial" w:eastAsia="Arial" w:hAnsi="Arial"/>
                <w:sz w:val="15"/>
                <w:szCs w:val="15"/>
                <w:b w:val="1"/>
                <w:bCs w:val="1"/>
                <w:color w:val="auto"/>
              </w:rPr>
              <w:t>March 31,</w:t>
            </w:r>
          </w:p>
        </w:tc>
        <w:tc>
          <w:tcPr>
            <w:tcW w:w="1460" w:type="dxa"/>
            <w:vAlign w:val="bottom"/>
          </w:tcPr>
          <w:p>
            <w:pPr>
              <w:jc w:val="right"/>
              <w:ind w:right="363"/>
              <w:spacing w:after="0" w:line="148" w:lineRule="exact"/>
              <w:rPr>
                <w:sz w:val="20"/>
                <w:szCs w:val="20"/>
                <w:color w:val="auto"/>
              </w:rPr>
            </w:pPr>
            <w:r>
              <w:rPr>
                <w:rFonts w:ascii="Arial" w:cs="Arial" w:eastAsia="Arial" w:hAnsi="Arial"/>
                <w:sz w:val="15"/>
                <w:szCs w:val="15"/>
                <w:b w:val="1"/>
                <w:bCs w:val="1"/>
                <w:color w:val="auto"/>
              </w:rPr>
              <w:t>December 31,</w:t>
            </w:r>
          </w:p>
        </w:tc>
        <w:tc>
          <w:tcPr>
            <w:tcW w:w="10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2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8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2025</w:t>
            </w:r>
          </w:p>
        </w:tc>
        <w:tc>
          <w:tcPr>
            <w:tcW w:w="14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520" w:type="dxa"/>
            <w:vAlign w:val="bottom"/>
            <w:gridSpan w:val="3"/>
            <w:shd w:val="clear" w:color="auto" w:fill="CCEEFF"/>
          </w:tcPr>
          <w:p>
            <w:pPr>
              <w:jc w:val="right"/>
              <w:ind w:right="863"/>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Senior Secured Term Loan</w:t>
            </w:r>
          </w:p>
        </w:tc>
        <w:tc>
          <w:tcPr>
            <w:tcW w:w="1600" w:type="dxa"/>
            <w:vAlign w:val="bottom"/>
          </w:tcPr>
          <w:p>
            <w:pPr>
              <w:ind w:left="20"/>
              <w:spacing w:after="0"/>
              <w:rPr>
                <w:sz w:val="20"/>
                <w:szCs w:val="20"/>
                <w:color w:val="auto"/>
              </w:rPr>
            </w:pPr>
            <w:r>
              <w:rPr>
                <w:rFonts w:ascii="Arial" w:cs="Arial" w:eastAsia="Arial" w:hAnsi="Arial"/>
                <w:sz w:val="15"/>
                <w:szCs w:val="15"/>
                <w:color w:val="auto"/>
              </w:rPr>
              <w:t>July 2028</w:t>
            </w:r>
          </w:p>
        </w:tc>
        <w:tc>
          <w:tcPr>
            <w:tcW w:w="1860" w:type="dxa"/>
            <w:vAlign w:val="bottom"/>
          </w:tcPr>
          <w:p>
            <w:pPr>
              <w:jc w:val="right"/>
              <w:ind w:right="483"/>
              <w:spacing w:after="0"/>
              <w:rPr>
                <w:sz w:val="20"/>
                <w:szCs w:val="20"/>
                <w:color w:val="auto"/>
              </w:rPr>
            </w:pPr>
            <w:r>
              <w:rPr>
                <w:rFonts w:ascii="Arial" w:cs="Arial" w:eastAsia="Arial" w:hAnsi="Arial"/>
                <w:sz w:val="15"/>
                <w:szCs w:val="15"/>
                <w:color w:val="auto"/>
              </w:rPr>
              <w:t>6.299 %</w:t>
            </w:r>
          </w:p>
        </w:tc>
        <w:tc>
          <w:tcPr>
            <w:tcW w:w="1460" w:type="dxa"/>
            <w:vAlign w:val="bottom"/>
          </w:tcPr>
          <w:p>
            <w:pPr>
              <w:jc w:val="right"/>
              <w:ind w:right="243"/>
              <w:spacing w:after="0"/>
              <w:rPr>
                <w:sz w:val="20"/>
                <w:szCs w:val="20"/>
                <w:color w:val="auto"/>
              </w:rPr>
            </w:pPr>
            <w:r>
              <w:rPr>
                <w:rFonts w:ascii="Arial" w:cs="Arial" w:eastAsia="Arial" w:hAnsi="Arial"/>
                <w:sz w:val="15"/>
                <w:szCs w:val="15"/>
                <w:color w:val="auto"/>
              </w:rPr>
              <w:t>6.329 % $</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939,010</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946,450</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Secured Notes (the "2026 Notes")</w:t>
            </w:r>
          </w:p>
        </w:tc>
        <w:tc>
          <w:tcPr>
            <w:tcW w:w="1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 2026</w:t>
            </w:r>
          </w:p>
        </w:tc>
        <w:tc>
          <w:tcPr>
            <w:tcW w:w="18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rPr>
              <w:t>2.875 %</w:t>
            </w:r>
          </w:p>
        </w:tc>
        <w:tc>
          <w:tcPr>
            <w:tcW w:w="146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rPr>
              <w:t>2.875 %</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500,000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Senior Secured Notes (the "2027 Notes")*</w:t>
            </w:r>
          </w:p>
        </w:tc>
        <w:tc>
          <w:tcPr>
            <w:tcW w:w="1600" w:type="dxa"/>
            <w:vAlign w:val="bottom"/>
          </w:tcPr>
          <w:p>
            <w:pPr>
              <w:ind w:left="20"/>
              <w:spacing w:after="0"/>
              <w:rPr>
                <w:sz w:val="20"/>
                <w:szCs w:val="20"/>
                <w:color w:val="auto"/>
              </w:rPr>
            </w:pPr>
            <w:r>
              <w:rPr>
                <w:rFonts w:ascii="Arial" w:cs="Arial" w:eastAsia="Arial" w:hAnsi="Arial"/>
                <w:sz w:val="15"/>
                <w:szCs w:val="15"/>
                <w:color w:val="auto"/>
              </w:rPr>
              <w:t>May 2027</w:t>
            </w:r>
          </w:p>
        </w:tc>
        <w:tc>
          <w:tcPr>
            <w:tcW w:w="1860" w:type="dxa"/>
            <w:vAlign w:val="bottom"/>
          </w:tcPr>
          <w:p>
            <w:pPr>
              <w:jc w:val="right"/>
              <w:ind w:right="483"/>
              <w:spacing w:after="0"/>
              <w:rPr>
                <w:sz w:val="20"/>
                <w:szCs w:val="20"/>
                <w:color w:val="auto"/>
              </w:rPr>
            </w:pPr>
            <w:r>
              <w:rPr>
                <w:rFonts w:ascii="Arial" w:cs="Arial" w:eastAsia="Arial" w:hAnsi="Arial"/>
                <w:sz w:val="15"/>
                <w:szCs w:val="15"/>
                <w:color w:val="auto"/>
              </w:rPr>
              <w:t>5.809 %</w:t>
            </w:r>
          </w:p>
        </w:tc>
        <w:tc>
          <w:tcPr>
            <w:tcW w:w="1460" w:type="dxa"/>
            <w:vAlign w:val="bottom"/>
          </w:tcPr>
          <w:p>
            <w:pPr>
              <w:jc w:val="right"/>
              <w:ind w:right="363"/>
              <w:spacing w:after="0"/>
              <w:rPr>
                <w:sz w:val="20"/>
                <w:szCs w:val="20"/>
                <w:color w:val="auto"/>
              </w:rPr>
            </w:pPr>
            <w:r>
              <w:rPr>
                <w:rFonts w:ascii="Arial" w:cs="Arial" w:eastAsia="Arial" w:hAnsi="Arial"/>
                <w:sz w:val="15"/>
                <w:szCs w:val="15"/>
                <w:color w:val="auto"/>
              </w:rPr>
              <w:t>5.809 %</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750,000</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750,000</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Secured Notes (the "2029 Notes")*</w:t>
            </w:r>
          </w:p>
        </w:tc>
        <w:tc>
          <w:tcPr>
            <w:tcW w:w="1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 2029</w:t>
            </w:r>
          </w:p>
        </w:tc>
        <w:tc>
          <w:tcPr>
            <w:tcW w:w="18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rPr>
              <w:t>5.849 %</w:t>
            </w:r>
          </w:p>
        </w:tc>
        <w:tc>
          <w:tcPr>
            <w:tcW w:w="146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rPr>
              <w:t>5.849 %</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750,000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Senior Secured Notes (the "2034 Notes")*</w:t>
            </w: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May 2034</w:t>
            </w:r>
          </w:p>
        </w:tc>
        <w:tc>
          <w:tcPr>
            <w:tcW w:w="186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rPr>
              <w:t>6.000 %</w:t>
            </w:r>
          </w:p>
        </w:tc>
        <w:tc>
          <w:tcPr>
            <w:tcW w:w="14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rPr>
              <w:t>6.000 %</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500,000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debt</w:t>
            </w:r>
          </w:p>
        </w:tc>
        <w:tc>
          <w:tcPr>
            <w:tcW w:w="16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3,439,010</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3,446,450</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Less current portion of debt</w:t>
            </w:r>
          </w:p>
        </w:tc>
        <w:tc>
          <w:tcPr>
            <w:tcW w:w="16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(29,762)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(29,762)</w:t>
            </w:r>
          </w:p>
        </w:tc>
        <w:tc>
          <w:tcPr>
            <w:tcW w:w="0" w:type="dxa"/>
            <w:vAlign w:val="bottom"/>
          </w:tcPr>
          <w:p>
            <w:pPr>
              <w:spacing w:after="0"/>
              <w:rPr>
                <w:sz w:val="1"/>
                <w:szCs w:val="1"/>
                <w:color w:val="auto"/>
              </w:rPr>
            </w:pPr>
          </w:p>
        </w:tc>
      </w:tr>
      <w:tr>
        <w:trPr>
          <w:trHeight w:val="200"/>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long-term debt</w:t>
            </w:r>
          </w:p>
        </w:tc>
        <w:tc>
          <w:tcPr>
            <w:tcW w:w="16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3,409,248</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3,416,688</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Less debt issuance costs and debt discount</w:t>
            </w:r>
          </w:p>
        </w:tc>
        <w:tc>
          <w:tcPr>
            <w:tcW w:w="16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(18,810)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(20,290)</w:t>
            </w:r>
          </w:p>
        </w:tc>
        <w:tc>
          <w:tcPr>
            <w:tcW w:w="0" w:type="dxa"/>
            <w:vAlign w:val="bottom"/>
          </w:tcPr>
          <w:p>
            <w:pPr>
              <w:spacing w:after="0"/>
              <w:rPr>
                <w:sz w:val="1"/>
                <w:szCs w:val="1"/>
                <w:color w:val="auto"/>
              </w:rPr>
            </w:pPr>
          </w:p>
        </w:tc>
      </w:tr>
      <w:tr>
        <w:trPr>
          <w:trHeight w:val="224"/>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long-term debt, net</w:t>
            </w:r>
          </w:p>
        </w:tc>
        <w:tc>
          <w:tcPr>
            <w:tcW w:w="16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3,390,438</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3,396,398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800" w:type="dxa"/>
            <w:vAlign w:val="bottom"/>
          </w:tcPr>
          <w:p>
            <w:pPr>
              <w:spacing w:after="0"/>
              <w:rPr>
                <w:sz w:val="20"/>
                <w:szCs w:val="20"/>
                <w:color w:val="auto"/>
              </w:rPr>
            </w:pPr>
            <w:r>
              <w:rPr>
                <w:rFonts w:ascii="Arial" w:cs="Arial" w:eastAsia="Arial" w:hAnsi="Arial"/>
                <w:sz w:val="15"/>
                <w:szCs w:val="15"/>
                <w:color w:val="auto"/>
              </w:rPr>
              <w:t>*Issued May 8, 2024</w:t>
            </w:r>
          </w:p>
        </w:tc>
        <w:tc>
          <w:tcPr>
            <w:tcW w:w="1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8720" w:type="dxa"/>
            <w:vAlign w:val="bottom"/>
            <w:gridSpan w:val="4"/>
          </w:tcPr>
          <w:p>
            <w:pPr>
              <w:ind w:left="620"/>
              <w:spacing w:after="0"/>
              <w:rPr>
                <w:sz w:val="20"/>
                <w:szCs w:val="20"/>
                <w:color w:val="auto"/>
              </w:rPr>
            </w:pPr>
            <w:r>
              <w:rPr>
                <w:rFonts w:ascii="Arial" w:cs="Arial" w:eastAsia="Arial" w:hAnsi="Arial"/>
                <w:sz w:val="15"/>
                <w:szCs w:val="15"/>
                <w:color w:val="auto"/>
              </w:rPr>
              <w:t>As of March 31, 2025, the contractual maturities of the Company's debt obligations were as follows:</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Contractual maturities of debt</w:t>
            </w:r>
          </w:p>
        </w:tc>
        <w:tc>
          <w:tcPr>
            <w:tcW w:w="160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98"/>
        </w:trPr>
        <w:tc>
          <w:tcPr>
            <w:tcW w:w="3800" w:type="dxa"/>
            <w:vAlign w:val="bottom"/>
          </w:tcPr>
          <w:p>
            <w:pPr>
              <w:ind w:left="20"/>
              <w:spacing w:after="0"/>
              <w:rPr>
                <w:sz w:val="20"/>
                <w:szCs w:val="20"/>
                <w:color w:val="auto"/>
              </w:rPr>
            </w:pPr>
            <w:r>
              <w:rPr>
                <w:rFonts w:ascii="Arial" w:cs="Arial" w:eastAsia="Arial" w:hAnsi="Arial"/>
                <w:sz w:val="15"/>
                <w:szCs w:val="15"/>
                <w:color w:val="auto"/>
              </w:rPr>
              <w:t>2025 (remaining)</w:t>
            </w:r>
          </w:p>
        </w:tc>
        <w:tc>
          <w:tcPr>
            <w:tcW w:w="16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22,322</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1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529,762</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2027</w:t>
            </w:r>
          </w:p>
        </w:tc>
        <w:tc>
          <w:tcPr>
            <w:tcW w:w="16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779,762</w:t>
            </w:r>
          </w:p>
        </w:tc>
        <w:tc>
          <w:tcPr>
            <w:tcW w:w="0" w:type="dxa"/>
            <w:vAlign w:val="bottom"/>
          </w:tcPr>
          <w:p>
            <w:pPr>
              <w:spacing w:after="0"/>
              <w:rPr>
                <w:sz w:val="1"/>
                <w:szCs w:val="1"/>
                <w:color w:val="auto"/>
              </w:rPr>
            </w:pP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2028</w:t>
            </w:r>
          </w:p>
        </w:tc>
        <w:tc>
          <w:tcPr>
            <w:tcW w:w="1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857,164</w:t>
            </w:r>
          </w:p>
        </w:tc>
        <w:tc>
          <w:tcPr>
            <w:tcW w:w="0" w:type="dxa"/>
            <w:vAlign w:val="bottom"/>
          </w:tcPr>
          <w:p>
            <w:pPr>
              <w:spacing w:after="0"/>
              <w:rPr>
                <w:sz w:val="1"/>
                <w:szCs w:val="1"/>
                <w:color w:val="auto"/>
              </w:rPr>
            </w:pP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2029 and thereafter</w:t>
            </w:r>
          </w:p>
        </w:tc>
        <w:tc>
          <w:tcPr>
            <w:tcW w:w="16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1,250,000</w:t>
            </w:r>
          </w:p>
        </w:tc>
        <w:tc>
          <w:tcPr>
            <w:tcW w:w="0" w:type="dxa"/>
            <w:vAlign w:val="bottom"/>
          </w:tcPr>
          <w:p>
            <w:pPr>
              <w:spacing w:after="0"/>
              <w:rPr>
                <w:sz w:val="1"/>
                <w:szCs w:val="1"/>
                <w:color w:val="auto"/>
              </w:rPr>
            </w:pPr>
          </w:p>
        </w:tc>
      </w:tr>
      <w:tr>
        <w:trPr>
          <w:trHeight w:val="224"/>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6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3,439,010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Company's primary financing arrangements are its senior secured credit facilities (the "Senior Secured Credit Facilities"), which consists of a senior secured term loan and a revolving credit facility, the 2026 Notes and the New Notes.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New Notes</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166"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 of par).</w:t>
      </w:r>
    </w:p>
    <w:p>
      <w:pPr>
        <w:spacing w:after="0" w:line="16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proceeds from the issuance were used to repay a portion of the senior secured term loan outstanding under the Senior Secured Credit Facilities and to pay fees, costs and expenses related to the offering.</w:t>
      </w:r>
    </w:p>
    <w:p>
      <w:pPr>
        <w:spacing w:after="0" w:line="18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Interest on the New Notes is payable on May 8 and November 8 of each year, having commenced on November 8, 2024. Unless previously redeemed, the 2027 Notes will mature on May 8, 2027, the 2029 Notes will mature on May 8, 2029 and the 2034 Notes will mature on May 8,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8" w:name="page19"/>
    <w:bookmarkEnd w:id="18"/>
    <w:p>
      <w:pPr>
        <w:jc w:val="both"/>
        <w:ind w:firstLine="619"/>
        <w:spacing w:after="0" w:line="264"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Senior Secured Credit Facilities</w:t>
      </w:r>
    </w:p>
    <w:p>
      <w:pPr>
        <w:spacing w:after="0" w:line="240"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5"/>
          <w:szCs w:val="15"/>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 The Senior Secured Credit Facilities and the 2026 Notes were issued at a discount of $27.6 million.</w:t>
      </w:r>
    </w:p>
    <w:p>
      <w:pPr>
        <w:spacing w:after="0" w:line="20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plus an applicable margin which is dependent on the Company's net leverage ratio. At March 31, 2025, the applicable margin is 2.0% (which reflects the Third Amendment). The senior secured term loan facility is subject to a floor of 0.50%.</w:t>
      </w:r>
    </w:p>
    <w:p>
      <w:pPr>
        <w:spacing w:after="0" w:line="201"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Reflecting the Third Amendment, 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37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186"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Principal repayments on the senior secured term loan, comprising mandatory and voluntary repayments, during the three months ended March 31, 2025 and year ended December 31,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Principal repayments</w:t>
            </w:r>
          </w:p>
        </w:tc>
        <w:tc>
          <w:tcPr>
            <w:tcW w:w="4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thousands)</w:t>
            </w:r>
          </w:p>
        </w:tc>
      </w:tr>
      <w:tr>
        <w:trPr>
          <w:trHeight w:val="198"/>
        </w:trPr>
        <w:tc>
          <w:tcPr>
            <w:tcW w:w="5780" w:type="dxa"/>
            <w:vAlign w:val="bottom"/>
          </w:tcPr>
          <w:p>
            <w:pPr>
              <w:ind w:left="20"/>
              <w:spacing w:after="0"/>
              <w:rPr>
                <w:sz w:val="20"/>
                <w:szCs w:val="20"/>
                <w:color w:val="auto"/>
              </w:rPr>
            </w:pPr>
            <w:r>
              <w:rPr>
                <w:rFonts w:ascii="Arial" w:cs="Arial" w:eastAsia="Arial" w:hAnsi="Arial"/>
                <w:sz w:val="15"/>
                <w:szCs w:val="15"/>
                <w:color w:val="auto"/>
              </w:rPr>
              <w:t>Quarter 1, 2024</w:t>
            </w:r>
          </w:p>
        </w:tc>
        <w:tc>
          <w:tcPr>
            <w:tcW w:w="4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(275,000)</w:t>
            </w: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2, 2024</w:t>
            </w: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(2,014,882)</w:t>
            </w:r>
          </w:p>
        </w:tc>
      </w:tr>
      <w:tr>
        <w:trPr>
          <w:trHeight w:val="205"/>
        </w:trPr>
        <w:tc>
          <w:tcPr>
            <w:tcW w:w="5780" w:type="dxa"/>
            <w:vAlign w:val="bottom"/>
          </w:tcPr>
          <w:p>
            <w:pPr>
              <w:ind w:left="20"/>
              <w:spacing w:after="0"/>
              <w:rPr>
                <w:sz w:val="20"/>
                <w:szCs w:val="20"/>
                <w:color w:val="auto"/>
              </w:rPr>
            </w:pPr>
            <w:r>
              <w:rPr>
                <w:rFonts w:ascii="Arial" w:cs="Arial" w:eastAsia="Arial" w:hAnsi="Arial"/>
                <w:sz w:val="15"/>
                <w:szCs w:val="15"/>
                <w:color w:val="auto"/>
              </w:rPr>
              <w:t>Quarter 3, 2024</w:t>
            </w:r>
          </w:p>
        </w:tc>
        <w:tc>
          <w:tcPr>
            <w:tcW w:w="4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(7,441)</w:t>
            </w:r>
          </w:p>
        </w:tc>
      </w:tr>
      <w:tr>
        <w:trPr>
          <w:trHeight w:val="206"/>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4, 2024</w:t>
            </w:r>
          </w:p>
        </w:tc>
        <w:tc>
          <w:tcPr>
            <w:tcW w:w="4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(7,440)</w:t>
            </w:r>
          </w:p>
        </w:tc>
      </w:tr>
      <w:tr>
        <w:trPr>
          <w:trHeight w:val="199"/>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repayments in 2024</w:t>
            </w:r>
          </w:p>
        </w:tc>
        <w:tc>
          <w:tcPr>
            <w:tcW w:w="4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(2,304,763)</w:t>
            </w:r>
          </w:p>
        </w:tc>
      </w:tr>
      <w:tr>
        <w:trPr>
          <w:trHeight w:val="199"/>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1, 2025</w:t>
            </w:r>
          </w:p>
        </w:tc>
        <w:tc>
          <w:tcPr>
            <w:tcW w:w="4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(7,440)</w:t>
            </w:r>
          </w:p>
        </w:tc>
      </w:tr>
      <w:tr>
        <w:trPr>
          <w:trHeight w:val="199"/>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repayments in 2025</w:t>
            </w:r>
          </w:p>
        </w:tc>
        <w:tc>
          <w:tcPr>
            <w:tcW w:w="4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(7,440)</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There have been no voluntary repayments made during the three months ended March 31, 2025. The voluntary repayments made during the three months ended March 31, 2024 resulted in an accelerated charge associated with previously capitalized fees of $2.0 million.</w:t>
      </w:r>
    </w:p>
    <w:p>
      <w:pPr>
        <w:spacing w:after="0" w:line="15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quarter ended March 31, 2025, the Company drew down $50.0 million (December 31, 2024: $318.0 million) of the senior secured revolving loan facility and repaid $50.0 million (December 31, 2024: $373.0 million) as shown below. As at March 31, 2025, $nil (December 31, 2024: $nil) was drawn under the senior secured revolving loan facility.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6"/>
        </w:trPr>
        <w:tc>
          <w:tcPr>
            <w:tcW w:w="480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Drawdown</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Repayment</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Closing Balance</w:t>
            </w:r>
          </w:p>
        </w:tc>
      </w:tr>
      <w:tr>
        <w:trPr>
          <w:trHeight w:val="199"/>
        </w:trPr>
        <w:tc>
          <w:tcPr>
            <w:tcW w:w="4800" w:type="dxa"/>
            <w:vAlign w:val="bottom"/>
          </w:tcPr>
          <w:p>
            <w:pPr>
              <w:spacing w:after="0"/>
              <w:rPr>
                <w:sz w:val="17"/>
                <w:szCs w:val="17"/>
                <w:color w:val="auto"/>
              </w:rPr>
            </w:pPr>
          </w:p>
        </w:tc>
        <w:tc>
          <w:tcPr>
            <w:tcW w:w="3560" w:type="dxa"/>
            <w:vAlign w:val="bottom"/>
            <w:gridSpan w:val="2"/>
          </w:tcPr>
          <w:p>
            <w:pPr>
              <w:ind w:left="2140"/>
              <w:spacing w:after="0"/>
              <w:rPr>
                <w:sz w:val="20"/>
                <w:szCs w:val="20"/>
                <w:color w:val="auto"/>
              </w:rPr>
            </w:pPr>
            <w:r>
              <w:rPr>
                <w:rFonts w:ascii="Arial" w:cs="Arial" w:eastAsia="Arial" w:hAnsi="Arial"/>
                <w:sz w:val="15"/>
                <w:szCs w:val="15"/>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January 1, 2024</w:t>
            </w:r>
          </w:p>
        </w:tc>
        <w:tc>
          <w:tcPr>
            <w:tcW w:w="2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55,000</w:t>
            </w:r>
          </w:p>
        </w:tc>
      </w:tr>
      <w:tr>
        <w:trPr>
          <w:trHeight w:val="205"/>
        </w:trPr>
        <w:tc>
          <w:tcPr>
            <w:tcW w:w="4800" w:type="dxa"/>
            <w:vAlign w:val="bottom"/>
          </w:tcPr>
          <w:p>
            <w:pPr>
              <w:ind w:left="20"/>
              <w:spacing w:after="0"/>
              <w:rPr>
                <w:sz w:val="20"/>
                <w:szCs w:val="20"/>
                <w:color w:val="auto"/>
              </w:rPr>
            </w:pPr>
            <w:r>
              <w:rPr>
                <w:rFonts w:ascii="Arial" w:cs="Arial" w:eastAsia="Arial" w:hAnsi="Arial"/>
                <w:sz w:val="15"/>
                <w:szCs w:val="15"/>
                <w:color w:val="auto"/>
              </w:rPr>
              <w:t>Quarter 1, 2024</w:t>
            </w:r>
          </w:p>
        </w:tc>
        <w:tc>
          <w:tcPr>
            <w:tcW w:w="2480" w:type="dxa"/>
            <w:vAlign w:val="bottom"/>
          </w:tcPr>
          <w:p>
            <w:pPr>
              <w:ind w:left="214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50,000</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(55,000)</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207"/>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Quarter 2, 2024</w:t>
            </w:r>
          </w:p>
        </w:tc>
        <w:tc>
          <w:tcPr>
            <w:tcW w:w="2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143,000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(193,000)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800" w:type="dxa"/>
            <w:vAlign w:val="bottom"/>
          </w:tcPr>
          <w:p>
            <w:pPr>
              <w:ind w:left="20"/>
              <w:spacing w:after="0"/>
              <w:rPr>
                <w:sz w:val="20"/>
                <w:szCs w:val="20"/>
                <w:color w:val="auto"/>
              </w:rPr>
            </w:pPr>
            <w:r>
              <w:rPr>
                <w:rFonts w:ascii="Arial" w:cs="Arial" w:eastAsia="Arial" w:hAnsi="Arial"/>
                <w:sz w:val="15"/>
                <w:szCs w:val="15"/>
                <w:color w:val="auto"/>
              </w:rPr>
              <w:t>Quarter 3, 2024</w:t>
            </w:r>
          </w:p>
        </w:tc>
        <w:tc>
          <w:tcPr>
            <w:tcW w:w="24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50,000</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4, 2024</w:t>
            </w:r>
          </w:p>
        </w:tc>
        <w:tc>
          <w:tcPr>
            <w:tcW w:w="2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75,000</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drawdown / (repayments) in 2024</w:t>
            </w:r>
          </w:p>
        </w:tc>
        <w:tc>
          <w:tcPr>
            <w:tcW w:w="2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318,000</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(373,000)</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9"/>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Quarter 1, 2025</w:t>
            </w:r>
          </w:p>
        </w:tc>
        <w:tc>
          <w:tcPr>
            <w:tcW w:w="2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50,000</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drawdown / (repayments) in 2025</w:t>
            </w:r>
          </w:p>
        </w:tc>
        <w:tc>
          <w:tcPr>
            <w:tcW w:w="2480" w:type="dxa"/>
            <w:vAlign w:val="bottom"/>
            <w:tcBorders>
              <w:bottom w:val="single" w:sz="8" w:color="auto"/>
            </w:tcBorders>
          </w:tcPr>
          <w:p>
            <w:pPr>
              <w:ind w:left="214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50,000</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2026 Notes</w:t>
      </w:r>
    </w:p>
    <w:p>
      <w:pPr>
        <w:spacing w:after="0" w:line="22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addition to the Senior Secured Credit Facilities, on July 1, 2021, a subsidiary of the Company issued $500 million in aggregate principal amount of 2.875% senior secured notes (the "2026 Notes") in a private offering (the “Offering”). The 2026 Notes will mature on July 15, 2026.</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of Debt</w:t>
      </w:r>
    </w:p>
    <w:p>
      <w:pPr>
        <w:spacing w:after="0" w:line="24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estimated fair value of the Company’s debt was $3,479.6 million at March 31, 2025 (December 31, 2024: $3,469.2 million). The fair values of the senior secured term loan facility, the 2026 Notes and the New Notes were determined based on rates at which the debt is traded among financial institutions.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Income taxes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tcPr>
          <w:p>
            <w:pPr>
              <w:ind w:left="620"/>
              <w:spacing w:after="0"/>
              <w:rPr>
                <w:sz w:val="20"/>
                <w:szCs w:val="20"/>
                <w:color w:val="auto"/>
              </w:rPr>
            </w:pPr>
            <w:r>
              <w:rPr>
                <w:rFonts w:ascii="Arial" w:cs="Arial" w:eastAsia="Arial" w:hAnsi="Arial"/>
                <w:sz w:val="15"/>
                <w:szCs w:val="15"/>
                <w:color w:val="auto"/>
              </w:rPr>
              <w:t>Income taxes recognized during the three months ended March 31, 2025 and March 31, 2024, comprise:</w:t>
            </w: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7"/>
        </w:trPr>
        <w:tc>
          <w:tcPr>
            <w:tcW w:w="8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r>
      <w:tr>
        <w:trPr>
          <w:trHeight w:val="206"/>
        </w:trPr>
        <w:tc>
          <w:tcPr>
            <w:tcW w:w="8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5"/>
                <w:szCs w:val="15"/>
                <w:b w:val="1"/>
                <w:bCs w:val="1"/>
                <w:color w:val="auto"/>
              </w:rPr>
              <w:t>Three Months Ended</w:t>
            </w:r>
          </w:p>
        </w:tc>
        <w:tc>
          <w:tcPr>
            <w:tcW w:w="740" w:type="dxa"/>
            <w:vAlign w:val="bottom"/>
            <w:tcBorders>
              <w:bottom w:val="single" w:sz="8" w:color="auto"/>
            </w:tcBorders>
            <w:shd w:val="clear" w:color="auto" w:fill="CCEEFF"/>
          </w:tcPr>
          <w:p>
            <w:pPr>
              <w:spacing w:after="0"/>
              <w:rPr>
                <w:sz w:val="17"/>
                <w:szCs w:val="17"/>
                <w:color w:val="auto"/>
              </w:rPr>
            </w:pPr>
          </w:p>
        </w:tc>
      </w:tr>
      <w:tr>
        <w:trPr>
          <w:trHeight w:val="148"/>
        </w:trPr>
        <w:tc>
          <w:tcPr>
            <w:tcW w:w="8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76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8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540"/>
              <w:spacing w:after="0"/>
              <w:rPr>
                <w:sz w:val="20"/>
                <w:szCs w:val="20"/>
                <w:color w:val="auto"/>
              </w:rPr>
            </w:pPr>
            <w:r>
              <w:rPr>
                <w:rFonts w:ascii="Arial" w:cs="Arial" w:eastAsia="Arial" w:hAnsi="Arial"/>
                <w:sz w:val="15"/>
                <w:szCs w:val="15"/>
                <w:b w:val="1"/>
                <w:bCs w:val="1"/>
                <w:color w:val="auto"/>
              </w:rPr>
              <w:t>(in thousands)</w:t>
            </w:r>
          </w:p>
        </w:tc>
        <w:tc>
          <w:tcPr>
            <w:tcW w:w="740" w:type="dxa"/>
            <w:vAlign w:val="bottom"/>
            <w:shd w:val="clear" w:color="auto" w:fill="CCEEFF"/>
          </w:tcPr>
          <w:p>
            <w:pPr>
              <w:spacing w:after="0"/>
              <w:rPr>
                <w:sz w:val="17"/>
                <w:szCs w:val="17"/>
                <w:color w:val="auto"/>
              </w:rPr>
            </w:pPr>
          </w:p>
        </w:tc>
      </w:tr>
      <w:tr>
        <w:trPr>
          <w:trHeight w:val="20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Income tax expense</w:t>
            </w: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rPr>
              <w:t>19,603</w:t>
            </w: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28,324</w:t>
            </w:r>
          </w:p>
        </w:tc>
      </w:tr>
      <w:tr>
        <w:trPr>
          <w:trHeight w:val="224"/>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19,603</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28,324</w:t>
            </w: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5"/>
          <w:szCs w:val="15"/>
          <w:color w:val="auto"/>
        </w:rPr>
        <w:t>In the normal course of business, the Company provides for uncertain tax positions and the related interest and adjusts its unrecognized tax benefits and accrued interest accordingly. As at March 31, 2025 the Company maintains a $129.0 million liability (December 31, 2024: $125.8 million) for unrecognized tax benefits, which is comprised of $102.8 million (December 31, 2024: $101.6 million) inclusive of $26.2 million (December 31, 2024: $24.2 million) for interest and penalties related to such items. The Company recognizes interest accrued on unrecognized tax benefits as an additional income tax expense.</w:t>
      </w:r>
    </w:p>
    <w:p>
      <w:pPr>
        <w:spacing w:after="0" w:line="21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has analyzed the filing positions in all of the significant jurisdictions where it is required to file income tax returns, as well as open tax years in these jurisdictions. The only periods subject to audit by the major tax jurisdictions where the Company does business are the 2015 through 2024 tax years. During such audits, local tax authorities may challenge the positions taken by us in our tax returns.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color w:val="auto"/>
        </w:rPr>
        <w:t>12. Net income per ordinary share</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Basic net income per ordinary share has been computed by dividing net income available to ordinary shareholders by the weighted average number of ordinary shares outstanding during the period.</w:t>
      </w:r>
    </w:p>
    <w:p>
      <w:pPr>
        <w:spacing w:after="0" w:line="11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is no difference in net income used for basic and diluted net income per ordinary share.</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reconciliation of the number of shares used in the computation of basic and diluted net income per ordinary share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60" w:type="dxa"/>
            <w:vAlign w:val="bottom"/>
            <w:shd w:val="clear" w:color="auto" w:fill="CCEEFF"/>
          </w:tcPr>
          <w:p>
            <w:pPr>
              <w:spacing w:after="0"/>
              <w:rPr>
                <w:sz w:val="17"/>
                <w:szCs w:val="17"/>
                <w:color w:val="auto"/>
              </w:rPr>
            </w:pPr>
          </w:p>
        </w:tc>
        <w:tc>
          <w:tcPr>
            <w:tcW w:w="2980" w:type="dxa"/>
            <w:vAlign w:val="bottom"/>
            <w:tcBorders>
              <w:bottom w:val="single" w:sz="8" w:color="auto"/>
            </w:tcBorders>
            <w:gridSpan w:val="2"/>
            <w:shd w:val="clear" w:color="auto" w:fill="CCEEFF"/>
          </w:tcPr>
          <w:p>
            <w:pPr>
              <w:jc w:val="right"/>
              <w:ind w:right="643"/>
              <w:spacing w:after="0"/>
              <w:rPr>
                <w:sz w:val="20"/>
                <w:szCs w:val="20"/>
                <w:color w:val="auto"/>
              </w:rPr>
            </w:pPr>
            <w:r>
              <w:rPr>
                <w:rFonts w:ascii="Arial" w:cs="Arial" w:eastAsia="Arial" w:hAnsi="Arial"/>
                <w:sz w:val="15"/>
                <w:szCs w:val="15"/>
                <w:b w:val="1"/>
                <w:bCs w:val="1"/>
                <w:color w:val="auto"/>
              </w:rPr>
              <w:t>Three Months Ended</w:t>
            </w:r>
          </w:p>
        </w:tc>
      </w:tr>
      <w:tr>
        <w:trPr>
          <w:trHeight w:val="148"/>
        </w:trPr>
        <w:tc>
          <w:tcPr>
            <w:tcW w:w="8260" w:type="dxa"/>
            <w:vAlign w:val="bottom"/>
          </w:tcPr>
          <w:p>
            <w:pPr>
              <w:spacing w:after="0"/>
              <w:rPr>
                <w:sz w:val="12"/>
                <w:szCs w:val="12"/>
                <w:color w:val="auto"/>
              </w:rPr>
            </w:pPr>
          </w:p>
        </w:tc>
        <w:tc>
          <w:tcPr>
            <w:tcW w:w="1800" w:type="dxa"/>
            <w:vAlign w:val="bottom"/>
          </w:tcPr>
          <w:p>
            <w:pPr>
              <w:jc w:val="right"/>
              <w:ind w:right="243"/>
              <w:spacing w:after="0" w:line="148" w:lineRule="exact"/>
              <w:rPr>
                <w:sz w:val="20"/>
                <w:szCs w:val="20"/>
                <w:color w:val="auto"/>
              </w:rPr>
            </w:pPr>
            <w:r>
              <w:rPr>
                <w:rFonts w:ascii="Arial" w:cs="Arial" w:eastAsia="Arial" w:hAnsi="Arial"/>
                <w:sz w:val="15"/>
                <w:szCs w:val="15"/>
                <w:b w:val="1"/>
                <w:bCs w:val="1"/>
                <w:color w:val="auto"/>
              </w:rPr>
              <w:t>March 31,</w:t>
            </w:r>
          </w:p>
        </w:tc>
        <w:tc>
          <w:tcPr>
            <w:tcW w:w="11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8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2025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number of ordinary shares outstanding for basic net income per ordinary share</w:t>
            </w:r>
          </w:p>
        </w:tc>
        <w:tc>
          <w:tcPr>
            <w:tcW w:w="180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80,552,734</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82,579,203</w:t>
            </w:r>
          </w:p>
        </w:tc>
      </w:tr>
      <w:tr>
        <w:trPr>
          <w:trHeight w:val="205"/>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Effect of dilutive share options and other awards outstanding under share based compensation programs</w:t>
            </w:r>
          </w:p>
        </w:tc>
        <w:tc>
          <w:tcPr>
            <w:tcW w:w="18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371,621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670,100</w:t>
            </w:r>
          </w:p>
        </w:tc>
      </w:tr>
      <w:tr>
        <w:trPr>
          <w:trHeight w:val="224"/>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Weighted average number of ordinary shares outstanding for diluted net income per ordinary share</w:t>
            </w:r>
          </w:p>
        </w:tc>
        <w:tc>
          <w:tcPr>
            <w:tcW w:w="18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80,924,355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83,249,303</w:t>
            </w:r>
          </w:p>
        </w:tc>
      </w:tr>
      <w:tr>
        <w:trPr>
          <w:trHeight w:val="20"/>
        </w:trPr>
        <w:tc>
          <w:tcPr>
            <w:tcW w:w="8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5"/>
                <w:szCs w:val="15"/>
                <w:b w:val="1"/>
                <w:bCs w:val="1"/>
                <w:color w:val="auto"/>
              </w:rPr>
              <w:t>Three Months Ended</w:t>
            </w:r>
          </w:p>
        </w:tc>
        <w:tc>
          <w:tcPr>
            <w:tcW w:w="740" w:type="dxa"/>
            <w:vAlign w:val="bottom"/>
            <w:tcBorders>
              <w:bottom w:val="single" w:sz="8" w:color="auto"/>
            </w:tcBorders>
            <w:shd w:val="clear" w:color="auto" w:fill="CCEEFF"/>
          </w:tcPr>
          <w:p>
            <w:pPr>
              <w:spacing w:after="0"/>
              <w:rPr>
                <w:sz w:val="17"/>
                <w:szCs w:val="17"/>
                <w:color w:val="auto"/>
              </w:rPr>
            </w:pPr>
          </w:p>
        </w:tc>
      </w:tr>
      <w:tr>
        <w:trPr>
          <w:trHeight w:val="148"/>
        </w:trPr>
        <w:tc>
          <w:tcPr>
            <w:tcW w:w="8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ind w:left="340"/>
              <w:spacing w:after="0" w:line="148" w:lineRule="exact"/>
              <w:rPr>
                <w:sz w:val="20"/>
                <w:szCs w:val="20"/>
                <w:color w:val="auto"/>
              </w:rPr>
            </w:pPr>
            <w:r>
              <w:rPr>
                <w:rFonts w:ascii="Arial" w:cs="Arial" w:eastAsia="Arial" w:hAnsi="Arial"/>
                <w:sz w:val="15"/>
                <w:szCs w:val="15"/>
                <w:b w:val="1"/>
                <w:bCs w:val="1"/>
                <w:color w:val="auto"/>
              </w:rPr>
              <w:t>March 31,</w:t>
            </w:r>
          </w:p>
        </w:tc>
        <w:tc>
          <w:tcPr>
            <w:tcW w:w="760" w:type="dxa"/>
            <w:vAlign w:val="bottom"/>
          </w:tcPr>
          <w:p>
            <w:pPr>
              <w:spacing w:after="0"/>
              <w:rPr>
                <w:sz w:val="12"/>
                <w:szCs w:val="12"/>
                <w:color w:val="auto"/>
              </w:rPr>
            </w:pPr>
          </w:p>
        </w:tc>
        <w:tc>
          <w:tcPr>
            <w:tcW w:w="740" w:type="dxa"/>
            <w:vAlign w:val="bottom"/>
          </w:tcPr>
          <w:p>
            <w:pPr>
              <w:ind w:left="20"/>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8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720"/>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2024</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per Ordinary Share:</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Basic</w:t>
            </w: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Pr>
          <w:p>
            <w:pPr>
              <w:ind w:left="700"/>
              <w:spacing w:after="0"/>
              <w:rPr>
                <w:sz w:val="20"/>
                <w:szCs w:val="20"/>
                <w:color w:val="auto"/>
              </w:rPr>
            </w:pPr>
            <w:r>
              <w:rPr>
                <w:rFonts w:ascii="Arial" w:cs="Arial" w:eastAsia="Arial" w:hAnsi="Arial"/>
                <w:sz w:val="15"/>
                <w:szCs w:val="15"/>
                <w:color w:val="auto"/>
              </w:rPr>
              <w:t>1.91</w:t>
            </w:r>
          </w:p>
        </w:tc>
        <w:tc>
          <w:tcPr>
            <w:tcW w:w="760" w:type="dxa"/>
            <w:vAlign w:val="bottom"/>
          </w:tcPr>
          <w:p>
            <w:pPr>
              <w:jc w:val="right"/>
              <w:ind w:right="583"/>
              <w:spacing w:after="0"/>
              <w:rPr>
                <w:sz w:val="20"/>
                <w:szCs w:val="20"/>
                <w:color w:val="auto"/>
              </w:rPr>
            </w:pPr>
            <w:r>
              <w:rPr>
                <w:rFonts w:ascii="Arial" w:cs="Arial" w:eastAsia="Arial" w:hAnsi="Arial"/>
                <w:sz w:val="15"/>
                <w:szCs w:val="15"/>
                <w:color w:val="auto"/>
                <w:w w:val="95"/>
              </w:rPr>
              <w:t>$</w:t>
            </w:r>
          </w:p>
        </w:tc>
        <w:tc>
          <w:tcPr>
            <w:tcW w:w="740" w:type="dxa"/>
            <w:vAlign w:val="bottom"/>
          </w:tcPr>
          <w:p>
            <w:pPr>
              <w:ind w:left="380"/>
              <w:spacing w:after="0"/>
              <w:rPr>
                <w:sz w:val="20"/>
                <w:szCs w:val="20"/>
                <w:color w:val="auto"/>
              </w:rPr>
            </w:pPr>
            <w:r>
              <w:rPr>
                <w:rFonts w:ascii="Arial" w:cs="Arial" w:eastAsia="Arial" w:hAnsi="Arial"/>
                <w:sz w:val="15"/>
                <w:szCs w:val="15"/>
                <w:color w:val="auto"/>
              </w:rPr>
              <w:t>2.27</w:t>
            </w:r>
          </w:p>
        </w:tc>
      </w:tr>
      <w:tr>
        <w:trPr>
          <w:trHeight w:val="231"/>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4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1.90</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2.25</w:t>
            </w: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Share based awards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Options</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option activity for the three months ended March 31,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Weighted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4700" w:type="dxa"/>
            <w:vAlign w:val="bottom"/>
            <w:shd w:val="clear" w:color="auto" w:fill="CCEEFF"/>
          </w:tcPr>
          <w:p>
            <w:pPr>
              <w:spacing w:after="0"/>
              <w:rPr>
                <w:sz w:val="13"/>
                <w:szCs w:val="13"/>
                <w:color w:val="auto"/>
              </w:rPr>
            </w:pPr>
          </w:p>
        </w:tc>
        <w:tc>
          <w:tcPr>
            <w:tcW w:w="36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Options</w:t>
            </w:r>
          </w:p>
        </w:tc>
        <w:tc>
          <w:tcPr>
            <w:tcW w:w="400" w:type="dxa"/>
            <w:vAlign w:val="bottom"/>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Average</w:t>
            </w:r>
          </w:p>
        </w:tc>
        <w:tc>
          <w:tcPr>
            <w:tcW w:w="0" w:type="dxa"/>
            <w:vAlign w:val="bottom"/>
          </w:tcPr>
          <w:p>
            <w:pPr>
              <w:spacing w:after="0"/>
              <w:rPr>
                <w:sz w:val="1"/>
                <w:szCs w:val="1"/>
                <w:color w:val="auto"/>
              </w:rPr>
            </w:pPr>
          </w:p>
        </w:tc>
      </w:tr>
      <w:tr>
        <w:trPr>
          <w:trHeight w:val="155"/>
        </w:trPr>
        <w:tc>
          <w:tcPr>
            <w:tcW w:w="4700" w:type="dxa"/>
            <w:vAlign w:val="bottom"/>
            <w:shd w:val="clear" w:color="auto" w:fill="CCEEFF"/>
          </w:tcPr>
          <w:p>
            <w:pPr>
              <w:spacing w:after="0"/>
              <w:rPr>
                <w:sz w:val="13"/>
                <w:szCs w:val="13"/>
                <w:color w:val="auto"/>
              </w:rPr>
            </w:pPr>
          </w:p>
        </w:tc>
        <w:tc>
          <w:tcPr>
            <w:tcW w:w="368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3"/>
              <w:spacing w:after="0" w:line="155" w:lineRule="exact"/>
              <w:rPr>
                <w:sz w:val="20"/>
                <w:szCs w:val="20"/>
                <w:color w:val="auto"/>
              </w:rPr>
            </w:pPr>
            <w:r>
              <w:rPr>
                <w:rFonts w:ascii="Arial" w:cs="Arial" w:eastAsia="Arial" w:hAnsi="Arial"/>
                <w:sz w:val="15"/>
                <w:szCs w:val="15"/>
                <w:b w:val="1"/>
                <w:bCs w:val="1"/>
                <w:color w:val="auto"/>
              </w:rPr>
              <w:t>Average</w:t>
            </w: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Remaining</w:t>
            </w:r>
          </w:p>
        </w:tc>
        <w:tc>
          <w:tcPr>
            <w:tcW w:w="0" w:type="dxa"/>
            <w:vAlign w:val="bottom"/>
          </w:tcPr>
          <w:p>
            <w:pPr>
              <w:spacing w:after="0"/>
              <w:rPr>
                <w:sz w:val="1"/>
                <w:szCs w:val="1"/>
                <w:color w:val="auto"/>
              </w:rPr>
            </w:pPr>
          </w:p>
        </w:tc>
      </w:tr>
      <w:tr>
        <w:trPr>
          <w:trHeight w:val="155"/>
        </w:trPr>
        <w:tc>
          <w:tcPr>
            <w:tcW w:w="4700" w:type="dxa"/>
            <w:vAlign w:val="bottom"/>
            <w:shd w:val="clear" w:color="auto" w:fill="CCEEFF"/>
          </w:tcPr>
          <w:p>
            <w:pPr>
              <w:spacing w:after="0"/>
              <w:rPr>
                <w:sz w:val="13"/>
                <w:szCs w:val="13"/>
                <w:color w:val="auto"/>
              </w:rPr>
            </w:pPr>
          </w:p>
        </w:tc>
        <w:tc>
          <w:tcPr>
            <w:tcW w:w="36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3"/>
              <w:spacing w:after="0" w:line="155" w:lineRule="exact"/>
              <w:rPr>
                <w:sz w:val="20"/>
                <w:szCs w:val="20"/>
                <w:color w:val="auto"/>
              </w:rPr>
            </w:pPr>
            <w:r>
              <w:rPr>
                <w:rFonts w:ascii="Arial" w:cs="Arial" w:eastAsia="Arial" w:hAnsi="Arial"/>
                <w:sz w:val="15"/>
                <w:szCs w:val="15"/>
                <w:b w:val="1"/>
                <w:bCs w:val="1"/>
                <w:color w:val="auto"/>
              </w:rPr>
              <w:t>Exercise</w:t>
            </w: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Contractual</w:t>
            </w:r>
          </w:p>
        </w:tc>
        <w:tc>
          <w:tcPr>
            <w:tcW w:w="0" w:type="dxa"/>
            <w:vAlign w:val="bottom"/>
          </w:tcPr>
          <w:p>
            <w:pPr>
              <w:spacing w:after="0"/>
              <w:rPr>
                <w:sz w:val="1"/>
                <w:szCs w:val="1"/>
                <w:color w:val="auto"/>
              </w:rPr>
            </w:pPr>
          </w:p>
        </w:tc>
      </w:tr>
      <w:tr>
        <w:trPr>
          <w:trHeight w:val="206"/>
        </w:trPr>
        <w:tc>
          <w:tcPr>
            <w:tcW w:w="4700" w:type="dxa"/>
            <w:vAlign w:val="bottom"/>
            <w:tcBorders>
              <w:bottom w:val="single" w:sz="8" w:color="auto"/>
            </w:tcBorders>
            <w:shd w:val="clear" w:color="auto" w:fill="CCEEFF"/>
          </w:tcPr>
          <w:p>
            <w:pPr>
              <w:spacing w:after="0"/>
              <w:rPr>
                <w:sz w:val="17"/>
                <w:szCs w:val="17"/>
                <w:color w:val="auto"/>
              </w:rPr>
            </w:pP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Number of Shares</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Price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Life</w:t>
            </w:r>
          </w:p>
        </w:tc>
        <w:tc>
          <w:tcPr>
            <w:tcW w:w="0" w:type="dxa"/>
            <w:vAlign w:val="bottom"/>
          </w:tcPr>
          <w:p>
            <w:pPr>
              <w:spacing w:after="0"/>
              <w:rPr>
                <w:sz w:val="1"/>
                <w:szCs w:val="1"/>
                <w:color w:val="auto"/>
              </w:rPr>
            </w:pPr>
          </w:p>
        </w:tc>
      </w:tr>
      <w:tr>
        <w:trPr>
          <w:trHeight w:val="198"/>
        </w:trPr>
        <w:tc>
          <w:tcPr>
            <w:tcW w:w="4700" w:type="dxa"/>
            <w:vAlign w:val="bottom"/>
          </w:tcPr>
          <w:p>
            <w:pPr>
              <w:ind w:left="20"/>
              <w:spacing w:after="0"/>
              <w:rPr>
                <w:sz w:val="20"/>
                <w:szCs w:val="20"/>
                <w:color w:val="auto"/>
              </w:rPr>
            </w:pPr>
            <w:r>
              <w:rPr>
                <w:rFonts w:ascii="Arial" w:cs="Arial" w:eastAsia="Arial" w:hAnsi="Arial"/>
                <w:sz w:val="15"/>
                <w:szCs w:val="15"/>
                <w:color w:val="auto"/>
              </w:rPr>
              <w:t>Outstanding at December 31, 2024</w:t>
            </w:r>
          </w:p>
        </w:tc>
        <w:tc>
          <w:tcPr>
            <w:tcW w:w="3680" w:type="dxa"/>
            <w:vAlign w:val="bottom"/>
          </w:tcPr>
          <w:p>
            <w:pPr>
              <w:jc w:val="right"/>
              <w:ind w:right="3"/>
              <w:spacing w:after="0"/>
              <w:rPr>
                <w:sz w:val="20"/>
                <w:szCs w:val="20"/>
                <w:color w:val="auto"/>
              </w:rPr>
            </w:pPr>
            <w:r>
              <w:rPr>
                <w:rFonts w:ascii="Arial" w:cs="Arial" w:eastAsia="Arial" w:hAnsi="Arial"/>
                <w:sz w:val="15"/>
                <w:szCs w:val="15"/>
                <w:color w:val="auto"/>
              </w:rPr>
              <w:t>622,292</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263"/>
              <w:spacing w:after="0"/>
              <w:rPr>
                <w:sz w:val="20"/>
                <w:szCs w:val="20"/>
                <w:color w:val="auto"/>
              </w:rPr>
            </w:pPr>
            <w:r>
              <w:rPr>
                <w:rFonts w:ascii="Arial" w:cs="Arial" w:eastAsia="Arial" w:hAnsi="Arial"/>
                <w:sz w:val="15"/>
                <w:szCs w:val="15"/>
                <w:color w:val="auto"/>
              </w:rPr>
              <w:t>170.52</w:t>
            </w:r>
          </w:p>
        </w:tc>
        <w:tc>
          <w:tcPr>
            <w:tcW w:w="1160" w:type="dxa"/>
            <w:vAlign w:val="bottom"/>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3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118,902</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185.18</w:t>
            </w: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00" w:type="dxa"/>
            <w:vAlign w:val="bottom"/>
          </w:tcPr>
          <w:p>
            <w:pPr>
              <w:ind w:left="20"/>
              <w:spacing w:after="0"/>
              <w:rPr>
                <w:sz w:val="20"/>
                <w:szCs w:val="20"/>
                <w:color w:val="auto"/>
              </w:rPr>
            </w:pPr>
            <w:r>
              <w:rPr>
                <w:rFonts w:ascii="Arial" w:cs="Arial" w:eastAsia="Arial" w:hAnsi="Arial"/>
                <w:sz w:val="15"/>
                <w:szCs w:val="15"/>
                <w:color w:val="auto"/>
              </w:rPr>
              <w:t>Exercised</w:t>
            </w:r>
          </w:p>
        </w:tc>
        <w:tc>
          <w:tcPr>
            <w:tcW w:w="3680" w:type="dxa"/>
            <w:vAlign w:val="bottom"/>
          </w:tcPr>
          <w:p>
            <w:pPr>
              <w:jc w:val="right"/>
              <w:spacing w:after="0"/>
              <w:rPr>
                <w:sz w:val="20"/>
                <w:szCs w:val="20"/>
                <w:color w:val="auto"/>
              </w:rPr>
            </w:pPr>
            <w:r>
              <w:rPr>
                <w:rFonts w:ascii="Arial" w:cs="Arial" w:eastAsia="Arial" w:hAnsi="Arial"/>
                <w:sz w:val="15"/>
                <w:szCs w:val="15"/>
                <w:color w:val="auto"/>
              </w:rPr>
              <w:t>(40,883)</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263"/>
              <w:spacing w:after="0"/>
              <w:rPr>
                <w:sz w:val="20"/>
                <w:szCs w:val="20"/>
                <w:color w:val="auto"/>
              </w:rPr>
            </w:pPr>
            <w:r>
              <w:rPr>
                <w:rFonts w:ascii="Arial" w:cs="Arial" w:eastAsia="Arial" w:hAnsi="Arial"/>
                <w:sz w:val="15"/>
                <w:szCs w:val="15"/>
                <w:color w:val="auto"/>
              </w:rPr>
              <w:t>116.46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Forfeited/Expired</w:t>
            </w:r>
          </w:p>
        </w:tc>
        <w:tc>
          <w:tcPr>
            <w:tcW w:w="3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(762)</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216.10</w:t>
            </w:r>
          </w:p>
        </w:tc>
        <w:tc>
          <w:tcPr>
            <w:tcW w:w="1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Outstanding at March 31, 2025</w:t>
            </w:r>
          </w:p>
        </w:tc>
        <w:tc>
          <w:tcPr>
            <w:tcW w:w="3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699,549</w:t>
            </w: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176.12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Exercisable at March 31, 2025</w:t>
            </w:r>
          </w:p>
        </w:tc>
        <w:tc>
          <w:tcPr>
            <w:tcW w:w="3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450,752</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150.36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3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The Company issues ordinary shares for all options exercised. The total amount of fully vested share options which remained outstanding at March 31, 2025 was 450,752. Fully vested share options at March 31, 2025 have an average remaining contractual term of 3.28 years and an average exercise price of $150.36.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i w:val="1"/>
          <w:iCs w:val="1"/>
          <w:color w:val="auto"/>
        </w:rPr>
        <w:t>Fair value of Stock Options Assumptions</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weighted average fair value of options granted during the three months ended March 31, 2025 and March 31, 2024 was calculated using the Black-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Scholes option pricing model. The weighted average grant date fair values and assumptions used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780" w:type="dxa"/>
            <w:vAlign w:val="bottom"/>
            <w:tcBorders>
              <w:bottom w:val="single" w:sz="8" w:color="auto"/>
            </w:tcBorders>
            <w:shd w:val="clear" w:color="auto" w:fill="CCEEFF"/>
          </w:tcPr>
          <w:p>
            <w:pPr>
              <w:spacing w:after="0"/>
              <w:rPr>
                <w:sz w:val="17"/>
                <w:szCs w:val="17"/>
                <w:color w:val="auto"/>
              </w:rPr>
            </w:pPr>
          </w:p>
        </w:tc>
      </w:tr>
      <w:tr>
        <w:trPr>
          <w:trHeight w:val="148"/>
        </w:trPr>
        <w:tc>
          <w:tcPr>
            <w:tcW w:w="8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82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8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grant date fair value</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64.42</w:t>
            </w: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115.76</w:t>
            </w:r>
          </w:p>
        </w:tc>
      </w:tr>
      <w:tr>
        <w:trPr>
          <w:trHeight w:val="205"/>
        </w:trPr>
        <w:tc>
          <w:tcPr>
            <w:tcW w:w="8020" w:type="dxa"/>
            <w:vAlign w:val="bottom"/>
          </w:tcPr>
          <w:p>
            <w:pPr>
              <w:ind w:left="20"/>
              <w:spacing w:after="0"/>
              <w:rPr>
                <w:sz w:val="20"/>
                <w:szCs w:val="20"/>
                <w:color w:val="auto"/>
              </w:rPr>
            </w:pPr>
            <w:r>
              <w:rPr>
                <w:rFonts w:ascii="Arial" w:cs="Arial" w:eastAsia="Arial" w:hAnsi="Arial"/>
                <w:sz w:val="15"/>
                <w:szCs w:val="15"/>
                <w:color w:val="auto"/>
              </w:rPr>
              <w:t>Assumptions: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volatility</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r>
      <w:tr>
        <w:trPr>
          <w:trHeight w:val="205"/>
        </w:trPr>
        <w:tc>
          <w:tcPr>
            <w:tcW w:w="8020" w:type="dxa"/>
            <w:vAlign w:val="bottom"/>
          </w:tcPr>
          <w:p>
            <w:pPr>
              <w:ind w:left="20"/>
              <w:spacing w:after="0"/>
              <w:rPr>
                <w:sz w:val="20"/>
                <w:szCs w:val="20"/>
                <w:color w:val="auto"/>
              </w:rPr>
            </w:pPr>
            <w:r>
              <w:rPr>
                <w:rFonts w:ascii="Arial" w:cs="Arial" w:eastAsia="Arial" w:hAnsi="Arial"/>
                <w:sz w:val="15"/>
                <w:szCs w:val="15"/>
                <w:color w:val="auto"/>
              </w:rPr>
              <w:t>Dividend yield</w:t>
            </w: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 %</w:t>
            </w:r>
          </w:p>
        </w:tc>
        <w:tc>
          <w:tcPr>
            <w:tcW w:w="8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4.00 %</w:t>
            </w: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4.20 %</w:t>
            </w:r>
          </w:p>
        </w:tc>
      </w:tr>
      <w:tr>
        <w:trPr>
          <w:trHeight w:val="205"/>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Expected life</w:t>
            </w: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 years</w:t>
            </w:r>
          </w:p>
        </w:tc>
        <w:tc>
          <w:tcPr>
            <w:tcW w:w="8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 years</w:t>
            </w:r>
          </w:p>
        </w:tc>
      </w:tr>
    </w:tbl>
    <w:p>
      <w:pPr>
        <w:spacing w:after="0" w:line="29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Share Units and Performance Share Units</w:t>
      </w:r>
    </w:p>
    <w:p>
      <w:pPr>
        <w:spacing w:after="0" w:line="24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On April 23, 2013, the Company adopted the 2013 Employees Restricted Share Unit Plan (the "2013 RSU Plan") pursuant to which the Compensation and Organization Committee of the Company's Board of Directors may make awards under the plan to any employee, Director holding a salaried office or employment with the Company, or a Subsidiary. On May 11, 2015, the 2013 RSU Plan was amended and restated in order to increase the number of shares that can be issued under the RSU Plan by 2.5 million shares. Further, on October 25, 2024, the 2013 RSU Plan was amended and restated effective as of November 6, 2024 in order to increase the number of shares that can be issued under the RSU Plan by a further 2.5 million shares. Accordingly, an aggregate of 6.6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November 6, 2034.</w:t>
      </w:r>
    </w:p>
    <w:p>
      <w:pPr>
        <w:spacing w:after="0" w:line="19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 No awards may be granted under the 2019 Consultants RSU Plan after May 16, 2029.</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summarizes RSU and PSU activity for the three months ended March 31,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CCEEFF"/>
          </w:tcPr>
          <w:p>
            <w:pPr>
              <w:spacing w:after="0"/>
              <w:rPr>
                <w:sz w:val="15"/>
                <w:szCs w:val="15"/>
                <w:color w:val="auto"/>
              </w:rPr>
            </w:pPr>
          </w:p>
        </w:tc>
        <w:tc>
          <w:tcPr>
            <w:tcW w:w="27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PSU</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PSU</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RSU</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RSU</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13"/>
                <w:szCs w:val="13"/>
                <w:color w:val="auto"/>
              </w:rPr>
            </w:pPr>
          </w:p>
        </w:tc>
        <w:tc>
          <w:tcPr>
            <w:tcW w:w="270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Weighted</w:t>
            </w:r>
          </w:p>
        </w:tc>
        <w:tc>
          <w:tcPr>
            <w:tcW w:w="11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Average Grant</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Outstanding</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Average Grant</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13"/>
                <w:szCs w:val="13"/>
                <w:color w:val="auto"/>
              </w:rPr>
            </w:pPr>
          </w:p>
        </w:tc>
        <w:tc>
          <w:tcPr>
            <w:tcW w:w="27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Number of</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83"/>
              <w:spacing w:after="0" w:line="155" w:lineRule="exact"/>
              <w:rPr>
                <w:sz w:val="20"/>
                <w:szCs w:val="20"/>
                <w:color w:val="auto"/>
              </w:rPr>
            </w:pPr>
            <w:r>
              <w:rPr>
                <w:rFonts w:ascii="Arial" w:cs="Arial" w:eastAsia="Arial" w:hAnsi="Arial"/>
                <w:sz w:val="15"/>
                <w:szCs w:val="15"/>
                <w:b w:val="1"/>
                <w:bCs w:val="1"/>
                <w:color w:val="auto"/>
              </w:rPr>
              <w:t>Date</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Number of</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206"/>
        </w:trPr>
        <w:tc>
          <w:tcPr>
            <w:tcW w:w="4220" w:type="dxa"/>
            <w:vAlign w:val="bottom"/>
            <w:tcBorders>
              <w:bottom w:val="single" w:sz="8" w:color="auto"/>
            </w:tcBorders>
            <w:shd w:val="clear" w:color="auto" w:fill="CCEEFF"/>
          </w:tcPr>
          <w:p>
            <w:pPr>
              <w:spacing w:after="0"/>
              <w:rPr>
                <w:sz w:val="17"/>
                <w:szCs w:val="17"/>
                <w:color w:val="auto"/>
              </w:rPr>
            </w:pPr>
          </w:p>
        </w:tc>
        <w:tc>
          <w:tcPr>
            <w:tcW w:w="2700" w:type="dxa"/>
            <w:vAlign w:val="bottom"/>
            <w:tcBorders>
              <w:bottom w:val="single" w:sz="8" w:color="auto"/>
            </w:tcBorders>
            <w:shd w:val="clear" w:color="auto" w:fill="CCEEFF"/>
          </w:tcPr>
          <w:p>
            <w:pPr>
              <w:ind w:left="2180"/>
              <w:spacing w:after="0"/>
              <w:rPr>
                <w:sz w:val="20"/>
                <w:szCs w:val="20"/>
                <w:color w:val="auto"/>
              </w:rPr>
            </w:pPr>
            <w:r>
              <w:rPr>
                <w:rFonts w:ascii="Arial" w:cs="Arial" w:eastAsia="Arial" w:hAnsi="Arial"/>
                <w:sz w:val="15"/>
                <w:szCs w:val="15"/>
                <w:b w:val="1"/>
                <w:bCs w:val="1"/>
                <w:color w:val="auto"/>
                <w:w w:val="99"/>
              </w:rPr>
              <w:t>Shares</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Fair Value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Shares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5"/>
                <w:szCs w:val="15"/>
                <w:color w:val="auto"/>
              </w:rPr>
              <w:t>Outstanding at December 31, 2024</w:t>
            </w:r>
          </w:p>
        </w:tc>
        <w:tc>
          <w:tcPr>
            <w:tcW w:w="2700" w:type="dxa"/>
            <w:vAlign w:val="bottom"/>
          </w:tcPr>
          <w:p>
            <w:pPr>
              <w:ind w:left="2160"/>
              <w:spacing w:after="0"/>
              <w:rPr>
                <w:sz w:val="20"/>
                <w:szCs w:val="20"/>
                <w:color w:val="auto"/>
              </w:rPr>
            </w:pPr>
            <w:r>
              <w:rPr>
                <w:rFonts w:ascii="Arial" w:cs="Arial" w:eastAsia="Arial" w:hAnsi="Arial"/>
                <w:sz w:val="15"/>
                <w:szCs w:val="15"/>
                <w:color w:val="auto"/>
              </w:rPr>
              <w:t>19,721</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43"/>
              <w:spacing w:after="0"/>
              <w:rPr>
                <w:sz w:val="20"/>
                <w:szCs w:val="20"/>
                <w:color w:val="auto"/>
              </w:rPr>
            </w:pPr>
            <w:r>
              <w:rPr>
                <w:rFonts w:ascii="Arial" w:cs="Arial" w:eastAsia="Arial" w:hAnsi="Arial"/>
                <w:sz w:val="15"/>
                <w:szCs w:val="15"/>
                <w:color w:val="auto"/>
              </w:rPr>
              <w:t>280.76</w:t>
            </w:r>
          </w:p>
        </w:tc>
        <w:tc>
          <w:tcPr>
            <w:tcW w:w="1180" w:type="dxa"/>
            <w:vAlign w:val="bottom"/>
          </w:tcPr>
          <w:p>
            <w:pPr>
              <w:jc w:val="right"/>
              <w:spacing w:after="0"/>
              <w:rPr>
                <w:sz w:val="20"/>
                <w:szCs w:val="20"/>
                <w:color w:val="auto"/>
              </w:rPr>
            </w:pPr>
            <w:r>
              <w:rPr>
                <w:rFonts w:ascii="Arial" w:cs="Arial" w:eastAsia="Arial" w:hAnsi="Arial"/>
                <w:sz w:val="15"/>
                <w:szCs w:val="15"/>
                <w:color w:val="auto"/>
              </w:rPr>
              <w:t>647,589</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251.36</w:t>
            </w:r>
          </w:p>
        </w:tc>
        <w:tc>
          <w:tcPr>
            <w:tcW w:w="0" w:type="dxa"/>
            <w:vAlign w:val="bottom"/>
          </w:tcPr>
          <w:p>
            <w:pPr>
              <w:spacing w:after="0"/>
              <w:rPr>
                <w:sz w:val="1"/>
                <w:szCs w:val="1"/>
                <w:color w:val="auto"/>
              </w:rPr>
            </w:pPr>
          </w:p>
        </w:tc>
      </w:tr>
      <w:tr>
        <w:trPr>
          <w:trHeight w:val="207"/>
        </w:trPr>
        <w:tc>
          <w:tcPr>
            <w:tcW w:w="4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Granted</w:t>
            </w:r>
          </w:p>
        </w:tc>
        <w:tc>
          <w:tcPr>
            <w:tcW w:w="2700" w:type="dxa"/>
            <w:vAlign w:val="bottom"/>
            <w:shd w:val="clear" w:color="auto" w:fill="CCEEFF"/>
          </w:tcPr>
          <w:p>
            <w:pPr>
              <w:ind w:left="2160"/>
              <w:spacing w:after="0"/>
              <w:rPr>
                <w:sz w:val="20"/>
                <w:szCs w:val="20"/>
                <w:color w:val="auto"/>
              </w:rPr>
            </w:pPr>
            <w:r>
              <w:rPr>
                <w:rFonts w:ascii="Arial" w:cs="Arial" w:eastAsia="Arial" w:hAnsi="Arial"/>
                <w:sz w:val="15"/>
                <w:szCs w:val="15"/>
                <w:color w:val="auto"/>
              </w:rPr>
              <w:t>41,359</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185.18</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48,964</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185.06</w:t>
            </w:r>
          </w:p>
        </w:tc>
        <w:tc>
          <w:tcPr>
            <w:tcW w:w="0" w:type="dxa"/>
            <w:vAlign w:val="bottom"/>
          </w:tcPr>
          <w:p>
            <w:pPr>
              <w:spacing w:after="0"/>
              <w:rPr>
                <w:sz w:val="1"/>
                <w:szCs w:val="1"/>
                <w:color w:val="auto"/>
              </w:rPr>
            </w:pPr>
          </w:p>
        </w:tc>
      </w:tr>
      <w:tr>
        <w:trPr>
          <w:trHeight w:val="205"/>
        </w:trPr>
        <w:tc>
          <w:tcPr>
            <w:tcW w:w="4220" w:type="dxa"/>
            <w:vAlign w:val="bottom"/>
          </w:tcPr>
          <w:p>
            <w:pPr>
              <w:ind w:left="20"/>
              <w:spacing w:after="0"/>
              <w:rPr>
                <w:sz w:val="20"/>
                <w:szCs w:val="20"/>
                <w:color w:val="auto"/>
              </w:rPr>
            </w:pPr>
            <w:r>
              <w:rPr>
                <w:rFonts w:ascii="Arial" w:cs="Arial" w:eastAsia="Arial" w:hAnsi="Arial"/>
                <w:sz w:val="15"/>
                <w:szCs w:val="15"/>
                <w:color w:val="auto"/>
              </w:rPr>
              <w:t>Shares vested</w:t>
            </w:r>
          </w:p>
        </w:tc>
        <w:tc>
          <w:tcPr>
            <w:tcW w:w="2700" w:type="dxa"/>
            <w:vAlign w:val="bottom"/>
          </w:tcPr>
          <w:p>
            <w:pPr>
              <w:ind w:left="2200"/>
              <w:spacing w:after="0"/>
              <w:rPr>
                <w:sz w:val="20"/>
                <w:szCs w:val="20"/>
                <w:color w:val="auto"/>
              </w:rPr>
            </w:pPr>
            <w:r>
              <w:rPr>
                <w:rFonts w:ascii="Arial" w:cs="Arial" w:eastAsia="Arial" w:hAnsi="Arial"/>
                <w:sz w:val="15"/>
                <w:szCs w:val="15"/>
                <w:color w:val="auto"/>
              </w:rPr>
              <w:t>(8,191)</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43"/>
              <w:spacing w:after="0"/>
              <w:rPr>
                <w:sz w:val="20"/>
                <w:szCs w:val="20"/>
                <w:color w:val="auto"/>
              </w:rPr>
            </w:pPr>
            <w:r>
              <w:rPr>
                <w:rFonts w:ascii="Arial" w:cs="Arial" w:eastAsia="Arial" w:hAnsi="Arial"/>
                <w:sz w:val="15"/>
                <w:szCs w:val="15"/>
                <w:color w:val="auto"/>
              </w:rPr>
              <w:t>231.68</w:t>
            </w:r>
          </w:p>
        </w:tc>
        <w:tc>
          <w:tcPr>
            <w:tcW w:w="1180" w:type="dxa"/>
            <w:vAlign w:val="bottom"/>
          </w:tcPr>
          <w:p>
            <w:pPr>
              <w:jc w:val="right"/>
              <w:spacing w:after="0"/>
              <w:rPr>
                <w:sz w:val="20"/>
                <w:szCs w:val="20"/>
                <w:color w:val="auto"/>
              </w:rPr>
            </w:pPr>
            <w:r>
              <w:rPr>
                <w:rFonts w:ascii="Arial" w:cs="Arial" w:eastAsia="Arial" w:hAnsi="Arial"/>
                <w:sz w:val="15"/>
                <w:szCs w:val="15"/>
                <w:color w:val="auto"/>
              </w:rPr>
              <w:t>(18,855)</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263.34</w:t>
            </w:r>
          </w:p>
        </w:tc>
        <w:tc>
          <w:tcPr>
            <w:tcW w:w="0" w:type="dxa"/>
            <w:vAlign w:val="bottom"/>
          </w:tcPr>
          <w:p>
            <w:pPr>
              <w:spacing w:after="0"/>
              <w:rPr>
                <w:sz w:val="1"/>
                <w:szCs w:val="1"/>
                <w:color w:val="auto"/>
              </w:rPr>
            </w:pPr>
          </w:p>
        </w:tc>
      </w:tr>
      <w:tr>
        <w:trPr>
          <w:trHeight w:val="206"/>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294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 $</w:t>
            </w:r>
          </w:p>
        </w:tc>
        <w:tc>
          <w:tcPr>
            <w:tcW w:w="146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(18,176)</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247.29</w:t>
            </w: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Outstanding at March 31, 2025</w:t>
            </w:r>
          </w:p>
        </w:tc>
        <w:tc>
          <w:tcPr>
            <w:tcW w:w="2700" w:type="dxa"/>
            <w:vAlign w:val="bottom"/>
            <w:tcBorders>
              <w:bottom w:val="single" w:sz="8" w:color="auto"/>
            </w:tcBorders>
          </w:tcPr>
          <w:p>
            <w:pPr>
              <w:ind w:left="2160"/>
              <w:spacing w:after="0"/>
              <w:rPr>
                <w:sz w:val="20"/>
                <w:szCs w:val="20"/>
                <w:color w:val="auto"/>
              </w:rPr>
            </w:pPr>
            <w:r>
              <w:rPr>
                <w:rFonts w:ascii="Arial" w:cs="Arial" w:eastAsia="Arial" w:hAnsi="Arial"/>
                <w:sz w:val="15"/>
                <w:szCs w:val="15"/>
                <w:color w:val="auto"/>
              </w:rPr>
              <w:t>52,889</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213.62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659,522</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246.21</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fair value of PSUs vested for the three months ended March 31, 2025 totaled $1.9 million (March 31, 2024: $1.7 million).</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fair value of RSUs vested for the three months ended March 31, 2025 totaled $5.0 million (March 31, 2024: $4.9 million).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2" w:name="page23"/>
    <w:bookmarkEnd w:id="22"/>
    <w:p>
      <w:pPr>
        <w:jc w:val="both"/>
        <w:ind w:firstLine="619"/>
        <w:spacing w:after="0" w:line="294" w:lineRule="auto"/>
        <w:rPr>
          <w:sz w:val="20"/>
          <w:szCs w:val="20"/>
          <w:color w:val="auto"/>
        </w:rPr>
      </w:pPr>
      <w:r>
        <w:rPr>
          <w:rFonts w:ascii="Arial" w:cs="Arial" w:eastAsia="Arial" w:hAnsi="Arial"/>
          <w:sz w:val="15"/>
          <w:szCs w:val="15"/>
          <w:color w:val="auto"/>
        </w:rPr>
        <w:t>The PSUs vest based on service and specified EPS targets over the periods 2022 - 2024, 2023 - 2025, 2024 - 2026 and 2025 - 2027. Depending on the amount of EPS from 2022 to 2027, up to an additional 121,409 PSUs may also be granted.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compensation expense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Stock compensation expense for the three months ended March 31, 2025 and March 31, 2024 has been allocated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Three Months Ended</w:t>
            </w:r>
          </w:p>
        </w:tc>
        <w:tc>
          <w:tcPr>
            <w:tcW w:w="820" w:type="dxa"/>
            <w:vAlign w:val="bottom"/>
            <w:tcBorders>
              <w:bottom w:val="single" w:sz="8" w:color="auto"/>
            </w:tcBorders>
            <w:shd w:val="clear" w:color="auto" w:fill="CCEEFF"/>
          </w:tcPr>
          <w:p>
            <w:pPr>
              <w:spacing w:after="0"/>
              <w:rPr>
                <w:sz w:val="17"/>
                <w:szCs w:val="17"/>
                <w:color w:val="auto"/>
              </w:rPr>
            </w:pPr>
          </w:p>
        </w:tc>
      </w:tr>
      <w:tr>
        <w:trPr>
          <w:trHeight w:val="148"/>
        </w:trPr>
        <w:tc>
          <w:tcPr>
            <w:tcW w:w="7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8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7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7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(in thousands)</w:t>
            </w:r>
          </w:p>
        </w:tc>
        <w:tc>
          <w:tcPr>
            <w:tcW w:w="820" w:type="dxa"/>
            <w:vAlign w:val="bottom"/>
            <w:shd w:val="clear" w:color="auto" w:fill="CCEEFF"/>
          </w:tcPr>
          <w:p>
            <w:pPr>
              <w:spacing w:after="0"/>
              <w:rPr>
                <w:sz w:val="17"/>
                <w:szCs w:val="17"/>
                <w:color w:val="auto"/>
              </w:rPr>
            </w:pPr>
          </w:p>
        </w:tc>
      </w:tr>
      <w:tr>
        <w:trPr>
          <w:trHeight w:val="205"/>
        </w:trPr>
        <w:tc>
          <w:tcPr>
            <w:tcW w:w="7840" w:type="dxa"/>
            <w:vAlign w:val="bottom"/>
          </w:tcPr>
          <w:p>
            <w:pPr>
              <w:ind w:left="20"/>
              <w:spacing w:after="0"/>
              <w:rPr>
                <w:sz w:val="20"/>
                <w:szCs w:val="20"/>
                <w:color w:val="auto"/>
              </w:rPr>
            </w:pPr>
            <w:r>
              <w:rPr>
                <w:rFonts w:ascii="Arial" w:cs="Arial" w:eastAsia="Arial" w:hAnsi="Arial"/>
                <w:sz w:val="15"/>
                <w:szCs w:val="15"/>
                <w:color w:val="auto"/>
              </w:rPr>
              <w:t>Direct costs</w:t>
            </w: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5,381</w:t>
            </w:r>
          </w:p>
        </w:tc>
        <w:tc>
          <w:tcPr>
            <w:tcW w:w="880" w:type="dxa"/>
            <w:vAlign w:val="bottom"/>
          </w:tcPr>
          <w:p>
            <w:pPr>
              <w:jc w:val="right"/>
              <w:ind w:right="70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6,721</w:t>
            </w:r>
          </w:p>
        </w:tc>
      </w:tr>
      <w:tr>
        <w:trPr>
          <w:trHeight w:val="206"/>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5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6,913</w:t>
            </w:r>
          </w:p>
        </w:tc>
        <w:tc>
          <w:tcPr>
            <w:tcW w:w="8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6,460</w:t>
            </w:r>
          </w:p>
        </w:tc>
      </w:tr>
      <w:tr>
        <w:trPr>
          <w:trHeight w:val="19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12,294</w:t>
            </w:r>
          </w:p>
        </w:tc>
        <w:tc>
          <w:tcPr>
            <w:tcW w:w="88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13,181</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Share capital</w:t>
      </w:r>
    </w:p>
    <w:p>
      <w:pPr>
        <w:spacing w:after="0" w:line="242" w:lineRule="exact"/>
        <w:rPr>
          <w:sz w:val="20"/>
          <w:szCs w:val="20"/>
          <w:color w:val="auto"/>
        </w:rPr>
      </w:pPr>
    </w:p>
    <w:p>
      <w:pPr>
        <w:ind w:right="2420" w:firstLine="619"/>
        <w:spacing w:after="0" w:line="294" w:lineRule="auto"/>
        <w:rPr>
          <w:sz w:val="20"/>
          <w:szCs w:val="20"/>
          <w:color w:val="auto"/>
        </w:rPr>
      </w:pPr>
      <w:r>
        <w:rPr>
          <w:rFonts w:ascii="Arial" w:cs="Arial" w:eastAsia="Arial" w:hAnsi="Arial"/>
          <w:sz w:val="15"/>
          <w:szCs w:val="15"/>
          <w:color w:val="auto"/>
        </w:rPr>
        <w:t>The Company can acquire up to 10% of its outstanding ordinary shares (by way of redemption), in accordance with Irish law and the Company’s constitutional documents through open market share acquisitions.</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On February 18, 2025, the Company's Board of Directors authorized an additional buyback program of up to $750.0 million of the outstanding ordinary shares of the Company. Along with $250.0 million remaining under prior authorizations, the total remaining authorization under the buyback program as of February 18, 2025 was up to $1.0 billion worth of ordinary shares.</w:t>
      </w:r>
    </w:p>
    <w:p>
      <w:pPr>
        <w:spacing w:after="0" w:line="198"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March 2025, 1,360,537 shares were redeemed by the Company under our buyback program for a total consideration of $250.0 million. As of March 31, 2025, the Company had remaining authorization to repurchase up to $750.0 million of ordinary shares under the buyback program.</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6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19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Average price paid per</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Approximate dollar value of</w:t>
            </w:r>
          </w:p>
        </w:tc>
      </w:tr>
      <w:tr>
        <w:trPr>
          <w:trHeight w:val="155"/>
        </w:trPr>
        <w:tc>
          <w:tcPr>
            <w:tcW w:w="2760" w:type="dxa"/>
            <w:vAlign w:val="bottom"/>
            <w:shd w:val="clear" w:color="auto" w:fill="CCEEFF"/>
          </w:tcPr>
          <w:p>
            <w:pPr>
              <w:spacing w:after="0"/>
              <w:rPr>
                <w:sz w:val="13"/>
                <w:szCs w:val="13"/>
                <w:color w:val="auto"/>
              </w:rPr>
            </w:pPr>
          </w:p>
        </w:tc>
        <w:tc>
          <w:tcPr>
            <w:tcW w:w="23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shares purchased</w:t>
            </w:r>
          </w:p>
        </w:tc>
        <w:tc>
          <w:tcPr>
            <w:tcW w:w="38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 of shares purchased as part</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 that may yet be</w:t>
            </w:r>
          </w:p>
        </w:tc>
      </w:tr>
      <w:tr>
        <w:trPr>
          <w:trHeight w:val="155"/>
        </w:trPr>
        <w:tc>
          <w:tcPr>
            <w:tcW w:w="27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publicly announced</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purchased under the program</w:t>
            </w:r>
          </w:p>
        </w:tc>
      </w:tr>
      <w:tr>
        <w:trPr>
          <w:trHeight w:val="206"/>
        </w:trPr>
        <w:tc>
          <w:tcPr>
            <w:tcW w:w="276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program</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millions)</w:t>
            </w:r>
          </w:p>
        </w:tc>
      </w:tr>
      <w:tr>
        <w:trPr>
          <w:trHeight w:val="198"/>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March 3/12/2025 - 3/19/2025</w:t>
            </w:r>
          </w:p>
        </w:tc>
        <w:tc>
          <w:tcPr>
            <w:tcW w:w="23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1,360,537</w:t>
            </w:r>
          </w:p>
        </w:tc>
        <w:tc>
          <w:tcPr>
            <w:tcW w:w="194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$183.75</w:t>
            </w:r>
          </w:p>
        </w:tc>
        <w:tc>
          <w:tcPr>
            <w:tcW w:w="1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1,360,537</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$750.0</w:t>
            </w:r>
          </w:p>
        </w:tc>
      </w:tr>
      <w:tr>
        <w:trPr>
          <w:trHeight w:val="224"/>
        </w:trPr>
        <w:tc>
          <w:tcPr>
            <w:tcW w:w="276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1,360,537</w:t>
            </w:r>
          </w:p>
        </w:tc>
        <w:tc>
          <w:tcPr>
            <w:tcW w:w="194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$183.75</w:t>
            </w:r>
          </w:p>
        </w:tc>
        <w:tc>
          <w:tcPr>
            <w:tcW w:w="1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1,360,537</w:t>
            </w:r>
          </w:p>
        </w:tc>
        <w:tc>
          <w:tcPr>
            <w:tcW w:w="2280" w:type="dxa"/>
            <w:vAlign w:val="bottom"/>
            <w:tcBorders>
              <w:bottom w:val="single" w:sz="8" w:color="auto"/>
            </w:tcBorders>
            <w:shd w:val="clear" w:color="auto" w:fill="CCEEFF"/>
          </w:tcPr>
          <w:p>
            <w:pPr>
              <w:spacing w:after="0"/>
              <w:rPr>
                <w:sz w:val="19"/>
                <w:szCs w:val="19"/>
                <w:color w:val="auto"/>
              </w:rPr>
            </w:pPr>
          </w:p>
        </w:tc>
      </w:tr>
      <w:tr>
        <w:trPr>
          <w:trHeight w:val="20"/>
        </w:trPr>
        <w:tc>
          <w:tcPr>
            <w:tcW w:w="276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year ended December 31, 2024, 2,179,699 ordinary shares were redeemed by the Company under this buyback program for a total consideration of $500.0 million.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shd w:val="clear" w:color="auto" w:fill="CCEEFF"/>
          </w:tcPr>
          <w:p>
            <w:pPr>
              <w:spacing w:after="0"/>
              <w:rPr>
                <w:sz w:val="15"/>
                <w:szCs w:val="15"/>
                <w:color w:val="auto"/>
              </w:rPr>
            </w:pPr>
          </w:p>
        </w:tc>
        <w:tc>
          <w:tcPr>
            <w:tcW w:w="400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Total number Average price paid per</w:t>
            </w: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Total number</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Approximate dollar value of</w:t>
            </w:r>
          </w:p>
        </w:tc>
      </w:tr>
      <w:tr>
        <w:trPr>
          <w:trHeight w:val="155"/>
        </w:trPr>
        <w:tc>
          <w:tcPr>
            <w:tcW w:w="3020" w:type="dxa"/>
            <w:vAlign w:val="bottom"/>
            <w:shd w:val="clear" w:color="auto" w:fill="CCEEFF"/>
          </w:tcPr>
          <w:p>
            <w:pPr>
              <w:spacing w:after="0"/>
              <w:rPr>
                <w:sz w:val="13"/>
                <w:szCs w:val="13"/>
                <w:color w:val="auto"/>
              </w:rPr>
            </w:pPr>
          </w:p>
        </w:tc>
        <w:tc>
          <w:tcPr>
            <w:tcW w:w="2600" w:type="dxa"/>
            <w:vAlign w:val="bottom"/>
            <w:shd w:val="clear" w:color="auto" w:fill="CCEEFF"/>
          </w:tcPr>
          <w:p>
            <w:pPr>
              <w:jc w:val="right"/>
              <w:ind w:right="483"/>
              <w:spacing w:after="0" w:line="155" w:lineRule="exact"/>
              <w:rPr>
                <w:sz w:val="20"/>
                <w:szCs w:val="20"/>
                <w:color w:val="auto"/>
              </w:rPr>
            </w:pPr>
            <w:r>
              <w:rPr>
                <w:rFonts w:ascii="Arial" w:cs="Arial" w:eastAsia="Arial" w:hAnsi="Arial"/>
                <w:sz w:val="15"/>
                <w:szCs w:val="15"/>
                <w:b w:val="1"/>
                <w:bCs w:val="1"/>
                <w:color w:val="auto"/>
              </w:rPr>
              <w:t>of shares purchased</w:t>
            </w:r>
          </w:p>
        </w:tc>
        <w:tc>
          <w:tcPr>
            <w:tcW w:w="33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 of shares purchased as part</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shares that may yet be</w:t>
            </w:r>
          </w:p>
        </w:tc>
      </w:tr>
      <w:tr>
        <w:trPr>
          <w:trHeight w:val="155"/>
        </w:trPr>
        <w:tc>
          <w:tcPr>
            <w:tcW w:w="30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of publicly announced</w:t>
            </w:r>
          </w:p>
        </w:tc>
        <w:tc>
          <w:tcPr>
            <w:tcW w:w="2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purchased under the program</w:t>
            </w:r>
          </w:p>
        </w:tc>
      </w:tr>
      <w:tr>
        <w:trPr>
          <w:trHeight w:val="206"/>
        </w:trPr>
        <w:tc>
          <w:tcPr>
            <w:tcW w:w="30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program</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(in millions)</w:t>
            </w:r>
          </w:p>
        </w:tc>
      </w:tr>
      <w:tr>
        <w:trPr>
          <w:trHeight w:val="198"/>
        </w:trPr>
        <w:tc>
          <w:tcPr>
            <w:tcW w:w="3020" w:type="dxa"/>
            <w:vAlign w:val="bottom"/>
          </w:tcPr>
          <w:p>
            <w:pPr>
              <w:ind w:left="20"/>
              <w:spacing w:after="0"/>
              <w:rPr>
                <w:sz w:val="20"/>
                <w:szCs w:val="20"/>
                <w:color w:val="auto"/>
              </w:rPr>
            </w:pPr>
            <w:r>
              <w:rPr>
                <w:rFonts w:ascii="Arial" w:cs="Arial" w:eastAsia="Arial" w:hAnsi="Arial"/>
                <w:sz w:val="15"/>
                <w:szCs w:val="15"/>
                <w:color w:val="auto"/>
              </w:rPr>
              <w:t>September 09/18/2024 - 09/25/2024</w:t>
            </w:r>
          </w:p>
        </w:tc>
        <w:tc>
          <w:tcPr>
            <w:tcW w:w="2600" w:type="dxa"/>
            <w:vAlign w:val="bottom"/>
          </w:tcPr>
          <w:p>
            <w:pPr>
              <w:jc w:val="right"/>
              <w:ind w:right="543"/>
              <w:spacing w:after="0"/>
              <w:rPr>
                <w:sz w:val="20"/>
                <w:szCs w:val="20"/>
                <w:color w:val="auto"/>
              </w:rPr>
            </w:pPr>
            <w:r>
              <w:rPr>
                <w:rFonts w:ascii="Arial" w:cs="Arial" w:eastAsia="Arial" w:hAnsi="Arial"/>
                <w:sz w:val="15"/>
                <w:szCs w:val="15"/>
                <w:color w:val="auto"/>
              </w:rPr>
              <w:t>337,070</w:t>
            </w:r>
          </w:p>
        </w:tc>
        <w:tc>
          <w:tcPr>
            <w:tcW w:w="1400" w:type="dxa"/>
            <w:vAlign w:val="bottom"/>
          </w:tcPr>
          <w:p>
            <w:pPr>
              <w:jc w:val="right"/>
              <w:ind w:right="223"/>
              <w:spacing w:after="0"/>
              <w:rPr>
                <w:sz w:val="20"/>
                <w:szCs w:val="20"/>
                <w:color w:val="auto"/>
              </w:rPr>
            </w:pPr>
            <w:r>
              <w:rPr>
                <w:rFonts w:ascii="Arial" w:cs="Arial" w:eastAsia="Arial" w:hAnsi="Arial"/>
                <w:sz w:val="15"/>
                <w:szCs w:val="15"/>
                <w:color w:val="auto"/>
              </w:rPr>
              <w:t>$296.67</w:t>
            </w:r>
          </w:p>
        </w:tc>
        <w:tc>
          <w:tcPr>
            <w:tcW w:w="1940" w:type="dxa"/>
            <w:vAlign w:val="bottom"/>
          </w:tcPr>
          <w:p>
            <w:pPr>
              <w:jc w:val="right"/>
              <w:ind w:right="43"/>
              <w:spacing w:after="0"/>
              <w:rPr>
                <w:sz w:val="20"/>
                <w:szCs w:val="20"/>
                <w:color w:val="auto"/>
              </w:rPr>
            </w:pPr>
            <w:r>
              <w:rPr>
                <w:rFonts w:ascii="Arial" w:cs="Arial" w:eastAsia="Arial" w:hAnsi="Arial"/>
                <w:sz w:val="15"/>
                <w:szCs w:val="15"/>
                <w:color w:val="auto"/>
              </w:rPr>
              <w:t>337,070</w:t>
            </w:r>
          </w:p>
        </w:tc>
        <w:tc>
          <w:tcPr>
            <w:tcW w:w="2280" w:type="dxa"/>
            <w:vAlign w:val="bottom"/>
          </w:tcPr>
          <w:p>
            <w:pPr>
              <w:jc w:val="right"/>
              <w:spacing w:after="0"/>
              <w:rPr>
                <w:sz w:val="20"/>
                <w:szCs w:val="20"/>
                <w:color w:val="auto"/>
              </w:rPr>
            </w:pPr>
            <w:r>
              <w:rPr>
                <w:rFonts w:ascii="Arial" w:cs="Arial" w:eastAsia="Arial" w:hAnsi="Arial"/>
                <w:sz w:val="15"/>
                <w:szCs w:val="15"/>
                <w:color w:val="auto"/>
              </w:rPr>
              <w:t>$400.0</w:t>
            </w:r>
          </w:p>
        </w:tc>
      </w:tr>
      <w:tr>
        <w:trPr>
          <w:trHeight w:val="207"/>
        </w:trPr>
        <w:tc>
          <w:tcPr>
            <w:tcW w:w="3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October 10/28/2024 - 10/31/2024</w:t>
            </w:r>
          </w:p>
        </w:tc>
        <w:tc>
          <w:tcPr>
            <w:tcW w:w="260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rPr>
              <w:t>409,512</w:t>
            </w:r>
          </w:p>
        </w:tc>
        <w:tc>
          <w:tcPr>
            <w:tcW w:w="1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$228.57</w:t>
            </w:r>
          </w:p>
        </w:tc>
        <w:tc>
          <w:tcPr>
            <w:tcW w:w="1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409,512</w:t>
            </w:r>
          </w:p>
        </w:tc>
        <w:tc>
          <w:tcPr>
            <w:tcW w:w="2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$556.4</w:t>
            </w:r>
          </w:p>
        </w:tc>
      </w:tr>
      <w:tr>
        <w:trPr>
          <w:trHeight w:val="205"/>
        </w:trPr>
        <w:tc>
          <w:tcPr>
            <w:tcW w:w="3020" w:type="dxa"/>
            <w:vAlign w:val="bottom"/>
          </w:tcPr>
          <w:p>
            <w:pPr>
              <w:ind w:left="20"/>
              <w:spacing w:after="0"/>
              <w:rPr>
                <w:sz w:val="20"/>
                <w:szCs w:val="20"/>
                <w:color w:val="auto"/>
              </w:rPr>
            </w:pPr>
            <w:r>
              <w:rPr>
                <w:rFonts w:ascii="Arial" w:cs="Arial" w:eastAsia="Arial" w:hAnsi="Arial"/>
                <w:sz w:val="15"/>
                <w:szCs w:val="15"/>
                <w:color w:val="auto"/>
              </w:rPr>
              <w:t>November 11/01/2024 - 11/07/2024</w:t>
            </w:r>
          </w:p>
        </w:tc>
        <w:tc>
          <w:tcPr>
            <w:tcW w:w="2600" w:type="dxa"/>
            <w:vAlign w:val="bottom"/>
          </w:tcPr>
          <w:p>
            <w:pPr>
              <w:jc w:val="right"/>
              <w:ind w:right="543"/>
              <w:spacing w:after="0"/>
              <w:rPr>
                <w:sz w:val="20"/>
                <w:szCs w:val="20"/>
                <w:color w:val="auto"/>
              </w:rPr>
            </w:pPr>
            <w:r>
              <w:rPr>
                <w:rFonts w:ascii="Arial" w:cs="Arial" w:eastAsia="Arial" w:hAnsi="Arial"/>
                <w:sz w:val="15"/>
                <w:szCs w:val="15"/>
                <w:color w:val="auto"/>
              </w:rPr>
              <w:t>479,524</w:t>
            </w:r>
          </w:p>
        </w:tc>
        <w:tc>
          <w:tcPr>
            <w:tcW w:w="1400" w:type="dxa"/>
            <w:vAlign w:val="bottom"/>
          </w:tcPr>
          <w:p>
            <w:pPr>
              <w:jc w:val="right"/>
              <w:ind w:right="223"/>
              <w:spacing w:after="0"/>
              <w:rPr>
                <w:sz w:val="20"/>
                <w:szCs w:val="20"/>
                <w:color w:val="auto"/>
              </w:rPr>
            </w:pPr>
            <w:r>
              <w:rPr>
                <w:rFonts w:ascii="Arial" w:cs="Arial" w:eastAsia="Arial" w:hAnsi="Arial"/>
                <w:sz w:val="15"/>
                <w:szCs w:val="15"/>
                <w:color w:val="auto"/>
              </w:rPr>
              <w:t>$221.87</w:t>
            </w:r>
          </w:p>
        </w:tc>
        <w:tc>
          <w:tcPr>
            <w:tcW w:w="1940" w:type="dxa"/>
            <w:vAlign w:val="bottom"/>
          </w:tcPr>
          <w:p>
            <w:pPr>
              <w:jc w:val="right"/>
              <w:ind w:right="43"/>
              <w:spacing w:after="0"/>
              <w:rPr>
                <w:sz w:val="20"/>
                <w:szCs w:val="20"/>
                <w:color w:val="auto"/>
              </w:rPr>
            </w:pPr>
            <w:r>
              <w:rPr>
                <w:rFonts w:ascii="Arial" w:cs="Arial" w:eastAsia="Arial" w:hAnsi="Arial"/>
                <w:sz w:val="15"/>
                <w:szCs w:val="15"/>
                <w:color w:val="auto"/>
              </w:rPr>
              <w:t>479,524</w:t>
            </w:r>
          </w:p>
        </w:tc>
        <w:tc>
          <w:tcPr>
            <w:tcW w:w="2280" w:type="dxa"/>
            <w:vAlign w:val="bottom"/>
          </w:tcPr>
          <w:p>
            <w:pPr>
              <w:jc w:val="right"/>
              <w:spacing w:after="0"/>
              <w:rPr>
                <w:sz w:val="20"/>
                <w:szCs w:val="20"/>
                <w:color w:val="auto"/>
              </w:rPr>
            </w:pPr>
            <w:r>
              <w:rPr>
                <w:rFonts w:ascii="Arial" w:cs="Arial" w:eastAsia="Arial" w:hAnsi="Arial"/>
                <w:sz w:val="15"/>
                <w:szCs w:val="15"/>
                <w:color w:val="auto"/>
              </w:rPr>
              <w:t>$450.0</w:t>
            </w:r>
          </w:p>
        </w:tc>
      </w:tr>
      <w:tr>
        <w:trPr>
          <w:trHeight w:val="206"/>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December 12/02/2024 - 12/19/2024</w:t>
            </w:r>
          </w:p>
        </w:tc>
        <w:tc>
          <w:tcPr>
            <w:tcW w:w="260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rPr>
              <w:t>953,593</w:t>
            </w:r>
          </w:p>
        </w:tc>
        <w:tc>
          <w:tcPr>
            <w:tcW w:w="1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$209.73</w:t>
            </w:r>
          </w:p>
        </w:tc>
        <w:tc>
          <w:tcPr>
            <w:tcW w:w="1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953,593</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$250.0</w:t>
            </w:r>
          </w:p>
        </w:tc>
      </w:tr>
      <w:tr>
        <w:trPr>
          <w:trHeight w:val="199"/>
        </w:trPr>
        <w:tc>
          <w:tcPr>
            <w:tcW w:w="30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rPr>
              <w:t>2,179,699</w:t>
            </w:r>
          </w:p>
        </w:tc>
        <w:tc>
          <w:tcPr>
            <w:tcW w:w="1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$229.39</w:t>
            </w:r>
          </w:p>
        </w:tc>
        <w:tc>
          <w:tcPr>
            <w:tcW w:w="1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2,179,699</w:t>
            </w:r>
          </w:p>
        </w:tc>
        <w:tc>
          <w:tcPr>
            <w:tcW w:w="2280" w:type="dxa"/>
            <w:vAlign w:val="bottom"/>
            <w:tcBorders>
              <w:bottom w:val="single" w:sz="8" w:color="auto"/>
            </w:tcBorders>
          </w:tcPr>
          <w:p>
            <w:pPr>
              <w:spacing w:after="0"/>
              <w:rPr>
                <w:sz w:val="17"/>
                <w:szCs w:val="17"/>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5"/>
          <w:szCs w:val="15"/>
          <w:color w:val="auto"/>
        </w:rPr>
        <w:t>All ordinary shares redeemed under the buyback program are canceled in accordance with the constitutional documents of the Company and the nominal value of these shares transferred to an undenominated capital fund as required under Irish Company law. Repurchases under the share buyback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auto"/>
        </w:rPr>
        <w:t>15. Business Segment and Geographical Information</w:t>
      </w:r>
    </w:p>
    <w:p>
      <w:pPr>
        <w:spacing w:after="0" w:line="24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The Company is a CRO providing outsourced services on a global basis to pharmaceutical, biotechnology, medical device and government and public health organizations.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or “blended-service” solution. The Company has expanded through internal growth, together with a number of strategic acquisitions to enhance its expertise and capabilities in certain areas of the clinical development process.</w:t>
      </w:r>
    </w:p>
    <w:p>
      <w:pPr>
        <w:spacing w:after="0" w:line="198"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operates as one reportable segment, which is the provision of outsourced development services on a global basis to the pharmaceutical, biotechnology and medical devices industries. Effective January 1, 2025, the Company determined that Chief Operating Decision Maker ('CODM') was comprised of the Chief Executive Officer, the Chief Financial Officer and the Chief Operating Officer (three months ended March 31, 2024 the Chief Executive Officer and the Chief Financial Officer). As the Company is managed on a consolidated basis, the CODM evaluates performance and allocates resources based on consolidated net income. The CODM uses consolidated net income, as reported on the Condensed Consolidated Statements of Operations, to evaluate income generated from segment assets and for decisions related to the deployment of operating and capital resources. The measure of segment assets is reported on the Condensed Consolidated Balance Sheets as total consolidated assets.</w:t>
      </w:r>
    </w:p>
    <w:p>
      <w:pPr>
        <w:spacing w:after="0" w:line="19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 xml:space="preserve">The accounting policies of the reportable segment are the same as those described in ICON’s Form 20-F for the year ended December 31, 2024 (see </w:t>
      </w:r>
      <w:r>
        <w:rPr>
          <w:rFonts w:ascii="Arial" w:cs="Arial" w:eastAsia="Arial" w:hAnsi="Arial"/>
          <w:sz w:val="15"/>
          <w:szCs w:val="15"/>
          <w:i w:val="1"/>
          <w:iCs w:val="1"/>
          <w:color w:val="auto"/>
        </w:rPr>
        <w:t>note</w:t>
      </w:r>
      <w:r>
        <w:rPr>
          <w:rFonts w:ascii="Arial" w:cs="Arial" w:eastAsia="Arial" w:hAnsi="Arial"/>
          <w:sz w:val="15"/>
          <w:szCs w:val="15"/>
          <w:color w:val="auto"/>
        </w:rPr>
        <w:t xml:space="preserve"> </w:t>
      </w:r>
      <w:r>
        <w:rPr>
          <w:rFonts w:ascii="Arial" w:cs="Arial" w:eastAsia="Arial" w:hAnsi="Arial"/>
          <w:sz w:val="15"/>
          <w:szCs w:val="15"/>
          <w:i w:val="1"/>
          <w:iCs w:val="1"/>
          <w:color w:val="auto"/>
        </w:rPr>
        <w:t>2 - Summary of significant accounting policies</w:t>
      </w:r>
      <w:r>
        <w:rPr>
          <w:rFonts w:ascii="Arial" w:cs="Arial" w:eastAsia="Arial" w:hAnsi="Arial"/>
          <w:sz w:val="15"/>
          <w:szCs w:val="15"/>
          <w:color w:val="auto"/>
        </w:rPr>
        <w:t>). In the context of considerations around significant segment expenses, as the expense information that is regularly</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to the CODM is aligned with the respective consolidated expenses for direct costs and selling, general, and administrative expenses, as presented on the Condensed Consolidated Statement of Operations, such expense disclosures are not replicated here. Furthermore, as the Company consists of a single reportable segment, other quantitative disclosures, as required by Topic 280, are as presented on the Consolidated Statement of Operations.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Revenues are allocated to individual entities based on where the work is performed in accordance with the Company's global transfer pricing model.</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Revenues and income from operations in Ireland are a function of our global contracting model and the Group’s transfer pricing model.</w:t>
      </w:r>
    </w:p>
    <w:p>
      <w:pPr>
        <w:spacing w:after="0" w:line="23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9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ICON Ireland remunerates other operating entities in the Group on the basis of an arm’s length return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their respective functions performed, assets owned, and risks assumed in these intercompany transactions. The arm’s length return is reviewed annually to ensure that it is market appropriate.</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geographic split of revenue disclosed for each region outside Ireland is the arm’s length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have been no changes to the overall basis of segmentation or the measurement basis for the segment results since the prior year.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4" w:name="page25"/>
    <w:bookmarkEnd w:id="24"/>
    <w:p>
      <w:pPr>
        <w:ind w:left="620"/>
        <w:spacing w:after="0"/>
        <w:rPr>
          <w:sz w:val="20"/>
          <w:szCs w:val="20"/>
          <w:color w:val="auto"/>
        </w:rPr>
      </w:pPr>
      <w:r>
        <w:rPr>
          <w:rFonts w:ascii="Arial" w:cs="Arial" w:eastAsia="Arial" w:hAnsi="Arial"/>
          <w:sz w:val="15"/>
          <w:szCs w:val="15"/>
          <w:color w:val="auto"/>
        </w:rPr>
        <w:t>The geographical distribution of the Company’s segment measures for the three months ended March 31, 2025 and March 31, 2024 and as at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tcPr>
          <w:p>
            <w:pPr>
              <w:spacing w:after="0"/>
              <w:rPr>
                <w:sz w:val="20"/>
                <w:szCs w:val="20"/>
                <w:color w:val="auto"/>
              </w:rPr>
            </w:pPr>
            <w:r>
              <w:rPr>
                <w:rFonts w:ascii="Arial" w:cs="Arial" w:eastAsia="Arial" w:hAnsi="Arial"/>
                <w:sz w:val="15"/>
                <w:szCs w:val="15"/>
                <w:color w:val="auto"/>
              </w:rPr>
              <w:t>2025 and December 31, 2024 is as follows:</w:t>
            </w: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11"/>
        </w:trPr>
        <w:tc>
          <w:tcPr>
            <w:tcW w:w="8220" w:type="dxa"/>
            <w:vAlign w:val="bottom"/>
          </w:tcPr>
          <w:p>
            <w:pPr>
              <w:spacing w:after="0"/>
              <w:rPr>
                <w:sz w:val="20"/>
                <w:szCs w:val="20"/>
                <w:color w:val="auto"/>
              </w:rPr>
            </w:pPr>
            <w:r>
              <w:rPr>
                <w:rFonts w:ascii="Arial" w:cs="Arial" w:eastAsia="Arial" w:hAnsi="Arial"/>
                <w:sz w:val="15"/>
                <w:szCs w:val="15"/>
                <w:color w:val="auto"/>
              </w:rPr>
              <w:t>a) The distribution of revenue by geographical area was as follows: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5"/>
        </w:trPr>
        <w:tc>
          <w:tcPr>
            <w:tcW w:w="8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580" w:type="dxa"/>
            <w:vAlign w:val="bottom"/>
            <w:gridSpan w:val="3"/>
          </w:tcPr>
          <w:p>
            <w:pPr>
              <w:spacing w:after="0"/>
              <w:rPr>
                <w:sz w:val="9"/>
                <w:szCs w:val="9"/>
                <w:color w:val="auto"/>
              </w:rPr>
            </w:pPr>
          </w:p>
        </w:tc>
      </w:tr>
      <w:tr>
        <w:trPr>
          <w:trHeight w:val="206"/>
        </w:trPr>
        <w:tc>
          <w:tcPr>
            <w:tcW w:w="8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3"/>
            <w:shd w:val="clear" w:color="auto" w:fill="CCEEFF"/>
          </w:tcPr>
          <w:p>
            <w:pPr>
              <w:jc w:val="center"/>
              <w:ind w:right="343"/>
              <w:spacing w:after="0"/>
              <w:rPr>
                <w:sz w:val="20"/>
                <w:szCs w:val="20"/>
                <w:color w:val="auto"/>
              </w:rPr>
            </w:pPr>
            <w:r>
              <w:rPr>
                <w:rFonts w:ascii="Arial" w:cs="Arial" w:eastAsia="Arial" w:hAnsi="Arial"/>
                <w:sz w:val="15"/>
                <w:szCs w:val="15"/>
                <w:b w:val="1"/>
                <w:bCs w:val="1"/>
                <w:color w:val="auto"/>
              </w:rPr>
              <w:t>Three Months Ended</w:t>
            </w:r>
          </w:p>
        </w:tc>
      </w:tr>
      <w:tr>
        <w:trPr>
          <w:trHeight w:val="148"/>
        </w:trPr>
        <w:tc>
          <w:tcPr>
            <w:tcW w:w="8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64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8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343"/>
              <w:spacing w:after="0"/>
              <w:rPr>
                <w:sz w:val="20"/>
                <w:szCs w:val="20"/>
                <w:color w:val="auto"/>
              </w:rPr>
            </w:pPr>
            <w:r>
              <w:rPr>
                <w:rFonts w:ascii="Arial" w:cs="Arial" w:eastAsia="Arial" w:hAnsi="Arial"/>
                <w:sz w:val="15"/>
                <w:szCs w:val="15"/>
                <w:b w:val="1"/>
                <w:bCs w:val="1"/>
                <w:color w:val="auto"/>
              </w:rPr>
              <w:t>(in thousands)</w:t>
            </w:r>
          </w:p>
        </w:tc>
        <w:tc>
          <w:tcPr>
            <w:tcW w:w="860" w:type="dxa"/>
            <w:vAlign w:val="bottom"/>
            <w:shd w:val="clear" w:color="auto" w:fill="CCEEFF"/>
          </w:tcPr>
          <w:p>
            <w:pPr>
              <w:spacing w:after="0"/>
              <w:rPr>
                <w:sz w:val="17"/>
                <w:szCs w:val="17"/>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Ireland</w:t>
            </w: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722,902</w:t>
            </w:r>
          </w:p>
        </w:tc>
        <w:tc>
          <w:tcPr>
            <w:tcW w:w="640" w:type="dxa"/>
            <w:vAlign w:val="bottom"/>
          </w:tcPr>
          <w:p>
            <w:pPr>
              <w:jc w:val="right"/>
              <w:ind w:right="46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652,685</w:t>
            </w: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374,012</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390,215</w:t>
            </w: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U.S.</w:t>
            </w:r>
          </w:p>
        </w:tc>
        <w:tc>
          <w:tcPr>
            <w:tcW w:w="4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671,727</w:t>
            </w:r>
          </w:p>
        </w:tc>
        <w:tc>
          <w:tcPr>
            <w:tcW w:w="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809,485</w:t>
            </w:r>
          </w:p>
        </w:tc>
      </w:tr>
      <w:tr>
        <w:trPr>
          <w:trHeight w:val="20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232,691</w:t>
            </w:r>
          </w:p>
        </w:tc>
        <w:tc>
          <w:tcPr>
            <w:tcW w:w="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238,001</w:t>
            </w:r>
          </w:p>
        </w:tc>
      </w:tr>
      <w:tr>
        <w:trPr>
          <w:trHeight w:val="19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2,001,332</w:t>
            </w:r>
          </w:p>
        </w:tc>
        <w:tc>
          <w:tcPr>
            <w:tcW w:w="6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2,090,386</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94"/>
        </w:trPr>
        <w:tc>
          <w:tcPr>
            <w:tcW w:w="8220" w:type="dxa"/>
            <w:vAlign w:val="bottom"/>
          </w:tcPr>
          <w:p>
            <w:pPr>
              <w:spacing w:after="0"/>
              <w:rPr>
                <w:sz w:val="20"/>
                <w:szCs w:val="20"/>
                <w:color w:val="auto"/>
              </w:rPr>
            </w:pPr>
            <w:r>
              <w:rPr>
                <w:rFonts w:ascii="Arial" w:cs="Arial" w:eastAsia="Arial" w:hAnsi="Arial"/>
                <w:sz w:val="15"/>
                <w:szCs w:val="15"/>
                <w:color w:val="auto"/>
              </w:rPr>
              <w:t>b) The distribution of income from operations by geographical area was as follows: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8"/>
        </w:trPr>
        <w:tc>
          <w:tcPr>
            <w:tcW w:w="8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80" w:type="dxa"/>
            <w:vAlign w:val="bottom"/>
            <w:gridSpan w:val="3"/>
          </w:tcPr>
          <w:p>
            <w:pPr>
              <w:spacing w:after="0"/>
              <w:rPr>
                <w:sz w:val="10"/>
                <w:szCs w:val="10"/>
                <w:color w:val="auto"/>
              </w:rPr>
            </w:pPr>
          </w:p>
        </w:tc>
      </w:tr>
      <w:tr>
        <w:trPr>
          <w:trHeight w:val="206"/>
        </w:trPr>
        <w:tc>
          <w:tcPr>
            <w:tcW w:w="8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3"/>
            <w:shd w:val="clear" w:color="auto" w:fill="CCEEFF"/>
          </w:tcPr>
          <w:p>
            <w:pPr>
              <w:jc w:val="center"/>
              <w:ind w:right="343"/>
              <w:spacing w:after="0"/>
              <w:rPr>
                <w:sz w:val="20"/>
                <w:szCs w:val="20"/>
                <w:color w:val="auto"/>
              </w:rPr>
            </w:pPr>
            <w:r>
              <w:rPr>
                <w:rFonts w:ascii="Arial" w:cs="Arial" w:eastAsia="Arial" w:hAnsi="Arial"/>
                <w:sz w:val="15"/>
                <w:szCs w:val="15"/>
                <w:b w:val="1"/>
                <w:bCs w:val="1"/>
                <w:color w:val="auto"/>
              </w:rPr>
              <w:t>Three Months Ended</w:t>
            </w:r>
          </w:p>
        </w:tc>
      </w:tr>
      <w:tr>
        <w:trPr>
          <w:trHeight w:val="148"/>
        </w:trPr>
        <w:tc>
          <w:tcPr>
            <w:tcW w:w="8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64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r>
      <w:tr>
        <w:trPr>
          <w:trHeight w:val="206"/>
        </w:trPr>
        <w:tc>
          <w:tcPr>
            <w:tcW w:w="8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343"/>
              <w:spacing w:after="0"/>
              <w:rPr>
                <w:sz w:val="20"/>
                <w:szCs w:val="20"/>
                <w:color w:val="auto"/>
              </w:rPr>
            </w:pPr>
            <w:r>
              <w:rPr>
                <w:rFonts w:ascii="Arial" w:cs="Arial" w:eastAsia="Arial" w:hAnsi="Arial"/>
                <w:sz w:val="15"/>
                <w:szCs w:val="15"/>
                <w:b w:val="1"/>
                <w:bCs w:val="1"/>
                <w:color w:val="auto"/>
              </w:rPr>
              <w:t>(in thousands)</w:t>
            </w:r>
          </w:p>
        </w:tc>
        <w:tc>
          <w:tcPr>
            <w:tcW w:w="860" w:type="dxa"/>
            <w:vAlign w:val="bottom"/>
            <w:shd w:val="clear" w:color="auto" w:fill="CCEEFF"/>
          </w:tcPr>
          <w:p>
            <w:pPr>
              <w:spacing w:after="0"/>
              <w:rPr>
                <w:sz w:val="17"/>
                <w:szCs w:val="17"/>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Ireland</w:t>
            </w: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157,318</w:t>
            </w:r>
          </w:p>
        </w:tc>
        <w:tc>
          <w:tcPr>
            <w:tcW w:w="640" w:type="dxa"/>
            <w:vAlign w:val="bottom"/>
          </w:tcPr>
          <w:p>
            <w:pPr>
              <w:jc w:val="right"/>
              <w:ind w:right="46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251,816</w:t>
            </w: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 of Europe</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36,474</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53,809</w:t>
            </w: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U.S.</w:t>
            </w:r>
          </w:p>
        </w:tc>
        <w:tc>
          <w:tcPr>
            <w:tcW w:w="4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67,505</w:t>
            </w:r>
          </w:p>
        </w:tc>
        <w:tc>
          <w:tcPr>
            <w:tcW w:w="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77,968</w:t>
            </w:r>
          </w:p>
        </w:tc>
      </w:tr>
      <w:tr>
        <w:trPr>
          <w:trHeight w:val="20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Rest of World</w:t>
            </w: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17,210</w:t>
            </w:r>
          </w:p>
        </w:tc>
        <w:tc>
          <w:tcPr>
            <w:tcW w:w="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18,402</w:t>
            </w:r>
          </w:p>
        </w:tc>
      </w:tr>
      <w:tr>
        <w:trPr>
          <w:trHeight w:val="19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Sub-total</w:t>
            </w: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278,507</w:t>
            </w:r>
          </w:p>
        </w:tc>
        <w:tc>
          <w:tcPr>
            <w:tcW w:w="6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401,995</w:t>
            </w:r>
          </w:p>
        </w:tc>
      </w:tr>
      <w:tr>
        <w:trPr>
          <w:trHeight w:val="199"/>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(58,946)</w:t>
            </w:r>
          </w:p>
        </w:tc>
        <w:tc>
          <w:tcPr>
            <w:tcW w:w="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(116,498)</w:t>
            </w:r>
          </w:p>
        </w:tc>
      </w:tr>
      <w:tr>
        <w:trPr>
          <w:trHeight w:val="19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219,561</w:t>
            </w:r>
          </w:p>
        </w:tc>
        <w:tc>
          <w:tcPr>
            <w:tcW w:w="6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285,497</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auto"/>
        </w:rPr>
        <w:t>c) The distribution of long-lived assets (property, plant and equipment and operating right-of-use assets), net, by geographical area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shd w:val="clear" w:color="auto" w:fill="CCEEFF"/>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March 31,</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6"/>
        </w:trPr>
        <w:tc>
          <w:tcPr>
            <w:tcW w:w="4640" w:type="dxa"/>
            <w:vAlign w:val="bottom"/>
            <w:tcBorders>
              <w:bottom w:val="single" w:sz="8" w:color="auto"/>
            </w:tcBorders>
            <w:shd w:val="clear" w:color="auto" w:fill="CCEEFF"/>
          </w:tcPr>
          <w:p>
            <w:pPr>
              <w:spacing w:after="0"/>
              <w:rPr>
                <w:sz w:val="17"/>
                <w:szCs w:val="17"/>
                <w:color w:val="auto"/>
              </w:rPr>
            </w:pPr>
          </w:p>
        </w:tc>
        <w:tc>
          <w:tcPr>
            <w:tcW w:w="40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150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780" w:type="dxa"/>
            <w:vAlign w:val="bottom"/>
            <w:gridSpan w:val="2"/>
          </w:tcPr>
          <w:p>
            <w:pPr>
              <w:jc w:val="right"/>
              <w:ind w:right="103"/>
              <w:spacing w:after="0"/>
              <w:rPr>
                <w:sz w:val="20"/>
                <w:szCs w:val="20"/>
                <w:color w:val="auto"/>
              </w:rPr>
            </w:pPr>
            <w:r>
              <w:rPr>
                <w:rFonts w:ascii="Arial" w:cs="Arial" w:eastAsia="Arial" w:hAnsi="Arial"/>
                <w:sz w:val="15"/>
                <w:szCs w:val="15"/>
                <w:b w:val="1"/>
                <w:bCs w:val="1"/>
                <w:color w:val="auto"/>
              </w:rPr>
              <w:t>(in thousands)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Ireland</w:t>
            </w:r>
          </w:p>
        </w:tc>
        <w:tc>
          <w:tcPr>
            <w:tcW w:w="40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232,558</w:t>
            </w:r>
          </w:p>
        </w:tc>
        <w:tc>
          <w:tcPr>
            <w:tcW w:w="70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234,175</w:t>
            </w:r>
          </w:p>
        </w:tc>
        <w:tc>
          <w:tcPr>
            <w:tcW w:w="0" w:type="dxa"/>
            <w:vAlign w:val="bottom"/>
          </w:tcPr>
          <w:p>
            <w:pPr>
              <w:spacing w:after="0"/>
              <w:rPr>
                <w:sz w:val="1"/>
                <w:szCs w:val="1"/>
                <w:color w:val="auto"/>
              </w:rPr>
            </w:pPr>
          </w:p>
        </w:tc>
      </w:tr>
      <w:tr>
        <w:trPr>
          <w:trHeight w:val="205"/>
        </w:trPr>
        <w:tc>
          <w:tcPr>
            <w:tcW w:w="4640" w:type="dxa"/>
            <w:vAlign w:val="bottom"/>
          </w:tcPr>
          <w:p>
            <w:pPr>
              <w:ind w:left="20"/>
              <w:spacing w:after="0"/>
              <w:rPr>
                <w:sz w:val="20"/>
                <w:szCs w:val="20"/>
                <w:color w:val="auto"/>
              </w:rPr>
            </w:pPr>
            <w:r>
              <w:rPr>
                <w:rFonts w:ascii="Arial" w:cs="Arial" w:eastAsia="Arial" w:hAnsi="Arial"/>
                <w:sz w:val="15"/>
                <w:szCs w:val="15"/>
                <w:color w:val="auto"/>
              </w:rPr>
              <w:t>Rest of Europe</w:t>
            </w:r>
          </w:p>
        </w:tc>
        <w:tc>
          <w:tcPr>
            <w:tcW w:w="402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91,025</w:t>
            </w:r>
          </w:p>
        </w:tc>
        <w:tc>
          <w:tcPr>
            <w:tcW w:w="7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88,556</w:t>
            </w: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137,222</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145,391</w:t>
            </w:r>
          </w:p>
        </w:tc>
        <w:tc>
          <w:tcPr>
            <w:tcW w:w="0" w:type="dxa"/>
            <w:vAlign w:val="bottom"/>
          </w:tcPr>
          <w:p>
            <w:pPr>
              <w:spacing w:after="0"/>
              <w:rPr>
                <w:sz w:val="1"/>
                <w:szCs w:val="1"/>
                <w:color w:val="auto"/>
              </w:rPr>
            </w:pPr>
          </w:p>
        </w:tc>
      </w:tr>
      <w:tr>
        <w:trPr>
          <w:trHeight w:val="20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Rest of World</w:t>
            </w:r>
          </w:p>
        </w:tc>
        <w:tc>
          <w:tcPr>
            <w:tcW w:w="40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64,825</w:t>
            </w:r>
          </w:p>
        </w:tc>
        <w:tc>
          <w:tcPr>
            <w:tcW w:w="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62,359</w:t>
            </w:r>
          </w:p>
        </w:tc>
        <w:tc>
          <w:tcPr>
            <w:tcW w:w="0" w:type="dxa"/>
            <w:vAlign w:val="bottom"/>
          </w:tcPr>
          <w:p>
            <w:pPr>
              <w:spacing w:after="0"/>
              <w:rPr>
                <w:sz w:val="1"/>
                <w:szCs w:val="1"/>
                <w:color w:val="auto"/>
              </w:rPr>
            </w:pPr>
          </w:p>
        </w:tc>
      </w:tr>
      <w:tr>
        <w:trPr>
          <w:trHeight w:val="224"/>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0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525,630</w:t>
            </w: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530,481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40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Subsequent events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evaluated subsequent events from the Balance Sheet date through to the date at which the financial statements were available to be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issued.</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determined that there are no items to disclose.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ICON plc</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5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2024. The consolidated financial statements have been prepared in accordance with accounting principles generally accepted in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42" w:lineRule="exact"/>
        <w:rPr>
          <w:sz w:val="20"/>
          <w:szCs w:val="20"/>
          <w:color w:val="auto"/>
        </w:rPr>
      </w:pPr>
    </w:p>
    <w:p>
      <w:pPr>
        <w:jc w:val="both"/>
        <w:ind w:firstLine="619"/>
        <w:spacing w:after="0" w:line="269" w:lineRule="auto"/>
        <w:rPr>
          <w:sz w:val="20"/>
          <w:szCs w:val="20"/>
          <w:color w:val="auto"/>
        </w:rPr>
      </w:pPr>
      <w:r>
        <w:rPr>
          <w:rFonts w:ascii="Arial" w:cs="Arial" w:eastAsia="Arial" w:hAnsi="Arial"/>
          <w:sz w:val="15"/>
          <w:szCs w:val="15"/>
          <w:color w:val="auto"/>
        </w:rPr>
        <w:t>We are a CRO providing outsourced development services on a global basis to pharmaceutical, biotechnology, medical device and government and public health organizations. We specialize in the strategic development, management and analysis of programs that support all stages of the clinical development process</w:t>
      </w:r>
    </w:p>
    <w:p>
      <w:pPr>
        <w:spacing w:after="0" w:line="1" w:lineRule="exact"/>
        <w:rPr>
          <w:sz w:val="20"/>
          <w:szCs w:val="20"/>
          <w:color w:val="auto"/>
        </w:rPr>
      </w:pPr>
    </w:p>
    <w:p>
      <w:pPr>
        <w:ind w:firstLine="3"/>
        <w:spacing w:after="0" w:line="293" w:lineRule="auto"/>
        <w:tabs>
          <w:tab w:leader="none" w:pos="98" w:val="left"/>
        </w:tabs>
        <w:numPr>
          <w:ilvl w:val="0"/>
          <w:numId w:val="3"/>
        </w:numPr>
        <w:rPr>
          <w:rFonts w:ascii="Arial" w:cs="Arial" w:eastAsia="Arial" w:hAnsi="Arial"/>
          <w:sz w:val="15"/>
          <w:szCs w:val="15"/>
          <w:color w:val="auto"/>
        </w:rPr>
      </w:pPr>
      <w:r>
        <w:rPr>
          <w:rFonts w:ascii="Arial" w:cs="Arial" w:eastAsia="Arial" w:hAnsi="Arial"/>
          <w:sz w:val="15"/>
          <w:szCs w:val="15"/>
          <w:color w:val="auto"/>
        </w:rPr>
        <w:t>from compound selection to Phase I-IV clinical studies. Our vision is to be the healthcare intelligence partner of choice by delivering industry leading solutions and best in class performance in clinical development.</w:t>
      </w:r>
    </w:p>
    <w:p>
      <w:pPr>
        <w:spacing w:after="0" w:line="17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March 31, 2025, we employed approximately 41,250 employees in 97 locations in 55 countries. During the three months ended March 31, 2025 we derived 33.6%, 54.8% and 11.6% of our revenue in the United States, Europe and Rest of World respectively (during the period ended March 31, 2024: 38.7%, 49.9% and 11.4% respectively).</w:t>
      </w:r>
    </w:p>
    <w:p>
      <w:pPr>
        <w:spacing w:after="0" w:line="204"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0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8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8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 xml:space="preserve">Our unsatisfied performance obligation comprises our assessment of contracted revenue yet to be earned from projects awarded by clients. At March 31, 2025 we had unsatisfied performance obligations of approximately $15.5 billion </w:t>
      </w:r>
      <w:r>
        <w:rPr>
          <w:rFonts w:ascii="Arial" w:cs="Arial" w:eastAsia="Arial" w:hAnsi="Arial"/>
          <w:sz w:val="15"/>
          <w:szCs w:val="15"/>
          <w:i w:val="1"/>
          <w:iCs w:val="1"/>
          <w:color w:val="auto"/>
        </w:rPr>
        <w:t>(</w:t>
      </w:r>
      <w:r>
        <w:rPr>
          <w:rFonts w:ascii="Arial" w:cs="Arial" w:eastAsia="Arial" w:hAnsi="Arial"/>
          <w:sz w:val="15"/>
          <w:szCs w:val="15"/>
          <w:color w:val="auto"/>
        </w:rPr>
        <w:t xml:space="preserve">see </w:t>
      </w:r>
      <w:r>
        <w:rPr>
          <w:rFonts w:ascii="Arial" w:cs="Arial" w:eastAsia="Arial" w:hAnsi="Arial"/>
          <w:sz w:val="15"/>
          <w:szCs w:val="15"/>
          <w:i w:val="1"/>
          <w:iCs w:val="1"/>
          <w:color w:val="auto"/>
        </w:rPr>
        <w:t>note 4 - Accounts receivable, unbilled revenue (contract assets) and unearned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revenue or payments on account (contract liabilities) </w:t>
      </w:r>
      <w:r>
        <w:rPr>
          <w:rFonts w:ascii="Arial" w:cs="Arial" w:eastAsia="Arial" w:hAnsi="Arial"/>
          <w:sz w:val="15"/>
          <w:szCs w:val="15"/>
          <w:color w:val="auto"/>
        </w:rPr>
        <w:t>for further details). We believe that our unsatisfied performance obligation as of any date is not necessarily a</w:t>
      </w:r>
      <w:r>
        <w:rPr>
          <w:rFonts w:ascii="Arial" w:cs="Arial" w:eastAsia="Arial" w:hAnsi="Arial"/>
          <w:sz w:val="15"/>
          <w:szCs w:val="15"/>
          <w:i w:val="1"/>
          <w:iCs w:val="1"/>
          <w:color w:val="auto"/>
        </w:rPr>
        <w:t xml:space="preserve"> </w:t>
      </w:r>
      <w:r>
        <w:rPr>
          <w:rFonts w:ascii="Arial" w:cs="Arial" w:eastAsia="Arial" w:hAnsi="Arial"/>
          <w:sz w:val="15"/>
          <w:szCs w:val="15"/>
          <w:color w:val="auto"/>
        </w:rPr>
        <w:t>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186"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6" w:name="page27"/>
    <w:bookmarkEnd w:id="26"/>
    <w:p>
      <w:pPr>
        <w:jc w:val="both"/>
        <w:ind w:firstLine="619"/>
        <w:spacing w:after="0" w:line="264" w:lineRule="auto"/>
        <w:rPr>
          <w:sz w:val="20"/>
          <w:szCs w:val="20"/>
          <w:color w:val="auto"/>
        </w:rPr>
      </w:pPr>
      <w:r>
        <w:rPr>
          <w:rFonts w:ascii="Arial" w:cs="Arial" w:eastAsia="Arial" w:hAnsi="Arial"/>
          <w:sz w:val="15"/>
          <w:szCs w:val="15"/>
          <w:color w:val="auto"/>
        </w:rPr>
        <w:t>In addition to translation exposures, we are also subject to transaction exposures where the currency in which contracts are priced can be different from the currencies in which costs relating to those contracts are incurred. Our operations in the U.S. are not materially exposed to such currency differences as the majority of our revenues and costs are in U.S. dollars. However, outside of the U.S.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Results</w:t>
      </w:r>
    </w:p>
    <w:p>
      <w:pPr>
        <w:spacing w:after="0" w:line="2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Three Months Ended March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shd w:val="clear" w:color="auto" w:fill="CCEEFF"/>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rPr>
              <w:t>Three Months Ended</w:t>
            </w: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rPr>
              <w:t>March 31,</w:t>
            </w:r>
          </w:p>
        </w:tc>
        <w:tc>
          <w:tcPr>
            <w:tcW w:w="10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auto"/>
            </w:tcBorders>
          </w:tcPr>
          <w:p>
            <w:pPr>
              <w:spacing w:after="0"/>
              <w:rPr>
                <w:sz w:val="17"/>
                <w:szCs w:val="17"/>
                <w:color w:val="auto"/>
              </w:rPr>
            </w:pPr>
          </w:p>
        </w:tc>
        <w:tc>
          <w:tcPr>
            <w:tcW w:w="5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2025</w:t>
            </w:r>
          </w:p>
        </w:tc>
        <w:tc>
          <w:tcPr>
            <w:tcW w:w="8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 to 2025</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spacing w:after="0" w:line="148" w:lineRule="exact"/>
              <w:rPr>
                <w:sz w:val="20"/>
                <w:szCs w:val="20"/>
                <w:color w:val="auto"/>
              </w:rPr>
            </w:pPr>
            <w:r>
              <w:rPr>
                <w:rFonts w:ascii="Arial" w:cs="Arial" w:eastAsia="Arial" w:hAnsi="Arial"/>
                <w:sz w:val="15"/>
                <w:szCs w:val="15"/>
                <w:b w:val="1"/>
                <w:bCs w:val="1"/>
                <w:color w:val="auto"/>
              </w:rPr>
              <w:t>Percentage of Revenue</w:t>
            </w:r>
          </w:p>
        </w:tc>
        <w:tc>
          <w:tcPr>
            <w:tcW w:w="1000" w:type="dxa"/>
            <w:vAlign w:val="bottom"/>
            <w:shd w:val="clear" w:color="auto" w:fill="CCEEFF"/>
          </w:tcPr>
          <w:p>
            <w:pPr>
              <w:spacing w:after="0"/>
              <w:rPr>
                <w:sz w:val="12"/>
                <w:szCs w:val="12"/>
                <w:color w:val="auto"/>
              </w:rPr>
            </w:pPr>
          </w:p>
        </w:tc>
        <w:tc>
          <w:tcPr>
            <w:tcW w:w="1220" w:type="dxa"/>
            <w:vAlign w:val="bottom"/>
            <w:shd w:val="clear" w:color="auto" w:fill="CCEEFF"/>
          </w:tcPr>
          <w:p>
            <w:pPr>
              <w:jc w:val="center"/>
              <w:ind w:right="263"/>
              <w:spacing w:after="0" w:line="148" w:lineRule="exact"/>
              <w:rPr>
                <w:sz w:val="20"/>
                <w:szCs w:val="20"/>
                <w:color w:val="auto"/>
              </w:rPr>
            </w:pPr>
            <w:r>
              <w:rPr>
                <w:rFonts w:ascii="Arial" w:cs="Arial" w:eastAsia="Arial" w:hAnsi="Arial"/>
                <w:sz w:val="15"/>
                <w:szCs w:val="15"/>
                <w:b w:val="1"/>
                <w:bCs w:val="1"/>
                <w:color w:val="auto"/>
              </w:rPr>
              <w:t>Percentage</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20" w:type="dxa"/>
            <w:vAlign w:val="bottom"/>
            <w:shd w:val="clear" w:color="auto" w:fill="CCEEFF"/>
          </w:tcPr>
          <w:p>
            <w:pPr>
              <w:jc w:val="center"/>
              <w:ind w:right="223"/>
              <w:spacing w:after="0" w:line="155" w:lineRule="exact"/>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right="263"/>
              <w:spacing w:after="0"/>
              <w:rPr>
                <w:sz w:val="20"/>
                <w:szCs w:val="20"/>
                <w:color w:val="auto"/>
              </w:rPr>
            </w:pPr>
            <w:r>
              <w:rPr>
                <w:rFonts w:ascii="Arial" w:cs="Arial" w:eastAsia="Arial" w:hAnsi="Arial"/>
                <w:sz w:val="15"/>
                <w:szCs w:val="15"/>
                <w:b w:val="1"/>
                <w:bCs w:val="1"/>
                <w:color w:val="auto"/>
              </w:rPr>
              <w:t>(Decrease)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Revenue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100.0 %</w:t>
            </w:r>
          </w:p>
        </w:tc>
        <w:tc>
          <w:tcPr>
            <w:tcW w:w="820" w:type="dxa"/>
            <w:vAlign w:val="bottom"/>
          </w:tcPr>
          <w:p>
            <w:pPr>
              <w:spacing w:after="0"/>
              <w:rPr>
                <w:sz w:val="17"/>
                <w:szCs w:val="17"/>
                <w:color w:val="auto"/>
              </w:rPr>
            </w:pPr>
          </w:p>
        </w:tc>
        <w:tc>
          <w:tcPr>
            <w:tcW w:w="1000" w:type="dxa"/>
            <w:vAlign w:val="bottom"/>
          </w:tcPr>
          <w:p>
            <w:pPr>
              <w:jc w:val="right"/>
              <w:ind w:right="283"/>
              <w:spacing w:after="0"/>
              <w:rPr>
                <w:sz w:val="20"/>
                <w:szCs w:val="20"/>
                <w:color w:val="auto"/>
              </w:rPr>
            </w:pPr>
            <w:r>
              <w:rPr>
                <w:rFonts w:ascii="Arial" w:cs="Arial" w:eastAsia="Arial" w:hAnsi="Arial"/>
                <w:sz w:val="15"/>
                <w:szCs w:val="15"/>
                <w:color w:val="auto"/>
              </w:rPr>
              <w:t>100.0 %</w:t>
            </w:r>
          </w:p>
        </w:tc>
        <w:tc>
          <w:tcPr>
            <w:tcW w:w="1220" w:type="dxa"/>
            <w:vAlign w:val="bottom"/>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Costs and expenses: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ind w:left="300"/>
              <w:spacing w:after="0"/>
              <w:rPr>
                <w:sz w:val="20"/>
                <w:szCs w:val="20"/>
                <w:color w:val="auto"/>
              </w:rPr>
            </w:pPr>
            <w:r>
              <w:rPr>
                <w:rFonts w:ascii="Arial" w:cs="Arial" w:eastAsia="Arial" w:hAnsi="Arial"/>
                <w:sz w:val="15"/>
                <w:szCs w:val="15"/>
                <w:color w:val="auto"/>
              </w:rPr>
              <w:t>Direct costs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72.1 %</w:t>
            </w:r>
          </w:p>
        </w:tc>
        <w:tc>
          <w:tcPr>
            <w:tcW w:w="820" w:type="dxa"/>
            <w:vAlign w:val="bottom"/>
          </w:tcPr>
          <w:p>
            <w:pPr>
              <w:spacing w:after="0"/>
              <w:rPr>
                <w:sz w:val="17"/>
                <w:szCs w:val="17"/>
                <w:color w:val="auto"/>
              </w:rPr>
            </w:pPr>
          </w:p>
        </w:tc>
        <w:tc>
          <w:tcPr>
            <w:tcW w:w="1000" w:type="dxa"/>
            <w:vAlign w:val="bottom"/>
          </w:tcPr>
          <w:p>
            <w:pPr>
              <w:jc w:val="right"/>
              <w:ind w:right="283"/>
              <w:spacing w:after="0"/>
              <w:rPr>
                <w:sz w:val="20"/>
                <w:szCs w:val="20"/>
                <w:color w:val="auto"/>
              </w:rPr>
            </w:pPr>
            <w:r>
              <w:rPr>
                <w:rFonts w:ascii="Arial" w:cs="Arial" w:eastAsia="Arial" w:hAnsi="Arial"/>
                <w:sz w:val="15"/>
                <w:szCs w:val="15"/>
                <w:color w:val="auto"/>
              </w:rPr>
              <w:t>70.4 %</w:t>
            </w:r>
          </w:p>
        </w:tc>
        <w:tc>
          <w:tcPr>
            <w:tcW w:w="122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Selling, general and administrative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9.9 %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8.5 %</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ind w:left="300"/>
              <w:spacing w:after="0"/>
              <w:rPr>
                <w:sz w:val="20"/>
                <w:szCs w:val="20"/>
                <w:color w:val="auto"/>
              </w:rPr>
            </w:pPr>
            <w:r>
              <w:rPr>
                <w:rFonts w:ascii="Arial" w:cs="Arial" w:eastAsia="Arial" w:hAnsi="Arial"/>
                <w:sz w:val="15"/>
                <w:szCs w:val="15"/>
                <w:color w:val="auto"/>
              </w:rPr>
              <w:t>Depreciation</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1.8 %</w:t>
            </w:r>
          </w:p>
        </w:tc>
        <w:tc>
          <w:tcPr>
            <w:tcW w:w="820" w:type="dxa"/>
            <w:vAlign w:val="bottom"/>
          </w:tcPr>
          <w:p>
            <w:pPr>
              <w:spacing w:after="0"/>
              <w:rPr>
                <w:sz w:val="17"/>
                <w:szCs w:val="17"/>
                <w:color w:val="auto"/>
              </w:rPr>
            </w:pPr>
          </w:p>
        </w:tc>
        <w:tc>
          <w:tcPr>
            <w:tcW w:w="1000" w:type="dxa"/>
            <w:vAlign w:val="bottom"/>
          </w:tcPr>
          <w:p>
            <w:pPr>
              <w:jc w:val="right"/>
              <w:ind w:right="283"/>
              <w:spacing w:after="0"/>
              <w:rPr>
                <w:sz w:val="20"/>
                <w:szCs w:val="20"/>
                <w:color w:val="auto"/>
              </w:rPr>
            </w:pPr>
            <w:r>
              <w:rPr>
                <w:rFonts w:ascii="Arial" w:cs="Arial" w:eastAsia="Arial" w:hAnsi="Arial"/>
                <w:sz w:val="15"/>
                <w:szCs w:val="15"/>
                <w:color w:val="auto"/>
              </w:rPr>
              <w:t>1.6 %</w:t>
            </w:r>
          </w:p>
        </w:tc>
        <w:tc>
          <w:tcPr>
            <w:tcW w:w="1220" w:type="dxa"/>
            <w:vAlign w:val="bottom"/>
          </w:tcPr>
          <w:p>
            <w:pPr>
              <w:jc w:val="right"/>
              <w:spacing w:after="0"/>
              <w:rPr>
                <w:sz w:val="20"/>
                <w:szCs w:val="20"/>
                <w:color w:val="auto"/>
              </w:rPr>
            </w:pPr>
            <w:r>
              <w:rPr>
                <w:rFonts w:ascii="Arial" w:cs="Arial" w:eastAsia="Arial" w:hAnsi="Arial"/>
                <w:sz w:val="15"/>
                <w:szCs w:val="15"/>
                <w:color w:val="auto"/>
              </w:rPr>
              <w:t>13.2 %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Amortization</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5.5 %</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ind w:left="300"/>
              <w:spacing w:after="0"/>
              <w:rPr>
                <w:sz w:val="20"/>
                <w:szCs w:val="20"/>
                <w:color w:val="auto"/>
              </w:rPr>
            </w:pPr>
            <w:r>
              <w:rPr>
                <w:rFonts w:ascii="Arial" w:cs="Arial" w:eastAsia="Arial" w:hAnsi="Arial"/>
                <w:sz w:val="15"/>
                <w:szCs w:val="15"/>
                <w:color w:val="auto"/>
              </w:rPr>
              <w:t>Transaction and integration related</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0.3 %</w:t>
            </w:r>
          </w:p>
        </w:tc>
        <w:tc>
          <w:tcPr>
            <w:tcW w:w="820" w:type="dxa"/>
            <w:vAlign w:val="bottom"/>
          </w:tcPr>
          <w:p>
            <w:pPr>
              <w:spacing w:after="0"/>
              <w:rPr>
                <w:sz w:val="17"/>
                <w:szCs w:val="17"/>
                <w:color w:val="auto"/>
              </w:rPr>
            </w:pPr>
          </w:p>
        </w:tc>
        <w:tc>
          <w:tcPr>
            <w:tcW w:w="1000" w:type="dxa"/>
            <w:vAlign w:val="bottom"/>
          </w:tcPr>
          <w:p>
            <w:pPr>
              <w:jc w:val="right"/>
              <w:ind w:right="283"/>
              <w:spacing w:after="0"/>
              <w:rPr>
                <w:sz w:val="20"/>
                <w:szCs w:val="20"/>
                <w:color w:val="auto"/>
              </w:rPr>
            </w:pPr>
            <w:r>
              <w:rPr>
                <w:rFonts w:ascii="Arial" w:cs="Arial" w:eastAsia="Arial" w:hAnsi="Arial"/>
                <w:sz w:val="15"/>
                <w:szCs w:val="15"/>
                <w:color w:val="auto"/>
              </w:rPr>
              <w:t>0.3 %</w:t>
            </w:r>
          </w:p>
        </w:tc>
        <w:tc>
          <w:tcPr>
            <w:tcW w:w="1220" w:type="dxa"/>
            <w:vAlign w:val="bottom"/>
          </w:tcPr>
          <w:p>
            <w:pPr>
              <w:jc w:val="right"/>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Restructuring</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58"/>
        </w:trPr>
        <w:tc>
          <w:tcPr>
            <w:tcW w:w="20" w:type="dxa"/>
            <w:vAlign w:val="bottom"/>
            <w:tcBorders>
              <w:bottom w:val="single" w:sz="8" w:color="auto"/>
            </w:tcBorders>
          </w:tcPr>
          <w:p>
            <w:pPr>
              <w:spacing w:after="0"/>
              <w:rPr>
                <w:sz w:val="22"/>
                <w:szCs w:val="22"/>
                <w:color w:val="auto"/>
              </w:rPr>
            </w:pPr>
          </w:p>
        </w:tc>
        <w:tc>
          <w:tcPr>
            <w:tcW w:w="5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11.0 %</w:t>
            </w:r>
          </w:p>
        </w:tc>
        <w:tc>
          <w:tcPr>
            <w:tcW w:w="8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13.7 %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5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52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Revenue</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2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300"/>
              <w:spacing w:after="0" w:line="155" w:lineRule="exact"/>
              <w:rPr>
                <w:sz w:val="20"/>
                <w:szCs w:val="20"/>
                <w:color w:val="auto"/>
              </w:rPr>
            </w:pPr>
            <w:r>
              <w:rPr>
                <w:rFonts w:ascii="Arial" w:cs="Arial" w:eastAsia="Arial" w:hAnsi="Arial"/>
                <w:sz w:val="15"/>
                <w:szCs w:val="15"/>
                <w:b w:val="1"/>
                <w:bCs w:val="1"/>
                <w:color w:val="auto"/>
              </w:rPr>
              <w:t>Three Months Ended</w:t>
            </w:r>
          </w:p>
        </w:tc>
        <w:tc>
          <w:tcPr>
            <w:tcW w:w="8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Change</w:t>
            </w: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gridSpan w:val="2"/>
            <w:shd w:val="clear" w:color="auto" w:fill="CCEEFF"/>
          </w:tcPr>
          <w:p>
            <w:pPr>
              <w:ind w:left="700"/>
              <w:spacing w:after="0"/>
              <w:rPr>
                <w:sz w:val="20"/>
                <w:szCs w:val="20"/>
                <w:color w:val="auto"/>
              </w:rPr>
            </w:pPr>
            <w:r>
              <w:rPr>
                <w:rFonts w:ascii="Arial" w:cs="Arial" w:eastAsia="Arial" w:hAnsi="Arial"/>
                <w:sz w:val="15"/>
                <w:szCs w:val="15"/>
                <w:b w:val="1"/>
                <w:bCs w:val="1"/>
                <w:color w:val="auto"/>
              </w:rPr>
              <w:t>March 31,</w:t>
            </w:r>
          </w:p>
        </w:tc>
        <w:tc>
          <w:tcPr>
            <w:tcW w:w="10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700"/>
              <w:spacing w:after="0"/>
              <w:rPr>
                <w:sz w:val="20"/>
                <w:szCs w:val="20"/>
                <w:color w:val="auto"/>
              </w:rPr>
            </w:pPr>
            <w:r>
              <w:rPr>
                <w:rFonts w:ascii="Arial" w:cs="Arial" w:eastAsia="Arial" w:hAnsi="Arial"/>
                <w:sz w:val="15"/>
                <w:szCs w:val="15"/>
                <w:b w:val="1"/>
                <w:bCs w:val="1"/>
                <w:color w:val="auto"/>
              </w:rPr>
              <w:t>2025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2,001,332 $</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2,090,386</w:t>
            </w: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(89,054)</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Revenue for the three months ended March 31, 2025 decreased by $89.1 million, or 4.3%, to $2,001.3 million, compared to $2,090.4 million for the three months ended March 31, 2024. Revenue decreased by 3.2% in constant currency terms. Revenue for the three months ended March 31, 2025 was impacted by the volatility and cautiousness present in the broader clinical development market.</w:t>
      </w:r>
    </w:p>
    <w:p>
      <w:pPr>
        <w:spacing w:after="0" w:line="17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During the three months ended March 31, 2025, we derived 33.6%, 54.8% and 11.6% of our revenue in the United States, Europe and Rest of World respectively. Revenues from our top five customers amounted to $498.5 million in the three months ended March 31, 2025, compared to $544.0 million for the three months ended March 31, 2024 or 24.9% and 26.0% respectively. New customer accounts are continually added across the full portfolio of large pharma customers, mid-tier pharma customers and biotech customers.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7" w:name="page28"/>
    <w:bookmarkEnd w:id="27"/>
    <w:p>
      <w:pPr>
        <w:jc w:val="both"/>
        <w:ind w:firstLine="619"/>
        <w:spacing w:after="0" w:line="275" w:lineRule="auto"/>
        <w:rPr>
          <w:sz w:val="20"/>
          <w:szCs w:val="20"/>
          <w:color w:val="auto"/>
        </w:rPr>
      </w:pPr>
      <w:r>
        <w:rPr>
          <w:rFonts w:ascii="Arial" w:cs="Arial" w:eastAsia="Arial" w:hAnsi="Arial"/>
          <w:sz w:val="15"/>
          <w:szCs w:val="15"/>
          <w:color w:val="auto"/>
        </w:rPr>
        <w:t xml:space="preserve">Revenue in Ireland increased by $70.2 million for the three months ended March 31, 2025, to $722.9 million, compared to $652.7 million for the three months ended March 31, 2024. Revenue in Ireland during the period ended March 31, 2025 increased by 10.8% compared to an overall decrease in Group revenue of 4.3%. Revenue in Ireland is principally a function of our global contracting model (see note 15. </w:t>
      </w:r>
      <w:r>
        <w:rPr>
          <w:rFonts w:ascii="Arial" w:cs="Arial" w:eastAsia="Arial" w:hAnsi="Arial"/>
          <w:sz w:val="15"/>
          <w:szCs w:val="15"/>
          <w:i w:val="1"/>
          <w:iCs w:val="1"/>
          <w:color w:val="auto"/>
        </w:rPr>
        <w:t>Business Segment and Geographical Information</w:t>
      </w:r>
      <w:r>
        <w:rPr>
          <w:rFonts w:ascii="Arial" w:cs="Arial" w:eastAsia="Arial" w:hAnsi="Arial"/>
          <w:sz w:val="15"/>
          <w:szCs w:val="15"/>
          <w:color w:val="auto"/>
        </w:rPr>
        <w:t xml:space="preserve"> for further details).</w:t>
      </w:r>
    </w:p>
    <w:p>
      <w:pPr>
        <w:spacing w:after="0" w:line="38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Revenue in our Rest of Europe region decreased by $16.2 million or 4.2%, to $374.0 million, compared to $390.2 million for the three months ended March 31, 2024. Revenue in the U.S. region decreased by $137.8 million or 17.0%, to $671.7 million, compared to $809.5 million for the three months ended March 31, 2024. Revenue in the Rest of World ('Other') region decreased by $5.3 million or 2.2%, to $232.7 million, compared to $238.0 million for the three months ended March 31, 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Direct costs</w:t>
      </w:r>
    </w:p>
    <w:p>
      <w:pPr>
        <w:spacing w:after="0" w:line="273"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5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jc w:val="center"/>
              <w:ind w:left="383"/>
              <w:spacing w:after="0"/>
              <w:rPr>
                <w:sz w:val="20"/>
                <w:szCs w:val="20"/>
                <w:color w:val="auto"/>
              </w:rPr>
            </w:pPr>
            <w:r>
              <w:rPr>
                <w:rFonts w:ascii="Arial" w:cs="Arial" w:eastAsia="Arial" w:hAnsi="Arial"/>
                <w:sz w:val="15"/>
                <w:szCs w:val="15"/>
                <w:b w:val="1"/>
                <w:bCs w:val="1"/>
                <w:color w:val="auto"/>
              </w:rPr>
              <w:t>Three Months Ended</w:t>
            </w: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06"/>
        </w:trPr>
        <w:tc>
          <w:tcPr>
            <w:tcW w:w="51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gridSpan w:val="2"/>
            <w:shd w:val="clear" w:color="auto" w:fill="CCEEFF"/>
          </w:tcPr>
          <w:p>
            <w:pPr>
              <w:jc w:val="center"/>
              <w:ind w:left="383"/>
              <w:spacing w:after="0"/>
              <w:rPr>
                <w:sz w:val="20"/>
                <w:szCs w:val="20"/>
                <w:color w:val="auto"/>
              </w:rPr>
            </w:pPr>
            <w:r>
              <w:rPr>
                <w:rFonts w:ascii="Arial" w:cs="Arial" w:eastAsia="Arial" w:hAnsi="Arial"/>
                <w:sz w:val="15"/>
                <w:szCs w:val="15"/>
                <w:b w:val="1"/>
                <w:bCs w:val="1"/>
                <w:color w:val="auto"/>
              </w:rPr>
              <w:t>March 31,</w:t>
            </w:r>
          </w:p>
        </w:tc>
        <w:tc>
          <w:tcPr>
            <w:tcW w:w="10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r>
      <w:tr>
        <w:trPr>
          <w:trHeight w:val="19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9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Direct costs</w:t>
            </w:r>
          </w:p>
        </w:tc>
        <w:tc>
          <w:tcPr>
            <w:tcW w:w="58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1,442,679</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1,471,367</w:t>
            </w: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(28,688)</w:t>
            </w: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5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72.1 %</w:t>
            </w:r>
          </w:p>
        </w:tc>
        <w:tc>
          <w:tcPr>
            <w:tcW w:w="9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70.4 %</w:t>
            </w:r>
          </w:p>
        </w:tc>
        <w:tc>
          <w:tcPr>
            <w:tcW w:w="6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w:t>
            </w:r>
          </w:p>
        </w:tc>
      </w:tr>
    </w:tbl>
    <w:p>
      <w:pPr>
        <w:spacing w:after="0" w:line="29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Direct costs for the three months ended March 31, 2025 decreased by $28.7 million, or 1.9%, to $1,442.7 million compared to $1,471.4 million for the three months ended March 31, 2024. Direct costs consist primarily of investigator and other reimbursable costs, compensation, associated fringe benefits and share based compensation expense for project-related employees and other direct project driven costs. The decrease in direct costs arose due to a decrease in personnel related costs and travel, partially offset by increases in third party investigator/other reimbursable costs, laboratories and other direct project driven costs. As a percentage of revenue, direct costs have increased to 72.1% of revenue during the three months ended March 31, 2025 compared to 70.4% for the three months ended March 31, 2024.</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Selling, general and administrative</w:t>
      </w: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left="263"/>
              <w:spacing w:after="0"/>
              <w:rPr>
                <w:sz w:val="20"/>
                <w:szCs w:val="20"/>
                <w:color w:val="auto"/>
              </w:rPr>
            </w:pPr>
            <w:r>
              <w:rPr>
                <w:rFonts w:ascii="Arial" w:cs="Arial" w:eastAsia="Arial" w:hAnsi="Arial"/>
                <w:sz w:val="15"/>
                <w:szCs w:val="15"/>
                <w:b w:val="1"/>
                <w:bCs w:val="1"/>
                <w:color w:val="auto"/>
              </w:rPr>
              <w:t>Three Months Ended</w:t>
            </w:r>
          </w:p>
        </w:tc>
        <w:tc>
          <w:tcPr>
            <w:tcW w:w="9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06"/>
        </w:trPr>
        <w:tc>
          <w:tcPr>
            <w:tcW w:w="49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gridSpan w:val="2"/>
            <w:shd w:val="clear" w:color="auto" w:fill="CCEEFF"/>
          </w:tcPr>
          <w:p>
            <w:pPr>
              <w:jc w:val="center"/>
              <w:ind w:left="243"/>
              <w:spacing w:after="0"/>
              <w:rPr>
                <w:sz w:val="20"/>
                <w:szCs w:val="20"/>
                <w:color w:val="auto"/>
              </w:rPr>
            </w:pPr>
            <w:r>
              <w:rPr>
                <w:rFonts w:ascii="Arial" w:cs="Arial" w:eastAsia="Arial" w:hAnsi="Arial"/>
                <w:sz w:val="15"/>
                <w:szCs w:val="15"/>
                <w:b w:val="1"/>
                <w:bCs w:val="1"/>
                <w:color w:val="auto"/>
              </w:rPr>
              <w:t>March 31,</w:t>
            </w:r>
          </w:p>
        </w:tc>
        <w:tc>
          <w:tcPr>
            <w:tcW w:w="9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r>
      <w:tr>
        <w:trPr>
          <w:trHeight w:val="19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6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198,384</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177,350</w:t>
            </w: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21,034</w:t>
            </w:r>
          </w:p>
        </w:tc>
      </w:tr>
      <w:tr>
        <w:trPr>
          <w:trHeight w:val="205"/>
        </w:trPr>
        <w:tc>
          <w:tcPr>
            <w:tcW w:w="494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6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9.9 %</w:t>
            </w:r>
          </w:p>
        </w:tc>
        <w:tc>
          <w:tcPr>
            <w:tcW w:w="10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8.5 %</w:t>
            </w:r>
          </w:p>
        </w:tc>
        <w:tc>
          <w:tcPr>
            <w:tcW w:w="8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11.9 %</w:t>
            </w:r>
          </w:p>
        </w:tc>
      </w:tr>
    </w:tbl>
    <w:p>
      <w:pPr>
        <w:spacing w:after="0" w:line="260"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Selling, general and administrative expenses for the three months ended March 31, 2025 increased by $21.0 million, or 11.9%, to $198.4 million, compared to $177.4 million for the three months ended March 31, 2024. Selling, general and administrative expenses comprise primarily of compensation, related fringe benefits and routine share based compensation expense for non-project-related employees, recruitment expenditure, professional service costs, advertising costs and costs related to facilities and information systems. As a percentage of revenue, selling, general and administrative expenses increased to 9.9% during the three months ended March 31, 2025, compared to 8.5% of revenue for the three months ended March 31, 2024. The increase in selling, general and administrative expenses primarily relates to adverse foreign exchange movements ($28.9 million) and increases in general overhead costs, offset by decreases in personnel costs, marketing costs, facilities' costs and professional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73660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i w:val="1"/>
          <w:iCs w:val="1"/>
          <w:color w:val="auto"/>
        </w:rPr>
        <w:t>Depreciation and amortization</w:t>
      </w: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4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ind w:left="560"/>
              <w:spacing w:after="0"/>
              <w:rPr>
                <w:sz w:val="20"/>
                <w:szCs w:val="20"/>
                <w:color w:val="auto"/>
              </w:rPr>
            </w:pPr>
            <w:r>
              <w:rPr>
                <w:rFonts w:ascii="Arial" w:cs="Arial" w:eastAsia="Arial" w:hAnsi="Arial"/>
                <w:sz w:val="15"/>
                <w:szCs w:val="15"/>
                <w:b w:val="1"/>
                <w:bCs w:val="1"/>
                <w:color w:val="auto"/>
              </w:rPr>
              <w:t>Three Months Ended</w:t>
            </w:r>
          </w:p>
        </w:tc>
        <w:tc>
          <w:tcPr>
            <w:tcW w:w="9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06"/>
        </w:trPr>
        <w:tc>
          <w:tcPr>
            <w:tcW w:w="47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5"/>
                <w:szCs w:val="15"/>
                <w:b w:val="1"/>
                <w:bCs w:val="1"/>
                <w:color w:val="auto"/>
              </w:rPr>
              <w:t>March 31,</w:t>
            </w:r>
          </w:p>
        </w:tc>
        <w:tc>
          <w:tcPr>
            <w:tcW w:w="9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r>
      <w:tr>
        <w:trPr>
          <w:trHeight w:val="19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6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rPr>
              <w:t>2025</w:t>
            </w:r>
          </w:p>
        </w:tc>
        <w:tc>
          <w:tcPr>
            <w:tcW w:w="10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4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w:t>
            </w: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37,012</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32,683</w:t>
            </w:r>
          </w:p>
        </w:tc>
        <w:tc>
          <w:tcPr>
            <w:tcW w:w="86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4,329</w:t>
            </w:r>
          </w:p>
        </w:tc>
      </w:tr>
      <w:tr>
        <w:trPr>
          <w:trHeight w:val="205"/>
        </w:trPr>
        <w:tc>
          <w:tcPr>
            <w:tcW w:w="478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6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1.8 %</w:t>
            </w:r>
          </w:p>
        </w:tc>
        <w:tc>
          <w:tcPr>
            <w:tcW w:w="10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1.6 %</w:t>
            </w:r>
          </w:p>
        </w:tc>
        <w:tc>
          <w:tcPr>
            <w:tcW w:w="8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13.2 %</w:t>
            </w:r>
          </w:p>
        </w:tc>
      </w:tr>
      <w:tr>
        <w:trPr>
          <w:trHeight w:val="207"/>
        </w:trPr>
        <w:tc>
          <w:tcPr>
            <w:tcW w:w="4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58,946</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116,498</w:t>
            </w:r>
          </w:p>
        </w:tc>
        <w:tc>
          <w:tcPr>
            <w:tcW w:w="86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(57,552)</w:t>
            </w:r>
          </w:p>
        </w:tc>
      </w:tr>
      <w:tr>
        <w:trPr>
          <w:trHeight w:val="205"/>
        </w:trPr>
        <w:tc>
          <w:tcPr>
            <w:tcW w:w="478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6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2.9 %</w:t>
            </w:r>
          </w:p>
        </w:tc>
        <w:tc>
          <w:tcPr>
            <w:tcW w:w="10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5.5 %</w:t>
            </w:r>
          </w:p>
        </w:tc>
        <w:tc>
          <w:tcPr>
            <w:tcW w:w="8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(49.4)%</w:t>
            </w:r>
          </w:p>
        </w:tc>
      </w:tr>
    </w:tbl>
    <w:p>
      <w:pPr>
        <w:spacing w:after="0" w:line="31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depreciation expense for the three months ended March 31, 2025 increased by $4.3 million, or 13.2%, to $37.0 million compared to $32.7 million for the three months ended March 31, 2024. The depreciation charge reflects investments in facilities, information systems and equipment. As a percentage of revenue, the depreciation expense increased to 1.8% of revenues, for the three months ended March 31, 2025 compared to 1.6% for the three months ended March 31, 2024. The depreciation charge has increased mainly due to additional investment in technology assets.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Amortization expense for the three months ended March 31, 2025 decreased by $57.6 million, or 49.4%, to $58.9 million compared to $116.5 million for the three months ended March 31, 2024. The amortization expense represents the amortization of intangible assets acquired in business combinations. As a percentage of revenue, the amortization expense decreased to 2.9% for the three months ended March 31, 2025, compared to 5.5% for the three months ended March 31, 2024. The decrease in amortization is due to the order backlog and trade name intangible assets recognized in connection with the PRA merger amounting to $500.0 million and $202.0 million respectively as of the date of acquisition, becoming fully amortized on July 1,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Restructuring, transaction and integration related expenses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560"/>
              <w:spacing w:after="0"/>
              <w:rPr>
                <w:sz w:val="20"/>
                <w:szCs w:val="20"/>
                <w:color w:val="auto"/>
              </w:rPr>
            </w:pPr>
            <w:r>
              <w:rPr>
                <w:rFonts w:ascii="Arial" w:cs="Arial" w:eastAsia="Arial" w:hAnsi="Arial"/>
                <w:sz w:val="15"/>
                <w:szCs w:val="15"/>
                <w:b w:val="1"/>
                <w:bCs w:val="1"/>
                <w:color w:val="auto"/>
              </w:rPr>
              <w:t>Three Months Ended</w:t>
            </w:r>
          </w:p>
        </w:tc>
        <w:tc>
          <w:tcPr>
            <w:tcW w:w="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06"/>
        </w:trPr>
        <w:tc>
          <w:tcPr>
            <w:tcW w:w="5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4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5"/>
                <w:szCs w:val="15"/>
                <w:b w:val="1"/>
                <w:bCs w:val="1"/>
                <w:color w:val="auto"/>
              </w:rPr>
              <w:t>March 31,</w:t>
            </w:r>
          </w:p>
        </w:tc>
        <w:tc>
          <w:tcPr>
            <w:tcW w:w="9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r>
        <w:trPr>
          <w:trHeight w:val="19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6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rPr>
              <w:t>2025</w:t>
            </w:r>
          </w:p>
        </w:tc>
        <w:tc>
          <w:tcPr>
            <w:tcW w:w="10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7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5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Transaction and integration related</w:t>
            </w:r>
          </w:p>
        </w:tc>
        <w:tc>
          <w:tcPr>
            <w:tcW w:w="66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5,404</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6,991</w:t>
            </w:r>
          </w:p>
        </w:tc>
        <w:tc>
          <w:tcPr>
            <w:tcW w:w="70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(1,587)</w:t>
            </w: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6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0.3 %</w:t>
            </w:r>
          </w:p>
        </w:tc>
        <w:tc>
          <w:tcPr>
            <w:tcW w:w="10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0.3 %</w:t>
            </w:r>
          </w:p>
        </w:tc>
        <w:tc>
          <w:tcPr>
            <w:tcW w:w="7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(22.7)%</w:t>
            </w:r>
          </w:p>
        </w:tc>
      </w:tr>
      <w:tr>
        <w:trPr>
          <w:trHeight w:val="207"/>
        </w:trPr>
        <w:tc>
          <w:tcPr>
            <w:tcW w:w="5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Restructuring</w:t>
            </w:r>
          </w:p>
        </w:tc>
        <w:tc>
          <w:tcPr>
            <w:tcW w:w="66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39,346</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39,346</w:t>
            </w:r>
          </w:p>
        </w:tc>
      </w:tr>
      <w:tr>
        <w:trPr>
          <w:trHeight w:val="205"/>
        </w:trPr>
        <w:tc>
          <w:tcPr>
            <w:tcW w:w="532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6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2.0 %</w:t>
            </w:r>
          </w:p>
        </w:tc>
        <w:tc>
          <w:tcPr>
            <w:tcW w:w="10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 %</w:t>
            </w:r>
          </w:p>
        </w:tc>
        <w:tc>
          <w:tcPr>
            <w:tcW w:w="7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 %</w:t>
            </w:r>
          </w:p>
        </w:tc>
      </w:tr>
    </w:tbl>
    <w:p>
      <w:pPr>
        <w:spacing w:after="0" w:line="31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three months ended March 31, 2025, the Company incurred $5.4 million for transaction and integration-related expenses. The charge includes costs associated with ongoing integration activities related to our recent acquisitions. Such costs include professional fees, legal costs and related integration costs.</w:t>
      </w:r>
    </w:p>
    <w:p>
      <w:pPr>
        <w:spacing w:after="0" w:line="17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During the three months ended March 31, 2025 the Company undertook a restructuring program aimed at realigning its workforce. This program resulted in a restructuring charge of $39.3 million.</w:t>
      </w: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from operations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3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jc w:val="center"/>
              <w:ind w:left="283"/>
              <w:spacing w:after="0"/>
              <w:rPr>
                <w:sz w:val="20"/>
                <w:szCs w:val="20"/>
                <w:color w:val="auto"/>
              </w:rPr>
            </w:pPr>
            <w:r>
              <w:rPr>
                <w:rFonts w:ascii="Arial" w:cs="Arial" w:eastAsia="Arial" w:hAnsi="Arial"/>
                <w:sz w:val="15"/>
                <w:szCs w:val="15"/>
                <w:b w:val="1"/>
                <w:bCs w:val="1"/>
                <w:color w:val="auto"/>
              </w:rPr>
              <w:t>Three Months Ended</w:t>
            </w:r>
          </w:p>
        </w:tc>
        <w:tc>
          <w:tcPr>
            <w:tcW w:w="9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6"/>
        </w:trPr>
        <w:tc>
          <w:tcPr>
            <w:tcW w:w="53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gridSpan w:val="2"/>
            <w:shd w:val="clear" w:color="auto" w:fill="CCEEFF"/>
          </w:tcPr>
          <w:p>
            <w:pPr>
              <w:jc w:val="center"/>
              <w:ind w:left="283"/>
              <w:spacing w:after="0"/>
              <w:rPr>
                <w:sz w:val="20"/>
                <w:szCs w:val="20"/>
                <w:color w:val="auto"/>
              </w:rPr>
            </w:pPr>
            <w:r>
              <w:rPr>
                <w:rFonts w:ascii="Arial" w:cs="Arial" w:eastAsia="Arial" w:hAnsi="Arial"/>
                <w:sz w:val="15"/>
                <w:szCs w:val="15"/>
                <w:b w:val="1"/>
                <w:bCs w:val="1"/>
                <w:color w:val="auto"/>
              </w:rPr>
              <w:t>March 31,</w:t>
            </w:r>
          </w:p>
        </w:tc>
        <w:tc>
          <w:tcPr>
            <w:tcW w:w="9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r>
      <w:tr>
        <w:trPr>
          <w:trHeight w:val="19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7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Change</w:t>
            </w:r>
          </w:p>
        </w:tc>
      </w:tr>
      <w:tr>
        <w:trPr>
          <w:trHeight w:val="199"/>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219,561</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285,497</w:t>
            </w: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(65,936)</w:t>
            </w:r>
          </w:p>
        </w:tc>
      </w:tr>
      <w:tr>
        <w:trPr>
          <w:trHeight w:val="205"/>
        </w:trPr>
        <w:tc>
          <w:tcPr>
            <w:tcW w:w="5360" w:type="dxa"/>
            <w:vAlign w:val="bottom"/>
          </w:tcPr>
          <w:p>
            <w:pPr>
              <w:ind w:left="20"/>
              <w:spacing w:after="0"/>
              <w:rPr>
                <w:sz w:val="20"/>
                <w:szCs w:val="20"/>
                <w:color w:val="auto"/>
              </w:rPr>
            </w:pPr>
            <w:r>
              <w:rPr>
                <w:rFonts w:ascii="Arial" w:cs="Arial" w:eastAsia="Arial" w:hAnsi="Arial"/>
                <w:sz w:val="15"/>
                <w:szCs w:val="15"/>
                <w:color w:val="auto"/>
              </w:rPr>
              <w:t>% of revenue</w:t>
            </w:r>
          </w:p>
        </w:tc>
        <w:tc>
          <w:tcPr>
            <w:tcW w:w="5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11.0 %</w:t>
            </w:r>
          </w:p>
        </w:tc>
        <w:tc>
          <w:tcPr>
            <w:tcW w:w="1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13.7 %</w:t>
            </w:r>
          </w:p>
        </w:tc>
        <w:tc>
          <w:tcPr>
            <w:tcW w:w="7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(23.1)%</w:t>
            </w:r>
          </w:p>
        </w:tc>
      </w:tr>
    </w:tbl>
    <w:p>
      <w:pPr>
        <w:spacing w:after="0" w:line="144"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Income from operations decreased by $65.9 million or 23.1% to $219.6 million compared to $285.5 million for the three months ended March 31, 2024. As a percentage of revenue, income from operations decreased to 11.0% compared to 13.7% of revenue for the three months ended March 31, 2024.</w:t>
      </w:r>
    </w:p>
    <w:p>
      <w:pPr>
        <w:spacing w:after="0" w:line="170"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Excluding amortization of intangible assets, income from operations in Ireland decreased to $157.3 million compared to $251.8 million for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9" w:name="page30"/>
    <w:bookmarkEnd w:id="29"/>
    <w:p>
      <w:pPr>
        <w:jc w:val="both"/>
        <w:ind w:firstLine="619"/>
        <w:spacing w:after="0" w:line="282" w:lineRule="auto"/>
        <w:rPr>
          <w:sz w:val="20"/>
          <w:szCs w:val="20"/>
          <w:color w:val="auto"/>
        </w:rPr>
      </w:pPr>
      <w:r>
        <w:rPr>
          <w:rFonts w:ascii="Arial" w:cs="Arial" w:eastAsia="Arial" w:hAnsi="Arial"/>
          <w:sz w:val="15"/>
          <w:szCs w:val="15"/>
          <w:color w:val="auto"/>
        </w:rPr>
        <w:t>In the Rest of Europe region, excluding amortization of intangible assets, income from operations decreased to $36.5 million compared to $53.8 million for the three months ended March 31, 2024. As a percentage of revenues, excluding amortization of intangible assets, income from operations in the Rest of Europe region decreased to 9.8% compared to 13.8% for the period ended March 31, 2024.</w:t>
      </w:r>
    </w:p>
    <w:p>
      <w:pPr>
        <w:spacing w:after="0" w:line="17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the U.S. region, income from operations, excluding amortization of intangible assets, decreased to $67.5 million compared to $78.0 million for the period ended March 31, 2024. As a percentage of revenues, excluding amortization of intangible assets, income from operations in the U.S. region increased to 10.0% compared to 9.6% for the period ended March 31, 2024.</w:t>
      </w:r>
    </w:p>
    <w:p>
      <w:pPr>
        <w:spacing w:after="0" w:line="17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other regions, income from operations, excluding amortization of intangible assets, decreased to $17.2 million compared to $18.4 million for the period ended March 31, 2024. As percentage of revenue, excluding amortization of intangible assets, income from operations in the other regions decreased to 7.4% compared to 7.7% for the period ended March 31, 2024.</w:t>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income and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Three Months Ended</w:t>
            </w:r>
          </w:p>
        </w:tc>
        <w:tc>
          <w:tcPr>
            <w:tcW w:w="7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Change</w:t>
            </w: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2"/>
            <w:shd w:val="clear" w:color="auto" w:fill="CCEEFF"/>
          </w:tcPr>
          <w:p>
            <w:pPr>
              <w:jc w:val="right"/>
              <w:ind w:right="483"/>
              <w:spacing w:after="0"/>
              <w:rPr>
                <w:sz w:val="20"/>
                <w:szCs w:val="20"/>
                <w:color w:val="auto"/>
              </w:rPr>
            </w:pPr>
            <w:r>
              <w:rPr>
                <w:rFonts w:ascii="Arial" w:cs="Arial" w:eastAsia="Arial" w:hAnsi="Arial"/>
                <w:sz w:val="15"/>
                <w:szCs w:val="15"/>
                <w:b w:val="1"/>
                <w:bCs w:val="1"/>
                <w:color w:val="auto"/>
              </w:rPr>
              <w:t>March 31,</w:t>
            </w:r>
          </w:p>
        </w:tc>
        <w:tc>
          <w:tcPr>
            <w:tcW w:w="7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6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1,802</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w:t>
            </w: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1840" w:type="dxa"/>
            <w:vAlign w:val="bottom"/>
            <w:shd w:val="clear" w:color="auto" w:fill="CCEEFF"/>
          </w:tcPr>
          <w:p>
            <w:pPr>
              <w:jc w:val="right"/>
              <w:ind w:right="723"/>
              <w:spacing w:after="0"/>
              <w:rPr>
                <w:sz w:val="20"/>
                <w:szCs w:val="20"/>
                <w:color w:val="auto"/>
              </w:rPr>
            </w:pPr>
            <w:r>
              <w:rPr>
                <w:rFonts w:ascii="Arial" w:cs="Arial" w:eastAsia="Arial" w:hAnsi="Arial"/>
                <w:sz w:val="15"/>
                <w:szCs w:val="15"/>
                <w:color w:val="auto"/>
              </w:rPr>
              <w:t>(128)</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5"/>
        </w:trPr>
        <w:tc>
          <w:tcPr>
            <w:tcW w:w="446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(47,609)</w:t>
            </w:r>
          </w:p>
        </w:tc>
        <w:tc>
          <w:tcPr>
            <w:tcW w:w="920" w:type="dxa"/>
            <w:vAlign w:val="bottom"/>
          </w:tcPr>
          <w:p>
            <w:pPr>
              <w:jc w:val="right"/>
              <w:ind w:right="74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(71,665)</w:t>
            </w:r>
          </w:p>
        </w:tc>
        <w:tc>
          <w:tcPr>
            <w:tcW w:w="62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840" w:type="dxa"/>
            <w:vAlign w:val="bottom"/>
          </w:tcPr>
          <w:p>
            <w:pPr>
              <w:jc w:val="right"/>
              <w:ind w:right="763"/>
              <w:spacing w:after="0"/>
              <w:rPr>
                <w:sz w:val="20"/>
                <w:szCs w:val="20"/>
                <w:color w:val="auto"/>
              </w:rPr>
            </w:pPr>
            <w:r>
              <w:rPr>
                <w:rFonts w:ascii="Arial" w:cs="Arial" w:eastAsia="Arial" w:hAnsi="Arial"/>
                <w:sz w:val="15"/>
                <w:szCs w:val="15"/>
                <w:color w:val="auto"/>
              </w:rPr>
              <w:t>24,056</w:t>
            </w:r>
          </w:p>
        </w:tc>
        <w:tc>
          <w:tcPr>
            <w:tcW w:w="1000" w:type="dxa"/>
            <w:vAlign w:val="bottom"/>
          </w:tcPr>
          <w:p>
            <w:pPr>
              <w:jc w:val="right"/>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Interest expense for the three months ended March 31, 2025 decreased to $47.6 million, compared to $71.7 million for the three months ended March 31, 2024. The decrease in the period reflects significant repayments of the Company's loan facilities during 2024, the repricing of the senior secured term loan facility and senior secured revolving credit facility in March 2024, and the impact of reduced interest rates on the New Notes issued in May 2024. Interest income for the three months ended March 31, 2025 decreased to $1.8 million compared to $1.9 million for the three months ended March 31, 2024.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center"/>
              <w:ind w:left="203"/>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23"/>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gridSpan w:val="2"/>
            <w:shd w:val="clear" w:color="auto" w:fill="CCEEFF"/>
          </w:tcPr>
          <w:p>
            <w:pPr>
              <w:jc w:val="center"/>
              <w:ind w:left="183"/>
              <w:spacing w:after="0"/>
              <w:rPr>
                <w:sz w:val="20"/>
                <w:szCs w:val="20"/>
                <w:color w:val="auto"/>
              </w:rPr>
            </w:pPr>
            <w:r>
              <w:rPr>
                <w:rFonts w:ascii="Arial" w:cs="Arial" w:eastAsia="Arial" w:hAnsi="Arial"/>
                <w:sz w:val="15"/>
                <w:szCs w:val="15"/>
                <w:b w:val="1"/>
                <w:bCs w:val="1"/>
                <w:color w:val="auto"/>
              </w:rPr>
              <w:t>March 31,</w:t>
            </w: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w:t>
            </w: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19,603</w:t>
            </w: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28,324</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(8,721)</w:t>
            </w:r>
          </w:p>
        </w:tc>
        <w:tc>
          <w:tcPr>
            <w:tcW w:w="0" w:type="dxa"/>
            <w:vAlign w:val="bottom"/>
          </w:tcPr>
          <w:p>
            <w:pPr>
              <w:spacing w:after="0"/>
              <w:rPr>
                <w:sz w:val="1"/>
                <w:szCs w:val="1"/>
                <w:color w:val="auto"/>
              </w:rPr>
            </w:pPr>
          </w:p>
        </w:tc>
      </w:tr>
      <w:tr>
        <w:trPr>
          <w:trHeight w:val="205"/>
        </w:trPr>
        <w:tc>
          <w:tcPr>
            <w:tcW w:w="6560" w:type="dxa"/>
            <w:vAlign w:val="bottom"/>
          </w:tcPr>
          <w:p>
            <w:pPr>
              <w:ind w:left="20"/>
              <w:spacing w:after="0"/>
              <w:rPr>
                <w:sz w:val="20"/>
                <w:szCs w:val="20"/>
                <w:color w:val="auto"/>
              </w:rPr>
            </w:pPr>
            <w:r>
              <w:rPr>
                <w:rFonts w:ascii="Arial" w:cs="Arial" w:eastAsia="Arial" w:hAnsi="Arial"/>
                <w:sz w:val="15"/>
                <w:szCs w:val="15"/>
                <w:color w:val="auto"/>
              </w:rPr>
              <w:t>Effective income tax rate</w:t>
            </w: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11.3 %</w:t>
            </w:r>
          </w:p>
        </w:tc>
        <w:tc>
          <w:tcPr>
            <w:tcW w:w="8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13.1 %</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Income tax expense decreased to a $19.6 million charge compared to a $28.3 million charge for the three months ended March 31, 2024. The Company’s effective tax rate for the three months ended March 31, 2025 was 11.3% compared with 13.1% for the three months ended March 31, 2024 primarily due to changes in various tax laws and the level of deferred tax benefit associated with the amortization of intangible assets.</w:t>
      </w:r>
    </w:p>
    <w:p>
      <w:pPr>
        <w:spacing w:after="0" w:line="19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With the exception of the foregoing, the Company’s effective tax rate remains principally a function of the distribution of pre-tax profits amongst the territories in which it operates.</w:t>
      </w: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 and transactions pertaining to its ordinary shares.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0" w:name="page31"/>
    <w:bookmarkEnd w:id="30"/>
    <w:p>
      <w:pPr>
        <w:jc w:val="both"/>
        <w:ind w:firstLine="619"/>
        <w:spacing w:after="0" w:line="271" w:lineRule="auto"/>
        <w:rPr>
          <w:sz w:val="20"/>
          <w:szCs w:val="20"/>
          <w:color w:val="auto"/>
        </w:rPr>
      </w:pPr>
      <w:r>
        <w:rPr>
          <w:rFonts w:ascii="Arial" w:cs="Arial" w:eastAsia="Arial" w:hAnsi="Arial"/>
          <w:sz w:val="15"/>
          <w:szCs w:val="15"/>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down payment at the time the contract is entered into, with the balance paid in installments over the contract duration, in some cases on the achievement of certain milestones. Therefore, cash receipts do not correspond to costs incurred and revenue recognized on contracts. In the Company's opinion, working capital is sufficient to meet the Company's present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and cash equivalents and net borrowings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Balance</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Net (drawn</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Net cash</w:t>
            </w:r>
          </w:p>
        </w:tc>
        <w:tc>
          <w:tcPr>
            <w:tcW w:w="5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Other non-</w:t>
            </w: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Effect of</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Balance March</w:t>
            </w: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December 31,</w:t>
            </w:r>
          </w:p>
        </w:tc>
        <w:tc>
          <w:tcPr>
            <w:tcW w:w="24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inflow/</w:t>
            </w:r>
          </w:p>
        </w:tc>
        <w:tc>
          <w:tcPr>
            <w:tcW w:w="5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exchange</w:t>
            </w:r>
          </w:p>
        </w:tc>
        <w:tc>
          <w:tcPr>
            <w:tcW w:w="16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down)/repaid</w:t>
            </w:r>
          </w:p>
        </w:tc>
        <w:tc>
          <w:tcPr>
            <w:tcW w:w="40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(outflow) cash adjustments</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rates</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31, 2025</w:t>
            </w:r>
          </w:p>
        </w:tc>
        <w:tc>
          <w:tcPr>
            <w:tcW w:w="0" w:type="dxa"/>
            <w:vAlign w:val="bottom"/>
          </w:tcPr>
          <w:p>
            <w:pPr>
              <w:spacing w:after="0"/>
              <w:rPr>
                <w:sz w:val="1"/>
                <w:szCs w:val="1"/>
                <w:color w:val="auto"/>
              </w:rPr>
            </w:pPr>
          </w:p>
        </w:tc>
      </w:tr>
      <w:tr>
        <w:trPr>
          <w:trHeight w:val="199"/>
        </w:trPr>
        <w:tc>
          <w:tcPr>
            <w:tcW w:w="3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(in thousands)</w:t>
            </w:r>
          </w:p>
        </w:tc>
        <w:tc>
          <w:tcPr>
            <w:tcW w:w="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538,785</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520" w:type="dxa"/>
            <w:vAlign w:val="bottom"/>
            <w:gridSpan w:val="2"/>
            <w:shd w:val="clear" w:color="auto" w:fill="CCEEFF"/>
          </w:tcPr>
          <w:p>
            <w:pPr>
              <w:jc w:val="right"/>
              <w:ind w:right="223"/>
              <w:spacing w:after="0"/>
              <w:rPr>
                <w:sz w:val="20"/>
                <w:szCs w:val="20"/>
                <w:color w:val="auto"/>
              </w:rPr>
            </w:pPr>
            <w:r>
              <w:rPr>
                <w:rFonts w:ascii="Arial" w:cs="Arial" w:eastAsia="Arial" w:hAnsi="Arial"/>
                <w:sz w:val="15"/>
                <w:szCs w:val="15"/>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(21,874)</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180" w:type="dxa"/>
            <w:vAlign w:val="bottom"/>
            <w:gridSpan w:val="2"/>
            <w:shd w:val="clear" w:color="auto" w:fill="CCEEFF"/>
          </w:tcPr>
          <w:p>
            <w:pPr>
              <w:jc w:val="right"/>
              <w:ind w:right="183"/>
              <w:spacing w:after="0"/>
              <w:rPr>
                <w:sz w:val="20"/>
                <w:szCs w:val="20"/>
                <w:color w:val="auto"/>
              </w:rPr>
            </w:pPr>
            <w:r>
              <w:rPr>
                <w:rFonts w:ascii="Arial" w:cs="Arial" w:eastAsia="Arial" w:hAnsi="Arial"/>
                <w:sz w:val="15"/>
                <w:szCs w:val="15"/>
                <w:color w:val="auto"/>
              </w:rPr>
              <w:t>— $</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9,787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526,698</w:t>
            </w: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Arial" w:cs="Arial" w:eastAsia="Arial" w:hAnsi="Arial"/>
                <w:sz w:val="15"/>
                <w:szCs w:val="15"/>
                <w:color w:val="auto"/>
              </w:rPr>
              <w:t>Senior Secured Credit Facilities, New Notes</w:t>
            </w:r>
          </w:p>
        </w:tc>
        <w:tc>
          <w:tcPr>
            <w:tcW w:w="2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(3,426,160)</w:t>
            </w: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7,440</w:t>
            </w:r>
          </w:p>
        </w:tc>
        <w:tc>
          <w:tcPr>
            <w:tcW w:w="4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(1,480)</w:t>
            </w:r>
          </w:p>
        </w:tc>
        <w:tc>
          <w:tcPr>
            <w:tcW w:w="360" w:type="dxa"/>
            <w:vAlign w:val="bottom"/>
          </w:tcPr>
          <w:p>
            <w:pPr>
              <w:spacing w:after="0"/>
              <w:rPr>
                <w:sz w:val="13"/>
                <w:szCs w:val="13"/>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(3,420,200)</w:t>
            </w:r>
          </w:p>
        </w:tc>
        <w:tc>
          <w:tcPr>
            <w:tcW w:w="0" w:type="dxa"/>
            <w:vAlign w:val="bottom"/>
          </w:tcPr>
          <w:p>
            <w:pPr>
              <w:spacing w:after="0"/>
              <w:rPr>
                <w:sz w:val="1"/>
                <w:szCs w:val="1"/>
                <w:color w:val="auto"/>
              </w:rPr>
            </w:pPr>
          </w:p>
        </w:tc>
      </w:tr>
      <w:tr>
        <w:trPr>
          <w:trHeight w:val="20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&amp; 2026 Notes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Net cash and cash equivalents and</w:t>
            </w:r>
          </w:p>
        </w:tc>
        <w:tc>
          <w:tcPr>
            <w:tcW w:w="2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(2,887,375)</w:t>
            </w:r>
          </w:p>
        </w:tc>
        <w:tc>
          <w:tcPr>
            <w:tcW w:w="2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7,440</w:t>
            </w:r>
          </w:p>
        </w:tc>
        <w:tc>
          <w:tcPr>
            <w:tcW w:w="400" w:type="dxa"/>
            <w:vAlign w:val="bottom"/>
            <w:vMerge w:val="restart"/>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(21,874)</w:t>
            </w:r>
          </w:p>
        </w:tc>
        <w:tc>
          <w:tcPr>
            <w:tcW w:w="540" w:type="dxa"/>
            <w:vAlign w:val="bottom"/>
            <w:vMerge w:val="restart"/>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(1,480)</w:t>
            </w: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9,787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(2,893,502)</w:t>
            </w:r>
          </w:p>
        </w:tc>
        <w:tc>
          <w:tcPr>
            <w:tcW w:w="0" w:type="dxa"/>
            <w:vAlign w:val="bottom"/>
          </w:tcPr>
          <w:p>
            <w:pPr>
              <w:spacing w:after="0"/>
              <w:rPr>
                <w:sz w:val="1"/>
                <w:szCs w:val="1"/>
                <w:color w:val="auto"/>
              </w:rPr>
            </w:pPr>
          </w:p>
        </w:tc>
      </w:tr>
      <w:tr>
        <w:trPr>
          <w:trHeight w:val="225"/>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borrowings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and cash equivalents and borrowings is a useful measure that assists understanding of the Company’s liquidity and capital resources, which is relevant to the Company’s strategy. The Company’s cash and cash equivalents at March 31, 2025 amounted to $526.7 million compared with $538.8 million at December 31, 2024.</w:t>
      </w:r>
    </w:p>
    <w:p>
      <w:pPr>
        <w:spacing w:after="0" w:line="17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 xml:space="preserve">Refer to note 10. </w:t>
      </w:r>
      <w:r>
        <w:rPr>
          <w:rFonts w:ascii="Arial" w:cs="Arial" w:eastAsia="Arial" w:hAnsi="Arial"/>
          <w:sz w:val="15"/>
          <w:szCs w:val="15"/>
          <w:i w:val="1"/>
          <w:iCs w:val="1"/>
          <w:color w:val="auto"/>
        </w:rPr>
        <w:t>Bank credit lines, loan facilities and notes</w:t>
      </w:r>
      <w:r>
        <w:rPr>
          <w:rFonts w:ascii="Arial" w:cs="Arial" w:eastAsia="Arial" w:hAnsi="Arial"/>
          <w:sz w:val="15"/>
          <w:szCs w:val="15"/>
          <w:color w:val="auto"/>
        </w:rPr>
        <w:t xml:space="preserve"> for details on the Company's outstanding debt. Refer to note 9. </w:t>
      </w:r>
      <w:r>
        <w:rPr>
          <w:rFonts w:ascii="Arial" w:cs="Arial" w:eastAsia="Arial" w:hAnsi="Arial"/>
          <w:sz w:val="15"/>
          <w:szCs w:val="15"/>
          <w:i w:val="1"/>
          <w:iCs w:val="1"/>
          <w:color w:val="auto"/>
        </w:rPr>
        <w:t>Operating Leases</w:t>
      </w:r>
      <w:r>
        <w:rPr>
          <w:rFonts w:ascii="Arial" w:cs="Arial" w:eastAsia="Arial" w:hAnsi="Arial"/>
          <w:sz w:val="15"/>
          <w:szCs w:val="15"/>
          <w:color w:val="auto"/>
        </w:rPr>
        <w:t xml:space="preserve"> for further details on the Company's contractual liabilities for lease arrangements.</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from operating activities</w:t>
      </w:r>
    </w:p>
    <w:p>
      <w:pPr>
        <w:spacing w:after="0" w:line="25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Net cash provided by operating activities decreased by $58.9 million to $268.2 million for the three months ended March 31, 2025 as compared to net cash provided by operating activities of $327.1 million for the three months ended March 31, 2024. The decrease in net cash provided by operating activities of $58.9 million is primarily due to a decrease and change in mix of revenue, changes in working capital, which is discussed further below, in addition to restructuring outflows.</w:t>
      </w:r>
    </w:p>
    <w:p>
      <w:pPr>
        <w:spacing w:after="0" w:line="361"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5"/>
          <w:szCs w:val="15"/>
          <w:color w:val="auto"/>
        </w:rPr>
        <w:t>The change in working capital is primarily attributable to accounts receivable related cashflows of $90.1 million (as accounts receivable balances reduced during the three months ended March 31, 2025, as opposed to an increase during the three months ended March 31, 2024), to unbilled revenue related cashflows of $126.7 million (as unbilled revenue balances reduced during the three months ended March 31, 2025, as opposed to an increase during the three months ended March 31, 2024) offset by a decrease in unearned revenue cashflows of $178.8 million quarter on quarter (as unearned revenue balances reduced during the three months ended March 31, 2025, as opposed to an increase during the three months ended March 31, 2024). These changes result from differences in timing of revenue recognition, cash collection, upfront receipts and billing on clinical trials. The number of days’ revenue outstanding at March 31, 2025 was 49 days (December 31, 2024: 47 days, September 30, 2024: 52 days, June 30, 2024: 51 days, March 31, 2024: 49 days, December 31, 2023: 47 days). A decrease in the number of days’ revenue outstanding during a period will result in cash inflows to the Company while an increase in days revenue outstanding will lead to cash outflows.</w:t>
      </w:r>
    </w:p>
    <w:p>
      <w:pPr>
        <w:spacing w:after="0" w:line="37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5"/>
          <w:szCs w:val="15"/>
          <w:color w:val="auto"/>
        </w:rPr>
        <w:t>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Further, credit terms negotiated between the Company and its customers, and movement in exchange rates also impact cash inflows and days' revenue outstanding.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i w:val="1"/>
          <w:iCs w:val="1"/>
          <w:color w:val="auto"/>
        </w:rPr>
        <w:t>Net cash used in investing activities</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used in investing activities was $37.3 million for the three months ended March 31, 2025 compared to net cash used in investing activities of $39.4 million for the three months ended March 31, 2024. Net cash used in investing activities during the three months ended March 31, 2025 was primarily related to cash outflows of $28.9 million for capital expenditures made mainly relating to investment in facilities and IT infrastructure and $5.8 million in relation to investments in equity.</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used in financing activities</w:t>
      </w:r>
    </w:p>
    <w:p>
      <w:pPr>
        <w:spacing w:after="0" w:line="24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Net cash used in financing activities during the three months ended March 31, 2025 amounted to $252.8 million compared to net cash used in financing activities of $263.7 million for the three months ended March 31, 2024. During the three months ended March 31, 2025, the Company made a net repayment of $7.4 million on external financing (See the C</w:t>
      </w:r>
      <w:r>
        <w:rPr>
          <w:rFonts w:ascii="Arial" w:cs="Arial" w:eastAsia="Arial" w:hAnsi="Arial"/>
          <w:sz w:val="15"/>
          <w:szCs w:val="15"/>
          <w:i w:val="1"/>
          <w:iCs w:val="1"/>
          <w:color w:val="auto"/>
        </w:rPr>
        <w:t>ondensed Consolidated Statements of Cash Flows</w:t>
      </w:r>
      <w:r>
        <w:rPr>
          <w:rFonts w:ascii="Arial" w:cs="Arial" w:eastAsia="Arial" w:hAnsi="Arial"/>
          <w:sz w:val="15"/>
          <w:szCs w:val="15"/>
          <w:color w:val="auto"/>
        </w:rPr>
        <w:t xml:space="preserve"> for further details). Further, the Company repurchased 1,360,537 ordinary shares for a total consideration of $250.0 million. These outflows were offset by $4.8 million received by the Company from the exercise of equity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cash outflow</w:t>
      </w:r>
    </w:p>
    <w:p>
      <w:pPr>
        <w:spacing w:after="0" w:line="24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As a result of these cash flows, cash and cash equivalents decreased by $12.1 million for the three months ended March 31, 2025 compared to an increase of $18.0 million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i w:val="1"/>
          <w:iCs w:val="1"/>
          <w:color w:val="auto"/>
        </w:rPr>
        <w:t>Summarized financial information of issuers and guarantors</w:t>
      </w:r>
    </w:p>
    <w:p>
      <w:pPr>
        <w:spacing w:after="0" w:line="24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connection with the offering of the New Notes by one of our subsidiaries, ICON Investments Six Designated Activity Company (the "Issuer"), disclosures required by Rule 13-01 (a)(1) through (3) of Regulation S-X are provided below.</w:t>
      </w:r>
    </w:p>
    <w:p>
      <w:pPr>
        <w:spacing w:after="0" w:line="15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New Notes are guaranteed on a senior secured basis by ICON and its existing and future wholly owned subsidiaries organized in the United States, Ireland and the Grand Duchy of Luxembourg (“Luxembourg”), in each case that guarantee the obligations under our Senior Secured Credit Facilities and the 2026 Notes (the “Subsidiary Guarantors” and, collectively with ICON, the “Guarantors”).</w:t>
      </w:r>
    </w:p>
    <w:p>
      <w:pPr>
        <w:spacing w:after="0" w:line="178"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The New Notes are the senior secured obligations of the Issuer and the Guarantors and the New Notes rank equally in right of payment to all of the Issuer’s and Guarantors’ existing and future senior debt (including the Senior Secured Credit Facilities and the 2026 Notes)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(the “Collateral”) rank equally in priority with the liens on the collateral securing borrowings and guarantees under the Senior Secured Credit Facilities, the 2026 Notes and any other future pari passu first lien indebtedness. The New Notes and the guarantees are effectively senior to any of the Issuer’s and the guarantors’ existing and future unsecured indebtedness to the extent of the value of the assets securing the New Notes and the guarantees. The New Notes and the guarantees are structurally subordinated to all existing and future indebtedness and other liabilities of ICON’s subsidiaries that will not guarantee the New Notes, which includes all of ICON’s subsidiaries organized outside the United States, Ireland and Luxembourg and any other subsidiaries that do not guarantee the Senior Secured Credit Facilities or the 2026 Notes.</w:t>
      </w:r>
    </w:p>
    <w:p>
      <w:pPr>
        <w:spacing w:after="0" w:line="19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New Notes are, jointly and severally, unconditionally, guaranteed on a senior secured basis by ICON and its existing and future wholly owned subsidiaries organized in a covered jurisdiction that guarantee the obligations under the Senior Secured Credit Facilities and the 2026 Notes. The obligations of each Guarantor under its note guarantee are limited as necessary to prevent the relevant note guarantee from constituting a fraudulent conveyance, fraudulent transfer or unlawful financial assistance under applicable law, or otherwise to reflect limitations under applicable law. By virtue of these limitations, the obligations of a Guarantor under its note guarantee could be significantly less than amounts payable with respect to the notes of any series or a Guarantor may have effectively no obligations under its respective note guarantee. ICON may, at any time, cause a subsidiary to become a Guarantor by executing and delivering a supplemental indenture providing for the Guarantee of payment of the applicable series of notes by such subsidiary on the basis provided in the applicable indenture.</w:t>
      </w:r>
    </w:p>
    <w:p>
      <w:pPr>
        <w:spacing w:after="0" w:line="17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Any Guarantor will be automatically and unconditionally released from all obligations under its note guarantee, and such note guarantee shall thereupon terminate and be discharged and of no further force and effect:</w:t>
      </w:r>
    </w:p>
    <w:p>
      <w:pPr>
        <w:spacing w:after="0" w:line="182" w:lineRule="exact"/>
        <w:rPr>
          <w:sz w:val="20"/>
          <w:szCs w:val="20"/>
          <w:color w:val="auto"/>
        </w:rPr>
      </w:pPr>
    </w:p>
    <w:p>
      <w:pPr>
        <w:jc w:val="both"/>
        <w:ind w:left="620" w:hanging="307"/>
        <w:spacing w:after="0" w:line="245"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concurrently with any sale, exchange, disposition or transfer (by merger or otherwise) described in the preliminary prospectus supplement for the offering of New Notes, of any capital stock, or all or substantially all assets of such Guarantor following which such Guarantor is no longer a subsidiary of ICON or ceases to be organized in a covered jurisdiction;</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as to all Guarantors (other than ICON), at the time of any collateral release event;</w:t>
      </w:r>
    </w:p>
    <w:p>
      <w:pPr>
        <w:spacing w:after="0" w:line="8" w:lineRule="exact"/>
        <w:rPr>
          <w:rFonts w:ascii="Arial" w:cs="Arial" w:eastAsia="Arial" w:hAnsi="Arial"/>
          <w:sz w:val="15"/>
          <w:szCs w:val="15"/>
          <w:color w:val="auto"/>
        </w:rPr>
      </w:pPr>
    </w:p>
    <w:p>
      <w:pPr>
        <w:ind w:left="620" w:hanging="307"/>
        <w:spacing w:after="0" w:line="233" w:lineRule="auto"/>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upon legal defeasance, covenant defeasance or satisfaction and discharge of the indenture governing the New Notes;</w:t>
      </w:r>
    </w:p>
    <w:p>
      <w:pPr>
        <w:ind w:left="620" w:hanging="307"/>
        <w:spacing w:after="0" w:line="242"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color w:val="auto"/>
        </w:rPr>
        <w:t>upon the merger, amalgamation or consolidation of any Guarantor into ICON, the Issuer or another Guarantor or upon the liquidation, dissolution or winding up of such Guarantor;</w:t>
      </w:r>
    </w:p>
    <w:p>
      <w:pPr>
        <w:ind w:left="620" w:hanging="307"/>
        <w:spacing w:after="0" w:line="242"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release of such Guarantor from its guarantee under the Senior Secured Credit Facilities (except in the case of a release from the repayment in full of the Senior Secured Credit Facilities); or</w:t>
      </w: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upon such Guarantor becoming an excluded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color w:val="auto"/>
        </w:rPr>
        <w:t>Summarized Combined Financial Information</w:t>
      </w:r>
    </w:p>
    <w:p>
      <w:pPr>
        <w:spacing w:after="0" w:line="24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Summarized financial information (the "SFI"), as defined under Rule 1-02 (bb) of Regulation S-X, is provided below for the Issuer and Guarantor entities, collectively, the "Obligor Group" as of March 31, 2025 and December 31, 2024, and for the three months ended March 31, 2025 and the year ended December 31, 2024. The SFI is presented on a combined basis with intercompany transactions and balances among the entities included in the Obligor Group eliminated. The Obligor Group SFI excludes investments in non-guarantor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(Unaudited)</w:t>
            </w:r>
          </w:p>
        </w:tc>
        <w:tc>
          <w:tcPr>
            <w:tcW w:w="0" w:type="dxa"/>
            <w:vAlign w:val="bottom"/>
          </w:tcPr>
          <w:p>
            <w:pPr>
              <w:spacing w:after="0"/>
              <w:rPr>
                <w:sz w:val="1"/>
                <w:szCs w:val="1"/>
                <w:color w:val="auto"/>
              </w:rPr>
            </w:pPr>
          </w:p>
        </w:tc>
      </w:tr>
      <w:tr>
        <w:trPr>
          <w:trHeight w:val="155"/>
        </w:trPr>
        <w:tc>
          <w:tcPr>
            <w:tcW w:w="8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Three Months</w:t>
            </w:r>
          </w:p>
        </w:tc>
        <w:tc>
          <w:tcPr>
            <w:tcW w:w="3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206"/>
        </w:trPr>
        <w:tc>
          <w:tcPr>
            <w:tcW w:w="8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Ended</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8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2025</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199"/>
        </w:trPr>
        <w:tc>
          <w:tcPr>
            <w:tcW w:w="8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943"/>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99"/>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1,817,528</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7,474,880</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costs and expenses (a)</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1,629,254</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6,647,712</w:t>
            </w:r>
          </w:p>
        </w:tc>
        <w:tc>
          <w:tcPr>
            <w:tcW w:w="0" w:type="dxa"/>
            <w:vAlign w:val="bottom"/>
          </w:tcPr>
          <w:p>
            <w:pPr>
              <w:spacing w:after="0"/>
              <w:rPr>
                <w:sz w:val="1"/>
                <w:szCs w:val="1"/>
                <w:color w:val="auto"/>
              </w:rPr>
            </w:pPr>
          </w:p>
        </w:tc>
      </w:tr>
      <w:tr>
        <w:trPr>
          <w:trHeight w:val="224"/>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 (a)</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188,274</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827,168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income (a) (b)</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118,184</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699,018</w:t>
            </w:r>
          </w:p>
        </w:tc>
        <w:tc>
          <w:tcPr>
            <w:tcW w:w="0" w:type="dxa"/>
            <w:vAlign w:val="bottom"/>
          </w:tcPr>
          <w:p>
            <w:pPr>
              <w:spacing w:after="0"/>
              <w:rPr>
                <w:sz w:val="1"/>
                <w:szCs w:val="1"/>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20" w:hanging="7"/>
        <w:spacing w:after="0" w:line="260" w:lineRule="auto"/>
        <w:tabs>
          <w:tab w:leader="none" w:pos="558"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amortization of intangible assets of $56.7 million for the three months ended March 31, 2025 and $344.4 million for the year ended December 31, 2024.</w:t>
      </w:r>
    </w:p>
    <w:p>
      <w:pPr>
        <w:spacing w:after="0" w:line="188" w:lineRule="exact"/>
        <w:rPr>
          <w:rFonts w:ascii="Arial" w:cs="Arial" w:eastAsia="Arial" w:hAnsi="Arial"/>
          <w:sz w:val="15"/>
          <w:szCs w:val="15"/>
          <w:color w:val="auto"/>
        </w:rPr>
      </w:pPr>
    </w:p>
    <w:p>
      <w:pPr>
        <w:ind w:left="320" w:hanging="7"/>
        <w:spacing w:after="0" w:line="293" w:lineRule="auto"/>
        <w:tabs>
          <w:tab w:leader="none" w:pos="552"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net intercompany interest expense of $16.5 million for the three months ended March 31, 2025 and $144.4 million for the year ended December 31, 2024.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b w:val="1"/>
                <w:bCs w:val="1"/>
                <w:color w:val="auto"/>
              </w:rPr>
              <w:t>(Unaudited)</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(Unaudited)</w:t>
            </w:r>
          </w:p>
        </w:tc>
      </w:tr>
      <w:tr>
        <w:trPr>
          <w:trHeight w:val="148"/>
        </w:trPr>
        <w:tc>
          <w:tcPr>
            <w:tcW w:w="8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12"/>
                <w:szCs w:val="12"/>
                <w:color w:val="auto"/>
              </w:rPr>
            </w:pPr>
          </w:p>
        </w:tc>
        <w:tc>
          <w:tcPr>
            <w:tcW w:w="132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December 31,</w:t>
            </w:r>
          </w:p>
        </w:tc>
      </w:tr>
      <w:tr>
        <w:trPr>
          <w:trHeight w:val="206"/>
        </w:trPr>
        <w:tc>
          <w:tcPr>
            <w:tcW w:w="8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199"/>
        </w:trPr>
        <w:tc>
          <w:tcPr>
            <w:tcW w:w="8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80" w:type="dxa"/>
            <w:vAlign w:val="bottom"/>
            <w:gridSpan w:val="3"/>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(in thousands)</w:t>
            </w:r>
          </w:p>
        </w:tc>
      </w:tr>
      <w:tr>
        <w:trPr>
          <w:trHeight w:val="205"/>
        </w:trPr>
        <w:tc>
          <w:tcPr>
            <w:tcW w:w="81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3,045,104</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3,207,524</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assets (c)</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60,791,721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62,996,507</w:t>
            </w:r>
          </w:p>
        </w:tc>
      </w:tr>
      <w:tr>
        <w:trPr>
          <w:trHeight w:val="205"/>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Intercompany receivables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1,340,034</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1,309,276</w:t>
            </w:r>
          </w:p>
        </w:tc>
      </w:tr>
      <w:tr>
        <w:trPr>
          <w:trHeight w:val="225"/>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65,176,859</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67,513,307</w:t>
            </w:r>
          </w:p>
        </w:tc>
      </w:tr>
      <w:tr>
        <w:trPr>
          <w:trHeight w:val="20"/>
        </w:trPr>
        <w:tc>
          <w:tcPr>
            <w:tcW w:w="8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6"/>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2,386,399</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2,561,140</w:t>
            </w:r>
          </w:p>
        </w:tc>
      </w:tr>
      <w:tr>
        <w:trPr>
          <w:trHeight w:val="205"/>
        </w:trPr>
        <w:tc>
          <w:tcPr>
            <w:tcW w:w="8120" w:type="dxa"/>
            <w:vAlign w:val="bottom"/>
          </w:tcPr>
          <w:p>
            <w:pPr>
              <w:ind w:left="20"/>
              <w:spacing w:after="0"/>
              <w:rPr>
                <w:sz w:val="20"/>
                <w:szCs w:val="20"/>
                <w:color w:val="auto"/>
              </w:rPr>
            </w:pPr>
            <w:r>
              <w:rPr>
                <w:rFonts w:ascii="Arial" w:cs="Arial" w:eastAsia="Arial" w:hAnsi="Arial"/>
                <w:sz w:val="15"/>
                <w:szCs w:val="15"/>
                <w:color w:val="auto"/>
              </w:rPr>
              <w:t>Non-current liabilities</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4,347,635</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4,380,570</w:t>
            </w:r>
          </w:p>
        </w:tc>
      </w:tr>
      <w:tr>
        <w:trPr>
          <w:trHeight w:val="206"/>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Intercompany payables</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3,037,838</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5,029,580</w:t>
            </w:r>
          </w:p>
        </w:tc>
      </w:tr>
      <w:tr>
        <w:trPr>
          <w:trHeight w:val="200"/>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9,771,872</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11,971,290</w:t>
            </w: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 Non-current assets include each Guarantor's investment in obligor subsidiaries, on a combined aggregated basis.</w:t>
      </w:r>
    </w:p>
    <w:p>
      <w:pPr>
        <w:spacing w:after="0" w:line="24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the context of security for the New Notes, the combined financial information of entities whose securities are pledged as collateral (the "Pledgor Group") was determined to be materially consistent with the consolidated financial information of the ICON group (ICON and all of its subsidiaries) for the periods presented above, and as such, summarized combined financial information has not been presented for the Pledgor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5"/>
          <w:szCs w:val="15"/>
          <w:color w:val="auto"/>
        </w:rPr>
        <w:t>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spacing w:after="0" w:line="212"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its Chief Executive Officer, and its former Chief Financial Officer have been named as defendants in two class action lawsuits involving similar claims, filed in the United States District Court for the Eastern District of New York on February 10, 2025 (Shing v. ICON plc, et al.) and April 2, 2025 (Police and Fire Retirement System of the City of Detroit v. ICON plc), respectively, alleging that defendants made misleading statements regarding the Company’s financial performance and future business prospects in violation of Sections 10(b) and 20(a) of the Securities Exchange Act of 1934. The Company intends to defend these lawsuits vigorously.</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29"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5"/>
          <w:szCs w:val="15"/>
          <w:color w:val="auto"/>
        </w:rPr>
        <w:t>Certain statements contained herein are forward looking statements,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industry prospects, future business, future results of operations or financial condition, our ability to integrate the businesses we have acquired into our existing operations,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Such risks and uncertainties include, but are not limited to, the potential loss or delay of our large contracts or of multiple contracts, impairment of goodwill and intangible assets may adversely impact future results of operations,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recession and other factors. Forward-looking statements speak only as of the date they are made and we do not undertake any obligation to update publicly any forward-looking statement, either as a result of new information, future events or otherwise. Please also refer to the section entitled "Risk Factors" of our Form 20-F filed on February 21, 2025 for a discussion of some of the principal risks that could adversely affect our business,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color w:val="auto"/>
        </w:rPr>
        <w:t>Exhibits of ICON plc and subsidiaries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22160" cy="229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2160" cy="229235"/>
                    </a:xfrm>
                    <a:prstGeom prst="rect">
                      <a:avLst/>
                    </a:prstGeom>
                    <a:noFill/>
                  </pic:spPr>
                </pic:pic>
              </a:graphicData>
            </a:graphic>
          </wp:anchor>
        </w:drawing>
      </w:r>
    </w:p>
    <w:p>
      <w:pPr>
        <w:ind w:left="20"/>
        <w:spacing w:after="0"/>
        <w:tabs>
          <w:tab w:leader="none" w:pos="1900" w:val="left"/>
        </w:tabs>
        <w:rPr>
          <w:sz w:val="20"/>
          <w:szCs w:val="20"/>
          <w:color w:val="auto"/>
        </w:rPr>
      </w:pPr>
      <w:r>
        <w:rPr>
          <w:rFonts w:ascii="Arial" w:cs="Arial" w:eastAsia="Arial" w:hAnsi="Arial"/>
          <w:sz w:val="15"/>
          <w:szCs w:val="15"/>
          <w:b w:val="1"/>
          <w:bCs w:val="1"/>
          <w:color w:val="auto"/>
        </w:rPr>
        <w:t>Number</w:t>
      </w:r>
      <w:r>
        <w:rPr>
          <w:sz w:val="20"/>
          <w:szCs w:val="20"/>
          <w:color w:val="auto"/>
        </w:rPr>
        <w:tab/>
      </w:r>
      <w:r>
        <w:rPr>
          <w:rFonts w:ascii="Arial" w:cs="Arial" w:eastAsia="Arial" w:hAnsi="Arial"/>
          <w:sz w:val="15"/>
          <w:szCs w:val="15"/>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22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0000FF"/>
                <w:w w:val="96"/>
              </w:rPr>
              <w:t>22.</w:t>
            </w:r>
            <w:r>
              <w:rPr>
                <w:rFonts w:ascii="Arial" w:cs="Arial" w:eastAsia="Arial" w:hAnsi="Arial"/>
                <w:sz w:val="15"/>
                <w:szCs w:val="15"/>
                <w:u w:val="single" w:color="auto"/>
                <w:color w:val="0000FF"/>
                <w:w w:val="96"/>
              </w:rPr>
              <w:t>1*</w:t>
            </w:r>
          </w:p>
        </w:tc>
        <w:tc>
          <w:tcPr>
            <w:tcW w:w="1120" w:type="dxa"/>
            <w:vAlign w:val="bottom"/>
            <w:shd w:val="clear" w:color="auto" w:fill="CCEEFF"/>
          </w:tcPr>
          <w:p>
            <w:pPr>
              <w:spacing w:after="0"/>
              <w:rPr>
                <w:sz w:val="14"/>
                <w:szCs w:val="14"/>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List of Subsidiary Guarantors and Issuer of Guaranteed Debt Securities and Affiliates Whose Securities Collateralize Securities of</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97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ICON Investments Six Designated Activity Company.</w:t>
            </w:r>
          </w:p>
        </w:tc>
      </w:tr>
      <w:tr>
        <w:trPr>
          <w:trHeight w:val="205"/>
        </w:trPr>
        <w:tc>
          <w:tcPr>
            <w:tcW w:w="1500" w:type="dxa"/>
            <w:vAlign w:val="bottom"/>
            <w:gridSpan w:val="3"/>
          </w:tcPr>
          <w:p>
            <w:pPr>
              <w:ind w:left="20"/>
              <w:spacing w:after="0"/>
              <w:rPr>
                <w:sz w:val="20"/>
                <w:szCs w:val="20"/>
                <w:color w:val="auto"/>
              </w:rPr>
            </w:pPr>
            <w:r>
              <w:rPr>
                <w:rFonts w:ascii="Arial" w:cs="Arial" w:eastAsia="Arial" w:hAnsi="Arial"/>
                <w:sz w:val="15"/>
                <w:szCs w:val="15"/>
                <w:color w:val="auto"/>
              </w:rPr>
              <w:t>* Filed herewith</w:t>
            </w:r>
          </w:p>
        </w:tc>
        <w:tc>
          <w:tcPr>
            <w:tcW w:w="97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65405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color w:val="auto"/>
        </w:rPr>
        <w:t>SIGNATURES</w:t>
      </w:r>
    </w:p>
    <w:p>
      <w:pPr>
        <w:spacing w:after="0" w:line="242" w:lineRule="exact"/>
        <w:rPr>
          <w:sz w:val="20"/>
          <w:szCs w:val="20"/>
          <w:color w:val="auto"/>
        </w:rPr>
      </w:pPr>
    </w:p>
    <w:p>
      <w:pPr>
        <w:ind w:firstLine="206"/>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ICON plc</w:t>
            </w:r>
          </w:p>
        </w:tc>
        <w:tc>
          <w:tcPr>
            <w:tcW w:w="0" w:type="dxa"/>
            <w:vAlign w:val="bottom"/>
          </w:tcPr>
          <w:p>
            <w:pPr>
              <w:spacing w:after="0"/>
              <w:rPr>
                <w:sz w:val="1"/>
                <w:szCs w:val="1"/>
                <w:color w:val="auto"/>
              </w:rPr>
            </w:pPr>
          </w:p>
        </w:tc>
      </w:tr>
      <w:tr>
        <w:trPr>
          <w:trHeight w:val="651"/>
        </w:trPr>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5"/>
                <w:szCs w:val="15"/>
                <w:color w:val="auto"/>
              </w:rPr>
              <w:t>/s/ Nigel Clerkin</w:t>
            </w: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5"/>
                <w:szCs w:val="15"/>
                <w:color w:val="auto"/>
              </w:rPr>
              <w:t>Nigel Clerkin</w:t>
            </w: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ind w:left="20"/>
              <w:spacing w:after="0"/>
              <w:rPr>
                <w:sz w:val="20"/>
                <w:szCs w:val="20"/>
                <w:color w:val="auto"/>
              </w:rPr>
            </w:pPr>
            <w:r>
              <w:rPr>
                <w:rFonts w:ascii="Arial" w:cs="Arial" w:eastAsia="Arial" w:hAnsi="Arial"/>
                <w:sz w:val="15"/>
                <w:szCs w:val="15"/>
                <w:color w:val="auto"/>
              </w:rPr>
              <w:t>Date:</w:t>
            </w:r>
          </w:p>
        </w:tc>
        <w:tc>
          <w:tcPr>
            <w:tcW w:w="3620" w:type="dxa"/>
            <w:vAlign w:val="bottom"/>
          </w:tcPr>
          <w:p>
            <w:pPr>
              <w:ind w:left="140"/>
              <w:spacing w:after="0"/>
              <w:rPr>
                <w:sz w:val="20"/>
                <w:szCs w:val="20"/>
                <w:color w:val="auto"/>
              </w:rPr>
            </w:pPr>
            <w:r>
              <w:rPr>
                <w:rFonts w:ascii="Arial" w:cs="Arial" w:eastAsia="Arial" w:hAnsi="Arial"/>
                <w:sz w:val="15"/>
                <w:szCs w:val="15"/>
                <w:color w:val="auto"/>
              </w:rPr>
              <w:t>May 2, 2025</w:t>
            </w:r>
          </w:p>
        </w:tc>
        <w:tc>
          <w:tcPr>
            <w:tcW w:w="37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825"/>
        </w:trPr>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60" w:type="dxa"/>
            <w:vAlign w:val="bottom"/>
          </w:tcPr>
          <w:p>
            <w:pPr>
              <w:jc w:val="right"/>
              <w:ind w:right="2123"/>
              <w:spacing w:after="0"/>
              <w:rPr>
                <w:sz w:val="20"/>
                <w:szCs w:val="20"/>
                <w:color w:val="auto"/>
              </w:rPr>
            </w:pPr>
            <w:r>
              <w:rPr>
                <w:rFonts w:ascii="Arial" w:cs="Arial" w:eastAsia="Arial" w:hAnsi="Arial"/>
                <w:sz w:val="15"/>
                <w:szCs w:val="15"/>
                <w:color w:val="auto"/>
              </w:rPr>
              <w:t>36</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2"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SUBSIDIARY GUARANTORS AND ISSUER OF GUARANTEED SECURITIES AND AFFILIATES WHOSE SECURITIES COLLATERALIZE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ICON INVESTMENTS SIX DESIGNATED ACTIVITY COMPANY</w:t>
      </w:r>
    </w:p>
    <w:p>
      <w:pPr>
        <w:spacing w:after="0" w:line="22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The following subsidiaries of ICON plc, (the “Company”) are guarantors of ICON Investments Six Designated Activity Company’s (the “Issuer”) 5.809% Senior Secured Notes due 2027, 5.849% Senior Secured Notes due 2029 and 6.000% Senior Secured Notes due 2034</w:t>
      </w:r>
      <w:r>
        <w:rPr>
          <w:rFonts w:ascii="Times New Roman" w:cs="Times New Roman" w:eastAsia="Times New Roman" w:hAnsi="Times New Roman"/>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tc>
        <w:tc>
          <w:tcPr>
            <w:tcW w:w="0" w:type="dxa"/>
            <w:vAlign w:val="bottom"/>
          </w:tcPr>
          <w:p>
            <w:pPr>
              <w:spacing w:after="0"/>
              <w:rPr>
                <w:sz w:val="1"/>
                <w:szCs w:val="1"/>
                <w:color w:val="auto"/>
              </w:rPr>
            </w:pPr>
          </w:p>
        </w:tc>
      </w:tr>
      <w:tr>
        <w:trPr>
          <w:trHeight w:val="168"/>
        </w:trPr>
        <w:tc>
          <w:tcPr>
            <w:tcW w:w="8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NAME OF SUBSIDIARY</w:t>
            </w:r>
          </w:p>
        </w:tc>
        <w:tc>
          <w:tcPr>
            <w:tcW w:w="29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OF INCORPORATION OR</w:t>
            </w:r>
          </w:p>
        </w:tc>
        <w:tc>
          <w:tcPr>
            <w:tcW w:w="0" w:type="dxa"/>
            <w:vAlign w:val="bottom"/>
          </w:tcPr>
          <w:p>
            <w:pPr>
              <w:spacing w:after="0"/>
              <w:rPr>
                <w:sz w:val="1"/>
                <w:szCs w:val="1"/>
                <w:color w:val="auto"/>
              </w:rPr>
            </w:pPr>
          </w:p>
        </w:tc>
      </w:tr>
      <w:tr>
        <w:trPr>
          <w:trHeight w:val="232"/>
        </w:trPr>
        <w:tc>
          <w:tcPr>
            <w:tcW w:w="8260" w:type="dxa"/>
            <w:vAlign w:val="bottom"/>
            <w:gridSpan w:val="2"/>
            <w:vMerge w:val="continue"/>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0" w:type="dxa"/>
            <w:vAlign w:val="bottom"/>
          </w:tcPr>
          <w:p>
            <w:pPr>
              <w:spacing w:after="0"/>
              <w:rPr>
                <w:sz w:val="1"/>
                <w:szCs w:val="1"/>
                <w:color w:val="auto"/>
              </w:rPr>
            </w:pPr>
          </w:p>
        </w:tc>
      </w:tr>
      <w:tr>
        <w:trPr>
          <w:trHeight w:val="209"/>
        </w:trPr>
        <w:tc>
          <w:tcPr>
            <w:tcW w:w="69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ICON Global Treasury Unlimited Company</w:t>
            </w:r>
          </w:p>
        </w:tc>
        <w:tc>
          <w:tcPr>
            <w:tcW w:w="1320" w:type="dxa"/>
            <w:vAlign w:val="bottom"/>
          </w:tcPr>
          <w:p>
            <w:pPr>
              <w:spacing w:after="0"/>
              <w:rPr>
                <w:sz w:val="18"/>
                <w:szCs w:val="18"/>
                <w:color w:val="auto"/>
              </w:rPr>
            </w:pPr>
          </w:p>
        </w:tc>
        <w:tc>
          <w:tcPr>
            <w:tcW w:w="2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Property Development (Ireland)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Global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Luxembourg S.à r.l.</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Early Phase Services,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Beacon Bioscience,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Laboratory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MolecularMD Corp.</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US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PriceSpective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DOCS Global,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US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North Carolina</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Clinical Resource Network,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Illinois</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Investments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Health Sciences,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Source Healthcare Analytics,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Symphony Health Solutions Corporation</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Virginia</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International,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RPS Global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RPS Parent Holding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Roy RPS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CRN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All issued and outstanding equity securities of the following subsidiaries of the Company, subject to the limitations set forth below, collateralize the Issuer’s 5.809% Senior Secured Notes due 2027, 5.849% Senior Secured Notes due 2029 and 6.000% Senior Secured Notes due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19"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NAME (STATE OR OTHER JURISDICTION OF</w:t>
            </w:r>
          </w:p>
        </w:tc>
        <w:tc>
          <w:tcPr>
            <w:tcW w:w="4780" w:type="dxa"/>
            <w:vAlign w:val="bottom"/>
            <w:gridSpan w:val="2"/>
            <w:vMerge w:val="restart"/>
          </w:tcPr>
          <w:p>
            <w:pPr>
              <w:ind w:left="1920"/>
              <w:spacing w:after="0"/>
              <w:rPr>
                <w:sz w:val="20"/>
                <w:szCs w:val="20"/>
                <w:color w:val="auto"/>
              </w:rPr>
            </w:pPr>
            <w:r>
              <w:rPr>
                <w:rFonts w:ascii="Times New Roman" w:cs="Times New Roman" w:eastAsia="Times New Roman" w:hAnsi="Times New Roman"/>
                <w:sz w:val="17"/>
                <w:szCs w:val="17"/>
                <w:b w:val="1"/>
                <w:bCs w:val="1"/>
                <w:color w:val="auto"/>
              </w:rPr>
              <w:t>OWNER</w:t>
            </w: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32"/>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4780" w:type="dxa"/>
            <w:vAlign w:val="bottom"/>
            <w:gridSpan w:val="2"/>
            <w:vMerge w:val="continue"/>
          </w:tcPr>
          <w:p>
            <w:pPr>
              <w:spacing w:after="0"/>
              <w:rPr>
                <w:sz w:val="20"/>
                <w:szCs w:val="20"/>
                <w:color w:val="auto"/>
              </w:rPr>
            </w:pPr>
          </w:p>
        </w:tc>
        <w:tc>
          <w:tcPr>
            <w:tcW w:w="15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PLEDGED</w:t>
            </w:r>
          </w:p>
        </w:tc>
        <w:tc>
          <w:tcPr>
            <w:tcW w:w="0" w:type="dxa"/>
            <w:vAlign w:val="bottom"/>
          </w:tcPr>
          <w:p>
            <w:pPr>
              <w:spacing w:after="0"/>
              <w:rPr>
                <w:sz w:val="1"/>
                <w:szCs w:val="1"/>
                <w:color w:val="auto"/>
              </w:rPr>
            </w:pPr>
          </w:p>
        </w:tc>
      </w:tr>
      <w:tr>
        <w:trPr>
          <w:trHeight w:val="209"/>
        </w:trPr>
        <w:tc>
          <w:tcPr>
            <w:tcW w:w="4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ICON Investments Six Designated Activity Company (Ireland)</w:t>
            </w:r>
          </w:p>
        </w:tc>
        <w:tc>
          <w:tcPr>
            <w:tcW w:w="480" w:type="dxa"/>
            <w:vAlign w:val="bottom"/>
          </w:tcPr>
          <w:p>
            <w:pPr>
              <w:spacing w:after="0"/>
              <w:rPr>
                <w:sz w:val="18"/>
                <w:szCs w:val="18"/>
                <w:color w:val="auto"/>
              </w:rPr>
            </w:pPr>
          </w:p>
        </w:tc>
        <w:tc>
          <w:tcPr>
            <w:tcW w:w="4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ICON plc</w:t>
            </w:r>
          </w:p>
        </w:tc>
        <w:tc>
          <w:tcPr>
            <w:tcW w:w="2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6"/>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Operational Financing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Global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Global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Clinical Research Property Holdings (Ireland) Limited</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plc</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(Ireland)</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(LR)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Holdings Clinical Research International Limited</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Holdings Unlimited Company</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(Ireland)</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Luxembourg S.à r.l. (Luxembourg)</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Early Phase Services, LLC (f/k/a Healthcare</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Discoveries, LLC) (Texas)</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Beacon Bioscience,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Research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US Holdings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ICON Laboratory Services, Inc. (f/k/a ICON Central</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ICON US Holdings Inc.</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Laboratories, Inc.) (Delaware)</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7"/>
                <w:szCs w:val="17"/>
                <w:color w:val="auto"/>
              </w:rPr>
              <w:t>MolecularMD Corp. (Delaware)</w:t>
            </w:r>
          </w:p>
        </w:tc>
        <w:tc>
          <w:tcPr>
            <w:tcW w:w="47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ICON Laboratory Services, Inc. (f/k/a ICON Central</w:t>
            </w: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Laboratories, Inc.)</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US Holdings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58"/>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PriceSpective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CRN Holdings,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6"/>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ICON Clinical Investments,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Luxembourg S.à r.l</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Clinical Resource Network, LLC (d/b/a Symphony Clinical</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CRN Holdings,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Research) (Illinois)</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DOCS Global, Inc. (New Jersey)</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Accellacare US Inc. (North Carolina)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RPS Bermuda, Ltd. (Bermuda)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Services de Recherche Pharmaceutique Srl (Canada)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PRA Health Sciences Colombia Ltda. (Colombia)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171"/>
        </w:trPr>
        <w:tc>
          <w:tcPr>
            <w:tcW w:w="496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Hungary Research and</w:t>
            </w:r>
          </w:p>
        </w:tc>
        <w:tc>
          <w:tcPr>
            <w:tcW w:w="478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5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3"/>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Development Ltd. (Hungary)</w:t>
            </w: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Pharmaceutical Research Associates Italy S.r.l. (Italy)</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7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 Research Associates Mexico S. de R.L. de C.</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V. (Mexico)</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77"/>
        </w:trPr>
        <w:tc>
          <w:tcPr>
            <w:tcW w:w="46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Pharmaceutical Research Associates Mexico S. de R.L. de C.</w:t>
            </w:r>
          </w:p>
        </w:tc>
        <w:tc>
          <w:tcPr>
            <w:tcW w:w="4380" w:type="dxa"/>
            <w:vAlign w:val="bottom"/>
          </w:tcPr>
          <w:p>
            <w:pPr>
              <w:ind w:left="320"/>
              <w:spacing w:after="0" w:line="176" w:lineRule="exact"/>
              <w:rPr>
                <w:sz w:val="20"/>
                <w:szCs w:val="20"/>
                <w:color w:val="auto"/>
              </w:rPr>
            </w:pPr>
            <w:r>
              <w:rPr>
                <w:rFonts w:ascii="Times New Roman" w:cs="Times New Roman" w:eastAsia="Times New Roman" w:hAnsi="Times New Roman"/>
                <w:sz w:val="17"/>
                <w:szCs w:val="17"/>
                <w:color w:val="auto"/>
              </w:rPr>
              <w:t>PRA International, LLC</w:t>
            </w:r>
          </w:p>
        </w:tc>
        <w:tc>
          <w:tcPr>
            <w:tcW w:w="1600" w:type="dxa"/>
            <w:vAlign w:val="bottom"/>
          </w:tcPr>
          <w:p>
            <w:pPr>
              <w:jc w:val="center"/>
              <w:ind w:left="1114"/>
              <w:spacing w:after="0" w:line="176"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V. (Mexico)</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77"/>
        </w:trPr>
        <w:tc>
          <w:tcPr>
            <w:tcW w:w="46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ReSearch Pharmaceutical Services Netherlands B.V.</w:t>
            </w:r>
          </w:p>
        </w:tc>
        <w:tc>
          <w:tcPr>
            <w:tcW w:w="4380" w:type="dxa"/>
            <w:vAlign w:val="bottom"/>
          </w:tcPr>
          <w:p>
            <w:pPr>
              <w:ind w:left="320"/>
              <w:spacing w:after="0" w:line="176" w:lineRule="exact"/>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line="176"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(Netherlands)</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RPS Perú S.A.C. (Peru)</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171"/>
        </w:trPr>
        <w:tc>
          <w:tcPr>
            <w:tcW w:w="46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Research Pharmaceutical Services Puerto Rico, Inc. (Puerto</w:t>
            </w:r>
          </w:p>
        </w:tc>
        <w:tc>
          <w:tcPr>
            <w:tcW w:w="4380" w:type="dxa"/>
            <w:vAlign w:val="bottom"/>
          </w:tcPr>
          <w:p>
            <w:pPr>
              <w:ind w:left="320"/>
              <w:spacing w:after="0" w:line="172" w:lineRule="exact"/>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line="172"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Rico)</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77"/>
        </w:trPr>
        <w:tc>
          <w:tcPr>
            <w:tcW w:w="46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Pharmaceutical Research Associates Romania S.R.L.</w:t>
            </w:r>
          </w:p>
        </w:tc>
        <w:tc>
          <w:tcPr>
            <w:tcW w:w="4380" w:type="dxa"/>
            <w:vAlign w:val="bottom"/>
          </w:tcPr>
          <w:p>
            <w:pPr>
              <w:ind w:left="320"/>
              <w:spacing w:after="0" w:line="176"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line="176"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(Romania)</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 Research Associates España, S.A.U. (Spain)</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International Sweden AB (Sweden)</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RPS Research (Thailand) Co., Ltd. (Thailand)</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Sterling Synergy Systems Limited (United Kingdom)</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ClinStar LLC (California)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Nextrials, Inc. (California)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Care Innovations,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CRI NewCo,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 Medical Technical Consultants,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Parallel 6,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171"/>
        </w:trPr>
        <w:tc>
          <w:tcPr>
            <w:tcW w:w="46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PRA Early Development Research, Inc. (f/k/a Pharma Bio-</w:t>
            </w:r>
          </w:p>
        </w:tc>
        <w:tc>
          <w:tcPr>
            <w:tcW w:w="4380" w:type="dxa"/>
            <w:vAlign w:val="bottom"/>
          </w:tcPr>
          <w:p>
            <w:pPr>
              <w:ind w:left="320"/>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line="172" w:lineRule="exact"/>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Research USA, Inc.) (Delaware)</w:t>
            </w: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Health Sciences,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ICON US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Holdings,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Health Sciences,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Receivables,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ReSearch Pharmaceutical Services, Inc.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Roy RPS Holdings,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ReSearch Pharmaceutical Services,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Pharmaceutical Services,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Source Healthcare Analytics,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Symphony Health Solutions Corporation</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Sunset Hills,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Symphony Health Solutions Corporation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Pharmaceutical Research Associates, Inc. (Virginia)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International,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PRA International,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Roy RPS Holdings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RPS Parent Holding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RPS Global Holdings,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PRA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RPS Parent Holding LLC (Delaware)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RPS Global Holdings,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ICON Government and Public Health Solutions, Inc. (Virginia)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ICON US Holdings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Bristol, LLC (Tennessee)</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Charleston, LLC (South Carolina)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Charlotte, LLC (North Carolina)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Christie Clinic, LLC (Illinois)</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Hickory, LLC (North Carolina)</w:t>
            </w: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40"/>
          </w:cols>
          <w:pgMar w:left="380" w:top="1375" w:right="8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Raleigh,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Rocky Mount,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Salisbury,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Wilmington,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Accellacare of Winston-Salem, LLC (North Carolina)</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Accellacare US Inc.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Averion Europe GmbH (Germany)</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CHC Group,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PubsHub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Global Pharmaceutical Strategies Group,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MMMM Group,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Tennessee, LLC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ADDPLAN, Inc.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LP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58"/>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LP (Delaware)</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Tennessee,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193"/>
        </w:trPr>
        <w:tc>
          <w:tcPr>
            <w:tcW w:w="46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CRN North America, LLC (d/b/a Symphony Clinical Staffing)</w:t>
            </w:r>
          </w:p>
        </w:tc>
        <w:tc>
          <w:tcPr>
            <w:tcW w:w="4400" w:type="dxa"/>
            <w:vAlign w:val="bottom"/>
          </w:tcPr>
          <w:p>
            <w:pPr>
              <w:ind w:left="340"/>
              <w:spacing w:after="0" w:line="193" w:lineRule="exact"/>
              <w:rPr>
                <w:sz w:val="20"/>
                <w:szCs w:val="20"/>
                <w:color w:val="auto"/>
              </w:rPr>
            </w:pPr>
            <w:r>
              <w:rPr>
                <w:rFonts w:ascii="Times New Roman" w:cs="Times New Roman" w:eastAsia="Times New Roman" w:hAnsi="Times New Roman"/>
                <w:sz w:val="17"/>
                <w:szCs w:val="17"/>
                <w:color w:val="auto"/>
              </w:rPr>
              <w:t>CRN Holdings, LLC</w:t>
            </w:r>
          </w:p>
        </w:tc>
        <w:tc>
          <w:tcPr>
            <w:tcW w:w="1600" w:type="dxa"/>
            <w:vAlign w:val="bottom"/>
          </w:tcPr>
          <w:p>
            <w:pPr>
              <w:jc w:val="center"/>
              <w:ind w:left="1114"/>
              <w:spacing w:after="0" w:line="193" w:lineRule="exact"/>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c>
          <w:tcPr>
            <w:tcW w:w="4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Symphony Clinical Research Sp. Z O O. (Poland)</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CRN Holdings, LLC</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65%</w:t>
            </w:r>
          </w:p>
        </w:tc>
      </w:tr>
      <w:tr>
        <w:trPr>
          <w:trHeight w:val="171"/>
        </w:trPr>
        <w:tc>
          <w:tcPr>
            <w:tcW w:w="464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ICON Clinical Research Holdings (U.K.) Limited (United</w:t>
            </w:r>
          </w:p>
        </w:tc>
        <w:tc>
          <w:tcPr>
            <w:tcW w:w="4400" w:type="dxa"/>
            <w:vAlign w:val="bottom"/>
          </w:tcPr>
          <w:p>
            <w:pPr>
              <w:ind w:left="340"/>
              <w:spacing w:after="0" w:line="172" w:lineRule="exact"/>
              <w:rPr>
                <w:sz w:val="20"/>
                <w:szCs w:val="20"/>
                <w:color w:val="auto"/>
              </w:rPr>
            </w:pPr>
            <w:r>
              <w:rPr>
                <w:rFonts w:ascii="Times New Roman" w:cs="Times New Roman" w:eastAsia="Times New Roman" w:hAnsi="Times New Roman"/>
                <w:sz w:val="17"/>
                <w:szCs w:val="17"/>
                <w:color w:val="auto"/>
              </w:rPr>
              <w:t>Pharmaceutical Research Associates, Inc.</w:t>
            </w:r>
          </w:p>
        </w:tc>
        <w:tc>
          <w:tcPr>
            <w:tcW w:w="1600" w:type="dxa"/>
            <w:vAlign w:val="bottom"/>
          </w:tcPr>
          <w:p>
            <w:pPr>
              <w:jc w:val="center"/>
              <w:ind w:left="1114"/>
              <w:spacing w:after="0" w:line="172" w:lineRule="exact"/>
              <w:rPr>
                <w:sz w:val="20"/>
                <w:szCs w:val="20"/>
                <w:color w:val="auto"/>
              </w:rPr>
            </w:pPr>
            <w:r>
              <w:rPr>
                <w:rFonts w:ascii="Times New Roman" w:cs="Times New Roman" w:eastAsia="Times New Roman" w:hAnsi="Times New Roman"/>
                <w:sz w:val="17"/>
                <w:szCs w:val="17"/>
                <w:color w:val="auto"/>
              </w:rPr>
              <w:t>65%</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Kingdom)</w:t>
            </w:r>
          </w:p>
        </w:tc>
        <w:tc>
          <w:tcPr>
            <w:tcW w:w="44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Oncacare Limited (Ireland)</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Holdings (Ireland) Unlimited</w:t>
            </w:r>
          </w:p>
        </w:tc>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ICON Holdings Unlimited Company</w:t>
            </w:r>
          </w:p>
        </w:tc>
        <w:tc>
          <w:tcPr>
            <w:tcW w:w="1600" w:type="dxa"/>
            <w:vAlign w:val="bottom"/>
          </w:tcPr>
          <w:p>
            <w:pPr>
              <w:jc w:val="center"/>
              <w:ind w:left="1114"/>
              <w:spacing w:after="0"/>
              <w:rPr>
                <w:sz w:val="20"/>
                <w:szCs w:val="20"/>
                <w:color w:val="auto"/>
              </w:rPr>
            </w:pPr>
            <w:r>
              <w:rPr>
                <w:rFonts w:ascii="Times New Roman" w:cs="Times New Roman" w:eastAsia="Times New Roman" w:hAnsi="Times New Roman"/>
                <w:sz w:val="17"/>
                <w:szCs w:val="17"/>
                <w:color w:val="auto"/>
              </w:rPr>
              <w:t>100%</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Company (Ireland)</w:t>
            </w:r>
          </w:p>
        </w:tc>
        <w:tc>
          <w:tcPr>
            <w:tcW w:w="440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w:t>
      </w:r>
    </w:p>
    <w:sectPr>
      <w:pgSz w:w="11900" w:h="16838" w:orient="portrait"/>
      <w:cols w:equalWidth="0" w:num="1">
        <w:col w:w="10640"/>
      </w:cols>
      <w:pgMar w:left="380" w:top="1399"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2025-05-02T15:27:50Z</dcterms:created>
  <dcterms:modified xsi:type="dcterms:W3CDTF">2025-05-02T15:27:50Z</dcterms:modified>
</cp:coreProperties>
</file>