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FORM 6-K</w:t>
      </w:r>
    </w:p>
    <w:p>
      <w:pPr>
        <w:pStyle w:val="TextBody"/>
        <w:bidi w:val="0"/>
        <w:spacing w:lineRule="auto" w:line="240" w:before="0" w:after="0"/>
        <w:jc w:val="center"/>
        <w:rPr>
          <w:color w:val="000000"/>
          <w:shd w:fill="FFFFFF" w:val="clear"/>
        </w:rPr>
      </w:pPr>
      <w:r>
        <w:rPr>
          <w:color w:val="000000"/>
          <w:shd w:fill="FFFFFF" w:val="clear"/>
        </w:rPr>
        <w:t>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AND EXCHANGE COMMISSION</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Washington, D.C. 20549</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Foreign Private Issuer</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Rule 13a-16 under</w:t>
      </w:r>
    </w:p>
    <w:p>
      <w:pPr>
        <w:pStyle w:val="TextBody"/>
        <w:bidi w:val="0"/>
        <w:spacing w:lineRule="auto" w:line="240" w:before="0" w:after="0"/>
        <w:jc w:val="center"/>
        <w:rPr>
          <w:shd w:fill="FFFFFF" w:val="clear"/>
        </w:rPr>
      </w:pPr>
      <w:r>
        <w:rPr>
          <w:rFonts w:ascii="Times New Roman;sans-serif" w:hAnsi="Times New Roman;sans-serif"/>
          <w:b w:val="false"/>
          <w:color w:val="000000"/>
          <w:sz w:val="20"/>
          <w:shd w:fill="FFFFFF" w:val="clear"/>
        </w:rPr>
        <w:t>t</w:t>
      </w:r>
      <w:r>
        <w:rPr>
          <w:rFonts w:ascii="Times New Roman;sans-serif" w:hAnsi="Times New Roman;sans-serif"/>
          <w:b/>
          <w:color w:val="000000"/>
          <w:sz w:val="20"/>
          <w:shd w:fill="FFFFFF" w:val="clear"/>
        </w:rPr>
        <w: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month of February 2025</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ICON plc</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(Translation of registrant's name into English)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shd w:fill="FFFFFF" w:val="clear"/>
        </w:rPr>
      </w:pPr>
      <w:r>
        <w:rPr>
          <w:rFonts w:ascii="Times New Roman;sans-serif" w:hAnsi="Times New Roman;sans-serif"/>
          <w:b/>
          <w:color w:val="000000"/>
          <w:sz w:val="20"/>
          <w:shd w:fill="FFFFFF" w:val="clear"/>
        </w:rPr>
        <w:t>333-08704</w:t>
      </w:r>
      <w:r>
        <w:rPr>
          <w:color w:val="000000"/>
          <w:shd w:fill="FFFFFF" w:val="clear"/>
        </w:rPr>
        <w:t xml:space="preserv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(Commission file number)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South County Business Park, Leopardstown, Dublin 18, Ireland</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(Address of principal executive offices)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2"/>
        <w:gridCol w:w="1065"/>
        <w:gridCol w:w="1065"/>
        <w:gridCol w:w="1085"/>
        <w:gridCol w:w="1065"/>
        <w:gridCol w:w="1065"/>
        <w:gridCol w:w="1075"/>
        <w:gridCol w:w="1065"/>
        <w:gridCol w:w="1508"/>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Form 20-F __</w:t>
            </w:r>
            <w:r>
              <w:rPr>
                <w:rFonts w:ascii="Times New Roman;sans-serif" w:hAnsi="Times New Roman;sans-serif"/>
                <w:b/>
                <w:color w:val="000000"/>
                <w:sz w:val="20"/>
              </w:rPr>
              <w:t>X</w:t>
            </w:r>
            <w:r>
              <w:rPr>
                <w:rFonts w:ascii="Times New Roman;sans-serif" w:hAnsi="Times New Roman;sans-serif"/>
                <w:b w:val="false"/>
                <w:color w:val="000000"/>
                <w:sz w:val="20"/>
              </w:rPr>
              <w:t>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40-F ______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submitting the Form 6-K in paper as permitted by Regulation S-T Rule 101(b)(1):</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Yes______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No___</w:t>
            </w:r>
            <w:r>
              <w:rPr>
                <w:rFonts w:ascii="Times New Roman;sans-serif" w:hAnsi="Times New Roman;sans-serif"/>
                <w:b/>
                <w:color w:val="000000"/>
                <w:sz w:val="20"/>
              </w:rPr>
              <w:t>X</w:t>
            </w:r>
            <w:r>
              <w:rPr>
                <w:rFonts w:ascii="Times New Roman;sans-serif" w:hAnsi="Times New Roman;sans-serif"/>
                <w:b w:val="false"/>
                <w:color w:val="000000"/>
                <w:sz w:val="20"/>
              </w:rPr>
              <w:t>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submitting the Form 6-K in paper as permitted by Regulation S-T Rule 101(b)(7):</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Yes______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No___</w:t>
            </w:r>
            <w:r>
              <w:rPr>
                <w:rFonts w:ascii="Times New Roman;sans-serif" w:hAnsi="Times New Roman;sans-serif"/>
                <w:b/>
                <w:color w:val="000000"/>
                <w:sz w:val="20"/>
              </w:rPr>
              <w:t>X</w:t>
            </w:r>
            <w:r>
              <w:rPr>
                <w:rFonts w:ascii="Times New Roman;sans-serif" w:hAnsi="Times New Roman;sans-serif"/>
                <w:b w:val="false"/>
                <w:color w:val="000000"/>
                <w:sz w:val="20"/>
              </w:rPr>
              <w:t>___</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EXHIBIT LIST</w:t>
      </w:r>
    </w:p>
    <w:p>
      <w:pPr>
        <w:pStyle w:val="TextBody"/>
        <w:bidi w:val="0"/>
        <w:spacing w:lineRule="auto" w:line="240" w:before="0" w:after="0"/>
        <w:jc w:val="left"/>
        <w:rPr>
          <w:color w:val="000000"/>
          <w:shd w:fill="FFFFFF" w:val="clear"/>
        </w:rPr>
      </w:pPr>
      <w:r>
        <w:rPr>
          <w:color w:val="000000"/>
          <w:shd w:fill="FFFFFF" w:val="clear"/>
        </w:rPr>
        <w:t> </w:t>
      </w:r>
    </w:p>
    <w:tbl>
      <w:tblPr>
        <w:tblW w:w="8490" w:type="dxa"/>
        <w:jc w:val="left"/>
        <w:tblInd w:w="0" w:type="dxa"/>
        <w:tblLayout w:type="fixed"/>
        <w:tblCellMar>
          <w:top w:w="28" w:type="dxa"/>
          <w:left w:w="28" w:type="dxa"/>
          <w:bottom w:w="28" w:type="dxa"/>
          <w:right w:w="28" w:type="dxa"/>
        </w:tblCellMar>
      </w:tblPr>
      <w:tblGrid>
        <w:gridCol w:w="266"/>
        <w:gridCol w:w="234"/>
        <w:gridCol w:w="236"/>
        <w:gridCol w:w="2271"/>
        <w:gridCol w:w="2271"/>
        <w:gridCol w:w="321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321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4pressrelease.htm">
              <w:r>
                <w:rPr>
                  <w:rStyle w:val="InternetLink"/>
                  <w:rFonts w:ascii="Times New Roman;sans-serif" w:hAnsi="Times New Roman;sans-serif"/>
                  <w:b w:val="false"/>
                  <w:color w:val="0000FF"/>
                  <w:sz w:val="20"/>
                  <w:u w:val="single"/>
                </w:rPr>
                <w:t>99.1</w:t>
              </w:r>
            </w:hyperlink>
          </w:p>
        </w:tc>
        <w:tc>
          <w:tcPr>
            <w:tcW w:w="7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4pressrelease.htm">
              <w:r>
                <w:rPr>
                  <w:rStyle w:val="InternetLink"/>
                  <w:rFonts w:ascii="Times New Roman;sans-serif" w:hAnsi="Times New Roman;sans-serif"/>
                  <w:b w:val="false"/>
                  <w:color w:val="0000FF"/>
                  <w:sz w:val="20"/>
                  <w:u w:val="single"/>
                </w:rPr>
                <w:t>ICON plc Press Release issued February 19, 2025 - ICON Reports Fourth Quarter 2024 Results</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0" w:after="0"/>
        <w:jc w:val="left"/>
        <w:rPr>
          <w:color w:val="000000"/>
          <w:shd w:fill="FFFFFF" w:val="clear"/>
        </w:rPr>
      </w:pPr>
      <w:r>
        <w:rPr>
          <w:color w:val="000000"/>
          <w:shd w:fill="FFFFFF" w:val="clear"/>
        </w:rPr>
        <w:t> </w:t>
      </w:r>
    </w:p>
    <w:tbl>
      <w:tblPr>
        <w:tblW w:w="4421"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587"/>
        <w:gridCol w:w="587"/>
        <w:gridCol w:w="83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ICON plc</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Nigel Clerkin</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19,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Nigel Clerkin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center"/>
        <w:rPr/>
      </w:pPr>
      <w:r>
        <w:rPr>
          <w:rFonts w:ascii="Times New Roman;sans-serif" w:hAnsi="Times New Roman;sans-serif"/>
          <w:b/>
          <w:color w:val="000000"/>
          <w:sz w:val="20"/>
        </w:rPr>
        <w:t>ICON Reports Fourth Quarter and Full Year 2024</w:t>
      </w:r>
      <w:r>
        <w:rPr>
          <w:color w:val="000000"/>
        </w:rPr>
        <w:t xml:space="preserve"> </w:t>
      </w:r>
      <w:r>
        <w:rPr>
          <w:rFonts w:ascii="Times New Roman;sans-serif" w:hAnsi="Times New Roman;sans-serif"/>
          <w:b/>
          <w:color w:val="000000"/>
          <w:sz w:val="20"/>
        </w:rPr>
        <w:t>Results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Net business wins in the quarter of $2,413 million; a net book to bill in the quarter of 1.18. Full year net business wins of $9,974 million; a net book to bill of 1.20.</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Closing backlog of $24.7 billion, an increase of 1.4% on quarter three 2024 and 8.3% on quarter four 2023.</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Quarter four revenue of $2,041.1 million, representing a decrease of 1.2% on prior year revenue. Full year revenue of $8,282 million, representing a year on year increase of 2.0%.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Quarter four adjusted EBITDA of $422.6</w:t>
      </w:r>
      <w:r>
        <w:rPr>
          <w:color w:val="000000"/>
        </w:rPr>
        <w:t xml:space="preserve"> </w:t>
      </w:r>
      <w:r>
        <w:rPr>
          <w:rFonts w:ascii="Times New Roman;sans-serif" w:hAnsi="Times New Roman;sans-serif"/>
          <w:b w:val="false"/>
          <w:color w:val="000000"/>
          <w:sz w:val="20"/>
        </w:rPr>
        <w:t xml:space="preserve">million or 20.7% of revenue, an increase of 0.9% on quarter three 2024. Full year adjusted EBITDA of $1,735.8 million or 21.0% of revenue, representing a year on year increase of 2.5%.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GAAP net income for the quarter of $260.0 million or $3.16 per diluted share, an increase of 21.5% on quarter four 2023 diluted earnings per share. Full year GAAP net income of $791.5 million or $9.53 per diluted share.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Quarter four adjusted net income was $282.4 million or $3.43 per diluted share, an increase of 2.4% on quarter three 2024 adjusted diluted earnings per share. Full year adjusted net income of $1,162.7 million or $14.00 per diluted share, an increase of 9.5% on the prior year adjusted diluted earnings per share.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Net debt balance of $2.9 billion at December 31, 2024 with net debt to adjusted EBITDA ratio of 1.7x.</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Free cash flow on target at $1.1 billion for 2024.</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$400.0 million worth of stock repurchased in quarter four at an average price of $217. $500.0 million worth of stock repurchased in full year 2024 at an average price of $229.</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rPr>
        <w:t>Board of Directors authorized a new share repurchase program of up to $750 million to be opportunistically deployed. Total value of authorized share repurchases of up to $1 billion.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Re-affirming previously communicated full-year 2025 financial revenue guidance in the range of $8,050 - $8,650 million and adjusted diluted earnings per share* in the range of $13.00 - $15.00. Adjusted diluted earnings per share to exclude amortization, stock compensation, restructuring, foreign exchange and transaction-related / integrated-related adjustments.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Dublin, Ireland, February 19, 2025 – ICON plc (NASDAQ: ICLR), a world-leading healthcare intelligence and clinical research organization, today reported its financial results for the fourth quarter and full year ended December 31, 2024.</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CEO, Dr. Steve Cutler commented, </w:t>
      </w:r>
      <w:r>
        <w:rPr>
          <w:color w:val="000000"/>
          <w:shd w:fill="FFFFFF" w:val="clear"/>
        </w:rPr>
        <w:t>“</w:t>
      </w:r>
      <w:r>
        <w:rPr>
          <w:rFonts w:ascii="Times New Roman;sans-serif" w:hAnsi="Times New Roman;sans-serif"/>
          <w:b w:val="false"/>
          <w:i/>
          <w:color w:val="000000"/>
          <w:sz w:val="20"/>
          <w:shd w:fill="FFFFFF" w:val="clear"/>
        </w:rPr>
        <w:t>ICON’s results in quarter four were in-line with our expectations as we continue to manage through a challenging transition period in our business. Encouragingly, we saw progress in a number of key areas in quarter four.</w:t>
      </w:r>
      <w:r>
        <w:rPr>
          <w:color w:val="000000"/>
        </w:rPr>
        <w:t xml:space="preserve"> </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shd w:fill="FFFFFF" w:val="clear"/>
        </w:rPr>
        <w:t>Gross business wins increased 8% sequentially, indicative of a positive, albeit volatile, underlying demand environment in both the large pharma and biotech divisions.</w:t>
      </w:r>
      <w:r>
        <w:rPr>
          <w:color w:val="000000"/>
        </w:rPr>
        <w:t xml:space="preserve"> </w:t>
      </w:r>
      <w:r>
        <w:rPr>
          <w:rFonts w:ascii="Times New Roman;sans-serif" w:hAnsi="Times New Roman;sans-serif"/>
          <w:b w:val="false"/>
          <w:i/>
          <w:color w:val="000000"/>
          <w:sz w:val="20"/>
          <w:shd w:fill="FFFFFF" w:val="clear"/>
        </w:rPr>
        <w:t>Cash management was strong in quarter four, bringing full year free cash flow in line with our targeted $1.1 billion.</w:t>
      </w:r>
      <w:r>
        <w:rPr>
          <w:color w:val="000000"/>
        </w:rPr>
        <w:t xml:space="preserve"> </w:t>
      </w:r>
      <w:r>
        <w:rPr>
          <w:rFonts w:ascii="Times New Roman;sans-serif" w:hAnsi="Times New Roman;sans-serif"/>
          <w:b w:val="false"/>
          <w:i/>
          <w:color w:val="000000"/>
          <w:sz w:val="20"/>
          <w:shd w:fill="FFFFFF" w:val="clear"/>
        </w:rPr>
        <w:t>On a full year basis, we reported growth across key metrics, including revenue growth of 2% as well as adjusted diluted earnings per share growth of 9.5% year over year.</w:t>
      </w:r>
      <w:r>
        <w:rPr>
          <w:color w:val="000000"/>
        </w:rPr>
        <w:t xml:space="preserve"> </w:t>
      </w:r>
      <w:r>
        <w:rPr>
          <w:rFonts w:ascii="Times New Roman;sans-serif" w:hAnsi="Times New Roman;sans-serif"/>
          <w:b w:val="false"/>
          <w:i/>
          <w:color w:val="000000"/>
          <w:sz w:val="20"/>
          <w:shd w:fill="FFFFFF" w:val="clear"/>
        </w:rPr>
        <w:t>Finally, we are reaffirming our previously issued full-year 2025 guidance ranges for revenue and adjusted diluted earnings per share.”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Fourth Quarter 2024 Results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business wins in the fourth quarter were $3,064 million and cancellations were $651 million. This resulted in net business wins of $2,413 million and a book to bill of 1.18.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fourth quarter was $2,041.1 million. This represents a decrease of 1.2% on prior year revenue or 1.6% decrease on a constant currency basis.</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GAAP net income was $260.0 million, resulting in $3.16 diluted earnings per share in quarter four 2024 compared to $2.60 diluted earnings per share in quarter four 2023, an increase of 21.5% year over year. Adjusted net income for the quarter was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$282.4 million, resulting in an adjusted diluted earnings per share of $3.43 compared to $3.46 per share for the fourth quarter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for the fourth quarter was $422.6 million or 20.7% of revenue, a year-on-year decrease of 5.7%.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on adjusted net income in quarter four 2024 was 16.5%.</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rPr>
        <w:t xml:space="preserve">Cash generated from operating activities for the quarter was $338.3 million. During the quarter $61.3 million was spent on capital expenditure. </w:t>
      </w:r>
      <w:r>
        <w:rPr>
          <w:rFonts w:ascii="Times New Roman;sans-serif" w:hAnsi="Times New Roman;sans-serif"/>
          <w:b w:val="false"/>
          <w:color w:val="000000"/>
          <w:sz w:val="20"/>
          <w:shd w:fill="FFFFFF" w:val="clear"/>
        </w:rPr>
        <w:t xml:space="preserve">$400.0 million worth of stock was repurchased at an average price of $217. </w:t>
      </w:r>
      <w:r>
        <w:rPr>
          <w:rFonts w:ascii="Times New Roman;sans-serif" w:hAnsi="Times New Roman;sans-serif"/>
          <w:b w:val="false"/>
          <w:color w:val="000000"/>
          <w:sz w:val="20"/>
        </w:rPr>
        <w:t>Additionally, $7.4 million of Term Loan B payments were made during the quarter. At December 31, 2024, the Group had cash and cash equivalents of $538.8 million, compared to cash and cash equivalents of $695.5 million at September 30, 2024 and $378.1 million at December 31, 2023. Net indebtedness as at December 31, 2024 was $2.9 billion.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Full Year 2024 Results</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business wins were $12,082 million and cancellations were $2,108 million. This resulted in net business wins of $9,974 million and a book to bill of 1.20.</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Full year revenue was $8,281.7 million. This represents a year on year increase of 2.0% on a reported and constant currency basis.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GAAP net income was $791.5 million, resulting in $9.53 diluted earnings per share compared to $7.40 per share for the equivalent prior year period. This represents an increase of 28.8%. Adjusted net income was $1,162.7 million, resulting in an adjusted diluted earnings per share of $14.00 compared to $12.79 per share for the equivalent prior year period. This represents an increase of 9.5%.</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was $1,735.8 million or 21.0% of revenue, a year on year increase of 2.5%.</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on adjusted net income in 2024 was 16.5%.</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Cash generated from operating activities in 2024 was $1,286.7 million. $168.1 million was spent on capital expenditure. </w:t>
      </w:r>
      <w:r>
        <w:rPr>
          <w:rFonts w:ascii="Times New Roman;sans-serif" w:hAnsi="Times New Roman;sans-serif"/>
          <w:b w:val="false"/>
          <w:color w:val="000000"/>
          <w:sz w:val="20"/>
          <w:shd w:fill="FFFFFF" w:val="clear"/>
        </w:rPr>
        <w:t>$500.0 million worth of stock was repurchased in 2024 at an average price of $229. There were no amounts drawn on the revolving credit facility at December 31, 2024. $</w:t>
      </w:r>
      <w:r>
        <w:rPr>
          <w:rFonts w:ascii="Times New Roman;sans-serif" w:hAnsi="Times New Roman;sans-serif"/>
          <w:b w:val="false"/>
          <w:color w:val="000000"/>
          <w:sz w:val="20"/>
        </w:rPr>
        <w:t>55 million</w:t>
      </w:r>
      <w:r>
        <w:rPr>
          <w:color w:val="000000"/>
          <w:shd w:fill="FFFFFF" w:val="clear"/>
        </w:rPr>
        <w:t xml:space="preserve"> </w:t>
      </w:r>
      <w:r>
        <w:rPr>
          <w:rFonts w:ascii="Times New Roman;sans-serif" w:hAnsi="Times New Roman;sans-serif"/>
          <w:b w:val="false"/>
          <w:color w:val="000000"/>
          <w:sz w:val="20"/>
          <w:shd w:fill="FFFFFF" w:val="clear"/>
        </w:rPr>
        <w:t xml:space="preserve">was drawn down at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rPr>
        <w:t>Successful issuance of $2 billion investment grade bond in May 2024. The proceeds were used to repay a portion of the senior secured term loan and to pay fees, costs and expenses related to the offering.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financial measures prepared in accordance with generally accepted accounting principles (GAAP), this press release contains certain non-GAAP financial measures, including adjusted EBITDA, adjusted net income and adjusted diluted earnings per share. Adjusted EBITDA, adjusted net income and adjusted diluted earnings per share exclude amortization, stock compensation, foreign exchange gains and losses, restructuring and transaction-related / integration-related adjustments. Free cash flow reflects cash generated from operating activities less capital expenditure. While non-GAAP financial measures are not superior to or a substitute for the comparable GAAP measures, ICON believes certain non-GAAP information is useful to investors for historical comparison purposes.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ICON will hold a conference call on February 20, 2025 at 08:00 EST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Our full-year 2025 guidance adjusted diluted earnings per share measures are provided on a non-GAAP basis because the company is unable to predict with a reasonable degree of certainty certain items contained in the GAAP measures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unreasonable efforts. For the same reasons, the company is unable to address the probable significance of the unavailable information.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41,900 employees in 106 locations in 55 countries as at December 31, 2024. For further information about ICON, visit: www.iconplc.com.</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Source: ICON plc</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Contact: Investor Relations +1 888 381 7923 </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Nigel Clerkin Chief Financial Officer +353 1 291 2000</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Kate Haven Vice President Investor Relations +1 888 381 7923</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at ICON</w:t>
      </w:r>
    </w:p>
    <w:p>
      <w:pPr>
        <w:pStyle w:val="TextBody"/>
        <w:bidi w:val="0"/>
        <w:spacing w:lineRule="auto" w:line="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ICON/ICLR-F</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18"/>
        </w:rPr>
        <w:t>I</w:t>
      </w:r>
      <w:r>
        <w:rPr>
          <w:rFonts w:ascii="Times New Roman;sans-serif" w:hAnsi="Times New Roman;sans-serif"/>
          <w:b/>
          <w:color w:val="000000"/>
          <w:sz w:val="18"/>
        </w:rPr>
        <w:t>CON plc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AND TWELVE MONTHS ENDED DECEMBER 31, 2024 AND DECEMBER 31, 2023</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(UNAUDITED) </w:t>
      </w:r>
    </w:p>
    <w:p>
      <w:pPr>
        <w:pStyle w:val="TextBody"/>
        <w:bidi w:val="0"/>
        <w:spacing w:before="0" w:after="0"/>
        <w:ind w:left="0" w:right="0" w:firstLine="45"/>
        <w:jc w:val="center"/>
        <w:rPr/>
      </w:pPr>
      <w:r>
        <w:rPr/>
      </w:r>
    </w:p>
    <w:tbl>
      <w:tblPr>
        <w:tblW w:w="10205" w:type="dxa"/>
        <w:jc w:val="left"/>
        <w:tblInd w:w="0" w:type="dxa"/>
        <w:tblLayout w:type="fixed"/>
        <w:tblCellMar>
          <w:top w:w="28" w:type="dxa"/>
          <w:left w:w="28" w:type="dxa"/>
          <w:bottom w:w="28" w:type="dxa"/>
          <w:right w:w="28" w:type="dxa"/>
        </w:tblCellMar>
      </w:tblPr>
      <w:tblGrid>
        <w:gridCol w:w="1498"/>
        <w:gridCol w:w="1257"/>
        <w:gridCol w:w="123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9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8,120,176 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5,719,949 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768,559 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585,950 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related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1,744,077 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1,800,680 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7,183,864 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7,164,024 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956,152 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(336,699)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income /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624,467 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income /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share of losses from equity method investments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losses from equity method investments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612,335 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Ordinary Share:</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Ordinary Shares outstanding:</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81,785,620 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82,399,478 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82,482,764 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82,101,813 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82,236,018 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83,112,757 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83,032,424 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82,717,640 </w:t>
            </w:r>
          </w:p>
        </w:tc>
        <w:tc>
          <w:tcPr>
            <w:tcW w:w="15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ICON plc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AT DECEMBER 31, 2024 AND DECEMBER 31, 2023</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9819" w:type="dxa"/>
        <w:jc w:val="center"/>
        <w:tblInd w:w="0" w:type="dxa"/>
        <w:tblLayout w:type="fixed"/>
        <w:tblCellMar>
          <w:top w:w="28" w:type="dxa"/>
          <w:left w:w="28" w:type="dxa"/>
          <w:bottom w:w="28" w:type="dxa"/>
          <w:right w:w="28" w:type="dxa"/>
        </w:tblCellMar>
      </w:tblPr>
      <w:tblGrid>
        <w:gridCol w:w="2402"/>
        <w:gridCol w:w="2118"/>
        <w:gridCol w:w="2125"/>
        <w:gridCol w:w="211"/>
        <w:gridCol w:w="1081"/>
        <w:gridCol w:w="109"/>
        <w:gridCol w:w="109"/>
        <w:gridCol w:w="109"/>
        <w:gridCol w:w="109"/>
        <w:gridCol w:w="211"/>
        <w:gridCol w:w="1081"/>
        <w:gridCol w:w="154"/>
      </w:tblGrid>
      <w:tr>
        <w:trPr/>
        <w:tc>
          <w:tcPr>
            <w:tcW w:w="240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for sale investments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1,790,322 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revenue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951,936 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3,530,493 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3,411,470 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9,022,075 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3,855,865 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equity</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16,877,678 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16,989,863 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1,654,507 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bank credit lines, loan facilities and notes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2,796,406 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2,825,608 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bank credit lines, loan facilities and notes,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3,665,439 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other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income taxes payable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7,354,679 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7,749,120 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par value 6 euro cents per share; 100,000,000 shares authorized,</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80,756,860 shares issued and outstanding at December 31, 2024 and</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82,495,086 shares issued and outstanding at December 31, 2023.</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6,942,669 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undenominated capital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2,433,719 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9,522,999 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9,240,743 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16,877,678 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16,989,863 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ICON plc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TWELVE MONTHS ENDED DECEMBER 31, 2024 AND DECEMBER 31, 2023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033" w:type="dxa"/>
        <w:jc w:val="left"/>
        <w:tblInd w:w="0" w:type="dxa"/>
        <w:tblLayout w:type="fixed"/>
        <w:tblCellMar>
          <w:top w:w="28" w:type="dxa"/>
          <w:left w:w="28" w:type="dxa"/>
          <w:bottom w:w="28" w:type="dxa"/>
          <w:right w:w="28" w:type="dxa"/>
        </w:tblCellMar>
      </w:tblPr>
      <w:tblGrid>
        <w:gridCol w:w="2536"/>
        <w:gridCol w:w="2231"/>
        <w:gridCol w:w="2267"/>
        <w:gridCol w:w="232"/>
        <w:gridCol w:w="908"/>
        <w:gridCol w:w="119"/>
        <w:gridCol w:w="109"/>
        <w:gridCol w:w="109"/>
        <w:gridCol w:w="109"/>
        <w:gridCol w:w="232"/>
        <w:gridCol w:w="908"/>
        <w:gridCol w:w="119"/>
        <w:gridCol w:w="154"/>
      </w:tblGrid>
      <w:tr>
        <w:trPr/>
        <w:tc>
          <w:tcPr>
            <w:tcW w:w="253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operating activities: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791,474 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612,335 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488,500 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585,950 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operating right-of-use assets and related property, plant and equipment</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carrying value of operating right-of-use assets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method investments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gain</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costs and debt discount</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exchange movements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items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in operating assets and liabilities: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349,309 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(83,296)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revenue</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(339,921)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134,566 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 assets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(168,403)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1,286,652 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1,161,027 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used in investing activities: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plant and equipment</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(168,060)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(140,692)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subsidiary undertakings (net of cash acquired)</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(84,159)</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Movement of available for sale investments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investments in equity</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investments in equity</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(266,790)</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(226,653)</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used in financing activities: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Notes issue costs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(12,679)</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Drawdown of credit lines and loan facilities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2,317,480 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credit lines and loan facilities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(2,677,763)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(1,265,000)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equity compensation</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issue costs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ordinary shares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(499,998)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costs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(837,183)</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(844,043)</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movements on cash</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in cash and cash equivalents</w:t>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160,683 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89,334 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378,102 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288,768 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year</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538,785 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378,102 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ICON plc</w:t>
      </w:r>
    </w:p>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RECONCILIATION OF NON-GAAP MEASURES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AND TWELVE MONTHS ENDED DECEMBER 31, 2024 AND DECEMBER 31, 2023 </w:t>
      </w:r>
    </w:p>
    <w:p>
      <w:pPr>
        <w:pStyle w:val="TextBody"/>
        <w:bidi w:val="0"/>
        <w:spacing w:lineRule="auto" w:line="333" w:before="0" w:after="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739"/>
        <w:gridCol w:w="1193"/>
        <w:gridCol w:w="1200"/>
        <w:gridCol w:w="232"/>
        <w:gridCol w:w="880"/>
        <w:gridCol w:w="114"/>
        <w:gridCol w:w="109"/>
        <w:gridCol w:w="109"/>
        <w:gridCol w:w="109"/>
        <w:gridCol w:w="232"/>
        <w:gridCol w:w="880"/>
        <w:gridCol w:w="114"/>
        <w:gridCol w:w="109"/>
        <w:gridCol w:w="109"/>
        <w:gridCol w:w="109"/>
        <w:gridCol w:w="211"/>
        <w:gridCol w:w="976"/>
        <w:gridCol w:w="109"/>
        <w:gridCol w:w="109"/>
        <w:gridCol w:w="109"/>
        <w:gridCol w:w="109"/>
        <w:gridCol w:w="211"/>
        <w:gridCol w:w="976"/>
        <w:gridCol w:w="157"/>
      </w:tblGrid>
      <w:tr>
        <w:trPr/>
        <w:tc>
          <w:tcPr>
            <w:tcW w:w="173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259,998 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216,418 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612,335 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losses from equity method investments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(income) / expense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75" w:after="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expense </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331,685 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149,733 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585,950 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(a)</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Foreign currency (gains)/losses, net </w:t>
            </w:r>
            <w:r>
              <w:rPr>
                <w:rFonts w:ascii="Times New Roman;sans-serif" w:hAnsi="Times New Roman;sans-serif"/>
                <w:b w:val="false"/>
                <w:color w:val="000000"/>
                <w:sz w:val="13"/>
              </w:rPr>
              <w:t>(b)</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Oncacare (gain) </w:t>
            </w:r>
            <w:r>
              <w:rPr>
                <w:rFonts w:ascii="Times New Roman;sans-serif" w:hAnsi="Times New Roman;sans-serif"/>
                <w:b w:val="false"/>
                <w:color w:val="000000"/>
                <w:sz w:val="13"/>
              </w:rPr>
              <w:t>(g)</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Restructuring </w:t>
            </w:r>
            <w:r>
              <w:rPr>
                <w:rFonts w:ascii="Times New Roman;sans-serif" w:hAnsi="Times New Roman;sans-serif"/>
                <w:b w:val="false"/>
                <w:color w:val="000000"/>
                <w:sz w:val="13"/>
              </w:rPr>
              <w:t>(c)</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Transaction and integration related costs </w:t>
            </w:r>
            <w:r>
              <w:rPr>
                <w:rFonts w:ascii="Times New Roman;sans-serif" w:hAnsi="Times New Roman;sans-serif"/>
                <w:b w:val="false"/>
                <w:color w:val="000000"/>
                <w:sz w:val="13"/>
              </w:rPr>
              <w:t>(d)</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422,562 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448,187 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1,694,091 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and adjusted diluted net income per Ordinary Share</w:t>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259,998 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216,418 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612,335 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(income) / expense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459,854 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(a)</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Foreign currency (gains)/losses, net </w:t>
            </w:r>
            <w:r>
              <w:rPr>
                <w:rFonts w:ascii="Times New Roman;sans-serif" w:hAnsi="Times New Roman;sans-serif"/>
                <w:b w:val="false"/>
                <w:color w:val="000000"/>
                <w:sz w:val="13"/>
              </w:rPr>
              <w:t>(b)</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Restructuring </w:t>
            </w:r>
            <w:r>
              <w:rPr>
                <w:rFonts w:ascii="Times New Roman;sans-serif" w:hAnsi="Times New Roman;sans-serif"/>
                <w:b w:val="false"/>
                <w:color w:val="000000"/>
                <w:sz w:val="13"/>
              </w:rPr>
              <w:t>(c)</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Oncacare (gain) </w:t>
            </w:r>
            <w:r>
              <w:rPr>
                <w:rFonts w:ascii="Times New Roman;sans-serif" w:hAnsi="Times New Roman;sans-serif"/>
                <w:b w:val="false"/>
                <w:color w:val="000000"/>
                <w:sz w:val="13"/>
              </w:rPr>
              <w:t>(g)</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Transaction and integration related costs </w:t>
            </w:r>
            <w:r>
              <w:rPr>
                <w:rFonts w:ascii="Times New Roman;sans-serif" w:hAnsi="Times New Roman;sans-serif"/>
                <w:b w:val="false"/>
                <w:color w:val="000000"/>
                <w:sz w:val="13"/>
              </w:rPr>
              <w:t>(d)</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Transaction-related financing costs </w:t>
            </w:r>
            <w:r>
              <w:rPr>
                <w:rFonts w:ascii="Times New Roman;sans-serif" w:hAnsi="Times New Roman;sans-serif"/>
                <w:b w:val="false"/>
                <w:color w:val="000000"/>
                <w:sz w:val="13"/>
              </w:rPr>
              <w:t>(e)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Adjusted tax expense </w:t>
            </w:r>
            <w:r>
              <w:rPr>
                <w:rFonts w:ascii="Times New Roman;sans-serif" w:hAnsi="Times New Roman;sans-serif"/>
                <w:b w:val="false"/>
                <w:color w:val="000000"/>
                <w:sz w:val="13"/>
              </w:rPr>
              <w:t>(f)</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Adjusted net income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282,423 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287,507 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1,162,729 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1,058,177 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number of Ordinary Shares outstanding</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82,236,018 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83,112,757 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83,032,424 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82,717,640 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55" w:after="30"/>
              <w:jc w:val="left"/>
              <w:rPr>
                <w:rFonts w:ascii="Times New Roman;sans-serif" w:hAnsi="Times New Roman;sans-serif"/>
                <w:b/>
                <w:color w:val="000000"/>
                <w:sz w:val="20"/>
              </w:rPr>
            </w:pPr>
            <w:r>
              <w:rPr>
                <w:rFonts w:ascii="Times New Roman;sans-serif" w:hAnsi="Times New Roman;sans-serif"/>
                <w:b/>
                <w:color w:val="000000"/>
                <w:sz w:val="20"/>
              </w:rPr>
              <w:t>Adjusted diluted net income per Ordinary Share</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(a)Stock-based compensation expense represents the amount of recurring expense related to the company’s equity compensation programs (inclusive of employer related taxes).</w:t>
      </w:r>
    </w:p>
    <w:p>
      <w:pPr>
        <w:pStyle w:val="TextBody"/>
        <w:bidi w:val="0"/>
        <w:spacing w:lineRule="auto" w:line="333"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(b)Foreign currency (gains)/losses, net relates to gains or losses that arise in connection with the revaluation, or settlement, of non-US dollar denominated assets and liabilities. We exclude these gains and losses from adjusted EBITDA and adjusted net income because fluctuations from period- to- period do not necessarily correspond to changes in our operating results.</w:t>
      </w:r>
    </w:p>
    <w:p>
      <w:pPr>
        <w:pStyle w:val="TextBody"/>
        <w:bidi w:val="0"/>
        <w:spacing w:lineRule="auto" w:line="333"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(c)Restructuring relates to charges incurred in connection with the company's realignments of its workforce, with the elimination of redundant positions as well as reviewing its global office footprint and optimizing its locations to best fit the requirements of the company.</w:t>
      </w:r>
    </w:p>
    <w:p>
      <w:pPr>
        <w:pStyle w:val="TextBody"/>
        <w:bidi w:val="0"/>
        <w:spacing w:lineRule="auto" w:line="333"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(d)Transaction and integration related costs include expenses associated with our acquisitions and any other costs incurred directly related to the integration of these acquisitions.</w:t>
      </w:r>
    </w:p>
    <w:p>
      <w:pPr>
        <w:pStyle w:val="TextBody"/>
        <w:bidi w:val="0"/>
        <w:spacing w:lineRule="auto" w:line="333"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pStyle w:val="TextBody"/>
        <w:bidi w:val="0"/>
        <w:spacing w:lineRule="auto" w:line="333"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(f)Represents the tax effect of adjusted pre-tax income at our estimated effective tax rate.</w:t>
      </w:r>
    </w:p>
    <w:p>
      <w:pPr>
        <w:pStyle w:val="TextBody"/>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(g)On April 20, 2023, the Company completed the purchase of the majority investor’s 51% majority voting share capital of Oncacare Limited (“Oncacare”). This gave rise to an acquisition-related gain of $6.2 million. This gain was excluded from adjusted EBITDA and adjusted net income.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ICON plc</w:t>
      </w:r>
    </w:p>
    <w:p>
      <w:pPr>
        <w:pStyle w:val="TextBody"/>
        <w:bidi w:val="0"/>
        <w:spacing w:before="0" w:after="0"/>
        <w:jc w:val="left"/>
        <w:rPr/>
      </w:pPr>
      <w:r>
        <w:rPr/>
      </w:r>
    </w:p>
    <w:tbl>
      <w:tblPr>
        <w:tblW w:w="6105" w:type="dxa"/>
        <w:jc w:val="left"/>
        <w:tblInd w:w="0" w:type="dxa"/>
        <w:tblLayout w:type="fixed"/>
        <w:tblCellMar>
          <w:top w:w="28" w:type="dxa"/>
          <w:left w:w="28" w:type="dxa"/>
          <w:bottom w:w="28" w:type="dxa"/>
          <w:right w:w="28" w:type="dxa"/>
        </w:tblCellMar>
      </w:tblPr>
      <w:tblGrid>
        <w:gridCol w:w="298"/>
        <w:gridCol w:w="263"/>
        <w:gridCol w:w="264"/>
        <w:gridCol w:w="1542"/>
        <w:gridCol w:w="1542"/>
        <w:gridCol w:w="2196"/>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Contact:</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Investor Relations +1 888 381 7923 </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Nigel Clerkin Chief Financial Officer </w:t>
            </w:r>
            <w:r>
              <w:rPr>
                <w:rFonts w:ascii="Times New Roman;sans-serif" w:hAnsi="Times New Roman;sans-serif"/>
                <w:b w:val="false"/>
                <w:color w:val="000000"/>
                <w:sz w:val="20"/>
                <w:shd w:fill="FFFFFF" w:val="clear"/>
              </w:rPr>
              <w:t>+353 1 291 2000</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Kate Haven Vice President Investor Relations +1 888 381 7923</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http://www.iconplc.com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3128</Words>
  <Characters>17958</Characters>
  <CharactersWithSpaces>20789</CharactersWithSpaces>
  <Paragraphs>654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