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2011</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Ciaran Murray,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Ciaran.Murray@iconplc.com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July 19, 2011</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 Shareholders Vote in Favour of All Resolutions at Its Annual General Meeting</w:t>
      </w:r>
    </w:p>
    <w:p>
      <w:pPr>
        <w:spacing w:after="0" w:line="212" w:lineRule="exact"/>
        <w:rPr>
          <w:sz w:val="20"/>
          <w:szCs w:val="20"/>
          <w:color w:val="auto"/>
        </w:rPr>
      </w:pPr>
    </w:p>
    <w:p>
      <w:pPr>
        <w:ind w:right="380"/>
        <w:spacing w:after="0" w:line="238" w:lineRule="auto"/>
        <w:rPr>
          <w:sz w:val="20"/>
          <w:szCs w:val="20"/>
          <w:color w:val="auto"/>
        </w:rPr>
      </w:pPr>
      <w:r>
        <w:rPr>
          <w:rFonts w:ascii="Arial" w:cs="Arial" w:eastAsia="Arial" w:hAnsi="Arial"/>
          <w:sz w:val="22"/>
          <w:szCs w:val="22"/>
          <w:color w:val="auto"/>
        </w:rPr>
        <w:t xml:space="preserve">DUBLIN--(BUSINESS WIRE)--July 19, 2011--ICON plc advises that all resolutions recommended by the Board at the Annual General Meeting of the Company held on 18 July 2011 were duly passed by shareholders. These resolutions were set out in the Notice of the Annual General Meeting sent to shareholders on 17 June 2011 and are available on the ICON plc website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Ciaran Murray, CFO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100"/>
        <w:spacing w:after="0" w:line="252" w:lineRule="auto"/>
        <w:rPr>
          <w:sz w:val="20"/>
          <w:szCs w:val="20"/>
          <w:color w:val="auto"/>
        </w:rPr>
      </w:pPr>
      <w:r>
        <w:rPr>
          <w:rFonts w:ascii="Arial" w:cs="Arial" w:eastAsia="Arial" w:hAnsi="Arial"/>
          <w:sz w:val="21"/>
          <w:szCs w:val="21"/>
          <w:color w:val="auto"/>
        </w:rPr>
        <w:t>ICON plc (NASDAQ:ICLR) (ISIN:IE0005711209)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currently employs over 7,800 employees, operating from 77 locations in 39 countries.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Sam Farthing, VP Investor Relations</w:t>
      </w:r>
    </w:p>
    <w:p>
      <w:pPr>
        <w:spacing w:after="0" w:line="231" w:lineRule="auto"/>
        <w:rPr>
          <w:sz w:val="20"/>
          <w:szCs w:val="20"/>
          <w:color w:val="auto"/>
        </w:rPr>
      </w:pPr>
      <w:r>
        <w:rPr>
          <w:rFonts w:ascii="Arial" w:cs="Arial" w:eastAsia="Arial" w:hAnsi="Arial"/>
          <w:sz w:val="22"/>
          <w:szCs w:val="22"/>
          <w:color w:val="auto"/>
        </w:rPr>
        <w:t>Tel: 1-888-381-7923 / + 353 –1-291-2000</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Ciaran Murray Chief Financial Officer</w:t>
      </w:r>
    </w:p>
    <w:p>
      <w:pPr>
        <w:spacing w:after="0" w:line="231" w:lineRule="auto"/>
        <w:rPr>
          <w:sz w:val="20"/>
          <w:szCs w:val="20"/>
          <w:color w:val="auto"/>
        </w:rPr>
      </w:pPr>
      <w:r>
        <w:rPr>
          <w:rFonts w:ascii="Arial" w:cs="Arial" w:eastAsia="Arial" w:hAnsi="Arial"/>
          <w:sz w:val="22"/>
          <w:szCs w:val="22"/>
          <w:color w:val="auto"/>
        </w:rPr>
        <w:t>Tel: + 353 –1-291-2000</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 Vice President, Corporate Finance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Tel: + 353 –1-291-2000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2019-12-10T17:46:10Z</dcterms:created>
  <dcterms:modified xsi:type="dcterms:W3CDTF">2019-12-10T17:46:10Z</dcterms:modified>
</cp:coreProperties>
</file>