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color w:val="000000"/>
          <w:shd w:fill="FFFFFF" w:val="clear"/>
        </w:rPr>
      </w:pPr>
      <w:r>
        <w:rPr>
          <w:color w:val="000000"/>
          <w:shd w:fill="FFFFFF" w:val="clear"/>
        </w:rPr>
        <w:t> </w:t>
      </w:r>
      <w:r>
        <w:rPr>
          <w:rFonts w:ascii="Times New Roman;sans-serif" w:hAnsi="Times New Roman;sans-serif"/>
          <w:b/>
          <w:color w:val="000000"/>
          <w:sz w:val="20"/>
          <w:shd w:fill="FFFFFF" w:val="clear"/>
        </w:rPr>
        <w:t>FORM 6-K</w:t>
      </w:r>
    </w:p>
    <w:p>
      <w:pPr>
        <w:pStyle w:val="TextBody"/>
        <w:bidi w:val="0"/>
        <w:spacing w:lineRule="auto" w:line="240" w:before="0" w:after="0"/>
        <w:jc w:val="center"/>
        <w:rPr>
          <w:color w:val="000000"/>
          <w:shd w:fill="FFFFFF" w:val="clear"/>
        </w:rPr>
      </w:pPr>
      <w:r>
        <w:rPr>
          <w:color w:val="000000"/>
          <w:shd w:fill="FFFFFF" w:val="clear"/>
        </w:rPr>
        <w:t> </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AND EXCHANGE COMMISSION</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Washington, D.C. 20549</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Foreign Private Issuer</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Pursuant to Rule 13a-16 under</w:t>
      </w:r>
    </w:p>
    <w:p>
      <w:pPr>
        <w:pStyle w:val="TextBody"/>
        <w:bidi w:val="0"/>
        <w:spacing w:lineRule="auto" w:line="240" w:before="0" w:after="0"/>
        <w:jc w:val="center"/>
        <w:rPr>
          <w:shd w:fill="FFFFFF" w:val="clear"/>
        </w:rPr>
      </w:pPr>
      <w:r>
        <w:rPr>
          <w:rFonts w:ascii="Times New Roman;sans-serif" w:hAnsi="Times New Roman;sans-serif"/>
          <w:b w:val="false"/>
          <w:color w:val="000000"/>
          <w:sz w:val="20"/>
          <w:shd w:fill="FFFFFF" w:val="clear"/>
        </w:rPr>
        <w:t>t</w:t>
      </w:r>
      <w:r>
        <w:rPr>
          <w:rFonts w:ascii="Times New Roman;sans-serif" w:hAnsi="Times New Roman;sans-serif"/>
          <w:b/>
          <w:color w:val="000000"/>
          <w:sz w:val="20"/>
          <w:shd w:fill="FFFFFF" w:val="clear"/>
        </w:rPr>
        <w: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month of February 2024</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ICON plc</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(Translation of registrant's name into English)</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shd w:fill="FFFFFF" w:val="clear"/>
        </w:rPr>
      </w:pPr>
      <w:r>
        <w:rPr>
          <w:rFonts w:ascii="Times New Roman;sans-serif" w:hAnsi="Times New Roman;sans-serif"/>
          <w:b/>
          <w:color w:val="000000"/>
          <w:sz w:val="20"/>
          <w:shd w:fill="FFFFFF" w:val="clear"/>
        </w:rPr>
        <w:t>333-08704</w:t>
      </w:r>
      <w:r>
        <w:rPr>
          <w:color w:val="000000"/>
          <w:shd w:fill="FFFFFF" w:val="clear"/>
        </w:rPr>
        <w:t xml:space="preserv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(Commission file number)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South County Business Park, Leopardstown, Dublin 18, Ireland</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(Address of principal executive offices)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2"/>
        <w:gridCol w:w="1065"/>
        <w:gridCol w:w="1065"/>
        <w:gridCol w:w="1085"/>
        <w:gridCol w:w="1065"/>
        <w:gridCol w:w="1065"/>
        <w:gridCol w:w="1075"/>
        <w:gridCol w:w="1065"/>
        <w:gridCol w:w="1508"/>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files or will file annual reports under cover Form 20-F or Form 40-F.</w:t>
            </w:r>
          </w:p>
        </w:tc>
      </w:tr>
      <w:tr>
        <w:trPr/>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Form 20-F __</w:t>
            </w:r>
            <w:r>
              <w:rPr>
                <w:rFonts w:ascii="Times New Roman;sans-serif" w:hAnsi="Times New Roman;sans-serif"/>
                <w:b/>
                <w:color w:val="000000"/>
                <w:sz w:val="20"/>
              </w:rPr>
              <w:t>X</w:t>
            </w:r>
            <w:r>
              <w:rPr>
                <w:rFonts w:ascii="Times New Roman;sans-serif" w:hAnsi="Times New Roman;sans-serif"/>
                <w:b w:val="false"/>
                <w:color w:val="000000"/>
                <w:sz w:val="20"/>
              </w:rPr>
              <w:t>___</w:t>
            </w:r>
          </w:p>
        </w:tc>
        <w:tc>
          <w:tcPr>
            <w:tcW w:w="3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40-F ______</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submitting the Form 6-K in paper as permitted by Regulation S-T Rule 101(b)(1):</w:t>
            </w:r>
          </w:p>
        </w:tc>
      </w:tr>
      <w:tr>
        <w:trPr/>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Yes______</w:t>
            </w:r>
          </w:p>
        </w:tc>
        <w:tc>
          <w:tcPr>
            <w:tcW w:w="36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No___</w:t>
            </w:r>
            <w:r>
              <w:rPr>
                <w:rFonts w:ascii="Times New Roman;sans-serif" w:hAnsi="Times New Roman;sans-serif"/>
                <w:b/>
                <w:color w:val="000000"/>
                <w:sz w:val="20"/>
              </w:rPr>
              <w:t>X</w:t>
            </w:r>
            <w:r>
              <w:rPr>
                <w:rFonts w:ascii="Times New Roman;sans-serif" w:hAnsi="Times New Roman;sans-serif"/>
                <w:b w:val="false"/>
                <w:color w:val="000000"/>
                <w:sz w:val="20"/>
              </w:rPr>
              <w:t>___</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submitting the Form 6-K in paper as permitted by Regulation S-T Rule 101(b)(7):</w:t>
            </w:r>
          </w:p>
        </w:tc>
      </w:tr>
      <w:tr>
        <w:trPr/>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Yes______</w:t>
            </w:r>
          </w:p>
        </w:tc>
        <w:tc>
          <w:tcPr>
            <w:tcW w:w="36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No___</w:t>
            </w:r>
            <w:r>
              <w:rPr>
                <w:rFonts w:ascii="Times New Roman;sans-serif" w:hAnsi="Times New Roman;sans-serif"/>
                <w:b/>
                <w:color w:val="000000"/>
                <w:sz w:val="20"/>
              </w:rPr>
              <w:t>X</w:t>
            </w:r>
            <w:r>
              <w:rPr>
                <w:rFonts w:ascii="Times New Roman;sans-serif" w:hAnsi="Times New Roman;sans-serif"/>
                <w:b w:val="false"/>
                <w:color w:val="000000"/>
                <w:sz w:val="20"/>
              </w:rPr>
              <w:t>___</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EXHIBIT LIST</w:t>
      </w:r>
    </w:p>
    <w:p>
      <w:pPr>
        <w:pStyle w:val="TextBody"/>
        <w:bidi w:val="0"/>
        <w:spacing w:lineRule="auto" w:line="240" w:before="0" w:after="0"/>
        <w:jc w:val="left"/>
        <w:rPr>
          <w:color w:val="000000"/>
          <w:shd w:fill="FFFFFF" w:val="clear"/>
        </w:rPr>
      </w:pPr>
      <w:r>
        <w:rPr>
          <w:color w:val="000000"/>
          <w:shd w:fill="FFFFFF" w:val="clear"/>
        </w:rPr>
        <w:t> </w:t>
      </w:r>
    </w:p>
    <w:tbl>
      <w:tblPr>
        <w:tblW w:w="9631" w:type="dxa"/>
        <w:jc w:val="left"/>
        <w:tblInd w:w="0" w:type="dxa"/>
        <w:tblLayout w:type="fixed"/>
        <w:tblCellMar>
          <w:top w:w="28" w:type="dxa"/>
          <w:left w:w="28" w:type="dxa"/>
          <w:bottom w:w="28" w:type="dxa"/>
          <w:right w:w="28" w:type="dxa"/>
        </w:tblCellMar>
      </w:tblPr>
      <w:tblGrid>
        <w:gridCol w:w="266"/>
        <w:gridCol w:w="234"/>
        <w:gridCol w:w="236"/>
        <w:gridCol w:w="2605"/>
        <w:gridCol w:w="2605"/>
        <w:gridCol w:w="3685"/>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68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3pressrelease.htm">
              <w:r>
                <w:rPr>
                  <w:rStyle w:val="InternetLink"/>
                  <w:rFonts w:ascii="Times New Roman;sans-serif" w:hAnsi="Times New Roman;sans-serif"/>
                  <w:b w:val="false"/>
                  <w:color w:val="0000FF"/>
                  <w:sz w:val="20"/>
                  <w:u w:val="single"/>
                </w:rPr>
                <w:t>99.1</w:t>
              </w:r>
            </w:hyperlink>
          </w:p>
        </w:tc>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3pressrelease.htm">
              <w:r>
                <w:rPr>
                  <w:rStyle w:val="InternetLink"/>
                  <w:rFonts w:ascii="Times New Roman;sans-serif" w:hAnsi="Times New Roman;sans-serif"/>
                  <w:b w:val="false"/>
                  <w:color w:val="0000FF"/>
                  <w:sz w:val="20"/>
                  <w:u w:val="single"/>
                </w:rPr>
                <w:t>ICON plc Press Release issued February 21, 2024 - ICON Reports Fourth Quarter and Full Year 2023 Results</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lineRule="auto" w:line="240" w:before="0" w:after="0"/>
        <w:jc w:val="left"/>
        <w:rPr>
          <w:color w:val="000000"/>
          <w:shd w:fill="FFFFFF" w:val="clear"/>
        </w:rPr>
      </w:pPr>
      <w:r>
        <w:rPr>
          <w:color w:val="000000"/>
          <w:shd w:fill="FFFFFF" w:val="clear"/>
        </w:rPr>
        <w:t> </w:t>
      </w:r>
    </w:p>
    <w:p>
      <w:pPr>
        <w:pStyle w:val="TextBody"/>
        <w:bidi w:val="0"/>
        <w:spacing w:lineRule="auto" w:line="240" w:before="0" w:after="0"/>
        <w:jc w:val="left"/>
        <w:rPr>
          <w:color w:val="000000"/>
          <w:shd w:fill="FFFFFF" w:val="clear"/>
        </w:rPr>
      </w:pPr>
      <w:r>
        <w:rPr>
          <w:color w:val="000000"/>
          <w:shd w:fill="FFFFFF" w:val="clear"/>
        </w:rPr>
        <w:t> </w:t>
      </w:r>
    </w:p>
    <w:tbl>
      <w:tblPr>
        <w:tblW w:w="4421"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587"/>
        <w:gridCol w:w="587"/>
        <w:gridCol w:w="83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ICON plc</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Brendan Brennan</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21,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Brendan Brennan</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800225" cy="485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00225" cy="4857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0"/>
        <w:jc w:val="center"/>
        <w:rPr/>
      </w:pPr>
      <w:r>
        <w:rPr>
          <w:rFonts w:ascii="Times New Roman;sans-serif" w:hAnsi="Times New Roman;sans-serif"/>
          <w:b/>
          <w:color w:val="000000"/>
          <w:sz w:val="20"/>
        </w:rPr>
        <w:t>ICON Reports Fourth Quarter and Full Year 2023</w:t>
      </w:r>
      <w:r>
        <w:rPr>
          <w:color w:val="000000"/>
        </w:rPr>
        <w:t xml:space="preserve"> </w:t>
      </w:r>
      <w:r>
        <w:rPr>
          <w:rFonts w:ascii="Times New Roman;sans-serif" w:hAnsi="Times New Roman;sans-serif"/>
          <w:b/>
          <w:color w:val="000000"/>
          <w:sz w:val="20"/>
        </w:rPr>
        <w:t>Results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Highlights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Net business wins in the quarter of $2,531 million; a net book to bill of 1.22. Full year net business wins of $9,946 million; a net book to bill of 1.22.</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Closing backlog of $22.8 billion, an increase of 2.4% on quarter three 2023 and an increase of 10.0% on quarter four 2022.</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 xml:space="preserve">Quarter four revenue of $2,066.2 million representing an increase of 5.3% on prior year revenue. Full year revenue of $8,120.2 million representing a year on year increase of 4.9%.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 xml:space="preserve">Quarter four adjusted EBITDA of $448.2 million or 21.7% of revenue, an increase of 10.7% on quarter four 2022. Full year adjusted EBITDA of $1,694.1 million or 20.9% of revenue, representing a year on year increase of 14.5%.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 xml:space="preserve">GAAP net income for the quarter of $216.4 million or $2.60 per diluted share. Full year GAAP net income of $612.3 million or $7.40 per diluted share.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Quarter four adjusted net income was $287.5 million or $3.46 per diluted share, an increase of 10.5% on quarter four 2022 adjusted earnings per share. Full year adjusted net income of $1,058.2 million or $12.79 per diluted share, an increase of 8.9% on the prior year adjusted earnings per share.</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Days sales outstanding decreased from 49 days at September 30, 2023 to 47 days at December 31, 2023.</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$250.0 million repayment made on Term Loan B debt in quarter four bringing full year Term Loan B debt repayments to $950 million. Net debt balance of $3.4 billion at December 31, 2023 with net debt to adjusted EBITDA ratio of 2.0x.</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 quarter four 2023, S&amp;P Global Ratings and Moody's both upgraded ICON's debt instruments to an investment grade credit rating, providing the opportunity to reduce full-year interest expense by circa $100 million year over year in 2024.</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Board of Directors authorized a share repurchase program up to $500 million to be opportunistically deployed.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Re-affirming full-year 2024 financial guidance of revenue of $8,400 - $8,800 million, representing a year over year increase of 3.4% to 8.4%, and adjusted earnings per share* in the range of $14.50 - $15.30, representing a year over year increase of 13.4% to 19.6%. Adjusted earnings per share to exclude amortization, stock compensation, restructuring, foreign exchange and transaction-related / integrated-related adjustments.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0"/>
          <w:shd w:fill="FFFFFF" w:val="clear"/>
        </w:rPr>
        <w:t>Dublin, Ireland, February 21, 2024 – ICON plc (NASDAQ: ICLR), a world-leading healthcare intelligence and clinical research organization, today reported its financial results for the fourth quarter and year ended December 31, 2023</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CEO, Dr. Steve Cutler commented, “</w:t>
      </w:r>
      <w:r>
        <w:rPr>
          <w:rFonts w:ascii="Times New Roman;sans-serif" w:hAnsi="Times New Roman;sans-serif"/>
          <w:b w:val="false"/>
          <w:i/>
          <w:color w:val="000000"/>
          <w:sz w:val="20"/>
        </w:rPr>
        <w:t>With our focus on delivering innovative clinical development solutions, ICON’s solid performance in quarter four and the full year 2023 reflects continued market leadership across the customer segments we serve. Our team delivered strong financial results despite challenging macroeconomic conditions, resulting in full year adjusted EBITDA growth of 15% and adjusted EPS growth of 9% over full year 2022.</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i/>
          <w:color w:val="000000"/>
          <w:sz w:val="20"/>
        </w:rPr>
        <w:t>We remain encouraged by the positive demand environment as we enter this year, and as such, reaffirm our previously issued financial guidance for the full year 2024, with revenue in the range of $8,400 - $8,800 million, and adjusted earnings per share in the range of $14.50 - $15.30.</w:t>
      </w:r>
      <w:r>
        <w:rPr>
          <w:color w:val="000000"/>
        </w:rPr>
        <w: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Fourth Quarter 2023 Results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business wins in the fourth quarter were $2,992 million and cancellations were $461 million. This resulted in net business wins of $2,531 million and a book to bill of 1.22.</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for the fourth quarter was $2,066.2 million. This represents an increase of 5.3% on prior year revenue or 4.1% on a constant currency basis.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GAAP net income was $216.4 million resulting in $2.60 diluted earnings per share in quarter four 2023 compared to $1.42 diluted earnings per share in quarter four 2022. Adjusted net income for the quarter was $287.5 million resulting in an adjusted diluted earnings per share of $3.46 compared to $3.13 per share for the fourth quarter 2022.</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for the fourth quarter was $448.2 million or 21.7% of revenue, a year-on-year increase of 10.7%. </w:t>
      </w:r>
    </w:p>
    <w:p>
      <w:pPr>
        <w:pStyle w:val="TextBody"/>
        <w:bidi w:val="0"/>
        <w:spacing w:before="0" w:after="0"/>
        <w:jc w:val="left"/>
        <w:rPr/>
      </w:pPr>
      <w:r>
        <w:rPr/>
      </w:r>
    </w:p>
    <w:p>
      <w:pPr>
        <w:pStyle w:val="TextBody"/>
        <w:bidi w:val="0"/>
        <w:spacing w:lineRule="auto" w:line="24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on adjusted net income in quarter four was 15.2%.</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generated from operating activities for the quarter was $440.1 million. During the quarter $52.7 million was spent on capital expenditure. At December 31, 2023, the Group had cash and cash equivalents of $378.1 million, compared to cash and cash equivalents of $313.1 million at September 30, 2023 and $288.8 million at December 31, 2022. $65 million of the revolving credit facility was drawn down in the quarter and $85 million was repaid. Additionally, $250.0 million of Term Loan B payments were made during the quarter resulting in a net indebtedness of $3.4 billion at December 31, 2023.</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Full Year 2023 Results</w:t>
      </w:r>
    </w:p>
    <w:p>
      <w:pPr>
        <w:pStyle w:val="TextBody"/>
        <w:bidi w:val="0"/>
        <w:spacing w:before="0" w:after="0"/>
        <w:jc w:val="left"/>
        <w:rPr/>
      </w:pPr>
      <w:r>
        <w:rPr/>
      </w:r>
    </w:p>
    <w:p>
      <w:pPr>
        <w:pStyle w:val="TextBody"/>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business wins were $11,765 million and cancellations were $1,819 million. This resulted in net business wins of $9,946 million and a book to bill of 1.22.</w:t>
      </w:r>
    </w:p>
    <w:p>
      <w:pPr>
        <w:pStyle w:val="TextBody"/>
        <w:bidi w:val="0"/>
        <w:spacing w:before="0" w:after="0"/>
        <w:jc w:val="left"/>
        <w:rPr/>
      </w:pPr>
      <w:r>
        <w:rPr/>
      </w:r>
    </w:p>
    <w:p>
      <w:pPr>
        <w:pStyle w:val="TextBody"/>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Full year revenue was $8,120.2 million. This represents a year on year increase of 4.9% on a reported basis and 4.6% on a constant currency basis.</w:t>
      </w:r>
    </w:p>
    <w:p>
      <w:pPr>
        <w:pStyle w:val="TextBody"/>
        <w:bidi w:val="0"/>
        <w:spacing w:before="0" w:after="0"/>
        <w:jc w:val="left"/>
        <w:rPr/>
      </w:pPr>
      <w:r>
        <w:rPr/>
      </w:r>
    </w:p>
    <w:p>
      <w:pPr>
        <w:pStyle w:val="TextBody"/>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GAAP net income was $612.3 million resulting in $7.40 diluted earnings per share for the full year 2023. Adjusted net income was $1,058.2 million resulting in an adjusted diluted earnings per share of $12.79 compared to $11.75 per share for the equivalent prior year period.</w:t>
      </w:r>
    </w:p>
    <w:p>
      <w:pPr>
        <w:pStyle w:val="TextBody"/>
        <w:bidi w:val="0"/>
        <w:spacing w:before="0" w:after="0"/>
        <w:jc w:val="left"/>
        <w:rPr/>
      </w:pPr>
      <w:r>
        <w:rPr/>
      </w:r>
    </w:p>
    <w:p>
      <w:pPr>
        <w:pStyle w:val="TextBody"/>
        <w:bidi w:val="0"/>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was $1,694.1 million or 20.9% of revenue, a year on year increase of 14.5%.</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on adjusted net income in 2023 was 15.5%.</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generated from operating activities in 2023 was $1,161.0 million. $140.7 million was spent on capital expenditure. $370 million of the revolving credit facility was drawn down and $315 million was repaid. Additionally, $950.0 million of Term Loan B payments were made in the year.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Information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financial measures prepared in accordance with generally accepted accounting principles (GAAP), this press release contains certain non-GAAP financial measures, including adjusted EBITDA, adjusted net income and adjusted diluted earnings per share. Adjusted EBITDA, adjusted net income and adjusted diluted earnings per share exclude amortization, stock compensation, foreign exchange gains and losses, restructuring and transaction-related / integration-related adjustments. While non-GAAP financial measures are not superior to or a substitute for the comparable GAAP measures, ICON believes certain non-GAAP information is useful to investors for historical comparison purposes.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ICON will hold a conference call on February 22, 2024 at 08:00 EST [13:00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Our full-year 2024 guidance adjusted earnings per share measures are provided on a non-GAAP basis because the company is unable to predict with a reasonable degree of certainty certain items contained in the GAAP measures without unreasonable efforts. For the same reasons, the Company is unable to address the probable significance of the unavailable information.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41,100 employees in 106 locations in 53 countries as at December 31, 2023. For further information about ICON, visit: www.iconplc.com.</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Source: ICON plc</w:t>
      </w:r>
    </w:p>
    <w:p>
      <w:pPr>
        <w:pStyle w:val="TextBody"/>
        <w:bidi w:val="0"/>
        <w:spacing w:before="0" w:after="0"/>
        <w:jc w:val="left"/>
        <w:rPr/>
      </w:pPr>
      <w:r>
        <w:rPr/>
      </w:r>
    </w:p>
    <w:p>
      <w:pPr>
        <w:pStyle w:val="TextBody"/>
        <w:bidi w:val="0"/>
        <w:spacing w:lineRule="auto" w:line="240"/>
        <w:jc w:val="left"/>
        <w:rPr>
          <w:rFonts w:ascii="Times New Roman;sans-serif" w:hAnsi="Times New Roman;sans-serif"/>
          <w:b w:val="false"/>
          <w:color w:val="000000"/>
          <w:sz w:val="20"/>
        </w:rPr>
      </w:pPr>
      <w:r>
        <w:rPr>
          <w:rFonts w:ascii="Times New Roman;sans-serif" w:hAnsi="Times New Roman;sans-serif"/>
          <w:b w:val="false"/>
          <w:color w:val="000000"/>
          <w:sz w:val="20"/>
        </w:rPr>
        <w:t>ICON/ICLR-F</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ICON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AND TWELVE MONTHS ENDED DECEMBER 31, 2023 AND DECEMBER 31, 2022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before="0" w:after="0"/>
        <w:ind w:left="0" w:right="0" w:firstLine="45"/>
        <w:jc w:val="center"/>
        <w:rPr/>
      </w:pPr>
      <w:r>
        <w:rPr/>
      </w:r>
    </w:p>
    <w:tbl>
      <w:tblPr>
        <w:tblW w:w="10205" w:type="dxa"/>
        <w:jc w:val="left"/>
        <w:tblInd w:w="0" w:type="dxa"/>
        <w:tblLayout w:type="fixed"/>
        <w:tblCellMar>
          <w:top w:w="28" w:type="dxa"/>
          <w:left w:w="28" w:type="dxa"/>
          <w:bottom w:w="28" w:type="dxa"/>
          <w:right w:w="28" w:type="dxa"/>
        </w:tblCellMar>
      </w:tblPr>
      <w:tblGrid>
        <w:gridCol w:w="1251"/>
        <w:gridCol w:w="985"/>
        <w:gridCol w:w="1001"/>
        <w:gridCol w:w="233"/>
        <w:gridCol w:w="1039"/>
        <w:gridCol w:w="129"/>
        <w:gridCol w:w="109"/>
        <w:gridCol w:w="109"/>
        <w:gridCol w:w="109"/>
        <w:gridCol w:w="233"/>
        <w:gridCol w:w="1039"/>
        <w:gridCol w:w="129"/>
        <w:gridCol w:w="109"/>
        <w:gridCol w:w="109"/>
        <w:gridCol w:w="109"/>
        <w:gridCol w:w="233"/>
        <w:gridCol w:w="1039"/>
        <w:gridCol w:w="129"/>
        <w:gridCol w:w="109"/>
        <w:gridCol w:w="109"/>
        <w:gridCol w:w="109"/>
        <w:gridCol w:w="233"/>
        <w:gridCol w:w="1039"/>
        <w:gridCol w:w="129"/>
        <w:gridCol w:w="109"/>
        <w:gridCol w:w="109"/>
        <w:gridCol w:w="165"/>
      </w:tblGrid>
      <w:tr>
        <w:trPr/>
        <w:tc>
          <w:tcPr>
            <w:tcW w:w="125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tc>
        <w:tc>
          <w:tcPr>
            <w:tcW w:w="383" w:type="dxa"/>
            <w:gridSpan w:val="3"/>
            <w:tcBorders/>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2,066,248 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1,962,002 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8,120,176 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7,741,386 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 costs (excluding depreciation and amortization)</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1,445,727 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1,380,679 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5,719,949 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5,527,045 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195,560 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226,753 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768,559 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778,753 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149,733 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142,228 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585,950 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569,513 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integration related</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44,176 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39,695 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31,143 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1,800,680 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1,758,638 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7,164,024 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6,946,149 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265,568 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203,364 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956,152 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795,237 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(81,034)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(75,185)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(336,699)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(229,731)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 expense</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128,797 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624,467 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567,851 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30,164 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(59,411)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share of losses from equity method investments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612,718 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508,440 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losses from equity method investments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216,418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117,445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612,335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505,304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Ordinary Share:</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Ordinary Shares outstanding:</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82,399,478 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81,683,430 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82,101,813 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81,532,320 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2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83,112,757 </w:t>
            </w:r>
          </w:p>
        </w:tc>
        <w:tc>
          <w:tcPr>
            <w:tcW w:w="1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82,452,097 </w:t>
            </w:r>
          </w:p>
        </w:tc>
        <w:tc>
          <w:tcPr>
            <w:tcW w:w="1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82,717,640 </w:t>
            </w:r>
          </w:p>
        </w:tc>
        <w:tc>
          <w:tcPr>
            <w:tcW w:w="1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82,468,363 </w:t>
            </w:r>
          </w:p>
        </w:tc>
        <w:tc>
          <w:tcPr>
            <w:tcW w:w="1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ICON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5039" w:type="dxa"/>
        <w:jc w:val="center"/>
        <w:tblInd w:w="0" w:type="dxa"/>
        <w:tblLayout w:type="fixed"/>
        <w:tblCellMar>
          <w:top w:w="28" w:type="dxa"/>
          <w:left w:w="28" w:type="dxa"/>
          <w:bottom w:w="28" w:type="dxa"/>
          <w:right w:w="28" w:type="dxa"/>
        </w:tblCellMar>
      </w:tblPr>
      <w:tblGrid>
        <w:gridCol w:w="1612"/>
        <w:gridCol w:w="1417"/>
        <w:gridCol w:w="2010"/>
      </w:tblGrid>
      <w:tr>
        <w:trPr/>
        <w:tc>
          <w:tcPr>
            <w:tcW w:w="1612"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AT DECEMBER 31, 2023 AND DECEMBER 31, 2022</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r>
    </w:tbl>
    <w:tbl>
      <w:tblPr>
        <w:tblW w:w="9355" w:type="dxa"/>
        <w:jc w:val="center"/>
        <w:tblInd w:w="0" w:type="dxa"/>
        <w:tblLayout w:type="fixed"/>
        <w:tblCellMar>
          <w:top w:w="28" w:type="dxa"/>
          <w:left w:w="28" w:type="dxa"/>
          <w:bottom w:w="28" w:type="dxa"/>
          <w:right w:w="28" w:type="dxa"/>
        </w:tblCellMar>
      </w:tblPr>
      <w:tblGrid>
        <w:gridCol w:w="2139"/>
        <w:gridCol w:w="1874"/>
        <w:gridCol w:w="1881"/>
        <w:gridCol w:w="239"/>
        <w:gridCol w:w="1173"/>
        <w:gridCol w:w="133"/>
        <w:gridCol w:w="109"/>
        <w:gridCol w:w="109"/>
        <w:gridCol w:w="109"/>
        <w:gridCol w:w="237"/>
        <w:gridCol w:w="1166"/>
        <w:gridCol w:w="186"/>
      </w:tblGrid>
      <w:tr>
        <w:trPr/>
        <w:tc>
          <w:tcPr>
            <w:tcW w:w="2139"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4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378,102 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288,768 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 for sale investments</w:t>
            </w:r>
          </w:p>
        </w:tc>
        <w:tc>
          <w:tcPr>
            <w:tcW w:w="1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 for credit losses</w:t>
            </w:r>
          </w:p>
        </w:tc>
        <w:tc>
          <w:tcPr>
            <w:tcW w:w="1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1,790,322 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1,731,388 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revenue</w:t>
            </w:r>
          </w:p>
        </w:tc>
        <w:tc>
          <w:tcPr>
            <w:tcW w:w="1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951,936 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957,655 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1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65,797 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63,658 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Prepayments and other current assets</w:t>
            </w:r>
          </w:p>
        </w:tc>
        <w:tc>
          <w:tcPr>
            <w:tcW w:w="1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132,105 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137,094 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receivable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48,790 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41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3,411,470 </w:t>
            </w:r>
          </w:p>
        </w:tc>
        <w:tc>
          <w:tcPr>
            <w:tcW w:w="13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3,229,066 </w:t>
            </w:r>
          </w:p>
        </w:tc>
        <w:tc>
          <w:tcPr>
            <w:tcW w:w="1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Assets: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361,184 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350,320 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9,022,075 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8,971,670 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3,855,865 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4,278,659 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right-of-use assets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140,333 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153,832 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70,790 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receivable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21,380 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Investments in equity- long term </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3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16,989,863 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17,185,278 </w:t>
            </w:r>
          </w:p>
        </w:tc>
        <w:tc>
          <w:tcPr>
            <w:tcW w:w="1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SHAREHOLDERS’ EQUITY</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131,584 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1,654,507 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1,507,449 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915,399 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1,005,025 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41,783 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bank credit lines and loan facilities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4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2,825,608 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2,690,601 </w:t>
            </w:r>
          </w:p>
        </w:tc>
        <w:tc>
          <w:tcPr>
            <w:tcW w:w="1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Liabilities: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bank credit lines and loan facilities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3,665,439 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4,599,037 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131,644 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other liabilities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income taxes payable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899,100 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988,585 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4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7,749,120 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8,687,315 </w:t>
            </w:r>
          </w:p>
        </w:tc>
        <w:tc>
          <w:tcPr>
            <w:tcW w:w="1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Shareholders' Equity:</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Ordinary shares, par value 6 euro cents per share; 100,000,000 shares authorized,</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82,495,086 shares issued and outstanding at December 31, 2023 and</w:t>
              <w:br/>
              <w:t>81,723,555 shares issued and outstanding at December 31, 2022.</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w:t>
              <w:noBreakHyphen/>
              <w:t>in capital</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6,942,669 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6,840,306 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undenominated capital</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(143,506)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(171,538)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2,433,719 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1,821,384 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Shareholders' Equity</w:t>
            </w:r>
          </w:p>
        </w:tc>
        <w:tc>
          <w:tcPr>
            <w:tcW w:w="14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9,240,743 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8,497,963 </w:t>
            </w:r>
          </w:p>
        </w:tc>
        <w:tc>
          <w:tcPr>
            <w:tcW w:w="1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Shareholders' Equity</w:t>
            </w:r>
          </w:p>
        </w:tc>
        <w:tc>
          <w:tcPr>
            <w:tcW w:w="23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16,989,863 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17,185,278 </w:t>
            </w:r>
          </w:p>
        </w:tc>
        <w:tc>
          <w:tcPr>
            <w:tcW w:w="1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ICON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TWELVE MONTHS ENDED DECEMBER 31, 2023 AND DECEMBER 31, 2022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9576" w:type="dxa"/>
        <w:jc w:val="left"/>
        <w:tblInd w:w="0" w:type="dxa"/>
        <w:tblLayout w:type="fixed"/>
        <w:tblCellMar>
          <w:top w:w="28" w:type="dxa"/>
          <w:left w:w="28" w:type="dxa"/>
          <w:bottom w:w="28" w:type="dxa"/>
          <w:right w:w="28" w:type="dxa"/>
        </w:tblCellMar>
      </w:tblPr>
      <w:tblGrid>
        <w:gridCol w:w="2097"/>
        <w:gridCol w:w="1839"/>
        <w:gridCol w:w="1853"/>
        <w:gridCol w:w="286"/>
        <w:gridCol w:w="1099"/>
        <w:gridCol w:w="159"/>
        <w:gridCol w:w="109"/>
        <w:gridCol w:w="109"/>
        <w:gridCol w:w="109"/>
        <w:gridCol w:w="286"/>
        <w:gridCol w:w="1099"/>
        <w:gridCol w:w="159"/>
        <w:gridCol w:w="109"/>
        <w:gridCol w:w="109"/>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612,335 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505,304 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585,950 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569,513 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 lived assets</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28,767 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 in carrying value of operating right-of-use assets</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41,546 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45,215 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equity method investments</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related gain</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(6,160)</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Charge on cash flow hedge</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financing costs and debt discount</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 expense</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55,667 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70,523 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benefit</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(85,403)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(124,985)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exchange movements</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19,706 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(13,009)</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Changes in operating assets and liabilities:</w:t>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(83,296)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(420,695)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revenue</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(332,592)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134,566 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192,944 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 assets</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(170,810)</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38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1,161,027 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563,315 </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plant and equipment</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(140,692)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(142,160)</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subsidiary undertakings (net of cash acquired)</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(71,766)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 of available for sale investments</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available for sale investments</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(2,857)</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investments in equity - long term</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investments in equity - long term</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(13,954)</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38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(226,653)</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(145,867)</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Drawdown of credit lines and facilities</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credit lines and facilities</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(1,265,000)</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(875,000)</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equity compensation</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50,973 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35,844 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issue costs</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ordinary shares</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(99,983)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repurchase costs</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38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(844,043)</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(864,173)</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movements on cash</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(16,720)</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increase/(decrease) in cash and cash equivalents</w:t>
            </w:r>
          </w:p>
        </w:tc>
        <w:tc>
          <w:tcPr>
            <w:tcW w:w="13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89,334</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(463,445)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year</w:t>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288,768 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752,213 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at end of year</w:t>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378,102</w:t>
            </w:r>
            <w:r>
              <w:rPr>
                <w:color w:val="000000"/>
              </w:rPr>
              <w:t>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288,768</w:t>
            </w:r>
            <w:r>
              <w:rPr>
                <w:color w:val="000000"/>
              </w:rPr>
              <w:t>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ICON plc</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NON-GAAP MEASURES</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THREE AND TWELVE MONTHS ENDED DECEMBER 31, 2023 AND DECEMBER 31, 2022 </w:t>
      </w:r>
    </w:p>
    <w:p>
      <w:pPr>
        <w:pStyle w:val="TextBody"/>
        <w:bidi w:val="0"/>
        <w:spacing w:lineRule="auto" w:line="333"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13"/>
        <w:gridCol w:w="1055"/>
        <w:gridCol w:w="1057"/>
        <w:gridCol w:w="257"/>
        <w:gridCol w:w="914"/>
        <w:gridCol w:w="134"/>
        <w:gridCol w:w="109"/>
        <w:gridCol w:w="109"/>
        <w:gridCol w:w="109"/>
        <w:gridCol w:w="257"/>
        <w:gridCol w:w="914"/>
        <w:gridCol w:w="134"/>
        <w:gridCol w:w="109"/>
        <w:gridCol w:w="109"/>
        <w:gridCol w:w="109"/>
        <w:gridCol w:w="226"/>
        <w:gridCol w:w="1007"/>
        <w:gridCol w:w="125"/>
        <w:gridCol w:w="109"/>
        <w:gridCol w:w="109"/>
        <w:gridCol w:w="109"/>
        <w:gridCol w:w="226"/>
        <w:gridCol w:w="1007"/>
        <w:gridCol w:w="125"/>
        <w:gridCol w:w="109"/>
        <w:gridCol w:w="164"/>
      </w:tblGrid>
      <w:tr>
        <w:trPr/>
        <w:tc>
          <w:tcPr>
            <w:tcW w:w="151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tc>
        <w:tc>
          <w:tcPr>
            <w:tcW w:w="273" w:type="dxa"/>
            <w:gridSpan w:val="2"/>
            <w:tcBorders/>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216,418 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117,445 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612,335 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505,304 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losses from equity method investments</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(30,164)</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59,411 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interest expense </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79,314 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74,567 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331,685 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227,386 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149,733 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142,228 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585,950 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569,513 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18"/>
              </w:rPr>
              <w:t xml:space="preserve">Stock-based compensation expense </w:t>
            </w:r>
            <w:r>
              <w:rPr>
                <w:rFonts w:ascii="Times New Roman;sans-serif" w:hAnsi="Times New Roman;sans-serif"/>
                <w:b w:val="false"/>
                <w:color w:val="000000"/>
                <w:sz w:val="12"/>
              </w:rPr>
              <w:t>(a)</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55,667 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69,889 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18"/>
              </w:rPr>
              <w:t xml:space="preserve">Foreign currency losses/(gains), net </w:t>
            </w:r>
            <w:r>
              <w:rPr>
                <w:rFonts w:ascii="Times New Roman;sans-serif" w:hAnsi="Times New Roman;sans-serif"/>
                <w:b w:val="false"/>
                <w:color w:val="000000"/>
                <w:sz w:val="12"/>
              </w:rPr>
              <w:t>(b)</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(25,997)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18"/>
              </w:rPr>
              <w:t xml:space="preserve">Oncacare (gain) </w:t>
            </w:r>
            <w:r>
              <w:rPr>
                <w:rFonts w:ascii="Times New Roman;sans-serif" w:hAnsi="Times New Roman;sans-serif"/>
                <w:b w:val="false"/>
                <w:color w:val="000000"/>
                <w:sz w:val="12"/>
              </w:rPr>
              <w:t>(g)</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18"/>
              </w:rPr>
              <w:t xml:space="preserve">Restructuring </w:t>
            </w:r>
            <w:r>
              <w:rPr>
                <w:rFonts w:ascii="Times New Roman;sans-serif" w:hAnsi="Times New Roman;sans-serif"/>
                <w:b w:val="false"/>
                <w:color w:val="000000"/>
                <w:sz w:val="12"/>
              </w:rPr>
              <w:t>(c)</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45,390 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31,143 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18"/>
              </w:rPr>
              <w:t xml:space="preserve">Transaction and integration related costs </w:t>
            </w:r>
            <w:r>
              <w:rPr>
                <w:rFonts w:ascii="Times New Roman;sans-serif" w:hAnsi="Times New Roman;sans-serif"/>
                <w:b w:val="false"/>
                <w:color w:val="000000"/>
                <w:sz w:val="12"/>
              </w:rPr>
              <w:t>(d)</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44,176 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39,695 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448,187 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405,016 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1,694,091 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1,479,480 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 and adjusted diluted net income per Ordinary Share</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216,418 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117,445 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612,335 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505,304 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(30,164)</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59,411 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115,986 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114,969 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459,854 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463,087 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18"/>
              </w:rPr>
              <w:t xml:space="preserve">Stock-based compensation expense </w:t>
            </w:r>
            <w:r>
              <w:rPr>
                <w:rFonts w:ascii="Times New Roman;sans-serif" w:hAnsi="Times New Roman;sans-serif"/>
                <w:b w:val="false"/>
                <w:color w:val="000000"/>
                <w:sz w:val="12"/>
              </w:rPr>
              <w:t>(a)</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55,667 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69,889 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18"/>
              </w:rPr>
              <w:t xml:space="preserve">Foreign currency losses/(gains), net </w:t>
            </w:r>
            <w:r>
              <w:rPr>
                <w:rFonts w:ascii="Times New Roman;sans-serif" w:hAnsi="Times New Roman;sans-serif"/>
                <w:b w:val="false"/>
                <w:color w:val="000000"/>
                <w:sz w:val="12"/>
              </w:rPr>
              <w:t>(b)</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(25,997)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18"/>
              </w:rPr>
              <w:t xml:space="preserve">Restructuring </w:t>
            </w:r>
            <w:r>
              <w:rPr>
                <w:rFonts w:ascii="Times New Roman;sans-serif" w:hAnsi="Times New Roman;sans-serif"/>
                <w:b w:val="false"/>
                <w:color w:val="000000"/>
                <w:sz w:val="12"/>
              </w:rPr>
              <w:t>(c)</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45,390 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31,143 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18"/>
              </w:rPr>
              <w:t xml:space="preserve">Oncacare (gain) </w:t>
            </w:r>
            <w:r>
              <w:rPr>
                <w:rFonts w:ascii="Times New Roman;sans-serif" w:hAnsi="Times New Roman;sans-serif"/>
                <w:b w:val="false"/>
                <w:color w:val="000000"/>
                <w:sz w:val="12"/>
              </w:rPr>
              <w:t>(g)</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18"/>
              </w:rPr>
              <w:t xml:space="preserve">Transaction and integration related costs </w:t>
            </w:r>
            <w:r>
              <w:rPr>
                <w:rFonts w:ascii="Times New Roman;sans-serif" w:hAnsi="Times New Roman;sans-serif"/>
                <w:b w:val="false"/>
                <w:color w:val="000000"/>
                <w:sz w:val="12"/>
              </w:rPr>
              <w:t>(d)</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44,176 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39,695 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18"/>
              </w:rPr>
              <w:t xml:space="preserve">Transaction-related financing costs </w:t>
            </w:r>
            <w:r>
              <w:rPr>
                <w:rFonts w:ascii="Times New Roman;sans-serif" w:hAnsi="Times New Roman;sans-serif"/>
                <w:b w:val="false"/>
                <w:color w:val="000000"/>
                <w:sz w:val="12"/>
              </w:rPr>
              <w:t>(e)</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18"/>
              </w:rPr>
              <w:t xml:space="preserve">Adjusted tax expense </w:t>
            </w:r>
            <w:r>
              <w:rPr>
                <w:rFonts w:ascii="Times New Roman;sans-serif" w:hAnsi="Times New Roman;sans-serif"/>
                <w:b w:val="false"/>
                <w:color w:val="000000"/>
                <w:sz w:val="12"/>
              </w:rPr>
              <w:t>(f)</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(51,535)</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(49,174)</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(194,152)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(191,667)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Adjusted net income </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287,507 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257,728 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1,058,177 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968,679 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weighted average number of Ordinary Shares outstanding</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83,112,757 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82,452,097 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82,717,640 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82,468,363 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left"/>
              <w:rPr>
                <w:rFonts w:ascii="Times New Roman;sans-serif" w:hAnsi="Times New Roman;sans-serif"/>
                <w:b/>
                <w:color w:val="000000"/>
                <w:sz w:val="18"/>
              </w:rPr>
            </w:pPr>
            <w:r>
              <w:rPr>
                <w:rFonts w:ascii="Times New Roman;sans-serif" w:hAnsi="Times New Roman;sans-serif"/>
                <w:b/>
                <w:color w:val="000000"/>
                <w:sz w:val="18"/>
              </w:rPr>
              <w:t>Adjusted diluted net income per Ordinary Share</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(a)Stock-based compensation expense represents the amount of recurring expense related to the Company’s equity compensation programs (inclusive of employer related taxes).</w:t>
      </w:r>
    </w:p>
    <w:p>
      <w:pPr>
        <w:pStyle w:val="TextBody"/>
        <w:bidi w:val="0"/>
        <w:spacing w:lineRule="auto" w:line="333"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(b)Foreign currency losses (gains), net relates to gains or losses that arise in connection with the revaluation of non-US dollar denominated assets and liabilities. We exclude these gains and losses from adjusted EBITDA and adjusted net income because fluctuations from period- to- period do not necessarily correspond to changes in our operating results.</w:t>
      </w:r>
    </w:p>
    <w:p>
      <w:pPr>
        <w:pStyle w:val="TextBody"/>
        <w:bidi w:val="0"/>
        <w:spacing w:lineRule="auto" w:line="333"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(c)Restructuring relates to charges incurred in connection with the company's realignments of its workforce, with the elimination of redundant positions as well as reviewing its global office footprint and optimizing its locations to best fit the requirements of the company.</w:t>
      </w:r>
    </w:p>
    <w:p>
      <w:pPr>
        <w:pStyle w:val="TextBody"/>
        <w:bidi w:val="0"/>
        <w:spacing w:lineRule="auto" w:line="333"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(d)Transaction and integration related costs include expenses/credits associated with our acquisitions and any other costs incurred directly related to the integration of these acquisitions.</w:t>
      </w:r>
    </w:p>
    <w:p>
      <w:pPr>
        <w:pStyle w:val="TextBody"/>
        <w:bidi w:val="0"/>
        <w:spacing w:lineRule="auto" w:line="333"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(e)Transaction-related financing costs includes costs incurred in connection with changes to our long-term debt and amortization of financing fees. We exclude these costs from adjusted EBITDA and adjusted net income because they result from financing decisions rather than from decisions made related to our ongoing operations.</w:t>
      </w:r>
    </w:p>
    <w:p>
      <w:pPr>
        <w:pStyle w:val="TextBody"/>
        <w:bidi w:val="0"/>
        <w:spacing w:lineRule="auto" w:line="333"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(f)Represents the tax effect of adjusted pre-tax income at our estimated effective tax rate.</w:t>
      </w:r>
    </w:p>
    <w:p>
      <w:pPr>
        <w:pStyle w:val="TextBody"/>
        <w:bidi w:val="0"/>
        <w:spacing w:lineRule="auto" w:line="333"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(g)On April 20, 2023, the Company completed the purchase of the majority investor’s 51% majority voting share capital of Oncacare Limited (“Oncacare”). This gave rise to an acquisition-related gain of $6.2 million. This gain was excluded from adjusted EBITDA and adjusted net income.</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ICON plc</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Contact:        Investor Relations +1 888 381 7923 or</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Brendan Brennan Chief Financial Officer +353 1 291 2000</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Kate Haven Vice President Investor Relations +1888 381 7923</w:t>
      </w:r>
    </w:p>
    <w:p>
      <w:pPr>
        <w:pStyle w:val="TextBody"/>
        <w:bidi w:val="0"/>
        <w:spacing w:lineRule="auto" w:line="240"/>
        <w:jc w:val="left"/>
        <w:rPr>
          <w:color w:val="000000"/>
        </w:rPr>
      </w:pPr>
      <w:r>
        <w:rPr>
          <w:color w:val="000000"/>
        </w:rPr>
        <w:t>        </w:t>
      </w:r>
      <w:r>
        <w:rPr>
          <w:rFonts w:ascii="Times New Roman;sans-serif" w:hAnsi="Times New Roman;sans-serif"/>
          <w:b w:val="false"/>
          <w:color w:val="000000"/>
          <w:sz w:val="20"/>
        </w:rPr>
        <w:t>http://www.iconplc.com</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3031</Words>
  <Characters>17487</Characters>
  <CharactersWithSpaces>20253</CharactersWithSpaces>
  <Paragraphs>646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