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00" w:lineRule="exact"/>
        <w:rPr>
          <w:sz w:val="24"/>
          <w:szCs w:val="24"/>
          <w:color w:val="auto"/>
        </w:rPr>
      </w:pPr>
    </w:p>
    <w:p>
      <w:pPr>
        <w:spacing w:after="0" w:line="29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00" w:lineRule="exact"/>
        <w:rPr>
          <w:sz w:val="24"/>
          <w:szCs w:val="24"/>
          <w:color w:val="auto"/>
        </w:rPr>
      </w:pPr>
    </w:p>
    <w:p>
      <w:pPr>
        <w:spacing w:after="0" w:line="282"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7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July, 2010</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0-29714</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Ciaran Murray, CFO</w:t>
      </w:r>
    </w:p>
    <w:p>
      <w:pPr>
        <w:jc w:val="center"/>
        <w:ind w:right="-1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119"/>
        <w:spacing w:after="0" w:line="230" w:lineRule="auto"/>
        <w:rPr>
          <w:sz w:val="20"/>
          <w:szCs w:val="20"/>
          <w:color w:val="auto"/>
        </w:rPr>
      </w:pPr>
      <w:r>
        <w:rPr>
          <w:rFonts w:ascii="Arial" w:cs="Arial" w:eastAsia="Arial" w:hAnsi="Arial"/>
          <w:sz w:val="22"/>
          <w:szCs w:val="22"/>
          <w:color w:val="auto"/>
        </w:rPr>
        <w:t>Ciaran.Murray@iconplc.com</w:t>
      </w:r>
    </w:p>
    <w:p>
      <w:pPr>
        <w:jc w:val="center"/>
        <w:ind w:right="-119"/>
        <w:spacing w:after="0" w:line="231" w:lineRule="auto"/>
        <w:rPr>
          <w:sz w:val="20"/>
          <w:szCs w:val="20"/>
          <w:color w:val="auto"/>
        </w:rPr>
      </w:pPr>
      <w:r>
        <w:rPr>
          <w:rFonts w:ascii="Arial" w:cs="Arial" w:eastAsia="Arial" w:hAnsi="Arial"/>
          <w:sz w:val="22"/>
          <w:szCs w:val="22"/>
          <w:color w:val="auto"/>
        </w:rPr>
        <w:t>0011-353-1-291-2000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(Name, telephone number, email and/or facsmile number and address of Company contact person)</w:t>
      </w: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ectPr>
          <w:pgSz w:w="11900" w:h="16838" w:orient="portrait"/>
          <w:cols w:equalWidth="0" w:num="1">
            <w:col w:w="11300"/>
          </w:cols>
          <w:pgMar w:left="240" w:top="684" w:right="359" w:bottom="1440" w:gutter="0" w:footer="0" w:header="0"/>
        </w:sectPr>
      </w:pP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684" w:right="359" w:bottom="1440" w:gutter="0" w:footer="0" w:header="0"/>
          <w:type w:val="continuous"/>
        </w:sectPr>
      </w:pPr>
    </w:p>
    <w:bookmarkStart w:id="1" w:name="page2"/>
    <w:bookmarkEnd w:id="1"/>
    <w:p>
      <w:pPr>
        <w:jc w:val="right"/>
        <w:ind w:right="3899"/>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Icon plc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60" w:type="dxa"/>
            <w:vAlign w:val="bottom"/>
          </w:tcPr>
          <w:p>
            <w:pPr>
              <w:spacing w:after="0"/>
              <w:rPr>
                <w:sz w:val="20"/>
                <w:szCs w:val="20"/>
                <w:color w:val="auto"/>
              </w:rPr>
            </w:pPr>
            <w:r>
              <w:rPr>
                <w:rFonts w:ascii="Arial" w:cs="Arial" w:eastAsia="Arial" w:hAnsi="Arial"/>
                <w:sz w:val="18"/>
                <w:szCs w:val="18"/>
                <w:color w:val="auto"/>
              </w:rPr>
              <w:t>Date:  July 20, 2010</w:t>
            </w:r>
          </w:p>
        </w:tc>
        <w:tc>
          <w:tcPr>
            <w:tcW w:w="1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Ciaran Murray</w:t>
            </w:r>
          </w:p>
        </w:tc>
        <w:tc>
          <w:tcPr>
            <w:tcW w:w="400" w:type="dxa"/>
            <w:vAlign w:val="bottom"/>
          </w:tcPr>
          <w:p>
            <w:pPr>
              <w:spacing w:after="0"/>
              <w:rPr>
                <w:sz w:val="17"/>
                <w:szCs w:val="17"/>
                <w:color w:val="auto"/>
              </w:rPr>
            </w:pPr>
          </w:p>
        </w:tc>
      </w:tr>
      <w:tr>
        <w:trPr>
          <w:trHeight w:val="264"/>
        </w:trPr>
        <w:tc>
          <w:tcPr>
            <w:tcW w:w="6860" w:type="dxa"/>
            <w:vAlign w:val="bottom"/>
          </w:tcPr>
          <w:p>
            <w:pPr>
              <w:spacing w:after="0"/>
              <w:rPr>
                <w:sz w:val="22"/>
                <w:szCs w:val="22"/>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Ciaran Murray</w:t>
            </w:r>
          </w:p>
        </w:tc>
      </w:tr>
      <w:tr>
        <w:trPr>
          <w:trHeight w:val="243"/>
        </w:trPr>
        <w:tc>
          <w:tcPr>
            <w:tcW w:w="6860" w:type="dxa"/>
            <w:vAlign w:val="bottom"/>
          </w:tcPr>
          <w:p>
            <w:pPr>
              <w:spacing w:after="0"/>
              <w:rPr>
                <w:sz w:val="21"/>
                <w:szCs w:val="21"/>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w w:val="93"/>
              </w:rPr>
              <w:t>Chief Financial Officer</w:t>
            </w:r>
          </w:p>
        </w:tc>
      </w:tr>
    </w:tbl>
    <w:p>
      <w:pPr>
        <w:sectPr>
          <w:pgSz w:w="11900" w:h="16838" w:orient="portrait"/>
          <w:cols w:equalWidth="0" w:num="1">
            <w:col w:w="11200"/>
          </w:cols>
          <w:pgMar w:left="240" w:top="364" w:right="459" w:bottom="1440" w:gutter="0" w:footer="0" w:header="0"/>
        </w:sectPr>
      </w:pPr>
    </w:p>
    <w:bookmarkStart w:id="3" w:name="page4"/>
    <w:bookmarkEnd w:id="3"/>
    <w:p>
      <w:pPr>
        <w:ind w:left="10300"/>
        <w:spacing w:after="0"/>
        <w:rPr>
          <w:sz w:val="20"/>
          <w:szCs w:val="20"/>
          <w:color w:val="auto"/>
        </w:rPr>
      </w:pPr>
      <w:r>
        <w:rPr>
          <w:rFonts w:ascii="Arial" w:cs="Arial" w:eastAsia="Arial" w:hAnsi="Arial"/>
          <w:sz w:val="19"/>
          <w:szCs w:val="19"/>
          <w:b w:val="1"/>
          <w:bCs w:val="1"/>
          <w:color w:val="auto"/>
        </w:rPr>
        <w:t>Exhibit 99.1</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ICON Shareholders Pass All Resolutions at Its Annual General Meeting</w:t>
      </w:r>
    </w:p>
    <w:p>
      <w:pPr>
        <w:spacing w:after="0" w:line="212" w:lineRule="exact"/>
        <w:rPr>
          <w:sz w:val="20"/>
          <w:szCs w:val="20"/>
          <w:color w:val="auto"/>
        </w:rPr>
      </w:pPr>
    </w:p>
    <w:p>
      <w:pPr>
        <w:ind w:right="80"/>
        <w:spacing w:after="0" w:line="287" w:lineRule="auto"/>
        <w:rPr>
          <w:sz w:val="20"/>
          <w:szCs w:val="20"/>
          <w:color w:val="auto"/>
        </w:rPr>
      </w:pPr>
      <w:r>
        <w:rPr>
          <w:rFonts w:ascii="Arial" w:cs="Arial" w:eastAsia="Arial" w:hAnsi="Arial"/>
          <w:sz w:val="19"/>
          <w:szCs w:val="19"/>
          <w:color w:val="auto"/>
        </w:rPr>
        <w:t xml:space="preserve">DUBLIN--(BUSINESS WIRE)--July 20, 2010--ICON plc, advises that all resolutions recommended by the Board at the Annual General Meeting of the Shareholders of the Company, held on 19 July 2010, were duly passed by shareholders. The Company is obliged to hold an Annual General Meeting of Shareholders under Irish law. The resolutions passed at the Annual General Meeting are set out in the Notice of the Annual General Meeting which is available on the ICON plc website </w:t>
      </w:r>
      <w:r>
        <w:rPr>
          <w:rFonts w:ascii="Arial" w:cs="Arial" w:eastAsia="Arial" w:hAnsi="Arial"/>
          <w:sz w:val="19"/>
          <w:szCs w:val="19"/>
          <w:u w:val="single" w:color="auto"/>
          <w:color w:val="auto"/>
        </w:rPr>
        <w:t>www.iconplc.com</w:t>
      </w:r>
      <w:r>
        <w:rPr>
          <w:rFonts w:ascii="Arial" w:cs="Arial" w:eastAsia="Arial" w:hAnsi="Arial"/>
          <w:sz w:val="19"/>
          <w:szCs w:val="19"/>
          <w:color w:val="auto"/>
        </w:rPr>
        <w:t>.</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color w:val="auto"/>
        </w:rPr>
        <w:t>Ciaran Murray, CFO</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ICON plc</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ICON plc</w:t>
      </w:r>
    </w:p>
    <w:p>
      <w:pPr>
        <w:spacing w:after="0" w:line="212" w:lineRule="exact"/>
        <w:rPr>
          <w:sz w:val="20"/>
          <w:szCs w:val="20"/>
          <w:color w:val="auto"/>
        </w:rPr>
      </w:pPr>
    </w:p>
    <w:p>
      <w:pPr>
        <w:spacing w:after="0" w:line="252" w:lineRule="auto"/>
        <w:rPr>
          <w:sz w:val="20"/>
          <w:szCs w:val="20"/>
          <w:color w:val="auto"/>
        </w:rPr>
      </w:pPr>
      <w:r>
        <w:rPr>
          <w:rFonts w:ascii="Arial" w:cs="Arial" w:eastAsia="Arial" w:hAnsi="Arial"/>
          <w:sz w:val="21"/>
          <w:szCs w:val="21"/>
          <w:color w:val="auto"/>
        </w:rPr>
        <w:t>ICON plc (NASDAQ: ICLR) (ISIN: IE0005711209) is a global provider of outsourced development services to the pharmaceutical, biotechnology and medical device industries. The Company specialises in the strategic development, management and analysis of programs that support clinical development – from compound selection to Phase I-IV clinical studies. ICON currently employs over 7,500 employees, operating from 71 locations in 39 countries.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Further information is available at </w:t>
      </w:r>
      <w:r>
        <w:rPr>
          <w:rFonts w:ascii="Arial" w:cs="Arial" w:eastAsia="Arial" w:hAnsi="Arial"/>
          <w:sz w:val="22"/>
          <w:szCs w:val="22"/>
          <w:u w:val="single" w:color="auto"/>
          <w:color w:val="auto"/>
        </w:rPr>
        <w:t>www.iconplc.com</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ICON/ICLR-F</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b w:val="1"/>
          <w:bCs w:val="1"/>
          <w:color w:val="auto"/>
        </w:rPr>
        <w:t>ICON plc</w:t>
      </w:r>
    </w:p>
    <w:p>
      <w:pPr>
        <w:spacing w:after="0" w:line="230" w:lineRule="auto"/>
        <w:rPr>
          <w:sz w:val="20"/>
          <w:szCs w:val="20"/>
          <w:color w:val="auto"/>
        </w:rPr>
      </w:pPr>
      <w:r>
        <w:rPr>
          <w:rFonts w:ascii="Arial" w:cs="Arial" w:eastAsia="Arial" w:hAnsi="Arial"/>
          <w:sz w:val="22"/>
          <w:szCs w:val="22"/>
          <w:color w:val="auto"/>
        </w:rPr>
        <w:t>Investor Relations 1-888-381-7923</w:t>
      </w:r>
    </w:p>
    <w:p>
      <w:pPr>
        <w:spacing w:after="0" w:line="231" w:lineRule="auto"/>
        <w:rPr>
          <w:sz w:val="20"/>
          <w:szCs w:val="20"/>
          <w:color w:val="auto"/>
        </w:rPr>
      </w:pPr>
      <w:r>
        <w:rPr>
          <w:rFonts w:ascii="Arial" w:cs="Arial" w:eastAsia="Arial" w:hAnsi="Arial"/>
          <w:sz w:val="22"/>
          <w:szCs w:val="22"/>
          <w:color w:val="auto"/>
        </w:rPr>
        <w:t>or</w:t>
      </w:r>
    </w:p>
    <w:p>
      <w:pPr>
        <w:spacing w:after="0" w:line="231" w:lineRule="auto"/>
        <w:rPr>
          <w:sz w:val="20"/>
          <w:szCs w:val="20"/>
          <w:color w:val="auto"/>
        </w:rPr>
      </w:pPr>
      <w:r>
        <w:rPr>
          <w:rFonts w:ascii="Arial" w:cs="Arial" w:eastAsia="Arial" w:hAnsi="Arial"/>
          <w:sz w:val="22"/>
          <w:szCs w:val="22"/>
          <w:color w:val="auto"/>
        </w:rPr>
        <w:t>Ciaran Murray, Chief Financial Officer</w:t>
      </w:r>
    </w:p>
    <w:p>
      <w:pPr>
        <w:ind w:right="9740" w:firstLine="8"/>
        <w:spacing w:after="0" w:line="230" w:lineRule="auto"/>
        <w:tabs>
          <w:tab w:leader="none" w:pos="176" w:val="left"/>
        </w:tabs>
        <w:numPr>
          <w:ilvl w:val="0"/>
          <w:numId w:val="1"/>
        </w:numPr>
        <w:rPr>
          <w:rFonts w:ascii="Arial" w:cs="Arial" w:eastAsia="Arial" w:hAnsi="Arial"/>
          <w:sz w:val="22"/>
          <w:szCs w:val="22"/>
          <w:color w:val="auto"/>
        </w:rPr>
      </w:pPr>
      <w:r>
        <w:rPr>
          <w:rFonts w:ascii="Arial" w:cs="Arial" w:eastAsia="Arial" w:hAnsi="Arial"/>
          <w:sz w:val="22"/>
          <w:szCs w:val="22"/>
          <w:color w:val="auto"/>
        </w:rPr>
        <w:t>353 –1-291-2000 or</w:t>
      </w:r>
    </w:p>
    <w:p>
      <w:pPr>
        <w:spacing w:after="0" w:line="1" w:lineRule="exact"/>
        <w:rPr>
          <w:rFonts w:ascii="Arial" w:cs="Arial" w:eastAsia="Arial" w:hAnsi="Arial"/>
          <w:sz w:val="22"/>
          <w:szCs w:val="22"/>
          <w:color w:val="auto"/>
        </w:rPr>
      </w:pPr>
    </w:p>
    <w:p>
      <w:pPr>
        <w:spacing w:after="0" w:line="230" w:lineRule="auto"/>
        <w:rPr>
          <w:rFonts w:ascii="Arial" w:cs="Arial" w:eastAsia="Arial" w:hAnsi="Arial"/>
          <w:sz w:val="22"/>
          <w:szCs w:val="22"/>
          <w:color w:val="auto"/>
        </w:rPr>
      </w:pPr>
      <w:r>
        <w:rPr>
          <w:rFonts w:ascii="Arial" w:cs="Arial" w:eastAsia="Arial" w:hAnsi="Arial"/>
          <w:sz w:val="22"/>
          <w:szCs w:val="22"/>
          <w:color w:val="auto"/>
        </w:rPr>
        <w:t>Brendan Brennan, VP Corporate FP&amp;A</w:t>
      </w:r>
    </w:p>
    <w:p>
      <w:pPr>
        <w:ind w:left="180" w:hanging="172"/>
        <w:spacing w:after="0"/>
        <w:tabs>
          <w:tab w:leader="none" w:pos="180" w:val="left"/>
        </w:tabs>
        <w:numPr>
          <w:ilvl w:val="0"/>
          <w:numId w:val="1"/>
        </w:numPr>
        <w:rPr>
          <w:rFonts w:ascii="Arial" w:cs="Arial" w:eastAsia="Arial" w:hAnsi="Arial"/>
          <w:sz w:val="22"/>
          <w:szCs w:val="22"/>
          <w:color w:val="auto"/>
        </w:rPr>
      </w:pPr>
      <w:r>
        <w:rPr>
          <w:rFonts w:ascii="Arial" w:cs="Arial" w:eastAsia="Arial" w:hAnsi="Arial"/>
          <w:sz w:val="22"/>
          <w:szCs w:val="22"/>
          <w:color w:val="auto"/>
        </w:rPr>
        <w:t>353 –1-291-2000</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2019-12-10T17:21:09Z</dcterms:created>
  <dcterms:modified xsi:type="dcterms:W3CDTF">2019-12-10T17:21:09Z</dcterms:modified>
</cp:coreProperties>
</file>