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January 2026</w:t>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3280"/>
        <w:spacing w:after="0"/>
        <w:tabs>
          <w:tab w:leader="none" w:pos="54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9019"/>
          </w:cols>
          <w:pgMar w:left="1440" w:top="1259" w:right="1440" w:bottom="1440" w:gutter="0" w:footer="0" w:header="0"/>
        </w:sectPr>
      </w:pPr>
    </w:p>
    <w:bookmarkStart w:id="1" w:name="page2"/>
    <w:bookmarkEnd w:id="1"/>
    <w:p>
      <w:pPr>
        <w:jc w:val="right"/>
        <w:ind w:right="3999"/>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update on issuance of full-year 2026 guidance</w:t>
      </w:r>
    </w:p>
    <w:p>
      <w:pPr>
        <w:sectPr>
          <w:pgSz w:w="11900" w:h="16838" w:orient="portrait"/>
          <w:cols w:equalWidth="0" w:num="1">
            <w:col w:w="10119"/>
          </w:cols>
          <w:pgMar w:left="340" w:top="113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676"/>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January 7, 2026</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381"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423545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update on issuance of full-year 2026 guidance</w:t>
      </w:r>
    </w:p>
    <w:p>
      <w:pPr>
        <w:spacing w:after="0" w:line="2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January 7, 2025, ICON plc announced that, further to prior updates regarding the timing for issuance of full-year 2026 guidance, ICON confirms that it intends to issue full-year 2026 guidance alongside the release of our fourth quarter and full-year 2025 results.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statement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statement.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+353 1 291 2000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2026-01-07T15:23:36Z</dcterms:created>
  <dcterms:modified xsi:type="dcterms:W3CDTF">2026-01-07T15:23:36Z</dcterms:modified>
</cp:coreProperties>
</file>