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1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120"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jc w:val="center"/>
        <w:ind w:right="-619"/>
        <w:spacing w:after="0" w:line="192" w:lineRule="auto"/>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337" w:lineRule="exact"/>
        <w:rPr>
          <w:sz w:val="24"/>
          <w:szCs w:val="24"/>
          <w:color w:val="auto"/>
        </w:rPr>
      </w:pPr>
    </w:p>
    <w:p>
      <w:pPr>
        <w:ind w:left="4040"/>
        <w:spacing w:after="0"/>
        <w:rPr>
          <w:sz w:val="20"/>
          <w:szCs w:val="20"/>
          <w:color w:val="auto"/>
        </w:rPr>
      </w:pPr>
      <w:r>
        <w:rPr>
          <w:rFonts w:ascii="Arial" w:cs="Arial" w:eastAsia="Arial" w:hAnsi="Arial"/>
          <w:sz w:val="22"/>
          <w:szCs w:val="22"/>
          <w:color w:val="auto"/>
        </w:rPr>
        <w:t>For the month ended February, 2021</w:t>
      </w:r>
    </w:p>
    <w:p>
      <w:pPr>
        <w:spacing w:after="0" w:line="32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ICON plc</w:t>
      </w:r>
    </w:p>
    <w:p>
      <w:pPr>
        <w:jc w:val="center"/>
        <w:ind w:right="-619"/>
        <w:spacing w:after="0"/>
        <w:rPr>
          <w:sz w:val="20"/>
          <w:szCs w:val="20"/>
          <w:color w:val="auto"/>
        </w:rPr>
      </w:pPr>
      <w:r>
        <w:rPr>
          <w:rFonts w:ascii="Arial" w:cs="Arial" w:eastAsia="Arial" w:hAnsi="Arial"/>
          <w:sz w:val="22"/>
          <w:szCs w:val="22"/>
          <w:color w:val="auto"/>
        </w:rPr>
        <w:t>(Registrant’s name)</w:t>
      </w:r>
    </w:p>
    <w:p>
      <w:pPr>
        <w:spacing w:after="0" w:line="30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304"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304"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192"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192" w:lineRule="auto"/>
        <w:rPr>
          <w:sz w:val="20"/>
          <w:szCs w:val="20"/>
          <w:color w:val="auto"/>
        </w:rPr>
      </w:pPr>
      <w:r>
        <w:rPr>
          <w:rFonts w:ascii="Arial" w:cs="Arial" w:eastAsia="Arial" w:hAnsi="Arial"/>
          <w:sz w:val="22"/>
          <w:szCs w:val="22"/>
          <w:color w:val="auto"/>
        </w:rPr>
        <w:t>Brendan.Brennan@iconplc.com</w:t>
      </w:r>
    </w:p>
    <w:p>
      <w:pPr>
        <w:jc w:val="center"/>
        <w:ind w:right="-619"/>
        <w:spacing w:after="0" w:line="192" w:lineRule="auto"/>
        <w:rPr>
          <w:sz w:val="20"/>
          <w:szCs w:val="20"/>
          <w:color w:val="auto"/>
        </w:rPr>
      </w:pPr>
      <w:r>
        <w:rPr>
          <w:rFonts w:ascii="Arial" w:cs="Arial" w:eastAsia="Arial" w:hAnsi="Arial"/>
          <w:sz w:val="22"/>
          <w:szCs w:val="22"/>
          <w:color w:val="auto"/>
        </w:rPr>
        <w:t>00-353-1-291-2000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2"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12"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12"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182" w:lineRule="exact"/>
        <w:rPr>
          <w:sz w:val="24"/>
          <w:szCs w:val="24"/>
          <w:color w:val="auto"/>
        </w:rPr>
      </w:pPr>
    </w:p>
    <w:p>
      <w:pPr>
        <w:spacing w:after="0" w:line="244"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771525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517" w:right="959" w:bottom="1440" w:gutter="0" w:footer="0" w:header="0"/>
        </w:sectPr>
      </w:pPr>
    </w:p>
    <w:bookmarkStart w:id="1" w:name="page2"/>
    <w:bookmarkEnd w:id="1"/>
    <w:p>
      <w:pPr>
        <w:ind w:right="680"/>
        <w:spacing w:after="0" w:line="250" w:lineRule="auto"/>
        <w:rPr>
          <w:sz w:val="20"/>
          <w:szCs w:val="20"/>
          <w:color w:val="auto"/>
        </w:rPr>
      </w:pPr>
      <w:r>
        <w:rPr>
          <w:rFonts w:ascii="Arial" w:cs="Arial" w:eastAsia="Arial" w:hAnsi="Arial"/>
          <w:sz w:val="22"/>
          <w:szCs w:val="22"/>
          <w:color w:val="auto"/>
        </w:rPr>
        <w:t>This report contains a Press Release issued February 24, 2021 entitled “ICON Reports Fourth Quarter and Full Year 2020 Results.”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14"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21" w:right="3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No Offer or Solicitation</w:t>
      </w:r>
    </w:p>
    <w:p>
      <w:pPr>
        <w:spacing w:after="0" w:line="15" w:lineRule="exact"/>
        <w:rPr>
          <w:sz w:val="20"/>
          <w:szCs w:val="20"/>
          <w:color w:val="auto"/>
        </w:rPr>
      </w:pPr>
    </w:p>
    <w:p>
      <w:pPr>
        <w:ind w:right="120"/>
        <w:spacing w:after="0" w:line="280"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14"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186"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27, 2020.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line="238" w:lineRule="auto"/>
        <w:rPr>
          <w:sz w:val="20"/>
          <w:szCs w:val="20"/>
          <w:color w:val="auto"/>
        </w:rPr>
      </w:pPr>
      <w:r>
        <w:rPr>
          <w:rFonts w:ascii="Arial" w:cs="Arial" w:eastAsia="Arial" w:hAnsi="Arial"/>
          <w:sz w:val="22"/>
          <w:szCs w:val="22"/>
          <w:color w:val="auto"/>
        </w:rPr>
        <w:t>The term “ICON” may refer to ICON public limited company, one or more of its consolidated subsidiaries, or to all of them taken as a whole. The term “PRA” may refer to PRA Health Sciences, Inc.,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179"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198" w:lineRule="exact"/>
        <w:rPr>
          <w:sz w:val="20"/>
          <w:szCs w:val="20"/>
          <w:color w:val="auto"/>
        </w:rPr>
      </w:pPr>
    </w:p>
    <w:p>
      <w:pPr>
        <w:spacing w:after="0"/>
        <w:tabs>
          <w:tab w:leader="none" w:pos="1560" w:val="left"/>
        </w:tabs>
        <w:rPr>
          <w:rFonts w:ascii="Arial" w:cs="Arial" w:eastAsia="Arial" w:hAnsi="Arial"/>
          <w:sz w:val="18"/>
          <w:szCs w:val="18"/>
          <w:color w:val="0000EE"/>
        </w:rPr>
      </w:pPr>
      <w:hyperlink w:anchor="page6">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ICON plc Press Release issued February 24, 2021 - ICON Reports Fourth Quarter and Full Year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SIGNATURES</w:t>
      </w:r>
    </w:p>
    <w:p>
      <w:pPr>
        <w:spacing w:after="0" w:line="159" w:lineRule="exact"/>
        <w:rPr>
          <w:sz w:val="20"/>
          <w:szCs w:val="20"/>
          <w:color w:val="auto"/>
        </w:rPr>
      </w:pPr>
    </w:p>
    <w:p>
      <w:pPr>
        <w:spacing w:after="0" w:line="22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398"/>
        </w:trPr>
        <w:tc>
          <w:tcPr>
            <w:tcW w:w="7480" w:type="dxa"/>
            <w:vAlign w:val="bottom"/>
            <w:vMerge w:val="restart"/>
          </w:tcPr>
          <w:p>
            <w:pPr>
              <w:spacing w:after="0"/>
              <w:rPr>
                <w:sz w:val="20"/>
                <w:szCs w:val="20"/>
                <w:color w:val="auto"/>
              </w:rPr>
            </w:pPr>
            <w:r>
              <w:rPr>
                <w:rFonts w:ascii="Arial" w:cs="Arial" w:eastAsia="Arial" w:hAnsi="Arial"/>
                <w:sz w:val="18"/>
                <w:szCs w:val="18"/>
                <w:color w:val="auto"/>
              </w:rPr>
              <w:t>Date: February 24, 2021</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188"/>
        </w:trPr>
        <w:tc>
          <w:tcPr>
            <w:tcW w:w="7480" w:type="dxa"/>
            <w:vAlign w:val="bottom"/>
            <w:vMerge w:val="continue"/>
          </w:tcPr>
          <w:p>
            <w:pPr>
              <w:spacing w:after="0"/>
              <w:rPr>
                <w:sz w:val="16"/>
                <w:szCs w:val="16"/>
                <w:color w:val="auto"/>
              </w:rPr>
            </w:pPr>
          </w:p>
        </w:tc>
        <w:tc>
          <w:tcPr>
            <w:tcW w:w="3760" w:type="dxa"/>
            <w:vAlign w:val="bottom"/>
          </w:tcPr>
          <w:p>
            <w:pPr>
              <w:spacing w:after="0" w:line="189"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04"/>
        </w:trPr>
        <w:tc>
          <w:tcPr>
            <w:tcW w:w="74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1440" w:gutter="0" w:footer="0" w:header="0"/>
        </w:sectPr>
      </w:pPr>
    </w:p>
    <w:bookmarkStart w:id="5" w:name="page6"/>
    <w:bookmarkEnd w:id="5"/>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273050</wp:posOffset>
            </wp:positionV>
            <wp:extent cx="1619885" cy="436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Reports Fourth Quarter and Full Year 2020 Results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152" w:lineRule="exact"/>
        <w:rPr>
          <w:sz w:val="20"/>
          <w:szCs w:val="20"/>
          <w:color w:val="auto"/>
        </w:rPr>
      </w:pPr>
    </w:p>
    <w:p>
      <w:pPr>
        <w:ind w:left="66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Record net business wins in the quarter of $1,080 million; a book to bill of 1.42. Full year net business wins of $3.8 billion; a net book to bill of 1.38.</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Record closing backlog of $9.7 billion, an increase of 13.4% year on year.</w:t>
      </w:r>
    </w:p>
    <w:p>
      <w:pPr>
        <w:spacing w:after="0" w:line="198"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 4 reported revenue of $760.2 million representing a year on year increase of 4.8% and 8.3% increase on Quarter 3 2020. Full year reported revenue of $2,797 million representing a 0.3% year on year decrease.</w:t>
      </w:r>
    </w:p>
    <w:p>
      <w:pPr>
        <w:spacing w:after="0" w:line="157"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Adjusted earnings per share attributable to the Group for the quarter of $1.90, compared to $1.83 in Quarter 4 2019. Full year adjusted earnings per share* attributable to the group of $6.53, compared to $6.88 in 2019.</w:t>
      </w:r>
    </w:p>
    <w:p>
      <w:pPr>
        <w:spacing w:after="0" w:line="157"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Strong cash generation resulting in a record net cash position of $494 million. Days sales outstanding reduced to 41 days from 54 days at December 31, 2019.</w:t>
      </w:r>
    </w:p>
    <w:p>
      <w:pPr>
        <w:spacing w:after="0" w:line="157"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Full year 2021 revenue guidance in the range of $3,200 - $3,300 million, a year over year increase of 14.4% - 18.0%. Full Year 2021 earnings per share guidance in the range of $8.10 - $8.50, a year over year increase of 24.0% - 30.2%.</w:t>
      </w:r>
    </w:p>
    <w:p>
      <w:pPr>
        <w:spacing w:after="0" w:line="157"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ICON announces that it will acquire PRA Health Sciences to create a world leading healthcare intelligence and clinical CRO. (details covered in separate press release)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*before non-recurring charges.</w:t>
      </w:r>
    </w:p>
    <w:p>
      <w:pPr>
        <w:spacing w:after="0" w:line="398" w:lineRule="exact"/>
        <w:rPr>
          <w:sz w:val="20"/>
          <w:szCs w:val="20"/>
          <w:color w:val="auto"/>
        </w:rPr>
      </w:pPr>
    </w:p>
    <w:p>
      <w:pPr>
        <w:jc w:val="both"/>
        <w:spacing w:after="0" w:line="196" w:lineRule="auto"/>
        <w:rPr>
          <w:sz w:val="20"/>
          <w:szCs w:val="20"/>
          <w:color w:val="auto"/>
        </w:rPr>
      </w:pPr>
      <w:r>
        <w:rPr>
          <w:rFonts w:ascii="Arial" w:cs="Arial" w:eastAsia="Arial" w:hAnsi="Arial"/>
          <w:sz w:val="21"/>
          <w:szCs w:val="21"/>
          <w:b w:val="1"/>
          <w:bCs w:val="1"/>
          <w:color w:val="auto"/>
        </w:rPr>
        <w:t>Dublin, Ireland, February 24</w:t>
      </w:r>
      <w:r>
        <w:rPr>
          <w:rFonts w:ascii="Arial" w:cs="Arial" w:eastAsia="Arial" w:hAnsi="Arial"/>
          <w:sz w:val="34"/>
          <w:szCs w:val="34"/>
          <w:b w:val="1"/>
          <w:bCs w:val="1"/>
          <w:color w:val="auto"/>
          <w:vertAlign w:val="superscript"/>
        </w:rPr>
        <w:t>th</w:t>
      </w:r>
      <w:r>
        <w:rPr>
          <w:rFonts w:ascii="Arial" w:cs="Arial" w:eastAsia="Arial" w:hAnsi="Arial"/>
          <w:sz w:val="21"/>
          <w:szCs w:val="21"/>
          <w:b w:val="1"/>
          <w:bCs w:val="1"/>
          <w:color w:val="auto"/>
        </w:rPr>
        <w:t xml:space="preserve">, 2021 – ICON plc (NASDAQ: ICLR), </w:t>
      </w:r>
      <w:r>
        <w:rPr>
          <w:rFonts w:ascii="Arial" w:cs="Arial" w:eastAsia="Arial" w:hAnsi="Arial"/>
          <w:sz w:val="21"/>
          <w:szCs w:val="21"/>
          <w:color w:val="auto"/>
        </w:rPr>
        <w:t>a global provider of outsourced drug and device</w:t>
      </w:r>
      <w:r>
        <w:rPr>
          <w:rFonts w:ascii="Arial" w:cs="Arial" w:eastAsia="Arial" w:hAnsi="Arial"/>
          <w:sz w:val="21"/>
          <w:szCs w:val="21"/>
          <w:b w:val="1"/>
          <w:bCs w:val="1"/>
          <w:color w:val="auto"/>
        </w:rPr>
        <w:t xml:space="preserve"> </w:t>
      </w:r>
      <w:r>
        <w:rPr>
          <w:rFonts w:ascii="Arial" w:cs="Arial" w:eastAsia="Arial" w:hAnsi="Arial"/>
          <w:sz w:val="21"/>
          <w:szCs w:val="21"/>
          <w:color w:val="auto"/>
        </w:rPr>
        <w:t>development and commercialisation services to pharmaceutical, biotechnology, medical device and government and public health organisations, today reported its financial results for the fourth quarter ended December 31, 2020.</w:t>
      </w:r>
    </w:p>
    <w:p>
      <w:pPr>
        <w:spacing w:after="0" w:line="161" w:lineRule="exact"/>
        <w:rPr>
          <w:sz w:val="20"/>
          <w:szCs w:val="20"/>
          <w:color w:val="auto"/>
        </w:rPr>
      </w:pPr>
    </w:p>
    <w:p>
      <w:pPr>
        <w:ind w:right="200"/>
        <w:spacing w:after="0" w:line="209" w:lineRule="auto"/>
        <w:rPr>
          <w:sz w:val="20"/>
          <w:szCs w:val="20"/>
          <w:color w:val="auto"/>
        </w:rPr>
      </w:pPr>
      <w:r>
        <w:rPr>
          <w:rFonts w:ascii="Arial" w:cs="Arial" w:eastAsia="Arial" w:hAnsi="Arial"/>
          <w:sz w:val="22"/>
          <w:szCs w:val="22"/>
          <w:color w:val="auto"/>
        </w:rPr>
        <w:t xml:space="preserve">CEO Dr. Steve Cutler commented, </w:t>
      </w:r>
      <w:r>
        <w:rPr>
          <w:rFonts w:ascii="Arial" w:cs="Arial" w:eastAsia="Arial" w:hAnsi="Arial"/>
          <w:sz w:val="22"/>
          <w:szCs w:val="22"/>
          <w:i w:val="1"/>
          <w:iCs w:val="1"/>
          <w:color w:val="auto"/>
        </w:rPr>
        <w:t>“Quarter 4 represented a very strong end to 2020 with ICON securing record net business</w:t>
      </w:r>
      <w:r>
        <w:rPr>
          <w:rFonts w:ascii="Arial" w:cs="Arial" w:eastAsia="Arial" w:hAnsi="Arial"/>
          <w:sz w:val="22"/>
          <w:szCs w:val="22"/>
          <w:color w:val="auto"/>
        </w:rPr>
        <w:t xml:space="preserve"> </w:t>
      </w:r>
      <w:r>
        <w:rPr>
          <w:rFonts w:ascii="Arial" w:cs="Arial" w:eastAsia="Arial" w:hAnsi="Arial"/>
          <w:sz w:val="22"/>
          <w:szCs w:val="22"/>
          <w:i w:val="1"/>
          <w:iCs w:val="1"/>
          <w:color w:val="auto"/>
        </w:rPr>
        <w:t>wins of $1,080 million, delivering a quarterly book to bill of 1.42 and growing our backlog to over $9.7 billion, an increase of 13% year on year. As a result, revenue grew 5% to $760 million compared to the same quarter last year and earnings per share increased by 4% to $1.90.</w:t>
      </w:r>
    </w:p>
    <w:p>
      <w:pPr>
        <w:spacing w:after="0" w:line="131" w:lineRule="exact"/>
        <w:rPr>
          <w:sz w:val="20"/>
          <w:szCs w:val="20"/>
          <w:color w:val="auto"/>
        </w:rPr>
      </w:pPr>
    </w:p>
    <w:p>
      <w:pPr>
        <w:ind w:right="40"/>
        <w:spacing w:after="0" w:line="214" w:lineRule="auto"/>
        <w:rPr>
          <w:sz w:val="20"/>
          <w:szCs w:val="20"/>
          <w:color w:val="auto"/>
        </w:rPr>
      </w:pPr>
      <w:r>
        <w:rPr>
          <w:rFonts w:ascii="Arial" w:cs="Arial" w:eastAsia="Arial" w:hAnsi="Arial"/>
          <w:sz w:val="22"/>
          <w:szCs w:val="22"/>
          <w:i w:val="1"/>
          <w:iCs w:val="1"/>
          <w:color w:val="auto"/>
        </w:rPr>
        <w:t>On a standalone company basis, we expect 2021 to be another year of robust revenue and earnings growth with revenue guidance in the range of $3,200 - $3,300 million, a year over year increase of 14% - 18% and earnings per share guidance in the range of $8.10 - $8.50, a year over year increase of 24% - 30%.</w:t>
      </w:r>
    </w:p>
    <w:p>
      <w:pPr>
        <w:spacing w:after="0" w:line="133" w:lineRule="exact"/>
        <w:rPr>
          <w:sz w:val="20"/>
          <w:szCs w:val="20"/>
          <w:color w:val="auto"/>
        </w:rPr>
      </w:pPr>
    </w:p>
    <w:p>
      <w:pPr>
        <w:ind w:right="80"/>
        <w:spacing w:after="0" w:line="214" w:lineRule="auto"/>
        <w:rPr>
          <w:sz w:val="20"/>
          <w:szCs w:val="20"/>
          <w:color w:val="auto"/>
        </w:rPr>
      </w:pPr>
      <w:r>
        <w:rPr>
          <w:rFonts w:ascii="Arial" w:cs="Arial" w:eastAsia="Arial" w:hAnsi="Arial"/>
          <w:sz w:val="22"/>
          <w:szCs w:val="22"/>
          <w:i w:val="1"/>
          <w:iCs w:val="1"/>
          <w:color w:val="auto"/>
        </w:rPr>
        <w:t>I am incredibly proud of our entire workforce and would like to thank them for their tireless efforts and resilience throughout this challenging year. I want to reiterate my continued appreciation for their dedication and commitment as we look forward to another year of strong progress during 2021.”</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2020 Results</w:t>
      </w:r>
    </w:p>
    <w:p>
      <w:pPr>
        <w:spacing w:after="0" w:line="14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Gross business wins in the fourth quarter were $1.3 billion and cancellations were $205 million. This resulted in net business wins of $1,080 million and a book to bill of 1.42.</w:t>
      </w:r>
    </w:p>
    <w:p>
      <w:pPr>
        <w:spacing w:after="0" w:line="118"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Reported revenue for Quarter 4 was $760.2 million. This represents a year on year increase of 4.8% or 3.3%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6" w:name="page7"/>
    <w:bookmarkEnd w:id="6"/>
    <w:p>
      <w:pPr>
        <w:jc w:val="both"/>
        <w:ind w:right="20"/>
        <w:spacing w:after="0" w:line="233" w:lineRule="auto"/>
        <w:rPr>
          <w:sz w:val="20"/>
          <w:szCs w:val="20"/>
          <w:color w:val="auto"/>
        </w:rPr>
      </w:pPr>
      <w:r>
        <w:rPr>
          <w:rFonts w:ascii="Arial" w:cs="Arial" w:eastAsia="Arial" w:hAnsi="Arial"/>
          <w:sz w:val="22"/>
          <w:szCs w:val="22"/>
          <w:color w:val="auto"/>
        </w:rPr>
        <w:t>Reported income from operations in the quarter was $119.9 million or 15.8% of revenue compared to $115.3 million or 15.9% of revenue for Quarter 4 2019. This represents a year on year increase of 3.9%.</w:t>
      </w:r>
    </w:p>
    <w:p>
      <w:pPr>
        <w:spacing w:after="0" w:line="117"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Reported net income attributable to the Group for the quarter was $101.2 million or 13.3% of revenue compared with $99.0 million or 13.6% of revenue in Quarter 4 2019. This represents year on year growth of 2.2%.</w:t>
      </w:r>
    </w:p>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Adjusted earnings per share attributable to the Group on a diluted basis was $1.90, compared to $1.83 per share for Quarter 4 2019. This represents a year on year increase of 4.0%.</w:t>
      </w:r>
    </w:p>
    <w:p>
      <w:pPr>
        <w:spacing w:after="0" w:line="11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On a comparative basis, non-GAAP days sales outstanding were 41 days at December 31, 2020, compared with 45 days at the end of September 2020 and 54 Days at the end of December 2019.</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Full Year 2020 Results</w:t>
      </w:r>
    </w:p>
    <w:p>
      <w:pPr>
        <w:spacing w:after="0" w:line="15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Gross business wins were $4.6 billion and cancellations were $725 million. This resulted in net business wins of $3.8 billion and a book to bill of 1.38.</w:t>
      </w:r>
    </w:p>
    <w:p>
      <w:pPr>
        <w:spacing w:after="0" w:line="11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Full year reported revenue was $2,797 million. This represents a year on year decrease of 0.3% or 0.5% on a constant currency basis.</w:t>
      </w:r>
    </w:p>
    <w:p>
      <w:pPr>
        <w:spacing w:after="0" w:line="11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Full year reported income from operations* was $409.6 million or 14.6% of revenue compared to $433.4 million or 15.4% of revenue for the equivalent prior year period.</w:t>
      </w:r>
    </w:p>
    <w:p>
      <w:pPr>
        <w:spacing w:after="0" w:line="11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Full year reported net income* attributable to the Group was $348.2 million or 12.4% of revenue compared with $374.0 million or 13.3% of revenue for the equivalent prior year period.</w:t>
      </w:r>
    </w:p>
    <w:p>
      <w:pPr>
        <w:spacing w:after="0" w:line="118"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Adjusted earnings per share* attributable to the Group on a diluted basis was $6.53, compared to $6.88 per share for the equivalent prior year period.</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During the year the company recorded a charge of $18.1 million in relation to restructuring costs. Full year US GAAP income from operations amounted to $391.5 million or 14.0% of revenue. Full year US GAAP net income attributable to the Group was $332.3 million or $6.15 per diluted share, compared to $6.79 per share for the equivalent prior year period.</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Cash generated from operating activities for the year was $568.0 million. During the year, $37.8 million was spent on acquisitions (net of cash acquired), $43.9 million on purchasing non-controlling interests, $51.1 million on capital expenditure and $175.0 million worth of stock was repurchased at an average price of $141.68. As a result, at December 31, 2020, the Group had net cash of $493.6 million, compared to net cash of $220.3 million at the end of December 2019.</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color w:val="auto"/>
        </w:rPr>
        <w:t>*before non-recurring charges.</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COVID-19 Update</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ICON continues to closely monitor and assess the evolving pandemic situation. The welfare and safety of ICON’s employees, customers and patients remains the Company’s highest priority. ICON is taking guidance from global health authorities, such as World Health Organisation (WHO) and Centers for Disease Control and Prevention (CDC), as well as regional health authorities and governments to ensure that ICON protects the safety and welfare of employees and abides by government directives in various jurisdictions.</w:t>
      </w:r>
    </w:p>
    <w:p>
      <w:pPr>
        <w:spacing w:after="0" w:line="11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COVID-19 continues to affect our global business. However, the impact continues to be lower than experienced at the peak in Q2 2020. Where on-site monitoring is not possible we continue to use alternative approaches including remote and risk based monitoring and ‘at home’ services delivered through our Symphony Clinical Research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 w:name="page8"/>
    <w:bookmarkEnd w:id="7"/>
    <w:p>
      <w:pPr>
        <w:jc w:val="both"/>
        <w:spacing w:after="0" w:line="223" w:lineRule="auto"/>
        <w:rPr>
          <w:sz w:val="20"/>
          <w:szCs w:val="20"/>
          <w:color w:val="auto"/>
        </w:rPr>
      </w:pPr>
      <w:r>
        <w:rPr>
          <w:rFonts w:ascii="Arial" w:cs="Arial" w:eastAsia="Arial" w:hAnsi="Arial"/>
          <w:sz w:val="22"/>
          <w:szCs w:val="22"/>
          <w:color w:val="auto"/>
        </w:rPr>
        <w:t>Since February 2020, ICON has mobilised its vaccine resources to address the COVID-19 global threat, including its ability to conduct home-based trials to minimise infection. The company is currently providing clinical monitoring and safety oversight on more than 120 COVID-19 trials for both the private and government sectors.</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Information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4"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Adjusted earnings per share attributable to the Group (Non-GAAP) has been computed by dividing non-GAAP net income attributable to the Group by the weighted average number of shares outstanding. GAAP earnings per share attributable to the Group has been computed by dividing net income attributable to the Group plus a GAAP charge associated with non-controlling interest in MeDiNova Research (“MeDiNova”) by the weighted average number of shares outstanding. ICON purchased a majority shareholding in MeDiNova on May 23, 2019. ICON exercised its call on the outstanding shares in MeDiNova and derecognized the non-controlling interest effective from March 2020.</w:t>
      </w:r>
    </w:p>
    <w:p>
      <w:pPr>
        <w:spacing w:after="0" w:line="126" w:lineRule="exact"/>
        <w:rPr>
          <w:sz w:val="20"/>
          <w:szCs w:val="20"/>
          <w:color w:val="auto"/>
        </w:rPr>
      </w:pPr>
    </w:p>
    <w:p>
      <w:pPr>
        <w:jc w:val="both"/>
        <w:spacing w:after="0" w:line="199" w:lineRule="auto"/>
        <w:rPr>
          <w:sz w:val="20"/>
          <w:szCs w:val="20"/>
          <w:color w:val="auto"/>
        </w:rPr>
      </w:pPr>
      <w:r>
        <w:rPr>
          <w:rFonts w:ascii="Arial" w:cs="Arial" w:eastAsia="Arial" w:hAnsi="Arial"/>
          <w:sz w:val="21"/>
          <w:szCs w:val="21"/>
          <w:color w:val="auto"/>
        </w:rPr>
        <w:t>ICON will hold a conference call today, February 24</w:t>
      </w:r>
      <w:r>
        <w:rPr>
          <w:rFonts w:ascii="Arial" w:cs="Arial" w:eastAsia="Arial" w:hAnsi="Arial"/>
          <w:sz w:val="34"/>
          <w:szCs w:val="34"/>
          <w:color w:val="auto"/>
          <w:vertAlign w:val="superscript"/>
        </w:rPr>
        <w:t>th</w:t>
      </w:r>
      <w:r>
        <w:rPr>
          <w:rFonts w:ascii="Arial" w:cs="Arial" w:eastAsia="Arial" w:hAnsi="Arial"/>
          <w:sz w:val="21"/>
          <w:szCs w:val="21"/>
          <w:color w:val="auto"/>
        </w:rPr>
        <w:t>, 2021 at 8:30 EST [13:30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69" w:lineRule="exact"/>
        <w:rPr>
          <w:sz w:val="20"/>
          <w:szCs w:val="20"/>
          <w:color w:val="auto"/>
        </w:rPr>
      </w:pPr>
    </w:p>
    <w:p>
      <w:pPr>
        <w:jc w:val="both"/>
        <w:spacing w:after="0" w:line="357" w:lineRule="auto"/>
        <w:rPr>
          <w:sz w:val="20"/>
          <w:szCs w:val="20"/>
          <w:color w:val="auto"/>
        </w:rPr>
      </w:pPr>
      <w:r>
        <w:rPr>
          <w:rFonts w:ascii="Arial" w:cs="Arial" w:eastAsia="Arial" w:hAnsi="Arial"/>
          <w:sz w:val="16"/>
          <w:szCs w:val="16"/>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178"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In addition, as announced, ICON and PRA Health Services (“PRA”) have entered into a definitive merger agreement. This communication does not constitute an offer to sell or buy or the solicitation of any offer to buy or sell any securities, nor shall there be any sale of securities in a jurisdiction in which such offer, solicitation, or sale would be unlawful prior to registration or qualification under the securities law of any such jurisdiction. No offering of securities shall be made except by means of a prospectus meeting regulatory requirements of Section 10 of the Securities Act of 1933. In connection with the proposed transaction, ICON expects to file a registration statement on Form F-4 with the SEC containing a preliminary prospectus of ICON that also constitutes a preliminary proxy statement of each of ICON and PRA. ICON and PRA will file other documents regarding the proposed transaction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 w:name="page9"/>
    <w:bookmarkEnd w:id="8"/>
    <w:p>
      <w:pPr>
        <w:jc w:val="both"/>
        <w:spacing w:after="0" w:line="223" w:lineRule="auto"/>
        <w:rPr>
          <w:sz w:val="20"/>
          <w:szCs w:val="20"/>
          <w:color w:val="auto"/>
        </w:rPr>
      </w:pPr>
      <w:r>
        <w:rPr>
          <w:rFonts w:ascii="Arial" w:cs="Arial" w:eastAsia="Arial" w:hAnsi="Arial"/>
          <w:sz w:val="22"/>
          <w:szCs w:val="22"/>
          <w:color w:val="auto"/>
        </w:rPr>
        <w:t>Before making any voting or investment decisions, investors and security holders of ICON and PRA stock are encouraged to carefully read the entire registration statement and proxy statement prospectus when filed and made available on each of our websites and at sec.gov.</w:t>
      </w:r>
    </w:p>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16,000 employees in 93 locations in 41 countries as at December 31, 2020. For further information about ICON, visit: www.iconplc.com and www.iconplc.com/pra</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192" w:lineRule="auto"/>
        <w:rPr>
          <w:sz w:val="20"/>
          <w:szCs w:val="20"/>
          <w:color w:val="auto"/>
        </w:rPr>
      </w:pPr>
      <w:r>
        <w:rPr>
          <w:rFonts w:ascii="Arial" w:cs="Arial" w:eastAsia="Arial" w:hAnsi="Arial"/>
          <w:sz w:val="22"/>
          <w:szCs w:val="22"/>
          <w:color w:val="auto"/>
        </w:rPr>
        <w:t>Contact: Investor Relations +1888 381 7923 or</w:t>
      </w:r>
    </w:p>
    <w:p>
      <w:pPr>
        <w:spacing w:after="0" w:line="192" w:lineRule="auto"/>
        <w:rPr>
          <w:sz w:val="20"/>
          <w:szCs w:val="20"/>
          <w:color w:val="auto"/>
        </w:rPr>
      </w:pPr>
      <w:r>
        <w:rPr>
          <w:rFonts w:ascii="Arial" w:cs="Arial" w:eastAsia="Arial" w:hAnsi="Arial"/>
          <w:sz w:val="22"/>
          <w:szCs w:val="22"/>
          <w:color w:val="auto"/>
        </w:rPr>
        <w:t>Brendan Brennan Chief Financial Officer +353 1 291 2000</w:t>
      </w:r>
    </w:p>
    <w:p>
      <w:pPr>
        <w:ind w:right="3280"/>
        <w:spacing w:after="0" w:line="217" w:lineRule="auto"/>
        <w:rPr>
          <w:sz w:val="20"/>
          <w:szCs w:val="20"/>
          <w:color w:val="auto"/>
        </w:rPr>
      </w:pPr>
      <w:r>
        <w:rPr>
          <w:rFonts w:ascii="Arial" w:cs="Arial" w:eastAsia="Arial" w:hAnsi="Arial"/>
          <w:sz w:val="22"/>
          <w:szCs w:val="22"/>
          <w:color w:val="auto"/>
        </w:rPr>
        <w:t>Jonathan Curtain Vice President Corporate Finance and Investor Relations +353 1 291 2000 All at ICON.</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 w:name="page10"/>
    <w:bookmarkEnd w:id="9"/>
    <w:p>
      <w:pPr>
        <w:ind w:left="5180"/>
        <w:spacing w:after="0"/>
        <w:rPr>
          <w:sz w:val="20"/>
          <w:szCs w:val="20"/>
          <w:color w:val="auto"/>
        </w:rPr>
      </w:pPr>
      <w:r>
        <w:rPr>
          <w:rFonts w:ascii="Arial" w:cs="Arial" w:eastAsia="Arial" w:hAnsi="Arial"/>
          <w:sz w:val="22"/>
          <w:szCs w:val="22"/>
          <w:b w:val="1"/>
          <w:bCs w:val="1"/>
          <w:color w:val="auto"/>
        </w:rPr>
        <w:t>ICON plc</w:t>
      </w:r>
    </w:p>
    <w:p>
      <w:pPr>
        <w:ind w:left="3280"/>
        <w:spacing w:after="0" w:line="193" w:lineRule="auto"/>
        <w:rPr>
          <w:sz w:val="20"/>
          <w:szCs w:val="20"/>
          <w:color w:val="auto"/>
        </w:rPr>
      </w:pPr>
      <w:r>
        <w:rPr>
          <w:rFonts w:ascii="Arial" w:cs="Arial" w:eastAsia="Arial" w:hAnsi="Arial"/>
          <w:sz w:val="22"/>
          <w:szCs w:val="22"/>
          <w:b w:val="1"/>
          <w:bCs w:val="1"/>
          <w:color w:val="auto"/>
        </w:rPr>
        <w:t>Condensed Consolidated Statements of Operations</w:t>
      </w:r>
    </w:p>
    <w:p>
      <w:pPr>
        <w:jc w:val="center"/>
        <w:spacing w:after="0" w:line="192" w:lineRule="auto"/>
        <w:rPr>
          <w:sz w:val="20"/>
          <w:szCs w:val="20"/>
          <w:color w:val="auto"/>
        </w:rPr>
      </w:pPr>
      <w:r>
        <w:rPr>
          <w:rFonts w:ascii="Arial" w:cs="Arial" w:eastAsia="Arial" w:hAnsi="Arial"/>
          <w:sz w:val="22"/>
          <w:szCs w:val="22"/>
          <w:b w:val="1"/>
          <w:bCs w:val="1"/>
          <w:color w:val="auto"/>
        </w:rPr>
        <w:t>(Non-GAAP)</w:t>
      </w:r>
    </w:p>
    <w:p>
      <w:pPr>
        <w:jc w:val="center"/>
        <w:spacing w:after="0" w:line="192" w:lineRule="auto"/>
        <w:rPr>
          <w:sz w:val="20"/>
          <w:szCs w:val="20"/>
          <w:color w:val="auto"/>
        </w:rPr>
      </w:pPr>
      <w:r>
        <w:rPr>
          <w:rFonts w:ascii="Arial" w:cs="Arial" w:eastAsia="Arial" w:hAnsi="Arial"/>
          <w:sz w:val="22"/>
          <w:szCs w:val="22"/>
          <w:b w:val="1"/>
          <w:bCs w:val="1"/>
          <w:color w:val="auto"/>
        </w:rPr>
        <w:t>Three and Twelve Months ended December 31, 2020 and December 31, 2019</w:t>
      </w:r>
    </w:p>
    <w:p>
      <w:pPr>
        <w:jc w:val="center"/>
        <w:ind w:right="-59"/>
        <w:spacing w:after="0" w:line="192" w:lineRule="auto"/>
        <w:rPr>
          <w:sz w:val="20"/>
          <w:szCs w:val="20"/>
          <w:color w:val="auto"/>
        </w:rPr>
      </w:pPr>
      <w:r>
        <w:rPr>
          <w:rFonts w:ascii="Arial" w:cs="Arial" w:eastAsia="Arial" w:hAnsi="Arial"/>
          <w:sz w:val="22"/>
          <w:szCs w:val="22"/>
          <w:b w:val="1"/>
          <w:bCs w:val="1"/>
          <w:color w:val="auto"/>
        </w:rPr>
        <w:t>(Dollars, 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Twelve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gridSpan w:val="3"/>
          </w:tcPr>
          <w:p>
            <w:pPr>
              <w:jc w:val="right"/>
              <w:ind w:right="260"/>
              <w:spacing w:after="0" w:line="189" w:lineRule="exact"/>
              <w:rPr>
                <w:sz w:val="20"/>
                <w:szCs w:val="20"/>
                <w:color w:val="auto"/>
              </w:rPr>
            </w:pPr>
            <w:r>
              <w:rPr>
                <w:rFonts w:ascii="Arial" w:cs="Arial" w:eastAsia="Arial" w:hAnsi="Arial"/>
                <w:sz w:val="18"/>
                <w:szCs w:val="18"/>
                <w:b w:val="1"/>
                <w:bCs w:val="1"/>
                <w:color w:val="auto"/>
                <w:w w:val="87"/>
              </w:rPr>
              <w:t>December</w:t>
            </w:r>
          </w:p>
        </w:tc>
        <w:tc>
          <w:tcPr>
            <w:tcW w:w="1240" w:type="dxa"/>
            <w:vAlign w:val="bottom"/>
            <w:gridSpan w:val="4"/>
          </w:tcPr>
          <w:p>
            <w:pPr>
              <w:jc w:val="right"/>
              <w:ind w:right="160"/>
              <w:spacing w:after="0" w:line="189" w:lineRule="exact"/>
              <w:rPr>
                <w:sz w:val="20"/>
                <w:szCs w:val="20"/>
                <w:color w:val="auto"/>
              </w:rPr>
            </w:pPr>
            <w:r>
              <w:rPr>
                <w:rFonts w:ascii="Arial" w:cs="Arial" w:eastAsia="Arial" w:hAnsi="Arial"/>
                <w:sz w:val="18"/>
                <w:szCs w:val="18"/>
                <w:b w:val="1"/>
                <w:bCs w:val="1"/>
                <w:color w:val="auto"/>
              </w:rPr>
              <w:t>December</w:t>
            </w:r>
          </w:p>
        </w:tc>
        <w:tc>
          <w:tcPr>
            <w:tcW w:w="1160" w:type="dxa"/>
            <w:vAlign w:val="bottom"/>
            <w:gridSpan w:val="4"/>
          </w:tcPr>
          <w:p>
            <w:pPr>
              <w:ind w:left="220"/>
              <w:spacing w:after="0" w:line="189" w:lineRule="exact"/>
              <w:rPr>
                <w:sz w:val="20"/>
                <w:szCs w:val="20"/>
                <w:color w:val="auto"/>
              </w:rPr>
            </w:pPr>
            <w:r>
              <w:rPr>
                <w:rFonts w:ascii="Arial" w:cs="Arial" w:eastAsia="Arial" w:hAnsi="Arial"/>
                <w:sz w:val="18"/>
                <w:szCs w:val="18"/>
                <w:b w:val="1"/>
                <w:bCs w:val="1"/>
                <w:color w:val="auto"/>
              </w:rPr>
              <w:t>December</w:t>
            </w:r>
          </w:p>
        </w:tc>
        <w:tc>
          <w:tcPr>
            <w:tcW w:w="1000" w:type="dxa"/>
            <w:vAlign w:val="bottom"/>
            <w:gridSpan w:val="3"/>
          </w:tcPr>
          <w:p>
            <w:pPr>
              <w:jc w:val="right"/>
              <w:spacing w:after="0" w:line="189" w:lineRule="exact"/>
              <w:rPr>
                <w:sz w:val="20"/>
                <w:szCs w:val="20"/>
                <w:color w:val="auto"/>
              </w:rPr>
            </w:pPr>
            <w:r>
              <w:rPr>
                <w:rFonts w:ascii="Arial" w:cs="Arial" w:eastAsia="Arial" w:hAnsi="Arial"/>
                <w:sz w:val="18"/>
                <w:szCs w:val="18"/>
                <w:b w:val="1"/>
                <w:bCs w:val="1"/>
                <w:color w:val="auto"/>
              </w:rPr>
              <w:t>December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8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260"/>
              <w:spacing w:after="0" w:line="176" w:lineRule="exact"/>
              <w:rPr>
                <w:sz w:val="20"/>
                <w:szCs w:val="20"/>
                <w:color w:val="auto"/>
              </w:rPr>
            </w:pPr>
            <w:r>
              <w:rPr>
                <w:rFonts w:ascii="Arial" w:cs="Arial" w:eastAsia="Arial" w:hAnsi="Arial"/>
                <w:sz w:val="18"/>
                <w:szCs w:val="18"/>
                <w:b w:val="1"/>
                <w:bCs w:val="1"/>
                <w:color w:val="auto"/>
              </w:rPr>
              <w:t>31, 2020</w:t>
            </w:r>
          </w:p>
        </w:tc>
        <w:tc>
          <w:tcPr>
            <w:tcW w:w="1240" w:type="dxa"/>
            <w:vAlign w:val="bottom"/>
            <w:gridSpan w:val="4"/>
            <w:shd w:val="clear" w:color="auto" w:fill="CCEEFF"/>
          </w:tcPr>
          <w:p>
            <w:pPr>
              <w:jc w:val="right"/>
              <w:ind w:right="160"/>
              <w:spacing w:after="0" w:line="176" w:lineRule="exact"/>
              <w:rPr>
                <w:sz w:val="20"/>
                <w:szCs w:val="20"/>
                <w:color w:val="auto"/>
              </w:rPr>
            </w:pPr>
            <w:r>
              <w:rPr>
                <w:rFonts w:ascii="Arial" w:cs="Arial" w:eastAsia="Arial" w:hAnsi="Arial"/>
                <w:sz w:val="18"/>
                <w:szCs w:val="18"/>
                <w:b w:val="1"/>
                <w:bCs w:val="1"/>
                <w:color w:val="auto"/>
              </w:rPr>
              <w:t>31, 2019</w:t>
            </w:r>
          </w:p>
        </w:tc>
        <w:tc>
          <w:tcPr>
            <w:tcW w:w="1160" w:type="dxa"/>
            <w:vAlign w:val="bottom"/>
            <w:gridSpan w:val="4"/>
            <w:shd w:val="clear" w:color="auto" w:fill="CCEEFF"/>
          </w:tcPr>
          <w:p>
            <w:pPr>
              <w:jc w:val="right"/>
              <w:ind w:right="160"/>
              <w:spacing w:after="0" w:line="176" w:lineRule="exact"/>
              <w:rPr>
                <w:sz w:val="20"/>
                <w:szCs w:val="20"/>
                <w:color w:val="auto"/>
              </w:rPr>
            </w:pPr>
            <w:r>
              <w:rPr>
                <w:rFonts w:ascii="Arial" w:cs="Arial" w:eastAsia="Arial" w:hAnsi="Arial"/>
                <w:sz w:val="18"/>
                <w:szCs w:val="18"/>
                <w:b w:val="1"/>
                <w:bCs w:val="1"/>
                <w:color w:val="auto"/>
              </w:rPr>
              <w:t>31, 2020</w:t>
            </w:r>
          </w:p>
        </w:tc>
        <w:tc>
          <w:tcPr>
            <w:tcW w:w="10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31, 2019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080" w:type="dxa"/>
            <w:vAlign w:val="bottom"/>
            <w:gridSpan w:val="2"/>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760,229</w:t>
            </w: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725,409</w:t>
            </w: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2,797,288</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2,805,839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(535,347)</w:t>
            </w:r>
          </w:p>
        </w:tc>
        <w:tc>
          <w:tcPr>
            <w:tcW w:w="12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(508,191)</w:t>
            </w:r>
          </w:p>
        </w:tc>
        <w:tc>
          <w:tcPr>
            <w:tcW w:w="11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(1,979,883)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(1,974,135)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960" w:type="dxa"/>
            <w:vAlign w:val="bottom"/>
            <w:gridSpan w:val="4"/>
          </w:tcPr>
          <w:p>
            <w:pPr>
              <w:jc w:val="right"/>
              <w:ind w:right="260"/>
              <w:spacing w:after="0"/>
              <w:rPr>
                <w:sz w:val="20"/>
                <w:szCs w:val="20"/>
                <w:color w:val="auto"/>
              </w:rPr>
            </w:pPr>
            <w:r>
              <w:rPr>
                <w:rFonts w:ascii="Arial" w:cs="Arial" w:eastAsia="Arial" w:hAnsi="Arial"/>
                <w:sz w:val="18"/>
                <w:szCs w:val="18"/>
                <w:color w:val="auto"/>
              </w:rPr>
              <w:t>(87,878)</w:t>
            </w: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(86,184)</w:t>
            </w: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(341,690)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(336,748)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960" w:type="dxa"/>
            <w:vAlign w:val="bottom"/>
            <w:tcBorders>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(17,145)</w:t>
            </w:r>
          </w:p>
        </w:tc>
        <w:tc>
          <w:tcPr>
            <w:tcW w:w="124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(15,708)</w:t>
            </w:r>
          </w:p>
        </w:tc>
        <w:tc>
          <w:tcPr>
            <w:tcW w:w="116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(66,126)</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(61,550)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1960" w:type="dxa"/>
            <w:vAlign w:val="bottom"/>
            <w:tcBorders>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(640,370)</w:t>
            </w:r>
          </w:p>
        </w:tc>
        <w:tc>
          <w:tcPr>
            <w:tcW w:w="124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(610,083)</w:t>
            </w:r>
          </w:p>
        </w:tc>
        <w:tc>
          <w:tcPr>
            <w:tcW w:w="116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(2,387,699)</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(2,372,433)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119,859</w:t>
            </w:r>
          </w:p>
        </w:tc>
        <w:tc>
          <w:tcPr>
            <w:tcW w:w="12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115,326</w:t>
            </w:r>
          </w:p>
        </w:tc>
        <w:tc>
          <w:tcPr>
            <w:tcW w:w="11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409,589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433,406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1960" w:type="dxa"/>
            <w:vAlign w:val="bottom"/>
            <w:tcBorders>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(3,173)</w:t>
            </w:r>
          </w:p>
        </w:tc>
        <w:tc>
          <w:tcPr>
            <w:tcW w:w="124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(1,848)</w:t>
            </w:r>
          </w:p>
        </w:tc>
        <w:tc>
          <w:tcPr>
            <w:tcW w:w="116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(10,295)</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116,686</w:t>
            </w:r>
          </w:p>
        </w:tc>
        <w:tc>
          <w:tcPr>
            <w:tcW w:w="12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113,478</w:t>
            </w:r>
          </w:p>
        </w:tc>
        <w:tc>
          <w:tcPr>
            <w:tcW w:w="11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399,294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426,989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960" w:type="dxa"/>
            <w:vAlign w:val="bottom"/>
            <w:tcBorders>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(15,169)</w:t>
            </w:r>
          </w:p>
        </w:tc>
        <w:tc>
          <w:tcPr>
            <w:tcW w:w="124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(13,617)</w:t>
            </w:r>
          </w:p>
        </w:tc>
        <w:tc>
          <w:tcPr>
            <w:tcW w:w="116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(50,136)</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(51,133)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share of earnings from equity method investments</w:t>
            </w:r>
          </w:p>
        </w:tc>
        <w:tc>
          <w:tcPr>
            <w:tcW w:w="1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101,517</w:t>
            </w:r>
          </w:p>
        </w:tc>
        <w:tc>
          <w:tcPr>
            <w:tcW w:w="12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99,861</w:t>
            </w:r>
          </w:p>
        </w:tc>
        <w:tc>
          <w:tcPr>
            <w:tcW w:w="11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349,158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375,856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of equity method investments</w:t>
            </w:r>
          </w:p>
        </w:tc>
        <w:tc>
          <w:tcPr>
            <w:tcW w:w="1960" w:type="dxa"/>
            <w:vAlign w:val="bottom"/>
            <w:tcBorders>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(283)</w:t>
            </w:r>
          </w:p>
        </w:tc>
        <w:tc>
          <w:tcPr>
            <w:tcW w:w="124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(366)</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101,234</w:t>
            </w:r>
          </w:p>
        </w:tc>
        <w:tc>
          <w:tcPr>
            <w:tcW w:w="12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99,861</w:t>
            </w:r>
          </w:p>
        </w:tc>
        <w:tc>
          <w:tcPr>
            <w:tcW w:w="11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348,792</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375,856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700" w:type="dxa"/>
            <w:vAlign w:val="bottom"/>
            <w:tcBorders>
              <w:bottom w:val="single" w:sz="8" w:color="auto"/>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(854)</w:t>
            </w:r>
          </w:p>
        </w:tc>
        <w:tc>
          <w:tcPr>
            <w:tcW w:w="116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(633)</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the Group</w:t>
            </w:r>
          </w:p>
        </w:tc>
        <w:tc>
          <w:tcPr>
            <w:tcW w:w="1960" w:type="dxa"/>
            <w:vAlign w:val="bottom"/>
            <w:tcBorders>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101,234</w:t>
            </w:r>
          </w:p>
        </w:tc>
        <w:tc>
          <w:tcPr>
            <w:tcW w:w="124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99,007</w:t>
            </w:r>
          </w:p>
        </w:tc>
        <w:tc>
          <w:tcPr>
            <w:tcW w:w="116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348,159</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373,986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Ordinary Share attributable to the Group:</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Adjusted basic (non-GAAP)</w:t>
            </w:r>
          </w:p>
        </w:tc>
        <w:tc>
          <w:tcPr>
            <w:tcW w:w="1960" w:type="dxa"/>
            <w:vAlign w:val="bottom"/>
            <w:tcBorders>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$1.92</w:t>
            </w:r>
          </w:p>
        </w:tc>
        <w:tc>
          <w:tcPr>
            <w:tcW w:w="124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116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$6.59</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Adjusted diluted (non-GAAP)</w:t>
            </w:r>
          </w:p>
        </w:tc>
        <w:tc>
          <w:tcPr>
            <w:tcW w:w="1960" w:type="dxa"/>
            <w:vAlign w:val="bottom"/>
            <w:tcBorders>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c>
          <w:tcPr>
            <w:tcW w:w="124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116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$6.53</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1960" w:type="dxa"/>
            <w:vAlign w:val="bottom"/>
            <w:tcBorders>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52,783,886</w:t>
            </w:r>
          </w:p>
        </w:tc>
        <w:tc>
          <w:tcPr>
            <w:tcW w:w="124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53,630,331</w:t>
            </w:r>
          </w:p>
        </w:tc>
        <w:tc>
          <w:tcPr>
            <w:tcW w:w="116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52,859,911</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53,859,537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960" w:type="dxa"/>
            <w:vAlign w:val="bottom"/>
            <w:tcBorders>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53,291,849</w:t>
            </w:r>
          </w:p>
        </w:tc>
        <w:tc>
          <w:tcPr>
            <w:tcW w:w="124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54,219,975</w:t>
            </w:r>
          </w:p>
        </w:tc>
        <w:tc>
          <w:tcPr>
            <w:tcW w:w="116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53,283,585</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54,333,461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8"/>
        </w:trPr>
        <w:tc>
          <w:tcPr>
            <w:tcW w:w="58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ICON plc</w:t>
      </w:r>
    </w:p>
    <w:p>
      <w:pPr>
        <w:jc w:val="center"/>
        <w:spacing w:after="0" w:line="192" w:lineRule="auto"/>
        <w:rPr>
          <w:sz w:val="20"/>
          <w:szCs w:val="20"/>
          <w:color w:val="auto"/>
        </w:rPr>
      </w:pPr>
      <w:r>
        <w:rPr>
          <w:rFonts w:ascii="Arial" w:cs="Arial" w:eastAsia="Arial" w:hAnsi="Arial"/>
          <w:sz w:val="22"/>
          <w:szCs w:val="22"/>
          <w:b w:val="1"/>
          <w:bCs w:val="1"/>
          <w:color w:val="auto"/>
        </w:rPr>
        <w:t>Condensed Consolidated Statements of Operations</w:t>
      </w:r>
    </w:p>
    <w:p>
      <w:pPr>
        <w:jc w:val="center"/>
        <w:spacing w:after="0" w:line="192" w:lineRule="auto"/>
        <w:rPr>
          <w:sz w:val="20"/>
          <w:szCs w:val="20"/>
          <w:color w:val="auto"/>
        </w:rPr>
      </w:pPr>
      <w:r>
        <w:rPr>
          <w:rFonts w:ascii="Arial" w:cs="Arial" w:eastAsia="Arial" w:hAnsi="Arial"/>
          <w:sz w:val="22"/>
          <w:szCs w:val="22"/>
          <w:b w:val="1"/>
          <w:bCs w:val="1"/>
          <w:color w:val="auto"/>
        </w:rPr>
        <w:t>(US GAAP)</w:t>
      </w:r>
    </w:p>
    <w:p>
      <w:pPr>
        <w:jc w:val="center"/>
        <w:spacing w:after="0" w:line="192" w:lineRule="auto"/>
        <w:rPr>
          <w:sz w:val="20"/>
          <w:szCs w:val="20"/>
          <w:color w:val="auto"/>
        </w:rPr>
      </w:pPr>
      <w:r>
        <w:rPr>
          <w:rFonts w:ascii="Arial" w:cs="Arial" w:eastAsia="Arial" w:hAnsi="Arial"/>
          <w:sz w:val="22"/>
          <w:szCs w:val="22"/>
          <w:b w:val="1"/>
          <w:bCs w:val="1"/>
          <w:color w:val="auto"/>
        </w:rPr>
        <w:t>Three and Twelve Months ended December 31, 2020 and December 31, 2019</w:t>
      </w:r>
    </w:p>
    <w:p>
      <w:pPr>
        <w:jc w:val="center"/>
        <w:ind w:right="-59"/>
        <w:spacing w:after="0" w:line="192" w:lineRule="auto"/>
        <w:rPr>
          <w:sz w:val="20"/>
          <w:szCs w:val="20"/>
          <w:color w:val="auto"/>
        </w:rPr>
      </w:pPr>
      <w:r>
        <w:rPr>
          <w:rFonts w:ascii="Arial" w:cs="Arial" w:eastAsia="Arial" w:hAnsi="Arial"/>
          <w:sz w:val="22"/>
          <w:szCs w:val="22"/>
          <w:b w:val="1"/>
          <w:bCs w:val="1"/>
          <w:color w:val="auto"/>
        </w:rPr>
        <w:t>(Dollars, 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Twelve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gridSpan w:val="3"/>
          </w:tcPr>
          <w:p>
            <w:pPr>
              <w:jc w:val="right"/>
              <w:ind w:right="260"/>
              <w:spacing w:after="0" w:line="189" w:lineRule="exact"/>
              <w:rPr>
                <w:sz w:val="20"/>
                <w:szCs w:val="20"/>
                <w:color w:val="auto"/>
              </w:rPr>
            </w:pPr>
            <w:r>
              <w:rPr>
                <w:rFonts w:ascii="Arial" w:cs="Arial" w:eastAsia="Arial" w:hAnsi="Arial"/>
                <w:sz w:val="18"/>
                <w:szCs w:val="18"/>
                <w:b w:val="1"/>
                <w:bCs w:val="1"/>
                <w:color w:val="auto"/>
                <w:w w:val="87"/>
              </w:rPr>
              <w:t>December</w:t>
            </w:r>
          </w:p>
        </w:tc>
        <w:tc>
          <w:tcPr>
            <w:tcW w:w="1240" w:type="dxa"/>
            <w:vAlign w:val="bottom"/>
            <w:gridSpan w:val="4"/>
          </w:tcPr>
          <w:p>
            <w:pPr>
              <w:jc w:val="right"/>
              <w:ind w:right="160"/>
              <w:spacing w:after="0" w:line="189" w:lineRule="exact"/>
              <w:rPr>
                <w:sz w:val="20"/>
                <w:szCs w:val="20"/>
                <w:color w:val="auto"/>
              </w:rPr>
            </w:pPr>
            <w:r>
              <w:rPr>
                <w:rFonts w:ascii="Arial" w:cs="Arial" w:eastAsia="Arial" w:hAnsi="Arial"/>
                <w:sz w:val="18"/>
                <w:szCs w:val="18"/>
                <w:b w:val="1"/>
                <w:bCs w:val="1"/>
                <w:color w:val="auto"/>
              </w:rPr>
              <w:t>December</w:t>
            </w:r>
          </w:p>
        </w:tc>
        <w:tc>
          <w:tcPr>
            <w:tcW w:w="1160" w:type="dxa"/>
            <w:vAlign w:val="bottom"/>
            <w:gridSpan w:val="4"/>
          </w:tcPr>
          <w:p>
            <w:pPr>
              <w:ind w:left="220"/>
              <w:spacing w:after="0" w:line="189" w:lineRule="exact"/>
              <w:rPr>
                <w:sz w:val="20"/>
                <w:szCs w:val="20"/>
                <w:color w:val="auto"/>
              </w:rPr>
            </w:pPr>
            <w:r>
              <w:rPr>
                <w:rFonts w:ascii="Arial" w:cs="Arial" w:eastAsia="Arial" w:hAnsi="Arial"/>
                <w:sz w:val="18"/>
                <w:szCs w:val="18"/>
                <w:b w:val="1"/>
                <w:bCs w:val="1"/>
                <w:color w:val="auto"/>
              </w:rPr>
              <w:t>December</w:t>
            </w:r>
          </w:p>
        </w:tc>
        <w:tc>
          <w:tcPr>
            <w:tcW w:w="1000" w:type="dxa"/>
            <w:vAlign w:val="bottom"/>
            <w:gridSpan w:val="3"/>
          </w:tcPr>
          <w:p>
            <w:pPr>
              <w:jc w:val="right"/>
              <w:spacing w:after="0" w:line="189" w:lineRule="exact"/>
              <w:rPr>
                <w:sz w:val="20"/>
                <w:szCs w:val="20"/>
                <w:color w:val="auto"/>
              </w:rPr>
            </w:pPr>
            <w:r>
              <w:rPr>
                <w:rFonts w:ascii="Arial" w:cs="Arial" w:eastAsia="Arial" w:hAnsi="Arial"/>
                <w:sz w:val="18"/>
                <w:szCs w:val="18"/>
                <w:b w:val="1"/>
                <w:bCs w:val="1"/>
                <w:color w:val="auto"/>
              </w:rPr>
              <w:t>December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8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260"/>
              <w:spacing w:after="0" w:line="176" w:lineRule="exact"/>
              <w:rPr>
                <w:sz w:val="20"/>
                <w:szCs w:val="20"/>
                <w:color w:val="auto"/>
              </w:rPr>
            </w:pPr>
            <w:r>
              <w:rPr>
                <w:rFonts w:ascii="Arial" w:cs="Arial" w:eastAsia="Arial" w:hAnsi="Arial"/>
                <w:sz w:val="18"/>
                <w:szCs w:val="18"/>
                <w:b w:val="1"/>
                <w:bCs w:val="1"/>
                <w:color w:val="auto"/>
              </w:rPr>
              <w:t>31, 2020</w:t>
            </w:r>
          </w:p>
        </w:tc>
        <w:tc>
          <w:tcPr>
            <w:tcW w:w="1240" w:type="dxa"/>
            <w:vAlign w:val="bottom"/>
            <w:gridSpan w:val="4"/>
            <w:shd w:val="clear" w:color="auto" w:fill="CCEEFF"/>
          </w:tcPr>
          <w:p>
            <w:pPr>
              <w:jc w:val="right"/>
              <w:ind w:right="160"/>
              <w:spacing w:after="0" w:line="176" w:lineRule="exact"/>
              <w:rPr>
                <w:sz w:val="20"/>
                <w:szCs w:val="20"/>
                <w:color w:val="auto"/>
              </w:rPr>
            </w:pPr>
            <w:r>
              <w:rPr>
                <w:rFonts w:ascii="Arial" w:cs="Arial" w:eastAsia="Arial" w:hAnsi="Arial"/>
                <w:sz w:val="18"/>
                <w:szCs w:val="18"/>
                <w:b w:val="1"/>
                <w:bCs w:val="1"/>
                <w:color w:val="auto"/>
              </w:rPr>
              <w:t>31, 2019</w:t>
            </w:r>
          </w:p>
        </w:tc>
        <w:tc>
          <w:tcPr>
            <w:tcW w:w="1160" w:type="dxa"/>
            <w:vAlign w:val="bottom"/>
            <w:gridSpan w:val="4"/>
            <w:shd w:val="clear" w:color="auto" w:fill="CCEEFF"/>
          </w:tcPr>
          <w:p>
            <w:pPr>
              <w:jc w:val="right"/>
              <w:ind w:right="160"/>
              <w:spacing w:after="0" w:line="176" w:lineRule="exact"/>
              <w:rPr>
                <w:sz w:val="20"/>
                <w:szCs w:val="20"/>
                <w:color w:val="auto"/>
              </w:rPr>
            </w:pPr>
            <w:r>
              <w:rPr>
                <w:rFonts w:ascii="Arial" w:cs="Arial" w:eastAsia="Arial" w:hAnsi="Arial"/>
                <w:sz w:val="18"/>
                <w:szCs w:val="18"/>
                <w:b w:val="1"/>
                <w:bCs w:val="1"/>
                <w:color w:val="auto"/>
              </w:rPr>
              <w:t>31, 2020</w:t>
            </w:r>
          </w:p>
        </w:tc>
        <w:tc>
          <w:tcPr>
            <w:tcW w:w="10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31, 2019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080" w:type="dxa"/>
            <w:vAlign w:val="bottom"/>
            <w:gridSpan w:val="2"/>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760,229</w:t>
            </w: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725,409</w:t>
            </w: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2,797,288</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2,805,839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(535,347)</w:t>
            </w:r>
          </w:p>
        </w:tc>
        <w:tc>
          <w:tcPr>
            <w:tcW w:w="12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(508,191)</w:t>
            </w:r>
          </w:p>
        </w:tc>
        <w:tc>
          <w:tcPr>
            <w:tcW w:w="11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(1,979,883)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(1,974,135)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960" w:type="dxa"/>
            <w:vAlign w:val="bottom"/>
            <w:gridSpan w:val="4"/>
          </w:tcPr>
          <w:p>
            <w:pPr>
              <w:jc w:val="right"/>
              <w:ind w:right="260"/>
              <w:spacing w:after="0"/>
              <w:rPr>
                <w:sz w:val="20"/>
                <w:szCs w:val="20"/>
                <w:color w:val="auto"/>
              </w:rPr>
            </w:pPr>
            <w:r>
              <w:rPr>
                <w:rFonts w:ascii="Arial" w:cs="Arial" w:eastAsia="Arial" w:hAnsi="Arial"/>
                <w:sz w:val="18"/>
                <w:szCs w:val="18"/>
                <w:color w:val="auto"/>
              </w:rPr>
              <w:t>(87,878)</w:t>
            </w: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(86,184)</w:t>
            </w: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(341,690)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(336,748)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(17,145)</w:t>
            </w:r>
          </w:p>
        </w:tc>
        <w:tc>
          <w:tcPr>
            <w:tcW w:w="12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(15,708)</w:t>
            </w:r>
          </w:p>
        </w:tc>
        <w:tc>
          <w:tcPr>
            <w:tcW w:w="11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(66,126)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Restructuring costs</w:t>
            </w:r>
          </w:p>
        </w:tc>
        <w:tc>
          <w:tcPr>
            <w:tcW w:w="19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(18,089)</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19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color w:val="auto"/>
              </w:rPr>
              <w:t>(640,370)</w:t>
            </w:r>
          </w:p>
        </w:tc>
        <w:tc>
          <w:tcPr>
            <w:tcW w:w="12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(610,083)</w:t>
            </w:r>
          </w:p>
        </w:tc>
        <w:tc>
          <w:tcPr>
            <w:tcW w:w="11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(2,405,788)</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(2,372,433)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960" w:type="dxa"/>
            <w:vAlign w:val="bottom"/>
            <w:gridSpan w:val="4"/>
          </w:tcPr>
          <w:p>
            <w:pPr>
              <w:jc w:val="right"/>
              <w:ind w:right="260"/>
              <w:spacing w:after="0"/>
              <w:rPr>
                <w:sz w:val="20"/>
                <w:szCs w:val="20"/>
                <w:color w:val="auto"/>
              </w:rPr>
            </w:pPr>
            <w:r>
              <w:rPr>
                <w:rFonts w:ascii="Arial" w:cs="Arial" w:eastAsia="Arial" w:hAnsi="Arial"/>
                <w:sz w:val="18"/>
                <w:szCs w:val="18"/>
                <w:color w:val="auto"/>
              </w:rPr>
              <w:t>119,859</w:t>
            </w: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115,326</w:t>
            </w: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391,500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433,406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expense</w:t>
            </w:r>
          </w:p>
        </w:tc>
        <w:tc>
          <w:tcPr>
            <w:tcW w:w="19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color w:val="auto"/>
              </w:rPr>
              <w:t>(3,173)</w:t>
            </w:r>
          </w:p>
        </w:tc>
        <w:tc>
          <w:tcPr>
            <w:tcW w:w="12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(1,848)</w:t>
            </w:r>
          </w:p>
        </w:tc>
        <w:tc>
          <w:tcPr>
            <w:tcW w:w="11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(10,295)</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(6,417)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960" w:type="dxa"/>
            <w:vAlign w:val="bottom"/>
            <w:gridSpan w:val="4"/>
          </w:tcPr>
          <w:p>
            <w:pPr>
              <w:jc w:val="right"/>
              <w:ind w:right="260"/>
              <w:spacing w:after="0"/>
              <w:rPr>
                <w:sz w:val="20"/>
                <w:szCs w:val="20"/>
                <w:color w:val="auto"/>
              </w:rPr>
            </w:pPr>
            <w:r>
              <w:rPr>
                <w:rFonts w:ascii="Arial" w:cs="Arial" w:eastAsia="Arial" w:hAnsi="Arial"/>
                <w:sz w:val="18"/>
                <w:szCs w:val="18"/>
                <w:color w:val="auto"/>
              </w:rPr>
              <w:t>116,686</w:t>
            </w: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113,478</w:t>
            </w: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381,205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426,989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19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color w:val="auto"/>
              </w:rPr>
              <w:t>(15,169)</w:t>
            </w:r>
          </w:p>
        </w:tc>
        <w:tc>
          <w:tcPr>
            <w:tcW w:w="12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(13,617)</w:t>
            </w:r>
          </w:p>
        </w:tc>
        <w:tc>
          <w:tcPr>
            <w:tcW w:w="11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(47,875)</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(51,133)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Income before share of earnings from equity method investments</w:t>
            </w:r>
          </w:p>
        </w:tc>
        <w:tc>
          <w:tcPr>
            <w:tcW w:w="1960" w:type="dxa"/>
            <w:vAlign w:val="bottom"/>
            <w:gridSpan w:val="4"/>
          </w:tcPr>
          <w:p>
            <w:pPr>
              <w:jc w:val="right"/>
              <w:ind w:right="260"/>
              <w:spacing w:after="0"/>
              <w:rPr>
                <w:sz w:val="20"/>
                <w:szCs w:val="20"/>
                <w:color w:val="auto"/>
              </w:rPr>
            </w:pPr>
            <w:r>
              <w:rPr>
                <w:rFonts w:ascii="Arial" w:cs="Arial" w:eastAsia="Arial" w:hAnsi="Arial"/>
                <w:sz w:val="18"/>
                <w:szCs w:val="18"/>
                <w:color w:val="auto"/>
              </w:rPr>
              <w:t>101,517</w:t>
            </w: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99,861</w:t>
            </w: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333,330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375,856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of equity method investments</w:t>
            </w:r>
          </w:p>
        </w:tc>
        <w:tc>
          <w:tcPr>
            <w:tcW w:w="19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color w:val="auto"/>
              </w:rPr>
              <w:t>(283)</w:t>
            </w:r>
          </w:p>
        </w:tc>
        <w:tc>
          <w:tcPr>
            <w:tcW w:w="12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(366)</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960" w:type="dxa"/>
            <w:vAlign w:val="bottom"/>
            <w:gridSpan w:val="4"/>
          </w:tcPr>
          <w:p>
            <w:pPr>
              <w:jc w:val="right"/>
              <w:ind w:right="260"/>
              <w:spacing w:after="0"/>
              <w:rPr>
                <w:sz w:val="20"/>
                <w:szCs w:val="20"/>
                <w:color w:val="auto"/>
              </w:rPr>
            </w:pPr>
            <w:r>
              <w:rPr>
                <w:rFonts w:ascii="Arial" w:cs="Arial" w:eastAsia="Arial" w:hAnsi="Arial"/>
                <w:sz w:val="18"/>
                <w:szCs w:val="18"/>
                <w:color w:val="auto"/>
              </w:rPr>
              <w:t>101,234</w:t>
            </w: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99,861</w:t>
            </w: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332,964</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375,856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non-controlling interest</w:t>
            </w:r>
          </w:p>
        </w:tc>
        <w:tc>
          <w:tcPr>
            <w:tcW w:w="19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(854)</w:t>
            </w:r>
          </w:p>
        </w:tc>
        <w:tc>
          <w:tcPr>
            <w:tcW w:w="11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(633)</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(1,870)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the Group</w:t>
            </w:r>
          </w:p>
        </w:tc>
        <w:tc>
          <w:tcPr>
            <w:tcW w:w="19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color w:val="auto"/>
              </w:rPr>
              <w:t>101,234</w:t>
            </w:r>
          </w:p>
        </w:tc>
        <w:tc>
          <w:tcPr>
            <w:tcW w:w="12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99,007</w:t>
            </w:r>
          </w:p>
        </w:tc>
        <w:tc>
          <w:tcPr>
            <w:tcW w:w="11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332,331</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373,986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Net income per Ordinary Share attributable to the Group:</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19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color w:val="auto"/>
              </w:rPr>
              <w:t>$1.92</w:t>
            </w:r>
          </w:p>
        </w:tc>
        <w:tc>
          <w:tcPr>
            <w:tcW w:w="12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$1.78</w:t>
            </w:r>
          </w:p>
        </w:tc>
        <w:tc>
          <w:tcPr>
            <w:tcW w:w="11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$6.20</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$6.85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19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color w:val="auto"/>
              </w:rPr>
              <w:t>$1.90</w:t>
            </w:r>
          </w:p>
        </w:tc>
        <w:tc>
          <w:tcPr>
            <w:tcW w:w="12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$1.76</w:t>
            </w:r>
          </w:p>
        </w:tc>
        <w:tc>
          <w:tcPr>
            <w:tcW w:w="11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$6.15</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$6.79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19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color w:val="auto"/>
              </w:rPr>
              <w:t>52,783,886</w:t>
            </w:r>
          </w:p>
        </w:tc>
        <w:tc>
          <w:tcPr>
            <w:tcW w:w="12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53,630,331</w:t>
            </w:r>
          </w:p>
        </w:tc>
        <w:tc>
          <w:tcPr>
            <w:tcW w:w="11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52,859,911</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53,859,537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19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color w:val="auto"/>
              </w:rPr>
              <w:t>53,291,849</w:t>
            </w:r>
          </w:p>
        </w:tc>
        <w:tc>
          <w:tcPr>
            <w:tcW w:w="12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54,219,975</w:t>
            </w:r>
          </w:p>
        </w:tc>
        <w:tc>
          <w:tcPr>
            <w:tcW w:w="11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53,283,585</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54,333,461</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58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ICON plc</w:t>
      </w:r>
    </w:p>
    <w:p>
      <w:pPr>
        <w:jc w:val="center"/>
        <w:spacing w:after="0" w:line="192" w:lineRule="auto"/>
        <w:rPr>
          <w:sz w:val="20"/>
          <w:szCs w:val="20"/>
          <w:color w:val="auto"/>
        </w:rPr>
      </w:pPr>
      <w:r>
        <w:rPr>
          <w:rFonts w:ascii="Arial" w:cs="Arial" w:eastAsia="Arial" w:hAnsi="Arial"/>
          <w:sz w:val="22"/>
          <w:szCs w:val="22"/>
          <w:b w:val="1"/>
          <w:bCs w:val="1"/>
          <w:color w:val="auto"/>
        </w:rPr>
        <w:t>Summary Consolidated Balance Sheet Data</w:t>
      </w:r>
    </w:p>
    <w:p>
      <w:pPr>
        <w:jc w:val="center"/>
        <w:spacing w:after="0" w:line="192" w:lineRule="auto"/>
        <w:rPr>
          <w:sz w:val="20"/>
          <w:szCs w:val="20"/>
          <w:color w:val="auto"/>
        </w:rPr>
      </w:pPr>
      <w:r>
        <w:rPr>
          <w:rFonts w:ascii="Arial" w:cs="Arial" w:eastAsia="Arial" w:hAnsi="Arial"/>
          <w:sz w:val="22"/>
          <w:szCs w:val="22"/>
          <w:b w:val="1"/>
          <w:bCs w:val="1"/>
          <w:color w:val="auto"/>
        </w:rPr>
        <w:t>December 31, 2020 and December 31, 2019</w:t>
      </w:r>
    </w:p>
    <w:p>
      <w:pPr>
        <w:jc w:val="center"/>
        <w:spacing w:after="0"/>
        <w:rPr>
          <w:sz w:val="20"/>
          <w:szCs w:val="20"/>
          <w:color w:val="auto"/>
        </w:rPr>
      </w:pPr>
      <w:r>
        <w:rPr>
          <w:rFonts w:ascii="Arial" w:cs="Arial" w:eastAsia="Arial" w:hAnsi="Arial"/>
          <w:sz w:val="22"/>
          <w:szCs w:val="22"/>
          <w:b w:val="1"/>
          <w:bCs w:val="1"/>
          <w:color w:val="auto"/>
        </w:rPr>
        <w:t>(Dollars,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18"/>
                <w:szCs w:val="18"/>
                <w:color w:val="auto"/>
              </w:rPr>
            </w:pPr>
          </w:p>
        </w:tc>
        <w:tc>
          <w:tcPr>
            <w:tcW w:w="3940" w:type="dxa"/>
            <w:vAlign w:val="bottom"/>
            <w:shd w:val="clear" w:color="auto" w:fill="CCEEFF"/>
          </w:tcPr>
          <w:p>
            <w:pPr>
              <w:jc w:val="center"/>
              <w:ind w:left="990"/>
              <w:spacing w:after="0"/>
              <w:rPr>
                <w:sz w:val="20"/>
                <w:szCs w:val="20"/>
                <w:color w:val="auto"/>
              </w:rPr>
            </w:pPr>
            <w:r>
              <w:rPr>
                <w:rFonts w:ascii="Arial" w:cs="Arial" w:eastAsia="Arial" w:hAnsi="Arial"/>
                <w:sz w:val="18"/>
                <w:szCs w:val="18"/>
                <w:b w:val="1"/>
                <w:bCs w:val="1"/>
                <w:color w:val="auto"/>
                <w:w w:val="90"/>
              </w:rPr>
              <w:t>December 31,</w:t>
            </w:r>
          </w:p>
        </w:tc>
        <w:tc>
          <w:tcPr>
            <w:tcW w:w="296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0"/>
              </w:rPr>
              <w:t>December 31,</w:t>
            </w:r>
          </w:p>
        </w:tc>
      </w:tr>
      <w:tr>
        <w:trPr>
          <w:trHeight w:val="216"/>
        </w:trPr>
        <w:tc>
          <w:tcPr>
            <w:tcW w:w="4340" w:type="dxa"/>
            <w:vAlign w:val="bottom"/>
          </w:tcPr>
          <w:p>
            <w:pPr>
              <w:spacing w:after="0"/>
              <w:rPr>
                <w:sz w:val="18"/>
                <w:szCs w:val="18"/>
                <w:color w:val="auto"/>
              </w:rPr>
            </w:pPr>
          </w:p>
        </w:tc>
        <w:tc>
          <w:tcPr>
            <w:tcW w:w="3940" w:type="dxa"/>
            <w:vAlign w:val="bottom"/>
          </w:tcPr>
          <w:p>
            <w:pPr>
              <w:jc w:val="center"/>
              <w:ind w:left="1010"/>
              <w:spacing w:after="0"/>
              <w:rPr>
                <w:sz w:val="20"/>
                <w:szCs w:val="20"/>
                <w:color w:val="auto"/>
              </w:rPr>
            </w:pPr>
            <w:r>
              <w:rPr>
                <w:rFonts w:ascii="Arial" w:cs="Arial" w:eastAsia="Arial" w:hAnsi="Arial"/>
                <w:sz w:val="18"/>
                <w:szCs w:val="18"/>
                <w:b w:val="1"/>
                <w:bCs w:val="1"/>
                <w:color w:val="auto"/>
                <w:w w:val="89"/>
              </w:rPr>
              <w:t>2020</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16"/>
        </w:trPr>
        <w:tc>
          <w:tcPr>
            <w:tcW w:w="4340" w:type="dxa"/>
            <w:vAlign w:val="bottom"/>
            <w:shd w:val="clear" w:color="auto" w:fill="CCEEFF"/>
          </w:tcPr>
          <w:p>
            <w:pPr>
              <w:spacing w:after="0"/>
              <w:rPr>
                <w:sz w:val="18"/>
                <w:szCs w:val="18"/>
                <w:color w:val="auto"/>
              </w:rPr>
            </w:pPr>
          </w:p>
        </w:tc>
        <w:tc>
          <w:tcPr>
            <w:tcW w:w="3940" w:type="dxa"/>
            <w:vAlign w:val="bottom"/>
            <w:shd w:val="clear" w:color="auto" w:fill="CCEEFF"/>
          </w:tcPr>
          <w:p>
            <w:pPr>
              <w:jc w:val="center"/>
              <w:ind w:left="990"/>
              <w:spacing w:after="0"/>
              <w:rPr>
                <w:sz w:val="20"/>
                <w:szCs w:val="20"/>
                <w:color w:val="auto"/>
              </w:rPr>
            </w:pPr>
            <w:r>
              <w:rPr>
                <w:rFonts w:ascii="Arial" w:cs="Arial" w:eastAsia="Arial" w:hAnsi="Arial"/>
                <w:sz w:val="18"/>
                <w:szCs w:val="18"/>
                <w:b w:val="1"/>
                <w:bCs w:val="1"/>
                <w:color w:val="auto"/>
                <w:w w:val="93"/>
              </w:rPr>
              <w:t>(Unaudited)</w:t>
            </w:r>
          </w:p>
        </w:tc>
        <w:tc>
          <w:tcPr>
            <w:tcW w:w="296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3"/>
              </w:rPr>
              <w:t>(Audited)</w:t>
            </w:r>
          </w:p>
        </w:tc>
      </w:tr>
      <w:tr>
        <w:trPr>
          <w:trHeight w:val="216"/>
        </w:trPr>
        <w:tc>
          <w:tcPr>
            <w:tcW w:w="43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Cash and short-term investments</w:t>
            </w:r>
          </w:p>
        </w:tc>
        <w:tc>
          <w:tcPr>
            <w:tcW w:w="3940" w:type="dxa"/>
            <w:vAlign w:val="bottom"/>
          </w:tcPr>
          <w:p>
            <w:pPr>
              <w:jc w:val="center"/>
              <w:ind w:left="990"/>
              <w:spacing w:after="0" w:line="202" w:lineRule="exact"/>
              <w:rPr>
                <w:sz w:val="20"/>
                <w:szCs w:val="20"/>
                <w:color w:val="auto"/>
              </w:rPr>
            </w:pPr>
            <w:r>
              <w:rPr>
                <w:rFonts w:ascii="Arial" w:cs="Arial" w:eastAsia="Arial" w:hAnsi="Arial"/>
                <w:sz w:val="18"/>
                <w:szCs w:val="18"/>
                <w:color w:val="auto"/>
                <w:w w:val="89"/>
              </w:rPr>
              <w:t>842,034</w:t>
            </w:r>
          </w:p>
        </w:tc>
        <w:tc>
          <w:tcPr>
            <w:tcW w:w="296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89"/>
              </w:rPr>
              <w:t>569,937</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w:t>
            </w:r>
          </w:p>
        </w:tc>
        <w:tc>
          <w:tcPr>
            <w:tcW w:w="3940" w:type="dxa"/>
            <w:vAlign w:val="bottom"/>
            <w:shd w:val="clear" w:color="auto" w:fill="CCEEFF"/>
          </w:tcPr>
          <w:p>
            <w:pPr>
              <w:jc w:val="center"/>
              <w:ind w:left="990"/>
              <w:spacing w:after="0" w:line="202" w:lineRule="exact"/>
              <w:rPr>
                <w:sz w:val="20"/>
                <w:szCs w:val="20"/>
                <w:color w:val="auto"/>
              </w:rPr>
            </w:pPr>
            <w:r>
              <w:rPr>
                <w:rFonts w:ascii="Arial" w:cs="Arial" w:eastAsia="Arial" w:hAnsi="Arial"/>
                <w:sz w:val="18"/>
                <w:szCs w:val="18"/>
                <w:color w:val="auto"/>
                <w:w w:val="90"/>
              </w:rPr>
              <w:t>(348,477)</w:t>
            </w:r>
          </w:p>
        </w:tc>
        <w:tc>
          <w:tcPr>
            <w:tcW w:w="2960" w:type="dxa"/>
            <w:vAlign w:val="bottom"/>
            <w:shd w:val="clear" w:color="auto" w:fill="CCEEFF"/>
          </w:tcPr>
          <w:p>
            <w:pPr>
              <w:jc w:val="center"/>
              <w:ind w:right="10"/>
              <w:spacing w:after="0" w:line="202" w:lineRule="exact"/>
              <w:rPr>
                <w:sz w:val="20"/>
                <w:szCs w:val="20"/>
                <w:color w:val="auto"/>
              </w:rPr>
            </w:pPr>
            <w:r>
              <w:rPr>
                <w:rFonts w:ascii="Arial" w:cs="Arial" w:eastAsia="Arial" w:hAnsi="Arial"/>
                <w:sz w:val="18"/>
                <w:szCs w:val="18"/>
                <w:color w:val="auto"/>
                <w:w w:val="90"/>
              </w:rPr>
              <w:t>(349,640)</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Net cash/(debt)</w:t>
            </w:r>
          </w:p>
        </w:tc>
        <w:tc>
          <w:tcPr>
            <w:tcW w:w="3940" w:type="dxa"/>
            <w:vAlign w:val="bottom"/>
          </w:tcPr>
          <w:p>
            <w:pPr>
              <w:jc w:val="center"/>
              <w:ind w:left="990"/>
              <w:spacing w:after="0" w:line="202" w:lineRule="exact"/>
              <w:rPr>
                <w:sz w:val="20"/>
                <w:szCs w:val="20"/>
                <w:color w:val="auto"/>
              </w:rPr>
            </w:pPr>
            <w:r>
              <w:rPr>
                <w:rFonts w:ascii="Arial" w:cs="Arial" w:eastAsia="Arial" w:hAnsi="Arial"/>
                <w:sz w:val="18"/>
                <w:szCs w:val="18"/>
                <w:color w:val="auto"/>
                <w:w w:val="89"/>
              </w:rPr>
              <w:t>493,557</w:t>
            </w:r>
          </w:p>
        </w:tc>
        <w:tc>
          <w:tcPr>
            <w:tcW w:w="296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89"/>
              </w:rPr>
              <w:t>220,297</w:t>
            </w:r>
          </w:p>
        </w:tc>
      </w:tr>
      <w:tr>
        <w:trPr>
          <w:trHeight w:val="216"/>
        </w:trPr>
        <w:tc>
          <w:tcPr>
            <w:tcW w:w="434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Net Accounts Receivable</w:t>
            </w:r>
          </w:p>
        </w:tc>
        <w:tc>
          <w:tcPr>
            <w:tcW w:w="3940" w:type="dxa"/>
            <w:vAlign w:val="bottom"/>
          </w:tcPr>
          <w:p>
            <w:pPr>
              <w:jc w:val="center"/>
              <w:ind w:left="990"/>
              <w:spacing w:after="0" w:line="202" w:lineRule="exact"/>
              <w:rPr>
                <w:sz w:val="20"/>
                <w:szCs w:val="20"/>
                <w:color w:val="auto"/>
              </w:rPr>
            </w:pPr>
            <w:r>
              <w:rPr>
                <w:rFonts w:ascii="Arial" w:cs="Arial" w:eastAsia="Arial" w:hAnsi="Arial"/>
                <w:sz w:val="18"/>
                <w:szCs w:val="18"/>
                <w:color w:val="auto"/>
                <w:w w:val="89"/>
              </w:rPr>
              <w:t>483,072</w:t>
            </w:r>
          </w:p>
        </w:tc>
        <w:tc>
          <w:tcPr>
            <w:tcW w:w="296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89"/>
              </w:rPr>
              <w:t>583,489</w:t>
            </w:r>
          </w:p>
        </w:tc>
      </w:tr>
      <w:tr>
        <w:trPr>
          <w:trHeight w:val="216"/>
        </w:trPr>
        <w:tc>
          <w:tcPr>
            <w:tcW w:w="434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3940" w:type="dxa"/>
            <w:vAlign w:val="bottom"/>
          </w:tcPr>
          <w:p>
            <w:pPr>
              <w:jc w:val="center"/>
              <w:ind w:left="990"/>
              <w:spacing w:after="0" w:line="202" w:lineRule="exact"/>
              <w:rPr>
                <w:sz w:val="20"/>
                <w:szCs w:val="20"/>
                <w:color w:val="auto"/>
              </w:rPr>
            </w:pPr>
            <w:r>
              <w:rPr>
                <w:rFonts w:ascii="Arial" w:cs="Arial" w:eastAsia="Arial" w:hAnsi="Arial"/>
                <w:sz w:val="18"/>
                <w:szCs w:val="18"/>
                <w:color w:val="auto"/>
                <w:w w:val="89"/>
              </w:rPr>
              <w:t>979,035</w:t>
            </w:r>
          </w:p>
        </w:tc>
        <w:tc>
          <w:tcPr>
            <w:tcW w:w="296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89"/>
              </w:rPr>
              <w:t>493,728</w:t>
            </w:r>
          </w:p>
        </w:tc>
      </w:tr>
      <w:tr>
        <w:trPr>
          <w:trHeight w:val="216"/>
        </w:trPr>
        <w:tc>
          <w:tcPr>
            <w:tcW w:w="434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3940" w:type="dxa"/>
            <w:vAlign w:val="bottom"/>
          </w:tcPr>
          <w:p>
            <w:pPr>
              <w:jc w:val="center"/>
              <w:ind w:left="1010"/>
              <w:spacing w:after="0" w:line="202" w:lineRule="exact"/>
              <w:rPr>
                <w:sz w:val="20"/>
                <w:szCs w:val="20"/>
                <w:color w:val="auto"/>
              </w:rPr>
            </w:pPr>
            <w:r>
              <w:rPr>
                <w:rFonts w:ascii="Arial" w:cs="Arial" w:eastAsia="Arial" w:hAnsi="Arial"/>
                <w:sz w:val="18"/>
                <w:szCs w:val="18"/>
                <w:color w:val="auto"/>
                <w:w w:val="89"/>
              </w:rPr>
              <w:t>3,435,606</w:t>
            </w:r>
          </w:p>
        </w:tc>
        <w:tc>
          <w:tcPr>
            <w:tcW w:w="2960" w:type="dxa"/>
            <w:vAlign w:val="bottom"/>
          </w:tcPr>
          <w:p>
            <w:pPr>
              <w:jc w:val="center"/>
              <w:spacing w:after="0" w:line="202" w:lineRule="exact"/>
              <w:rPr>
                <w:sz w:val="20"/>
                <w:szCs w:val="20"/>
                <w:color w:val="auto"/>
              </w:rPr>
            </w:pPr>
            <w:r>
              <w:rPr>
                <w:rFonts w:ascii="Arial" w:cs="Arial" w:eastAsia="Arial" w:hAnsi="Arial"/>
                <w:sz w:val="18"/>
                <w:szCs w:val="18"/>
                <w:color w:val="auto"/>
                <w:w w:val="89"/>
              </w:rPr>
              <w:t>2,907,512</w:t>
            </w:r>
          </w:p>
        </w:tc>
      </w:tr>
      <w:tr>
        <w:trPr>
          <w:trHeight w:val="216"/>
        </w:trPr>
        <w:tc>
          <w:tcPr>
            <w:tcW w:w="434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Shareholder's Equity</w:t>
            </w:r>
          </w:p>
        </w:tc>
        <w:tc>
          <w:tcPr>
            <w:tcW w:w="3940" w:type="dxa"/>
            <w:vAlign w:val="bottom"/>
          </w:tcPr>
          <w:p>
            <w:pPr>
              <w:jc w:val="center"/>
              <w:ind w:left="1010"/>
              <w:spacing w:after="0" w:line="202" w:lineRule="exact"/>
              <w:rPr>
                <w:sz w:val="20"/>
                <w:szCs w:val="20"/>
                <w:color w:val="auto"/>
              </w:rPr>
            </w:pPr>
            <w:r>
              <w:rPr>
                <w:rFonts w:ascii="Arial" w:cs="Arial" w:eastAsia="Arial" w:hAnsi="Arial"/>
                <w:sz w:val="18"/>
                <w:szCs w:val="18"/>
                <w:color w:val="auto"/>
                <w:w w:val="89"/>
              </w:rPr>
              <w:t>1,850,236</w:t>
            </w:r>
          </w:p>
        </w:tc>
        <w:tc>
          <w:tcPr>
            <w:tcW w:w="2960" w:type="dxa"/>
            <w:vAlign w:val="bottom"/>
          </w:tcPr>
          <w:p>
            <w:pPr>
              <w:jc w:val="center"/>
              <w:spacing w:after="0" w:line="202" w:lineRule="exact"/>
              <w:rPr>
                <w:sz w:val="20"/>
                <w:szCs w:val="20"/>
                <w:color w:val="auto"/>
              </w:rPr>
            </w:pPr>
            <w:r>
              <w:rPr>
                <w:rFonts w:ascii="Arial" w:cs="Arial" w:eastAsia="Arial" w:hAnsi="Arial"/>
                <w:sz w:val="18"/>
                <w:szCs w:val="18"/>
                <w:color w:val="auto"/>
                <w:w w:val="89"/>
              </w:rPr>
              <w:t>1,618,055</w:t>
            </w:r>
          </w:p>
        </w:tc>
      </w:tr>
      <w:tr>
        <w:trPr>
          <w:trHeight w:val="216"/>
        </w:trPr>
        <w:tc>
          <w:tcPr>
            <w:tcW w:w="434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ICON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plc</w:t>
      </w:r>
    </w:p>
    <w:p>
      <w:pPr>
        <w:spacing w:after="0"/>
        <w:rPr>
          <w:sz w:val="20"/>
          <w:szCs w:val="20"/>
          <w:color w:val="auto"/>
        </w:rPr>
      </w:pPr>
      <w:r>
        <w:rPr>
          <w:rFonts w:ascii="Arial" w:cs="Arial" w:eastAsia="Arial" w:hAnsi="Arial"/>
          <w:sz w:val="18"/>
          <w:szCs w:val="18"/>
          <w:color w:val="auto"/>
        </w:rPr>
        <w:t>Contact: Investor Relations +1 888 381 7923 or</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Brendan Brennan Chief Financial Officer +353 1 291 2000</w:t>
      </w:r>
    </w:p>
    <w:p>
      <w:pPr>
        <w:spacing w:after="0" w:line="9" w:lineRule="exact"/>
        <w:rPr>
          <w:sz w:val="20"/>
          <w:szCs w:val="20"/>
          <w:color w:val="auto"/>
        </w:rPr>
      </w:pPr>
    </w:p>
    <w:p>
      <w:pPr>
        <w:ind w:left="720" w:right="4000"/>
        <w:spacing w:after="0" w:line="260" w:lineRule="auto"/>
        <w:rPr>
          <w:sz w:val="20"/>
          <w:szCs w:val="20"/>
          <w:color w:val="auto"/>
        </w:rPr>
      </w:pPr>
      <w:r>
        <w:rPr>
          <w:rFonts w:ascii="Arial" w:cs="Arial" w:eastAsia="Arial" w:hAnsi="Arial"/>
          <w:sz w:val="18"/>
          <w:szCs w:val="18"/>
          <w:color w:val="auto"/>
        </w:rPr>
        <w:t>Jonathan Curtain Vice President Corporate Finance &amp; Investor Relations +353 1 291 2000 http://www.iconplc.com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2021-02-24T05:34:28Z</dcterms:created>
  <dcterms:modified xsi:type="dcterms:W3CDTF">2021-02-24T05:34:28Z</dcterms:modified>
</cp:coreProperties>
</file>