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Leopardstown, Dublin 18, Ireland</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August 24,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 ICON plc – Form 20-F for the Fiscal Year Ended December 31, 2011</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ICON plc (the “Company”) is in receipt of your letter dated August 16, 2012 (the “Comment Letter”) setting forth the comments of the staff (the “Staff”) of the Securities and Exchange Commission (the “Commission”) relating to the Form 20-F for the fiscal year ended December 31, 2011 (File no. 333-08704) filed by the Company with the Commission (the “Annual Statement”) on March 2, 2012.</w:t>
      </w:r>
    </w:p>
    <w:p>
      <w:pPr>
        <w:spacing w:after="0" w:line="208"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The Company acknowledges that it is responsible for the adequacy and accuracy of the disclosures in the Form 20-F and in its other filings under the Securities Exchange Act of 1934, as amended. The Company acknowledges that comments of the Staff regarding the Form 20-F or changes to disclosures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laws of the United States</w:t>
      </w:r>
    </w:p>
    <w:p>
      <w:pPr>
        <w:spacing w:after="0" w:line="21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For your convenience, we have reproduced each comment from the Comment Letter (in bold) immediately before the Company’s response. Unless otherwise indicated, all references to page numbers in the Company’s responses below refer to page numbers in the Annual Statement, a copy of which was previously filed with the Commission.</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Financial Review and Prospects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26</w:t>
      </w:r>
    </w:p>
    <w:p>
      <w:pPr>
        <w:spacing w:after="0" w:line="252" w:lineRule="exact"/>
        <w:rPr>
          <w:sz w:val="24"/>
          <w:szCs w:val="24"/>
          <w:color w:val="auto"/>
        </w:rPr>
      </w:pPr>
    </w:p>
    <w:p>
      <w:pPr>
        <w:ind w:right="20" w:firstLine="8"/>
        <w:spacing w:after="0" w:line="266"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proposed disclosure to be included in future periodic reports that includes the cancellations for the periods presented. If you determine that project cancellations and delays for the periods presented are immaterial to your results of operations and cash flows, please indicate such in your proposed disclosure.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proposes to include the following revised disclosure in future filings:</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results of operations and cash flows are not materially impacted by project cancellations or delays. The Company conducted and earned revenues on over 3,500 studies during the year ended December 31, 2011. 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 Consequently, the Company’s results of operations and cash flows are not materially impacted by project cancellations or delays.</w:t>
      </w:r>
    </w:p>
    <w:p>
      <w:pPr>
        <w:spacing w:after="0" w:line="190" w:lineRule="exact"/>
        <w:rPr>
          <w:sz w:val="20"/>
          <w:szCs w:val="20"/>
          <w:color w:val="auto"/>
        </w:rPr>
      </w:pPr>
    </w:p>
    <w:p>
      <w:pPr>
        <w:ind w:right="20" w:firstLine="8"/>
        <w:spacing w:after="0" w:line="303" w:lineRule="auto"/>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on page 106 that income (loss) from operations in Ireland decreased from $54.1 million in 2009 to $36.6 million in 2010 to ($34.7) million in 2011. You also disclose on page 105 that over this same period, revenues in Ireland decreased from $151.6 million in 2009 to $128.8 million in 2010 to $88.9 million in 2011. Please provide us proposed revised disclosure to be included in future periodic reports that separately quantifies and discusses the decreases in revenues and income from operations in Ireland. Please see Item 303(a) of Regulation 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business involves the management and conduct of global clinical trials and related activities for pharmaceutical and biotechnology companies. Individual clinical trials are generally negotiated centrally between the Company and the respective client and performed at the Company’s various sites throughout the world, based upon the scope of the individual trial. The scope of the individual trial is determined by the client who will determine, amongst others, the number of patients they wish to recruit for the study and the countries and individual locations at which they wish the study to be performed.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Revenues are allocated to individual entities based on where the work is performed in accordance with the Company’s global transfer pricing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model. Revenues and income from operations in Ireland are a function of this transfer pricing model. In times of increased investment by individual entities, a greater portion of the Company’s revenue is used to support the revenue of the various entities across the world, thereby leading to reduced revenues and income from operations in Ireland. The Company has entered a number of strategic relationships with sponsors and expanded operations in certain territories in recent years, requiring significant upfront investment. This has lead to a reduction in revenue and income from operations in Ireland over the period of this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proposes to include the following additional disclosures in future filings: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in Ireland decreased from $128.9 million for the year ended December 31, 2010 to $88.9 million for the year ended December 31, 2011. Net revenue in Ireland is a function of the Company’s global transfer pricing model. Upfront investment by various group entities in personnel and related infrastructure to support new strategic partnerships and the expansion into new territories has resulted in a greater portion of the Company’s net revenue being used to support these entities and a corresponding reduction in net revenue in Ireland.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Income/(loss) from operations in Ireland decreased from income of $36.6 million for the year ended December 31, 2010 to a loss of $33.1 million for the year ended December 31, 2011. This decrease in income/(loss) from operations is principally due to the reduction in net revenue in Ireland during the period together with an increase in personnel and related infrastructure costs to support the Company’s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Liquidity and Capital Resources, page 31</w:t>
      </w:r>
    </w:p>
    <w:p>
      <w:pPr>
        <w:spacing w:after="0" w:line="252" w:lineRule="exact"/>
        <w:rPr>
          <w:sz w:val="20"/>
          <w:szCs w:val="20"/>
          <w:color w:val="auto"/>
        </w:rPr>
      </w:pPr>
    </w:p>
    <w:p>
      <w:pPr>
        <w:ind w:right="120" w:firstLine="8"/>
        <w:spacing w:after="0" w:line="261"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You indicate that the most significant influence on your operating cash flow is revenue outstanding. You also indicate that the number of days revenue outstanding at December 31, 2011 was 47 days compared to 37 days at December 31, 2010. Please provide us proposed revised disclosure to be included in future periodic reports that discusses the reasons for the increase and the expected effects of the increase and any expected further increases on future results of operations and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consists primarily of fees earned under contracts with third-party clients. Revenue from contracts is recognized as contractual obligations are performed. Fees under many of the Company’s contracts however are payable in installments over the study or trial duration, based on the achievement of certain performance targets or "milestones" (e.g. target patient enrollment rates, clinical testing sites initiated or case report forms completed), such milestones being specific to the terms and conditions of individual contracts. Cash received therefore is generally not representative of revenue earned.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outstanding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study’s duration for many reasons including, but not limited to, the scheduling of contractual milestones over a study or trial duration, the achievement of a contractual milestone in a particular period or the timing of cash receipts from customers. The Company earned revenues from over 3,500 studies during the year ended December 31, 2011. The number of days revenue outstanding at December 31, 2011 and December 31, 2010 is a function of the number of days revenue outstanding across all open studies on these dates. A decrease in the number of days revenue outstanding during a period will result in cash inflows to the Company while an increase in days revenue outstanding will lead to cash outflows.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proposes to include the following revised disclosure in future filings: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trail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2011 was 47 days compared to 37 days at December 31, 2010.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Contractual Obligations Table, page 33</w:t>
      </w:r>
    </w:p>
    <w:p>
      <w:pPr>
        <w:spacing w:after="0" w:line="252" w:lineRule="exact"/>
        <w:rPr>
          <w:sz w:val="20"/>
          <w:szCs w:val="20"/>
          <w:color w:val="auto"/>
        </w:rPr>
      </w:pPr>
    </w:p>
    <w:p>
      <w:pPr>
        <w:ind w:right="240" w:firstLine="8"/>
        <w:spacing w:after="0" w:line="28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a proposed revised table to be provided in future periodic reports that includes the performance milestones payable related to your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proposes to include a revised Contractual Obligations table in its next annual filing as follows (note: figures included in the table below are as at 31 December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w w:val="92"/>
              </w:rPr>
              <w:t>Payments due by period</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Less than 1</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1 to 3</w:t>
            </w:r>
          </w:p>
        </w:tc>
        <w:tc>
          <w:tcPr>
            <w:tcW w:w="24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3 to 5  More than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year</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years</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w w:val="92"/>
              </w:rPr>
              <w:t>(U.S.$ in millions)</w:t>
            </w: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36.9</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58.1</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36.8</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Non-current tax liabilities</w:t>
            </w:r>
          </w:p>
        </w:tc>
        <w:tc>
          <w:tcPr>
            <w:tcW w:w="2060" w:type="dxa"/>
            <w:vAlign w:val="bottom"/>
          </w:tcPr>
          <w:p>
            <w:pPr>
              <w:jc w:val="right"/>
              <w:spacing w:after="0"/>
              <w:rPr>
                <w:sz w:val="20"/>
                <w:szCs w:val="20"/>
                <w:color w:val="auto"/>
              </w:rPr>
            </w:pPr>
            <w:r>
              <w:rPr>
                <w:rFonts w:ascii="Arial" w:cs="Arial" w:eastAsia="Arial" w:hAnsi="Arial"/>
                <w:sz w:val="18"/>
                <w:szCs w:val="18"/>
                <w:color w:val="auto"/>
              </w:rPr>
              <w:t>5.2</w:t>
            </w: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0.3</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 (note 12)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contingent consideration</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37.6</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11.9</w:t>
            </w:r>
          </w:p>
        </w:tc>
        <w:tc>
          <w:tcPr>
            <w:tcW w:w="10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(U.S.$ in millions)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$84.5</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$74.8</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Goodwill, page 81</w:t>
      </w:r>
    </w:p>
    <w:p>
      <w:pPr>
        <w:spacing w:after="0" w:line="252" w:lineRule="exact"/>
        <w:rPr>
          <w:sz w:val="20"/>
          <w:szCs w:val="20"/>
          <w:color w:val="auto"/>
        </w:rPr>
      </w:pPr>
    </w:p>
    <w:p>
      <w:pPr>
        <w:ind w:right="20" w:firstLine="8"/>
        <w:spacing w:after="0" w:line="27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in the table reconciling the opening goodwill balance to closing goodwill balance that the goodwill related to current period acquisitions was $83.7 million at December 31, 2011. ASC 805-30-30-1 indicates that goodwill is the excess over consideration transferred and the net of identifiable assets acquired and liabilities assumed. In the case of your acquisitions of Firecrest Clinical and Oxford Outcomes, consideration transferred would include the fair value of contingent consideration related to your performance milestones in accordance with ASC 805-30-30-7(d). It appears that you did not factor in the value of the contingent consideration in determining the amount of consideration transferred in these acquisitions. Please provide us your accounting analysis that supports the fair value of the performance milestones and the amount of consideration transferred in the Firecrest Clinical and Oxford Outcomes acquisitions.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table in note 4 Goodwill on page 81 of the Company’s Form 20-F, reconciling the opening and closing goodwill balance for the year ended December 31, 2011, includes $83.7 million relating to goodwill arising on current period acquisitions i.e. the acquisitions of Firecrest Clinical and Oxford Outcomes. This amount includes the Company’s estimate of the fair value of the performance milestones in accordance with ASC 805-30-30-7(d).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The Company proposes to include the following revised tables in future filings relating to the acquisitions of Firecrest Clinical and Oxford Outcomes:</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acquisition of Firecrest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July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78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 – technology asset</w:t>
            </w:r>
          </w:p>
        </w:tc>
        <w:tc>
          <w:tcPr>
            <w:tcW w:w="4780" w:type="dxa"/>
            <w:vAlign w:val="bottom"/>
          </w:tcPr>
          <w:p>
            <w:pPr>
              <w:jc w:val="right"/>
              <w:spacing w:after="0"/>
              <w:rPr>
                <w:sz w:val="20"/>
                <w:szCs w:val="20"/>
                <w:color w:val="auto"/>
              </w:rPr>
            </w:pPr>
            <w:r>
              <w:rPr>
                <w:rFonts w:ascii="Arial" w:cs="Arial" w:eastAsia="Arial" w:hAnsi="Arial"/>
                <w:sz w:val="18"/>
                <w:szCs w:val="18"/>
                <w:color w:val="auto"/>
              </w:rPr>
              <w:t>11,169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478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trade name</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780" w:type="dxa"/>
            <w:vAlign w:val="bottom"/>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4780" w:type="dxa"/>
            <w:vAlign w:val="bottom"/>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$68,491</w:t>
            </w:r>
          </w:p>
        </w:tc>
        <w:tc>
          <w:tcPr>
            <w:tcW w:w="0" w:type="dxa"/>
            <w:vAlign w:val="bottom"/>
          </w:tcPr>
          <w:p>
            <w:pPr>
              <w:spacing w:after="0"/>
              <w:rPr>
                <w:sz w:val="1"/>
                <w:szCs w:val="1"/>
                <w:color w:val="auto"/>
              </w:rPr>
            </w:pPr>
          </w:p>
        </w:tc>
      </w:tr>
      <w:tr>
        <w:trPr>
          <w:trHeight w:val="21"/>
        </w:trPr>
        <w:tc>
          <w:tcPr>
            <w:tcW w:w="664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620" w:type="dxa"/>
            <w:vAlign w:val="bottom"/>
            <w:tcBorders>
              <w:top w:val="single" w:sz="8" w:color="auto"/>
            </w:tcBorders>
          </w:tcPr>
          <w:p>
            <w:pPr>
              <w:spacing w:after="0"/>
              <w:rPr>
                <w:sz w:val="20"/>
                <w:szCs w:val="20"/>
                <w:color w:val="auto"/>
              </w:rPr>
            </w:pPr>
          </w:p>
        </w:tc>
        <w:tc>
          <w:tcPr>
            <w:tcW w:w="4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780" w:type="dxa"/>
            <w:vAlign w:val="bottom"/>
          </w:tcPr>
          <w:p>
            <w:pPr>
              <w:jc w:val="right"/>
              <w:spacing w:after="0"/>
              <w:rPr>
                <w:sz w:val="20"/>
                <w:szCs w:val="20"/>
                <w:color w:val="auto"/>
              </w:rPr>
            </w:pPr>
            <w:r>
              <w:rPr>
                <w:rFonts w:ascii="Arial" w:cs="Arial" w:eastAsia="Arial" w:hAnsi="Arial"/>
                <w:sz w:val="18"/>
                <w:szCs w:val="18"/>
                <w:color w:val="auto"/>
              </w:rPr>
              <w:t>44,028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4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$68,491</w:t>
            </w:r>
          </w:p>
        </w:tc>
        <w:tc>
          <w:tcPr>
            <w:tcW w:w="0" w:type="dxa"/>
            <w:vAlign w:val="bottom"/>
          </w:tcPr>
          <w:p>
            <w:pPr>
              <w:spacing w:after="0"/>
              <w:rPr>
                <w:sz w:val="1"/>
                <w:szCs w:val="1"/>
                <w:color w:val="auto"/>
              </w:rPr>
            </w:pPr>
          </w:p>
        </w:tc>
      </w:tr>
    </w:tbl>
    <w:p>
      <w:pPr>
        <w:ind w:firstLine="8"/>
        <w:spacing w:after="0" w:line="323" w:lineRule="auto"/>
        <w:tabs>
          <w:tab w:leader="none" w:pos="159" w:val="left"/>
        </w:tabs>
        <w:numPr>
          <w:ilvl w:val="0"/>
          <w:numId w:val="6"/>
        </w:numPr>
        <w:rPr>
          <w:rFonts w:ascii="Arial" w:cs="Arial" w:eastAsia="Arial" w:hAnsi="Arial"/>
          <w:sz w:val="16"/>
          <w:szCs w:val="16"/>
          <w:color w:val="auto"/>
        </w:rPr>
      </w:pPr>
      <w:r>
        <w:rPr>
          <w:rFonts w:ascii="Arial" w:cs="Arial" w:eastAsia="Arial" w:hAnsi="Arial"/>
          <w:sz w:val="16"/>
          <w:szCs w:val="16"/>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deductable.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estimated fair values of the assets acquired and the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January 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780" w:type="dxa"/>
            <w:vAlign w:val="bottom"/>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4780" w:type="dxa"/>
            <w:vAlign w:val="bottom"/>
          </w:tcPr>
          <w:p>
            <w:pPr>
              <w:jc w:val="right"/>
              <w:spacing w:after="0"/>
              <w:rPr>
                <w:sz w:val="20"/>
                <w:szCs w:val="20"/>
                <w:color w:val="auto"/>
              </w:rPr>
            </w:pPr>
            <w:r>
              <w:rPr>
                <w:rFonts w:ascii="Arial" w:cs="Arial" w:eastAsia="Arial" w:hAnsi="Arial"/>
                <w:sz w:val="18"/>
                <w:szCs w:val="18"/>
                <w:color w:val="auto"/>
              </w:rPr>
              <w:t>6,648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780" w:type="dxa"/>
            <w:vAlign w:val="bottom"/>
          </w:tcPr>
          <w:p>
            <w:pPr>
              <w:jc w:val="right"/>
              <w:spacing w:after="0"/>
              <w:rPr>
                <w:sz w:val="20"/>
                <w:szCs w:val="20"/>
                <w:color w:val="auto"/>
              </w:rPr>
            </w:pPr>
            <w:r>
              <w:rPr>
                <w:rFonts w:ascii="Arial" w:cs="Arial" w:eastAsia="Arial" w:hAnsi="Arial"/>
                <w:sz w:val="18"/>
                <w:szCs w:val="18"/>
                <w:color w:val="auto"/>
              </w:rPr>
              <w:t>6,335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4780" w:type="dxa"/>
            <w:vAlign w:val="bottom"/>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4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620" w:type="dxa"/>
            <w:vAlign w:val="bottom"/>
            <w:tcBorders>
              <w:top w:val="single" w:sz="8" w:color="auto"/>
            </w:tcBorders>
          </w:tcPr>
          <w:p>
            <w:pPr>
              <w:spacing w:after="0"/>
              <w:rPr>
                <w:sz w:val="20"/>
                <w:szCs w:val="20"/>
                <w:color w:val="auto"/>
              </w:rPr>
            </w:pPr>
          </w:p>
        </w:tc>
        <w:tc>
          <w:tcPr>
            <w:tcW w:w="4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4780" w:type="dxa"/>
            <w:vAlign w:val="bottom"/>
          </w:tcPr>
          <w:p>
            <w:pPr>
              <w:jc w:val="right"/>
              <w:spacing w:after="0"/>
              <w:rPr>
                <w:sz w:val="20"/>
                <w:szCs w:val="20"/>
                <w:color w:val="auto"/>
              </w:rPr>
            </w:pPr>
            <w:r>
              <w:rPr>
                <w:rFonts w:ascii="Arial" w:cs="Arial" w:eastAsia="Arial" w:hAnsi="Arial"/>
                <w:sz w:val="18"/>
                <w:szCs w:val="18"/>
                <w:color w:val="auto"/>
              </w:rPr>
              <w:t>6,383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Put and call option</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780" w:type="dxa"/>
            <w:vAlign w:val="bottom"/>
          </w:tcPr>
          <w:p>
            <w:pPr>
              <w:jc w:val="right"/>
              <w:spacing w:after="0"/>
              <w:rPr>
                <w:sz w:val="20"/>
                <w:szCs w:val="20"/>
                <w:color w:val="auto"/>
              </w:rPr>
            </w:pPr>
            <w:r>
              <w:rPr>
                <w:rFonts w:ascii="Arial" w:cs="Arial" w:eastAsia="Arial" w:hAnsi="Arial"/>
                <w:sz w:val="18"/>
                <w:szCs w:val="18"/>
                <w:color w:val="auto"/>
              </w:rPr>
              <w:t>12,474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4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firstLine="8"/>
        <w:spacing w:after="0" w:line="261" w:lineRule="auto"/>
        <w:tabs>
          <w:tab w:leader="none" w:pos="1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Goodwill represents the cost of an established workforce with experience in specialist services in the areas of patient reported outcomes (PRO), health economics, epidemiology and translation and linguistic validation and is not tax deductible.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Fair Value of Contingent Consideration</w:t>
      </w:r>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estimating the purchase price of the Firecrest Clinical and Oxford Outcomes acquisitions the Company considered the estimated fair value of the contingent consideration at date of acquisition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Firecrest Clinical</w:t>
      </w:r>
    </w:p>
    <w:p>
      <w:pPr>
        <w:spacing w:after="0" w:line="25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Firecrest Clinical contingent consideration is payable based upon the achievement of a number of performance milestones over the period from January 2011 to June 2013. These performance milestones are based upon EBITDA targets of the acquired business. Additional consideration of up to €33.0 million ($46.8 million) may become payable if these performance milestones are achieved.</w:t>
      </w:r>
    </w:p>
    <w:p>
      <w:pPr>
        <w:spacing w:after="0" w:line="2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estimating the fair value of the contingent consideration at date of acquisition, the Company considered the likelihood of the achievement of the EBITDA targets having regard to the future projections of the acquired business. On the basis of this review, the Company estimated that additional consideration of up to €32.7 million ($42.4 million) may become payable, this being approximately 99.2% of the total potential additional consideration payable. The Company recorded a liability of €31.3 million ($40.6 million) at the date of acquisition, this being the net present value of the Company’s estimate of the additional consideration payable.</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EBITA targets for the periods January to June 2011 and January to December 2011 have both been achieved in line with the Company’s estimate. In March 2012 the Company paid €3 million ($4.0 million) to the former shareholders in respect of the EBITDA target for January to June 2011 and in July 2012 the Company paid a further €10 million ($12.5 million) in respect of the EBITDA target for January to December 2011. Both amounts were in line with the Company’s estimates and the fair value of the contingent consideration recorded. The Company continues to review the performance of the acquired business against its estimate of the additional amounts payable at each reporting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Oxford Outcomes</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Oxford Outcomes contingent consideration is payable based upon the achievement of certain performance milestones. These performance milestones are based upon revenue targets for the years ended March 31, 2011 and March 31, 2012. Additional consideration of up to £8.0 million ($12.4 million) may become payable if these performance milestones are achieved.</w:t>
      </w:r>
    </w:p>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estimating the fair value of the contingent consideration at date of acquisition, the Company considered the likelihood of the achievement of the above targets having regard to the future projections of the acquired business. On the basis of this review, the Company estimated that both revenue targets would be achieved and accordingly recorded a liability at date of acquisition of £8 million ($12.4 million). No discount was applied to the fair value of the contingent consideration due to the short term nature of the obligation.</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revenue target for the year ended March 31, 2011 was achieved with £4 million ($6.3 million) becoming payable. In July 2011 the Company paid £3.3 million ($5.1 million) to the former shareholders, with a further £0.7 million ($1.1 million) paid in October 2011 on the exercise of the put and call option (in accordance with the terms and conditions of this agreement). The revenue target for the year ended March 31, 2012 has also been achieved, with the remaining £4 million ($6.3 million) now payable.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6" w:name="page7"/>
    <w:bookmarkEnd w:id="6"/>
    <w:p>
      <w:pPr>
        <w:ind w:right="520" w:firstLine="8"/>
        <w:spacing w:after="0" w:line="313" w:lineRule="auto"/>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Please tell us how you determined the fair value of and why you did not account for the put and call options as part of the Oxford Outcomes acquisition on the acquisition date. Please provide us your analysis that supports your accounting for these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jc w:val="both"/>
        <w:ind w:right="780"/>
        <w:spacing w:after="0" w:line="286" w:lineRule="auto"/>
        <w:rPr>
          <w:sz w:val="20"/>
          <w:szCs w:val="20"/>
          <w:color w:val="auto"/>
        </w:rPr>
      </w:pPr>
      <w:r>
        <w:rPr>
          <w:rFonts w:ascii="Arial" w:cs="Arial" w:eastAsia="Arial" w:hAnsi="Arial"/>
          <w:sz w:val="17"/>
          <w:szCs w:val="17"/>
          <w:color w:val="auto"/>
        </w:rPr>
        <w:t>As noted in response 5, the Company will present additional information in future filings to assist in reconciling the fair value of total consideration transferred between cash and contingent consideration. The information set out in response 5 illustrates that the fair value of the total consideration transferred included the consideration relating to the put and call options. This can be further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relating to 81.456% of Common Stock</w:t>
            </w:r>
          </w:p>
        </w:tc>
        <w:tc>
          <w:tcPr>
            <w:tcW w:w="39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Initial cash consideration</w:t>
            </w:r>
          </w:p>
        </w:tc>
        <w:tc>
          <w:tcPr>
            <w:tcW w:w="3920" w:type="dxa"/>
            <w:vAlign w:val="bottom"/>
          </w:tcPr>
          <w:p>
            <w:pPr>
              <w:jc w:val="right"/>
              <w:ind w:right="850"/>
              <w:spacing w:after="0"/>
              <w:rPr>
                <w:sz w:val="20"/>
                <w:szCs w:val="20"/>
                <w:color w:val="auto"/>
              </w:rPr>
            </w:pPr>
            <w:r>
              <w:rPr>
                <w:rFonts w:ascii="Arial" w:cs="Arial" w:eastAsia="Arial" w:hAnsi="Arial"/>
                <w:sz w:val="18"/>
                <w:szCs w:val="18"/>
                <w:color w:val="auto"/>
              </w:rPr>
              <w:t>£17,684</w:t>
            </w:r>
          </w:p>
        </w:tc>
        <w:tc>
          <w:tcPr>
            <w:tcW w:w="1060" w:type="dxa"/>
            <w:vAlign w:val="bottom"/>
          </w:tcPr>
          <w:p>
            <w:pPr>
              <w:jc w:val="right"/>
              <w:spacing w:after="0"/>
              <w:rPr>
                <w:sz w:val="20"/>
                <w:szCs w:val="20"/>
                <w:color w:val="auto"/>
              </w:rPr>
            </w:pPr>
            <w:r>
              <w:rPr>
                <w:rFonts w:ascii="Arial" w:cs="Arial" w:eastAsia="Arial" w:hAnsi="Arial"/>
                <w:sz w:val="18"/>
                <w:szCs w:val="18"/>
                <w:color w:val="auto"/>
              </w:rPr>
              <w:t>$27,585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39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6,516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relating to Put &amp; Call Options</w:t>
            </w:r>
          </w:p>
        </w:tc>
        <w:tc>
          <w:tcPr>
            <w:tcW w:w="3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Initial cash consideration</w:t>
            </w:r>
          </w:p>
        </w:tc>
        <w:tc>
          <w:tcPr>
            <w:tcW w:w="3920" w:type="dxa"/>
            <w:vAlign w:val="bottom"/>
          </w:tcPr>
          <w:p>
            <w:pPr>
              <w:jc w:val="right"/>
              <w:ind w:right="850"/>
              <w:spacing w:after="0"/>
              <w:rPr>
                <w:sz w:val="20"/>
                <w:szCs w:val="20"/>
                <w:color w:val="auto"/>
              </w:rPr>
            </w:pPr>
            <w:r>
              <w:rPr>
                <w:rFonts w:ascii="Arial" w:cs="Arial" w:eastAsia="Arial" w:hAnsi="Arial"/>
                <w:sz w:val="18"/>
                <w:szCs w:val="18"/>
                <w:color w:val="auto"/>
              </w:rPr>
              <w:t>3,778</w:t>
            </w:r>
          </w:p>
        </w:tc>
        <w:tc>
          <w:tcPr>
            <w:tcW w:w="1060" w:type="dxa"/>
            <w:vAlign w:val="bottom"/>
          </w:tcPr>
          <w:p>
            <w:pPr>
              <w:jc w:val="right"/>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39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1,484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Working Capital Element</w:t>
            </w:r>
          </w:p>
        </w:tc>
        <w:tc>
          <w:tcPr>
            <w:tcW w:w="3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9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4,092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Consideration transferred</w:t>
            </w:r>
          </w:p>
        </w:tc>
        <w:tc>
          <w:tcPr>
            <w:tcW w:w="39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£33,554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$52,335</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Note: the numbers noted in the above table will reconcile to the text description of Note 4(b), while the overall consideration transferred agrees to the purchase price outlined in the table included in Note 4(b)</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Oxford Outcomes was acquired by the Company on January 14, 2011 (“the acquisition date”). The legal form of the transaction was such that the Company acquired 81.456% of the equity of Oxford Outcomes on the acquisition date and on the same date also entered into a put and call agreement with the selling shareholders, under which the sellers had the right to sell to the Company, and the Company the right to acquire from the sellers, the remaining 18.544% at a fixed price. This option could be exercised by either party at various dates up to November 30, 2011. In effect the substance of the transaction was such that the Company acquired the entire business on the acquisition date and therefore accounted for a 100 percent interest in the subsidiary on the basis of the information set out below.</w:t>
      </w:r>
    </w:p>
    <w:p>
      <w:pPr>
        <w:spacing w:after="0" w:line="2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put and call option has been accounted for in accordance with the provisions included in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Derivative 2 states:</w:t>
      </w:r>
    </w:p>
    <w:p>
      <w:pPr>
        <w:spacing w:after="0" w:line="19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parent has a call option to buy the other 20 percent at a fixed price at a stated future date, and the noncontrolling interest holder has a put option to sell the other 20 percent to the parent under those same terms, that is, the fixed price of the call is equal to the fixed price of the put option.”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terms in the Oxford Outcomes put and call agreement are therefore in line with this example provided in ASC 480-10-55-53, sub-paragraph b.</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Paragraph 55-55 further notes:</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if the written put option and purchased call option are embedded in the shares (noncontrolling interest) and the shares are not mandatorily redeemable, the freestanding instrument shall be accounted for as discussed in paragraph 480-10-55-59 with the parent consolidating 100 percent of the subsidiary.”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ind w:right="280"/>
        <w:spacing w:after="0" w:line="277" w:lineRule="auto"/>
        <w:rPr>
          <w:sz w:val="20"/>
          <w:szCs w:val="20"/>
          <w:color w:val="auto"/>
        </w:rPr>
      </w:pPr>
      <w:r>
        <w:rPr>
          <w:rFonts w:ascii="Arial" w:cs="Arial" w:eastAsia="Arial" w:hAnsi="Arial"/>
          <w:sz w:val="18"/>
          <w:szCs w:val="18"/>
          <w:color w:val="auto"/>
        </w:rPr>
        <w:t>This definition required consideration as to whether the instrument was embedded in the shares (non-controlling interest), and whether the instrument was mandatorily redeemable.</w:t>
      </w:r>
    </w:p>
    <w:p>
      <w:pPr>
        <w:spacing w:after="0" w:line="19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Embedded or freestanding: </w:t>
      </w:r>
      <w:r>
        <w:rPr>
          <w:rFonts w:ascii="Arial" w:cs="Arial" w:eastAsia="Arial" w:hAnsi="Arial"/>
          <w:sz w:val="17"/>
          <w:szCs w:val="17"/>
          <w:color w:val="auto"/>
        </w:rPr>
        <w:t>A freestanding financial instrument is a financial instrument that is entered into separately and apart from the entity’s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or equity transactions, or that is entered into in conjunction with some other transaction and is legally detachable and separately exercisable. In the case of Oxford Outcomes the put and call options were not legally detachable and could not be transferred to other third parties. For the purpose of paragraph 55-55 the instrument was therefore considered embedded, and not freestanding.</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Mandatorily redeemable: </w:t>
      </w:r>
      <w:r>
        <w:rPr>
          <w:rFonts w:ascii="Arial" w:cs="Arial" w:eastAsia="Arial" w:hAnsi="Arial"/>
          <w:sz w:val="18"/>
          <w:szCs w:val="18"/>
          <w:color w:val="auto"/>
        </w:rPr>
        <w:t>A mandatorily redeemable financial instrument is a financial instrument issued in the form of shares that embodies an unconditional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requiring the issuer to redeem the instrument by transferring its assets at a specified or determinable date (or dates) or on an event certain to occur. In the case of Oxford Outcomes the put and call options required the occurrence of a future event (therefore they were “conditional” upon a future event happening), and as a result were not unconditional obligations. [Unconditional obligations would be outside the control of both the issuer and the holder, for example would only require the passage of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stated in paragraph 55-55 the relevant accounting literature to consider in accounting for this put and call option is 480-10-55-59.</w:t>
      </w:r>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guidance in paragraphs 55-59 through 55-62 requires that the relevant put and call options are viewed on a combined basis with the noncontrolling interest and accounted for as a financing of the parent's purchase of the noncontrolling interest. Under this approach, the parent consolidates 100 percent of the subsidiary. In accordance with the guidance this option was not required to be accounted for separately as a derivative.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Extracts of the relevant paragraphs are included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Put Option and Purchased Call Option Embedded in Noncontrolling Interest</w:t>
      </w:r>
    </w:p>
    <w:p>
      <w:pPr>
        <w:spacing w:after="0" w:line="2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55-59 If the derivative instrument in Derivative 2 is freestanding of the noncontrolling interest, it should be combined with the noncontrolling interest and accounted for as a financing. That is, the combination of option contracts should be viewed on a combined basis with the noncontrolling interest and accounted for as a financing of the parent's purchase of the noncontrolling interest.</w:t>
      </w:r>
    </w:p>
    <w:p>
      <w:pPr>
        <w:spacing w:after="0" w:line="2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55-60 Under that approach, the parent would consolidate 100 percent of the subsidiary and would attribute the stated yield earned under the combined derivative instrument and noncontrolling interest position to interest expense (that is, the financing would be accreted to the strike price of the forward or option over the period until settlement). No gain or loss would be recognized on the sale of the noncontrolling interest by the parent to the noncontrolling interest holder at the inception of the derivative instrument.</w:t>
      </w:r>
    </w:p>
    <w:p>
      <w:pPr>
        <w:spacing w:after="0" w:line="21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55-61 The risks and rewards of owning the noncontrolling interest have been retained by the parent during the period of the derivative instrument, notwithstanding the legal ownership of the noncontrolling interest by the counterparty. Combining the two transactions in this circumstance reflects the substance of the transactions; that the counterparty is financing the noncontrolling interest. Upon such combination, the resulting instrument is not a derivative instrument subject to Subtopic 815-10.</w:t>
      </w:r>
    </w:p>
    <w:p>
      <w:pPr>
        <w:spacing w:after="0" w:line="21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55-62 This accounting applies even if the exercise prices of the put and call options are not equal, as long as those exercise prices are not significantly different.”</w:t>
      </w:r>
    </w:p>
    <w:p>
      <w:pPr>
        <w:spacing w:after="0" w:line="19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fair value of the options was determined by reference to the amount stated in the contract, as the option was a financing liability. (Further details as to how the fair value of the contingent consideration relating to the put and call options was determined is set out in response 5).</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17. Business Segment Information, page 105</w:t>
      </w:r>
    </w:p>
    <w:p>
      <w:pPr>
        <w:spacing w:after="0" w:line="252" w:lineRule="exact"/>
        <w:rPr>
          <w:sz w:val="20"/>
          <w:szCs w:val="20"/>
          <w:color w:val="auto"/>
        </w:rPr>
      </w:pPr>
    </w:p>
    <w:p>
      <w:pPr>
        <w:ind w:right="260" w:firstLine="8"/>
        <w:spacing w:after="0" w:line="313" w:lineRule="auto"/>
        <w:tabs>
          <w:tab w:leader="none" w:pos="1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Please provide us proposed disclosure to be included in future periodic reports showing the revenues from external customers for each product and service or each group of similar products and services unless it is impracticable to do so. Refer to ASC 280-10-50-40.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provides outsourced development services to its customers in the pharmaceutical and biotechnology industries to support their development of new clinical therapies. A clinical trial represents a series of related and interdependent tasks to be performed over the life of the trial. Such tasks may include clinical trials management, biometric activities, consulting, imaging, contract staffing, informatics and laboratory services. Essentially however these represent a single service, that of outsourced development, as each are integral in the development of new clinical therapies and combined provide the clinical data to determine if a drug or clinical therapy is fit for purpose and safe. The Company believes therefore that it has complied with the requirements of ASC 280-10-50-40 and does not propose making any additional disclosure.</w:t>
      </w:r>
    </w:p>
    <w:p>
      <w:pPr>
        <w:spacing w:after="0" w:line="200" w:lineRule="exact"/>
        <w:rPr>
          <w:sz w:val="20"/>
          <w:szCs w:val="20"/>
          <w:color w:val="auto"/>
        </w:rPr>
      </w:pPr>
    </w:p>
    <w:p>
      <w:pPr>
        <w:spacing w:after="0" w:line="22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believe that we have fully responded to your comments. However, if you have any questions about any of our responses to your comments or require further explanation, please do not hesitate to call me at (011)- 353-1-291-2000 or Brian Kelleher of Cahill Gordon at (212) 701-3447.</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ICON plc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William M. Hartnett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Kelleher</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sectPr>
      <w:pgSz w:w="11900" w:h="16838" w:orient="portrait"/>
      <w:cols w:equalWidth="0" w:num="1">
        <w:col w:w="11380"/>
      </w:cols>
      <w:pgMar w:left="240" w:top="75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2019-12-09T13:17:52Z</dcterms:created>
  <dcterms:modified xsi:type="dcterms:W3CDTF">2019-12-09T13:17:52Z</dcterms:modified>
</cp:coreProperties>
</file>