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16"/>
          <w:szCs w:val="16"/>
          <w:b w:val="1"/>
          <w:bCs w:val="1"/>
          <w:color w:val="auto"/>
        </w:rPr>
        <w:t>FORM 6-K</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Washington, D.C. 20549</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For</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the month ended November, 2021</w:t>
      </w:r>
    </w:p>
    <w:p>
      <w:pPr>
        <w:spacing w:after="0" w:line="22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333-08704</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9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 Brennan, CFO</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Brendan.Brennan@iconplc.com</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+353-1-291-2000</w:t>
      </w:r>
    </w:p>
    <w:p>
      <w:pPr>
        <w:spacing w:after="0" w:line="5" w:lineRule="exact"/>
        <w:rPr>
          <w:sz w:val="24"/>
          <w:szCs w:val="24"/>
          <w:color w:val="auto"/>
        </w:rPr>
      </w:pPr>
    </w:p>
    <w:p>
      <w:pPr>
        <w:jc w:val="center"/>
        <w:ind w:right="-859"/>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1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309" w:lineRule="exact"/>
        <w:rPr>
          <w:sz w:val="24"/>
          <w:szCs w:val="24"/>
          <w:color w:val="auto"/>
        </w:rPr>
      </w:pPr>
    </w:p>
    <w:p>
      <w:pPr>
        <w:spacing w:after="0" w:line="232"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40" w:top="1242"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87" w:lineRule="exact"/>
        <w:rPr>
          <w:sz w:val="20"/>
          <w:szCs w:val="20"/>
          <w:color w:val="auto"/>
        </w:rPr>
      </w:pPr>
    </w:p>
    <w:p>
      <w:pPr>
        <w:jc w:val="both"/>
        <w:ind w:firstLine="200"/>
        <w:spacing w:after="0" w:line="248"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registration statement on Form F-4 (Registration No. 333-254891) of ICON plc and in the prospectus contained therein, registration statement on Form S-8 (Registration No. 333-152802) of ICON plc, registration statement on Form S-8 (Registration No. 333-190068)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used herein, “ICON”, the “Company” and “we” refer to ICON plc and its consolidated subsidiaries, unless the context requires otherwise.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2021 we had approximately 37,960 employees, in 159 locations in 53 countries. During the nine months ended September 30, 2021, we derived approximately 44.5%, 48.4% and 7.1% of our revenue in the United States, Europe and Rest of World respectively.</w:t>
      </w:r>
    </w:p>
    <w:p>
      <w:pPr>
        <w:spacing w:after="0" w:line="229" w:lineRule="exact"/>
        <w:rPr>
          <w:sz w:val="20"/>
          <w:szCs w:val="20"/>
          <w:color w:val="auto"/>
        </w:rPr>
      </w:pPr>
    </w:p>
    <w:p>
      <w:pPr>
        <w:jc w:val="both"/>
        <w:ind w:firstLine="211"/>
        <w:spacing w:after="0" w:line="253"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July 1, 2021, ICON plc completed its merger (the "Merger") with PRA Health Sciences, Inc. ("PRA"). The combined company has retained the name ICON and brings together 37,960 employees across 53 countries, creating the world’s most advanced healthcare intelligence and clinical research organization.</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condensed financial statements below reflect the results of the combined company for the three month period since the Merger completion on July 1, 2021. The results of PRA in the period prior to July 1, 2021 are not reflected in the condensed financial statements below, other than where clearly stated and required by GAAP.</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the outstanding amount of (i) PRA’s existing credit facilities and</w:t>
      </w:r>
    </w:p>
    <w:p>
      <w:pPr>
        <w:spacing w:after="0" w:line="1" w:lineRule="exact"/>
        <w:rPr>
          <w:sz w:val="20"/>
          <w:szCs w:val="20"/>
          <w:color w:val="auto"/>
        </w:rPr>
      </w:pPr>
    </w:p>
    <w:p>
      <w:pPr>
        <w:ind w:firstLine="8"/>
        <w:spacing w:after="0" w:line="260" w:lineRule="auto"/>
        <w:tabs>
          <w:tab w:leader="none" w:pos="23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Company's private placement notes outstanding and fund, in part, the transaction. The senior secured term loan facility will mature in July 2028 and the revolving loan facility will mature in July 2026.</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at the option of the applicable borrower (as defined in the credit agreement), either (i) the base rate (as described in the credit agreement) plus an applicable margin of 1.50% or (ii) LIBOR plus an applicable margin of 2.50%, in each case, with a step down of 0.25% if the first lien net leverage ratio is equal to or less than 4.00 to 1.00. The senior secured term loan facility is subject to a LIBOR floor of 0.50%.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ind w:firstLine="648"/>
        <w:spacing w:after="0" w:line="251"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27, 2021, the Company repaid $13.8 million of the senior secured term loan facility and made a quarterly interest payment of $40.4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 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 The Senior Secured Notes are guaranteed on a senior secured basis by ICON and its direct and indirect subsidiaries that guarantee the Senior Secured Credit Facilities.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Repayment of the 2020 Senior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On December 8, 2020, the Company issued new senior notes, (the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was adjusted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loss related to this derivative was recorded within other comprehensive income and amortized over the life of the 2020 Senior Notes. The effective rate on the 2020 Senior Notes was fixed at 2.41%.</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the Merger with PRA, the Company was required to repay the 2020 Senior Notes prior to entering into the Senior Secured Credit Facilities and the Senior Secured Notes. In June 2021, ICON committed to entering into the Senior Secured Credit Facilities and the Senior Secured Notes and therefore committed to replacing the 2020 Senior Notes. The 2020 Senior Notes have been repaid and long term financing consisting of the Senior Secured Credit Facilities and the Senior Secured Notes have been drawn. The 2020 Senior Notes were repaid on July 1, 2021 inclusive of early repayment charges. The total repayment on July 1, 2021 was $364.0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Appointments</w:t>
      </w:r>
    </w:p>
    <w:p>
      <w:pPr>
        <w:spacing w:after="0" w:line="2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result of the Merger, Mr. Colin Shannon and Dr. Linda Grais, who both served on the PRA Board, joined ICON’s Board of Directors. The appointments were approved at the Company's annual general meeting held on July 20, 2021.</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Mr. Shannon previously served as PRA's President and Chief Executive Officer and was a director of the Company since 2010. He was also the Chairman of the Board of Directors at PRA. Mr. Shannon joined PRA in 2007, serving first as President and Chief Operating Officer. Prior to joining PRA, he was Executive Vice President, Global Clinical Operations at Pharmaceutical Product Development, Inc. (now known as PPD, Inc., or PPD). During his 12 year tenure with PPD, he held various leadership roles, including Chief Operating Officer for its European division and Chief Financial and Administration Officer for Europe and the Pacific Rim.</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Dr. Grais was previously a member of the PRA board since October 2015. Dr. Grais served as a member of the board of directors of Ocera Therapeutics, Inc., a biopharmaceutical company, from January 2008 through December 2017 and as President and Chief Executive Officer of Ocera Therapeutics, Inc. from June 2012 to December 2017. Prior to her employment by Ocera Therapeutics, Dr. Grais served as a managing member at InterWest Partners, a venture capital firm from May 2005 until February 2011. She sits on the audit committees of Corvus Pharmaceuticals, Inc., Zosano Pharma Corporation and Arca Biopharma, Inc. and on the compensation committee of Arca Biopharma, Inc.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color w:val="auto"/>
        </w:rPr>
        <w:t>Assessment of COVID-19 impact on the business</w:t>
      </w:r>
    </w:p>
    <w:p>
      <w:pPr>
        <w:spacing w:after="0" w:line="264" w:lineRule="exact"/>
        <w:rPr>
          <w:sz w:val="20"/>
          <w:szCs w:val="20"/>
          <w:color w:val="auto"/>
        </w:rPr>
      </w:pPr>
    </w:p>
    <w:p>
      <w:pPr>
        <w:jc w:val="both"/>
        <w:ind w:firstLine="184"/>
        <w:spacing w:after="0" w:line="250" w:lineRule="auto"/>
        <w:rPr>
          <w:sz w:val="20"/>
          <w:szCs w:val="20"/>
          <w:color w:val="auto"/>
        </w:rPr>
      </w:pPr>
      <w:r>
        <w:rPr>
          <w:rFonts w:ascii="Arial" w:cs="Arial" w:eastAsia="Arial" w:hAnsi="Arial"/>
          <w:sz w:val="16"/>
          <w:szCs w:val="16"/>
          <w:color w:val="auto"/>
        </w:rPr>
        <w:t>In the period since December 31, 2020, the Company has continued to experience a return to positive growth in revenue and net income as a result of the ongoing recovery from the global COVID-19 pandemic. At this point in time, there still remains some degree of uncertainty relating to the long-term effect of COVID-19 on our business and when it will be possible for business activity to return to normal operating levels. Although the impact of the global COVID-19 pandemic is reducing, we continue to experience restrictions on our ability to ensure laboratory samples are collected and analyzed on time, our ability to monitor our clinical trials, the ability of patients or service providers to travel, and our ability to travel, as a result of the outbreak.</w:t>
      </w:r>
    </w:p>
    <w:p>
      <w:pPr>
        <w:spacing w:after="0" w:line="23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ICON has continued to successfully mobilize its vaccine resources to address the COVID-19 global threat, including its ability to conduct home-based trials to minimize infection. In addition, the Company is currently providing clinical monitoring and safety oversight on more than 100 COVID-19 trials for both the private and government sectors.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264" w:lineRule="exact"/>
        <w:rPr>
          <w:sz w:val="20"/>
          <w:szCs w:val="20"/>
          <w:color w:val="auto"/>
        </w:rPr>
      </w:pPr>
    </w:p>
    <w:p>
      <w:pPr>
        <w:jc w:val="both"/>
        <w:ind w:firstLine="233"/>
        <w:spacing w:after="0" w:line="260" w:lineRule="auto"/>
        <w:rPr>
          <w:sz w:val="20"/>
          <w:szCs w:val="20"/>
          <w:color w:val="auto"/>
        </w:rPr>
      </w:pPr>
      <w:r>
        <w:rPr>
          <w:rFonts w:ascii="Arial" w:cs="Arial" w:eastAsia="Arial" w:hAnsi="Arial"/>
          <w:sz w:val="16"/>
          <w:szCs w:val="16"/>
          <w:color w:val="auto"/>
        </w:rPr>
        <w:t>During the year ended December 31, 2020, 1,235,218 ordinary shares were redeemed by the Company for a total consideration of $175.0 million. During the nine months ended September 30, 2021, no ordinary shares were redeemed by the Company under this buyback program.</w:t>
      </w:r>
    </w:p>
    <w:p>
      <w:pPr>
        <w:spacing w:after="0" w:line="222" w:lineRule="exact"/>
        <w:rPr>
          <w:sz w:val="20"/>
          <w:szCs w:val="20"/>
          <w:color w:val="auto"/>
        </w:rPr>
      </w:pPr>
    </w:p>
    <w:p>
      <w:pPr>
        <w:jc w:val="both"/>
        <w:ind w:right="20" w:firstLine="196"/>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standards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will adopt the amendments in this ASU on a prospective basis, except where the required method of adoption is retrospective or modified retrospective. ASU 2019-12 is effective for the Company for fiscal years commencing on or after December 15, 2020. The adoption of this ASU did not have a significant impact on the financial statements.</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w:t>
      </w:r>
      <w:r>
        <w:rPr>
          <w:rFonts w:ascii="Arial" w:cs="Arial" w:eastAsia="Arial" w:hAnsi="Arial"/>
          <w:sz w:val="16"/>
          <w:szCs w:val="16"/>
          <w:color w:val="auto"/>
        </w:rPr>
        <w:t>'. ASU 2020-01 states any equity security transitioning from the alternative method of accounting under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fiscal years beginning after December 15, 2020, and will be applied on a prospective basis. The adoption of this ASU did not have a significant impact on the financial statements.</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which removes the separation models in ASC 470 ‘Debt’ for convertible debt with cash conversion features and convertible instruments with beneficial conversion features. The ASU also removes from ASC 815 </w:t>
      </w: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xml:space="preserve"> certain conditions for equity classification for contracts on an entity’s own equity. The adoption of this ASU did not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6"/>
          <w:szCs w:val="16"/>
          <w:b w:val="1"/>
          <w:bCs w:val="1"/>
          <w:color w:val="auto"/>
        </w:rPr>
        <w:t>ICON plc</w:t>
      </w:r>
    </w:p>
    <w:p>
      <w:pPr>
        <w:spacing w:after="0" w:line="3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SEPTEMBER 30, 2021 AND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5"/>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1,008,524</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840,305</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1,712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1,338,326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715,271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550,692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428,684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60,376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131,554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53,477</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38,484</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3,129,668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2,102,978</w:t>
            </w:r>
          </w:p>
        </w:tc>
        <w:tc>
          <w:tcPr>
            <w:tcW w:w="0" w:type="dxa"/>
            <w:vAlign w:val="bottom"/>
          </w:tcPr>
          <w:p>
            <w:pPr>
              <w:spacing w:after="0"/>
              <w:rPr>
                <w:sz w:val="1"/>
                <w:szCs w:val="1"/>
                <w:color w:val="auto"/>
              </w:rPr>
            </w:pPr>
          </w:p>
        </w:tc>
      </w:tr>
      <w:tr>
        <w:trPr>
          <w:trHeight w:val="165"/>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319,457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174,343</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8,935,212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936,257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238,107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84,561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57,637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20,773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receivable</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16,119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deferred tax asset</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117,313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method investments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Investments in equity-long term</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22,758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15,765</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Intangible assets, net</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4,815,184</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66,460</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17,654,517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62,576</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51,113</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1,349,000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660,883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794,879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399,769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39,614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12,178</w:t>
            </w:r>
          </w:p>
        </w:tc>
        <w:tc>
          <w:tcPr>
            <w:tcW w:w="0" w:type="dxa"/>
            <w:vAlign w:val="bottom"/>
          </w:tcPr>
          <w:p>
            <w:pPr>
              <w:spacing w:after="0"/>
              <w:rPr>
                <w:sz w:val="1"/>
                <w:szCs w:val="1"/>
                <w:color w:val="auto"/>
              </w:rPr>
            </w:pPr>
          </w:p>
        </w:tc>
      </w:tr>
      <w:tr>
        <w:trPr>
          <w:trHeight w:val="22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Current bank credit lines and loan facilities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55,150</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2,301,219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1,123,943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5,872,720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348,477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operating lease liabilities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190,912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60,801</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73,917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26,366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government grants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18,868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14,539</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deferred tax liability</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1,227,535</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9,685,931</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1,585,370</w:t>
            </w:r>
          </w:p>
        </w:tc>
        <w:tc>
          <w:tcPr>
            <w:tcW w:w="0" w:type="dxa"/>
            <w:vAlign w:val="bottom"/>
          </w:tcPr>
          <w:p>
            <w:pPr>
              <w:spacing w:after="0"/>
              <w:rPr>
                <w:sz w:val="1"/>
                <w:szCs w:val="1"/>
                <w:color w:val="auto"/>
              </w:rPr>
            </w:pPr>
          </w:p>
        </w:tc>
      </w:tr>
      <w:tr>
        <w:trPr>
          <w:trHeight w:val="203"/>
        </w:trPr>
        <w:tc>
          <w:tcPr>
            <w:tcW w:w="7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81,397,821 shares issued and outstanding at September 30, 2021 and</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52,788,093 shares issued and outstanding at December 31, 2020</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6,629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6,700,407</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617,104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(79,196)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(35,477)</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1,339,612</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7,968,586</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17,654,517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0" w:type="dxa"/>
            <w:vAlign w:val="bottom"/>
          </w:tcPr>
          <w:p>
            <w:pPr>
              <w:spacing w:after="0"/>
              <w:rPr>
                <w:sz w:val="1"/>
                <w:szCs w:val="1"/>
                <w:color w:val="auto"/>
              </w:rPr>
            </w:pPr>
          </w:p>
        </w:tc>
      </w:tr>
      <w:tr>
        <w:trPr>
          <w:trHeight w:val="24"/>
        </w:trPr>
        <w:tc>
          <w:tcPr>
            <w:tcW w:w="7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2021 AND SEPTEMBER 30, 2020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80" w:type="dxa"/>
            <w:vAlign w:val="bottom"/>
            <w:gridSpan w:val="7"/>
            <w:shd w:val="clear" w:color="auto" w:fill="CCEEFF"/>
          </w:tcPr>
          <w:p>
            <w:pPr>
              <w:ind w:left="800"/>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1,866,352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701,729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3,595,705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2,037,059</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Direct costs (excluding depreciation and amortization)</w:t>
            </w:r>
          </w:p>
        </w:tc>
        <w:tc>
          <w:tcPr>
            <w:tcW w:w="1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1,357,942</w:t>
            </w:r>
          </w:p>
        </w:tc>
        <w:tc>
          <w:tcPr>
            <w:tcW w:w="2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493,410</w:t>
            </w: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2,615,309</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1,444,536</w:t>
            </w:r>
          </w:p>
        </w:tc>
      </w:tr>
      <w:tr>
        <w:trPr>
          <w:trHeight w:val="21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general and administrative expense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206,713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82,715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382,614</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254,309</w:t>
            </w:r>
          </w:p>
        </w:tc>
      </w:tr>
      <w:tr>
        <w:trPr>
          <w:trHeight w:val="213"/>
        </w:trPr>
        <w:tc>
          <w:tcPr>
            <w:tcW w:w="5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140,636</w:t>
            </w:r>
          </w:p>
        </w:tc>
        <w:tc>
          <w:tcPr>
            <w:tcW w:w="2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16,801</w:t>
            </w: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175,317</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48,981</w:t>
            </w:r>
          </w:p>
        </w:tc>
      </w:tr>
      <w:tr>
        <w:trPr>
          <w:trHeight w:val="21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and integration-related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149,791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402</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182,309</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10"/>
        </w:trPr>
        <w:tc>
          <w:tcPr>
            <w:tcW w:w="5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Restructuring</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6,162</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6,162</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18,089</w:t>
            </w:r>
          </w:p>
        </w:tc>
      </w:tr>
      <w:tr>
        <w:trPr>
          <w:trHeight w:val="243"/>
        </w:trPr>
        <w:tc>
          <w:tcPr>
            <w:tcW w:w="5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3"/>
        </w:trPr>
        <w:tc>
          <w:tcPr>
            <w:tcW w:w="5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1,861,244</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593,328</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3,361,711</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1,765,418</w:t>
            </w:r>
          </w:p>
        </w:tc>
      </w:tr>
      <w:tr>
        <w:trPr>
          <w:trHeight w:val="243"/>
        </w:trPr>
        <w:tc>
          <w:tcPr>
            <w:tcW w:w="5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5,108</w:t>
            </w:r>
          </w:p>
        </w:tc>
        <w:tc>
          <w:tcPr>
            <w:tcW w:w="2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108,401</w:t>
            </w: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233,994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271,641</w:t>
            </w: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(102,306)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(3,239)</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(129,584)</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(9,640)</w:t>
            </w:r>
          </w:p>
        </w:tc>
      </w:tr>
      <w:tr>
        <w:trPr>
          <w:trHeight w:val="243"/>
        </w:trPr>
        <w:tc>
          <w:tcPr>
            <w:tcW w:w="5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(97,145)</w:t>
            </w:r>
          </w:p>
        </w:tc>
        <w:tc>
          <w:tcPr>
            <w:tcW w:w="2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105,430</w:t>
            </w: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104,906</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264,519</w:t>
            </w:r>
          </w:p>
        </w:tc>
      </w:tr>
      <w:tr>
        <w:trPr>
          <w:trHeight w:val="22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arising (provision)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3,563</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(13,706)</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(26,718)</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(32,706)</w:t>
            </w:r>
          </w:p>
        </w:tc>
      </w:tr>
      <w:tr>
        <w:trPr>
          <w:trHeight w:val="243"/>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share of earnings from equity method investments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(93,582)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91,724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78,188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231,813</w:t>
            </w:r>
          </w:p>
        </w:tc>
      </w:tr>
      <w:tr>
        <w:trPr>
          <w:trHeight w:val="2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of equity method investments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43"/>
        </w:trPr>
        <w:tc>
          <w:tcPr>
            <w:tcW w:w="5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(94,270)</w:t>
            </w:r>
          </w:p>
        </w:tc>
        <w:tc>
          <w:tcPr>
            <w:tcW w:w="22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91,641</w:t>
            </w:r>
          </w:p>
        </w:tc>
        <w:tc>
          <w:tcPr>
            <w:tcW w:w="2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76,717</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231,730</w:t>
            </w:r>
          </w:p>
        </w:tc>
      </w:tr>
      <w:tr>
        <w:trPr>
          <w:trHeight w:val="22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r>
      <w:tr>
        <w:trPr>
          <w:trHeight w:val="21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income attributable to the Group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91,641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76,717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231,097</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6"/>
        </w:trPr>
        <w:tc>
          <w:tcPr>
            <w:tcW w:w="5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Net (loss) income per Ordinary Share attributable to the Group (note 14):</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60"/>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56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5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(note 14):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5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8"/>
        </w:trPr>
        <w:tc>
          <w:tcPr>
            <w:tcW w:w="5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80,771,397</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52,737,299</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62,264,851</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52,885,252</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8"/>
        </w:trPr>
        <w:tc>
          <w:tcPr>
            <w:tcW w:w="5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80,771,397</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53,194,327</w:t>
            </w: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63,095,857</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53,283,680</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2021 AND SEPTEMBER 30, 2020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180" w:type="dxa"/>
            <w:vAlign w:val="bottom"/>
            <w:tcBorders>
              <w:right w:val="single" w:sz="8" w:color="CCEEFF"/>
            </w:tcBorders>
            <w:gridSpan w:val="7"/>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99"/>
              </w:rPr>
              <w:t>Three Months Ended</w:t>
            </w:r>
          </w:p>
        </w:tc>
        <w:tc>
          <w:tcPr>
            <w:tcW w:w="140" w:type="dxa"/>
            <w:vAlign w:val="bottom"/>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560" w:type="dxa"/>
            <w:vAlign w:val="bottom"/>
            <w:gridSpan w:val="10"/>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rPr>
              <w:t>Nine Months Ended</w:t>
            </w:r>
          </w:p>
        </w:tc>
      </w:tr>
      <w:tr>
        <w:trPr>
          <w:trHeight w:val="21"/>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4"/>
          </w:tcPr>
          <w:p>
            <w:pPr>
              <w:jc w:val="right"/>
              <w:spacing w:after="0" w:line="17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5"/>
                <w:szCs w:val="15"/>
                <w:color w:val="auto"/>
              </w:rPr>
            </w:pPr>
          </w:p>
        </w:tc>
        <w:tc>
          <w:tcPr>
            <w:tcW w:w="1160" w:type="dxa"/>
            <w:vAlign w:val="bottom"/>
            <w:gridSpan w:val="4"/>
          </w:tcPr>
          <w:p>
            <w:pPr>
              <w:jc w:val="right"/>
              <w:spacing w:after="0" w:line="175" w:lineRule="exact"/>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4"/>
          </w:tcPr>
          <w:p>
            <w:pPr>
              <w:jc w:val="right"/>
              <w:ind w:right="60"/>
              <w:spacing w:after="0" w:line="175" w:lineRule="exact"/>
              <w:rPr>
                <w:sz w:val="20"/>
                <w:szCs w:val="20"/>
                <w:color w:val="auto"/>
              </w:rPr>
            </w:pPr>
            <w:r>
              <w:rPr>
                <w:rFonts w:ascii="Arial" w:cs="Arial" w:eastAsia="Arial" w:hAnsi="Arial"/>
                <w:sz w:val="16"/>
                <w:szCs w:val="16"/>
                <w:b w:val="1"/>
                <w:bCs w:val="1"/>
                <w:color w:val="auto"/>
                <w:w w:val="98"/>
              </w:rPr>
              <w:t>September 30,</w:t>
            </w:r>
          </w:p>
        </w:tc>
        <w:tc>
          <w:tcPr>
            <w:tcW w:w="220" w:type="dxa"/>
            <w:vAlign w:val="bottom"/>
          </w:tcPr>
          <w:p>
            <w:pPr>
              <w:spacing w:after="0"/>
              <w:rPr>
                <w:sz w:val="15"/>
                <w:szCs w:val="15"/>
                <w:color w:val="auto"/>
              </w:rPr>
            </w:pPr>
          </w:p>
        </w:tc>
        <w:tc>
          <w:tcPr>
            <w:tcW w:w="1180" w:type="dxa"/>
            <w:vAlign w:val="bottom"/>
            <w:gridSpan w:val="5"/>
          </w:tcPr>
          <w:p>
            <w:pPr>
              <w:ind w:left="60"/>
              <w:spacing w:after="0" w:line="175" w:lineRule="exact"/>
              <w:rPr>
                <w:sz w:val="20"/>
                <w:szCs w:val="20"/>
                <w:color w:val="auto"/>
              </w:rPr>
            </w:pPr>
            <w:r>
              <w:rPr>
                <w:rFonts w:ascii="Arial" w:cs="Arial" w:eastAsia="Arial" w:hAnsi="Arial"/>
                <w:sz w:val="16"/>
                <w:szCs w:val="16"/>
                <w:b w:val="1"/>
                <w:bCs w:val="1"/>
                <w:color w:val="auto"/>
              </w:rPr>
              <w:t>September 30,</w:t>
            </w:r>
          </w:p>
        </w:tc>
      </w:tr>
      <w:tr>
        <w:trPr>
          <w:trHeight w:val="142"/>
        </w:trPr>
        <w:tc>
          <w:tcPr>
            <w:tcW w:w="4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2"/>
                <w:szCs w:val="1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80" w:type="dxa"/>
            <w:vAlign w:val="bottom"/>
            <w:tcBorders>
              <w:right w:val="single" w:sz="8" w:color="CCEEFF"/>
            </w:tcBorders>
            <w:gridSpan w:val="7"/>
            <w:shd w:val="clear" w:color="auto" w:fill="CCEEFF"/>
          </w:tcPr>
          <w:p>
            <w:pPr>
              <w:jc w:val="right"/>
              <w:ind w:right="779"/>
              <w:spacing w:after="0"/>
              <w:rPr>
                <w:sz w:val="20"/>
                <w:szCs w:val="20"/>
                <w:color w:val="auto"/>
              </w:rPr>
            </w:pPr>
            <w:r>
              <w:rPr>
                <w:rFonts w:ascii="Arial" w:cs="Arial" w:eastAsia="Arial" w:hAnsi="Arial"/>
                <w:sz w:val="16"/>
                <w:szCs w:val="16"/>
                <w:color w:val="auto"/>
              </w:rPr>
              <w:t>(in thousands)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40" w:type="dxa"/>
            <w:vAlign w:val="bottom"/>
            <w:gridSpan w:val="9"/>
            <w:shd w:val="clear" w:color="auto" w:fill="CCEEFF"/>
          </w:tcPr>
          <w:p>
            <w:pPr>
              <w:jc w:val="center"/>
              <w:ind w:right="640"/>
              <w:spacing w:after="0"/>
              <w:rPr>
                <w:sz w:val="20"/>
                <w:szCs w:val="20"/>
                <w:color w:val="auto"/>
              </w:rPr>
            </w:pPr>
            <w:r>
              <w:rPr>
                <w:rFonts w:ascii="Arial" w:cs="Arial" w:eastAsia="Arial" w:hAnsi="Arial"/>
                <w:sz w:val="16"/>
                <w:szCs w:val="16"/>
                <w:color w:val="auto"/>
              </w:rPr>
              <w:t>(in thousands)</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the group</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(94,270)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91,641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76,717</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231,097</w:t>
            </w:r>
          </w:p>
        </w:tc>
        <w:tc>
          <w:tcPr>
            <w:tcW w:w="20" w:type="dxa"/>
            <w:vAlign w:val="bottom"/>
            <w:shd w:val="clear" w:color="auto" w:fill="CCEEFF"/>
          </w:tcPr>
          <w:p>
            <w:pPr>
              <w:spacing w:after="0"/>
              <w:rPr>
                <w:sz w:val="19"/>
                <w:szCs w:val="19"/>
                <w:color w:val="auto"/>
              </w:rPr>
            </w:pPr>
          </w:p>
        </w:tc>
      </w:tr>
      <w:tr>
        <w:trPr>
          <w:trHeight w:val="270"/>
        </w:trPr>
        <w:tc>
          <w:tcPr>
            <w:tcW w:w="4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7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(35,300)</w:t>
            </w: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24,004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(44,209)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12,176</w:t>
            </w:r>
          </w:p>
        </w:tc>
        <w:tc>
          <w:tcPr>
            <w:tcW w:w="20" w:type="dxa"/>
            <w:vAlign w:val="bottom"/>
            <w:shd w:val="clear" w:color="auto" w:fill="CCEEFF"/>
          </w:tcPr>
          <w:p>
            <w:pPr>
              <w:spacing w:after="0"/>
              <w:rPr>
                <w:sz w:val="18"/>
                <w:szCs w:val="18"/>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Currency impact of long term funding (net of tax)</w:t>
            </w:r>
          </w:p>
        </w:tc>
        <w:tc>
          <w:tcPr>
            <w:tcW w:w="78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(162)</w:t>
            </w:r>
          </w:p>
        </w:tc>
        <w:tc>
          <w:tcPr>
            <w:tcW w:w="28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(297)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(1,299)</w:t>
            </w:r>
          </w:p>
        </w:tc>
        <w:tc>
          <w:tcPr>
            <w:tcW w:w="20" w:type="dxa"/>
            <w:vAlign w:val="bottom"/>
          </w:tcPr>
          <w:p>
            <w:pPr>
              <w:spacing w:after="0"/>
              <w:rPr>
                <w:sz w:val="18"/>
                <w:szCs w:val="18"/>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 to realized capital gain</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20" w:type="dxa"/>
            <w:vAlign w:val="bottom"/>
            <w:shd w:val="clear" w:color="auto" w:fill="CCEEFF"/>
          </w:tcPr>
          <w:p>
            <w:pPr>
              <w:spacing w:after="0"/>
              <w:rPr>
                <w:sz w:val="19"/>
                <w:szCs w:val="19"/>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Amortization of interest rate hedge</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(243)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Arial" w:cs="Arial" w:eastAsia="Arial" w:hAnsi="Arial"/>
                <w:sz w:val="16"/>
                <w:szCs w:val="16"/>
                <w:color w:val="auto"/>
              </w:rPr>
              <w:t>(725)</w:t>
            </w:r>
          </w:p>
        </w:tc>
        <w:tc>
          <w:tcPr>
            <w:tcW w:w="20" w:type="dxa"/>
            <w:vAlign w:val="bottom"/>
          </w:tcPr>
          <w:p>
            <w:pPr>
              <w:spacing w:after="0"/>
              <w:rPr>
                <w:sz w:val="18"/>
                <w:szCs w:val="18"/>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 off of loss on interest rate hedge</w:t>
            </w: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20" w:type="dxa"/>
            <w:vAlign w:val="bottom"/>
            <w:shd w:val="clear" w:color="auto" w:fill="CCEEFF"/>
          </w:tcPr>
          <w:p>
            <w:pPr>
              <w:spacing w:after="0"/>
              <w:rPr>
                <w:sz w:val="19"/>
                <w:szCs w:val="19"/>
                <w:color w:val="auto"/>
              </w:rPr>
            </w:pPr>
          </w:p>
        </w:tc>
      </w:tr>
      <w:tr>
        <w:trPr>
          <w:trHeight w:val="21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cash flow hedge (net of tax)</w:t>
            </w: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(77)</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778</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306</w:t>
            </w:r>
          </w:p>
        </w:tc>
        <w:tc>
          <w:tcPr>
            <w:tcW w:w="20" w:type="dxa"/>
            <w:vAlign w:val="bottom"/>
            <w:tcBorders>
              <w:bottom w:val="single" w:sz="8" w:color="auto"/>
            </w:tcBorders>
          </w:tcPr>
          <w:p>
            <w:pPr>
              <w:spacing w:after="0"/>
              <w:rPr>
                <w:sz w:val="18"/>
                <w:szCs w:val="18"/>
                <w:color w:val="auto"/>
              </w:rPr>
            </w:pPr>
          </w:p>
        </w:tc>
      </w:tr>
      <w:tr>
        <w:trPr>
          <w:trHeight w:val="234"/>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(loss) income attributable to the group</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(129,732)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114,883</w:t>
            </w: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32,998</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240,418</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60" w:type="dxa"/>
            <w:vAlign w:val="bottom"/>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70,097</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March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52,858,190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623,409</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(54,974)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1,360,017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1,934,171</w:t>
            </w:r>
          </w:p>
        </w:tc>
        <w:tc>
          <w:tcPr>
            <w:tcW w:w="0" w:type="dxa"/>
            <w:vAlign w:val="bottom"/>
          </w:tcPr>
          <w:p>
            <w:pPr>
              <w:spacing w:after="0"/>
              <w:rPr>
                <w:sz w:val="1"/>
                <w:szCs w:val="1"/>
                <w:color w:val="auto"/>
              </w:rPr>
            </w:pPr>
          </w:p>
        </w:tc>
      </w:tr>
      <w:tr>
        <w:trPr>
          <w:trHeight w:val="207"/>
        </w:trPr>
        <w:tc>
          <w:tcPr>
            <w:tcW w:w="3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73,865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73,865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Issue of restricted share units</w:t>
            </w:r>
          </w:p>
        </w:tc>
        <w:tc>
          <w:tcPr>
            <w:tcW w:w="1020" w:type="dxa"/>
            <w:vAlign w:val="bottom"/>
          </w:tcPr>
          <w:p>
            <w:pPr>
              <w:jc w:val="right"/>
              <w:spacing w:after="0"/>
              <w:rPr>
                <w:sz w:val="20"/>
                <w:szCs w:val="20"/>
                <w:color w:val="auto"/>
              </w:rPr>
            </w:pPr>
            <w:r>
              <w:rPr>
                <w:rFonts w:ascii="Arial" w:cs="Arial" w:eastAsia="Arial" w:hAnsi="Arial"/>
                <w:sz w:val="16"/>
                <w:szCs w:val="16"/>
                <w:color w:val="auto"/>
              </w:rPr>
              <w:t>95,853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11,240</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11,240</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June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52,958,063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632,069</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1,433,882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2,027,943</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(94,270)</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909,723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103,811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103,865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157,608</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7"/>
        </w:trPr>
        <w:tc>
          <w:tcPr>
            <w:tcW w:w="3340" w:type="dxa"/>
            <w:vAlign w:val="bottom"/>
          </w:tcPr>
          <w:p>
            <w:pPr>
              <w:ind w:left="20"/>
              <w:spacing w:after="0" w:line="178" w:lineRule="exact"/>
              <w:rPr>
                <w:sz w:val="20"/>
                <w:szCs w:val="20"/>
                <w:color w:val="auto"/>
              </w:rPr>
            </w:pPr>
            <w:r>
              <w:rPr>
                <w:rFonts w:ascii="Arial" w:cs="Arial" w:eastAsia="Arial" w:hAnsi="Arial"/>
                <w:sz w:val="16"/>
                <w:szCs w:val="16"/>
                <w:color w:val="auto"/>
              </w:rPr>
              <w:t>Issue of shares associated with a business</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6"/>
                <w:szCs w:val="16"/>
                <w:color w:val="auto"/>
              </w:rPr>
              <w:t>combination</w:t>
            </w:r>
          </w:p>
        </w:tc>
        <w:tc>
          <w:tcPr>
            <w:tcW w:w="1020" w:type="dxa"/>
            <w:vAlign w:val="bottom"/>
          </w:tcPr>
          <w:p>
            <w:pPr>
              <w:jc w:val="right"/>
              <w:spacing w:after="0"/>
              <w:rPr>
                <w:sz w:val="20"/>
                <w:szCs w:val="20"/>
                <w:color w:val="auto"/>
              </w:rPr>
            </w:pPr>
            <w:r>
              <w:rPr>
                <w:rFonts w:ascii="Arial" w:cs="Arial" w:eastAsia="Arial" w:hAnsi="Arial"/>
                <w:sz w:val="16"/>
                <w:szCs w:val="16"/>
                <w:color w:val="auto"/>
              </w:rPr>
              <w:t>27,372,427</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5,656,166</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5,658,126</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Replacement share-based awards issued to</w:t>
            </w: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acquiree employees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99,771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99,771</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(35,462)</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(35,462)</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September 30,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81,397,821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6,700,407</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(79,196)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1,339,612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7,968,586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3"/>
            <w:shd w:val="clear" w:color="auto" w:fill="CCEEFF"/>
          </w:tcPr>
          <w:p>
            <w:pPr>
              <w:jc w:val="center"/>
              <w:ind w:right="179"/>
              <w:spacing w:after="0"/>
              <w:rPr>
                <w:sz w:val="20"/>
                <w:szCs w:val="20"/>
                <w:color w:val="auto"/>
              </w:rPr>
            </w:pPr>
            <w:r>
              <w:rPr>
                <w:rFonts w:ascii="Arial" w:cs="Arial" w:eastAsia="Arial" w:hAnsi="Arial"/>
                <w:sz w:val="16"/>
                <w:szCs w:val="16"/>
                <w:b w:val="1"/>
                <w:bCs w:val="1"/>
                <w:color w:val="auto"/>
                <w:w w:val="99"/>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4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334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18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Capital</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Income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60" w:type="dxa"/>
            <w:vAlign w:val="bottom"/>
            <w:gridSpan w:val="7"/>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(dollars in thousands, except share data)</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53,622,206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577,961</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1,052</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1,110,226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1,618,055</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39,510</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91,696</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91,696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31,964</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859</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861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89,799</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600" w:type="dxa"/>
            <w:vAlign w:val="bottom"/>
          </w:tcPr>
          <w:p>
            <w:pPr>
              <w:ind w:left="20"/>
              <w:spacing w:after="0" w:line="178" w:lineRule="exact"/>
              <w:rPr>
                <w:sz w:val="20"/>
                <w:szCs w:val="20"/>
                <w:color w:val="auto"/>
              </w:rPr>
            </w:pPr>
            <w:r>
              <w:rPr>
                <w:rFonts w:ascii="Arial" w:cs="Arial" w:eastAsia="Arial" w:hAnsi="Arial"/>
                <w:sz w:val="16"/>
                <w:szCs w:val="16"/>
                <w:color w:val="auto"/>
              </w:rPr>
              <w:t>Non-cash stock compensation</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6"/>
                <w:szCs w:val="16"/>
                <w:color w:val="auto"/>
              </w:rPr>
              <w:t>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6,035</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6,035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1000" w:type="dxa"/>
            <w:vAlign w:val="bottom"/>
          </w:tcPr>
          <w:p>
            <w:pPr>
              <w:jc w:val="right"/>
              <w:spacing w:after="0"/>
              <w:rPr>
                <w:sz w:val="20"/>
                <w:szCs w:val="20"/>
                <w:color w:val="auto"/>
              </w:rPr>
            </w:pPr>
            <w:r>
              <w:rPr>
                <w:rFonts w:ascii="Arial" w:cs="Arial" w:eastAsia="Arial" w:hAnsi="Arial"/>
                <w:sz w:val="16"/>
                <w:szCs w:val="16"/>
                <w:color w:val="auto"/>
              </w:rPr>
              <w:t>(1,235,218)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600" w:type="dxa"/>
            <w:vAlign w:val="bottom"/>
          </w:tcPr>
          <w:p>
            <w:pPr>
              <w:ind w:left="20"/>
              <w:spacing w:after="0" w:line="178" w:lineRule="exact"/>
              <w:rPr>
                <w:sz w:val="20"/>
                <w:szCs w:val="20"/>
                <w:color w:val="auto"/>
              </w:rPr>
            </w:pPr>
            <w:r>
              <w:rPr>
                <w:rFonts w:ascii="Arial" w:cs="Arial" w:eastAsia="Arial" w:hAnsi="Arial"/>
                <w:sz w:val="16"/>
                <w:szCs w:val="16"/>
                <w:color w:val="auto"/>
              </w:rPr>
              <w:t>Other comprehensive income, net</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6"/>
                <w:szCs w:val="16"/>
                <w:color w:val="auto"/>
              </w:rPr>
              <w:t>of tax</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(23,136)</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(23,136)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Noncontrolling interest redemption</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177"/>
        </w:trPr>
        <w:tc>
          <w:tcPr>
            <w:tcW w:w="2600" w:type="dxa"/>
            <w:vAlign w:val="bottom"/>
          </w:tcPr>
          <w:p>
            <w:pPr>
              <w:ind w:left="20"/>
              <w:spacing w:after="0" w:line="178" w:lineRule="exact"/>
              <w:rPr>
                <w:sz w:val="20"/>
                <w:szCs w:val="20"/>
                <w:color w:val="auto"/>
              </w:rPr>
            </w:pPr>
            <w:r>
              <w:rPr>
                <w:rFonts w:ascii="Arial" w:cs="Arial" w:eastAsia="Arial" w:hAnsi="Arial"/>
                <w:sz w:val="16"/>
                <w:szCs w:val="16"/>
                <w:color w:val="auto"/>
              </w:rPr>
              <w:t>Exercise of call option on</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(44,665)</w:t>
            </w:r>
          </w:p>
        </w:tc>
        <w:tc>
          <w:tcPr>
            <w:tcW w:w="0" w:type="dxa"/>
            <w:vAlign w:val="bottom"/>
          </w:tcPr>
          <w:p>
            <w:pPr>
              <w:spacing w:after="0"/>
              <w:rPr>
                <w:sz w:val="1"/>
                <w:szCs w:val="1"/>
                <w:color w:val="auto"/>
              </w:rPr>
            </w:pPr>
          </w:p>
        </w:tc>
      </w:tr>
      <w:tr>
        <w:trPr>
          <w:trHeight w:val="212"/>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52,508,751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584,852</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(98,955)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1,022,260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1,513,852</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2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47,760</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47,760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8,235</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Issue of restricted share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112,081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Non-cash stock compensation</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Other comprehensive income, net</w:t>
            </w: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of tax</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9,215</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9,215</w:t>
            </w: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52,629,067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592,500</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(89,740)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1,070,020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1,578,483</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91,641</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91,641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140,945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10,878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10,887</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5,231</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600" w:type="dxa"/>
            <w:vAlign w:val="bottom"/>
          </w:tcPr>
          <w:p>
            <w:pPr>
              <w:ind w:left="20"/>
              <w:spacing w:after="0" w:line="178" w:lineRule="exact"/>
              <w:rPr>
                <w:sz w:val="20"/>
                <w:szCs w:val="20"/>
                <w:color w:val="auto"/>
              </w:rPr>
            </w:pPr>
            <w:r>
              <w:rPr>
                <w:rFonts w:ascii="Arial" w:cs="Arial" w:eastAsia="Arial" w:hAnsi="Arial"/>
                <w:sz w:val="16"/>
                <w:szCs w:val="16"/>
                <w:color w:val="auto"/>
              </w:rPr>
              <w:t>Non-cash stock compensation</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6"/>
                <w:szCs w:val="16"/>
                <w:color w:val="auto"/>
              </w:rPr>
              <w:t>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6,866</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6,866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600" w:type="dxa"/>
            <w:vAlign w:val="bottom"/>
          </w:tcPr>
          <w:p>
            <w:pPr>
              <w:ind w:left="20"/>
              <w:spacing w:after="0" w:line="178" w:lineRule="exact"/>
              <w:rPr>
                <w:sz w:val="20"/>
                <w:szCs w:val="20"/>
                <w:color w:val="auto"/>
              </w:rPr>
            </w:pPr>
            <w:r>
              <w:rPr>
                <w:rFonts w:ascii="Arial" w:cs="Arial" w:eastAsia="Arial" w:hAnsi="Arial"/>
                <w:sz w:val="16"/>
                <w:szCs w:val="16"/>
                <w:color w:val="auto"/>
              </w:rPr>
              <w:t>Other comprehensive income, net</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of tax</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23,242</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23,242</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52,775,243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610,240</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(66,498)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1,161,661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1,711,116</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FOR THE NINE MONTHS ENDED SEPTEMBER 30, 2021 AND SEPTEMBER 30, 2020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8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8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76,717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231,730</w:t>
            </w: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and amortization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175,317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48,981</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Impairment of right-of-use assets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5,731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5,411</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Reduction in carrying value of operating right-of-use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21,367</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Unrealized foreign currency gains, net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(3,982)</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issuance of debt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59,460</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Loss on equity method investments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1,471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compensation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114,791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20,157</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Loss/(gain) on interest rate hedge</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891</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9"/>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financing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4,448</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14,434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(26,532)</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Other non-cash items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 net of acquired assets and assumed liabilities: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4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123,413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24,623</w:t>
            </w:r>
          </w:p>
        </w:tc>
      </w:tr>
      <w:tr>
        <w:trPr>
          <w:trHeight w:val="219"/>
        </w:trPr>
        <w:tc>
          <w:tcPr>
            <w:tcW w:w="8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Unbilled revenue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49,203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(17,635)</w:t>
            </w:r>
          </w:p>
        </w:tc>
      </w:tr>
      <w:tr>
        <w:trPr>
          <w:trHeight w:val="213"/>
        </w:trPr>
        <w:tc>
          <w:tcPr>
            <w:tcW w:w="846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(60,514)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82,386</w:t>
            </w:r>
          </w:p>
        </w:tc>
      </w:tr>
      <w:tr>
        <w:trPr>
          <w:trHeight w:val="216"/>
        </w:trPr>
        <w:tc>
          <w:tcPr>
            <w:tcW w:w="8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Other assets and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(41,446)</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539,324</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372,613</w:t>
            </w:r>
          </w:p>
        </w:tc>
      </w:tr>
      <w:tr>
        <w:trPr>
          <w:trHeight w:val="219"/>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Purchase of property, plant and equipment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(46,067)</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(28,026)</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of subsidiary undertakings, net of cash acquired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(5,914,475)</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(37,761)</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Purchase of equity method investments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 of available for sale investments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47,902</w:t>
            </w:r>
          </w:p>
        </w:tc>
      </w:tr>
      <w:tr>
        <w:trPr>
          <w:trHeight w:val="223"/>
        </w:trPr>
        <w:tc>
          <w:tcPr>
            <w:tcW w:w="84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Purchase of investments in equity - long term</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w:t>
            </w: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(5,965,218)</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(23,072)</w:t>
            </w:r>
          </w:p>
        </w:tc>
      </w:tr>
      <w:tr>
        <w:trPr>
          <w:trHeight w:val="215"/>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Financing related costs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(30,349)</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Proceeds from exercise of equity compensation</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104,070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12,349</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issue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8460" w:type="dxa"/>
            <w:vAlign w:val="bottom"/>
          </w:tcPr>
          <w:p>
            <w:pPr>
              <w:ind w:left="280"/>
              <w:spacing w:after="0"/>
              <w:rPr>
                <w:sz w:val="20"/>
                <w:szCs w:val="20"/>
                <w:color w:val="auto"/>
              </w:rPr>
            </w:pPr>
            <w:r>
              <w:rPr>
                <w:rFonts w:ascii="Arial" w:cs="Arial" w:eastAsia="Arial" w:hAnsi="Arial"/>
                <w:sz w:val="16"/>
                <w:szCs w:val="16"/>
                <w:color w:val="auto"/>
              </w:rPr>
              <w:t>Repurchase of ordinary shares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(175,000)</w:t>
            </w:r>
          </w:p>
        </w:tc>
      </w:tr>
      <w:tr>
        <w:trPr>
          <w:trHeight w:val="219"/>
        </w:trPr>
        <w:tc>
          <w:tcPr>
            <w:tcW w:w="8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repurchase costs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191"/>
        </w:trPr>
        <w:tc>
          <w:tcPr>
            <w:tcW w:w="8460" w:type="dxa"/>
            <w:vAlign w:val="bottom"/>
          </w:tcPr>
          <w:p>
            <w:pPr>
              <w:ind w:left="300"/>
              <w:spacing w:after="0"/>
              <w:rPr>
                <w:sz w:val="20"/>
                <w:szCs w:val="20"/>
                <w:color w:val="auto"/>
              </w:rPr>
            </w:pPr>
            <w:r>
              <w:rPr>
                <w:rFonts w:ascii="Arial" w:cs="Arial" w:eastAsia="Arial" w:hAnsi="Arial"/>
                <w:sz w:val="16"/>
                <w:szCs w:val="16"/>
                <w:color w:val="auto"/>
              </w:rPr>
              <w:t>Drawdown of bank credit lines and loan facilities, net of debt issuance costs and debt</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1"/>
        </w:trPr>
        <w:tc>
          <w:tcPr>
            <w:tcW w:w="8460" w:type="dxa"/>
            <w:vAlign w:val="bottom"/>
          </w:tcPr>
          <w:p>
            <w:pPr>
              <w:ind w:left="300"/>
              <w:spacing w:after="0"/>
              <w:rPr>
                <w:sz w:val="20"/>
                <w:szCs w:val="20"/>
                <w:color w:val="auto"/>
              </w:rPr>
            </w:pPr>
            <w:r>
              <w:rPr>
                <w:rFonts w:ascii="Arial" w:cs="Arial" w:eastAsia="Arial" w:hAnsi="Arial"/>
                <w:sz w:val="16"/>
                <w:szCs w:val="16"/>
                <w:color w:val="auto"/>
              </w:rPr>
              <w:t>discount withheld</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5,905,100</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84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Repayment of bank credit lines and loan facilities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(377,780)</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5,600,193</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(162,801)</w:t>
            </w:r>
          </w:p>
        </w:tc>
      </w:tr>
      <w:tr>
        <w:trPr>
          <w:trHeight w:val="226"/>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r>
      <w:tr>
        <w:trPr>
          <w:trHeight w:val="215"/>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168,219</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187,686</w:t>
            </w:r>
          </w:p>
        </w:tc>
      </w:tr>
      <w:tr>
        <w:trPr>
          <w:trHeight w:val="224"/>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840,305</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520,309</w:t>
            </w:r>
          </w:p>
        </w:tc>
      </w:tr>
      <w:tr>
        <w:trPr>
          <w:trHeight w:val="21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1,008,524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707,995</w:t>
            </w:r>
          </w:p>
        </w:tc>
      </w:tr>
      <w:tr>
        <w:trPr>
          <w:trHeight w:val="21"/>
        </w:trPr>
        <w:tc>
          <w:tcPr>
            <w:tcW w:w="8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2021</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68" w:lineRule="exact"/>
        <w:rPr>
          <w:sz w:val="20"/>
          <w:szCs w:val="20"/>
          <w:color w:val="auto"/>
        </w:rPr>
      </w:pPr>
    </w:p>
    <w:p>
      <w:pPr>
        <w:jc w:val="both"/>
        <w:ind w:firstLine="309"/>
        <w:spacing w:after="0" w:line="250"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30" w:lineRule="exact"/>
        <w:rPr>
          <w:sz w:val="20"/>
          <w:szCs w:val="20"/>
          <w:color w:val="auto"/>
        </w:rPr>
      </w:pPr>
    </w:p>
    <w:p>
      <w:pPr>
        <w:jc w:val="both"/>
        <w:ind w:firstLine="269"/>
        <w:spacing w:after="0" w:line="251"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2020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xml:space="preserve"> for impact of adoption of any new accounting standards). Operating results for the nine months ended September 30, 2021 are not necessarily indicative of the results that may be expected for the fiscal period ending December 31, 2021.</w:t>
      </w:r>
    </w:p>
    <w:p>
      <w:pPr>
        <w:spacing w:after="0" w:line="21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Certain prior period amounts in the consolidated financial statements and accompanying notes have been reclassified to conform to the current period’s presentation. Most notably, the Company has presented transaction and integration-related expenses as a separate line in the Condensed Consolidated Statement of Operations and reclassified certain costs incurred in the three and nine months ended September 30, 2020 within this line. These costs consist of transaction and integration-related expenses and contingent consideration valuation adjustments related to ICON's prior period acquisitions. These costs were previously presented in the selling, general and administrative expenses but have been reclassified to transaction and integration-related expenses to conform to the current period’s presentation.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Contracts range in duration from a number of months to several years.</w:t>
      </w:r>
    </w:p>
    <w:p>
      <w:pPr>
        <w:spacing w:after="0" w:line="228" w:lineRule="exact"/>
        <w:rPr>
          <w:sz w:val="20"/>
          <w:szCs w:val="20"/>
          <w:color w:val="auto"/>
        </w:rPr>
      </w:pPr>
    </w:p>
    <w:p>
      <w:pPr>
        <w:jc w:val="both"/>
        <w:ind w:firstLine="173"/>
        <w:spacing w:after="0" w:line="253"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A clinical trial service is a single performance obligation satisfied over time, </w:t>
      </w:r>
      <w:r>
        <w:rPr>
          <w:rFonts w:ascii="Arial" w:cs="Arial" w:eastAsia="Arial" w:hAnsi="Arial"/>
          <w:sz w:val="16"/>
          <w:szCs w:val="16"/>
          <w:i w:val="1"/>
          <w:iCs w:val="1"/>
          <w:color w:val="auto"/>
        </w:rPr>
        <w:t>i.e.</w:t>
      </w:r>
      <w:r>
        <w:rPr>
          <w:rFonts w:ascii="Arial" w:cs="Arial" w:eastAsia="Arial" w:hAnsi="Arial"/>
          <w:sz w:val="16"/>
          <w:szCs w:val="16"/>
          <w:color w:val="auto"/>
        </w:rPr>
        <w:t xml:space="preserv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based on an input measure being total project costs incurred (inclusive of third party costs) at each reporting period as a percentage of forecasted total project costs.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1" w:lineRule="exact"/>
        <w:rPr>
          <w:sz w:val="20"/>
          <w:szCs w:val="20"/>
          <w:color w:val="auto"/>
        </w:rPr>
      </w:pPr>
    </w:p>
    <w:p>
      <w:pPr>
        <w:jc w:val="both"/>
        <w:ind w:firstLine="275"/>
        <w:spacing w:after="0" w:line="253"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 revenue</w:t>
      </w:r>
    </w:p>
    <w:p>
      <w:pPr>
        <w:spacing w:after="0" w:line="21" w:lineRule="exact"/>
        <w:rPr>
          <w:sz w:val="20"/>
          <w:szCs w:val="20"/>
          <w:color w:val="auto"/>
        </w:rPr>
      </w:pPr>
    </w:p>
    <w:p>
      <w:pPr>
        <w:jc w:val="both"/>
        <w:ind w:firstLine="314"/>
        <w:spacing w:after="0" w:line="252" w:lineRule="auto"/>
        <w:rPr>
          <w:sz w:val="20"/>
          <w:szCs w:val="20"/>
          <w:color w:val="auto"/>
        </w:rPr>
      </w:pPr>
      <w:r>
        <w:rPr>
          <w:rFonts w:ascii="Arial" w:cs="Arial" w:eastAsia="Arial" w:hAnsi="Arial"/>
          <w:sz w:val="16"/>
          <w:szCs w:val="16"/>
          <w:color w:val="auto"/>
        </w:rPr>
        <w:t>We have concluded that our consulting services contracts represent a single performance obligation satisfied over time. The transaction price is determined by reference to contract or change order value. Revenue is recognized as the performance obligation is satisfied. The progress towards completion for consulting contracts is measured based on total project inputs (time) at each reporting period as a percentage of forecasted total project inputs.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i w:val="1"/>
          <w:iCs w:val="1"/>
          <w:color w:val="auto"/>
        </w:rPr>
        <w:t>Laboratory services revenue</w:t>
      </w:r>
    </w:p>
    <w:p>
      <w:pPr>
        <w:spacing w:after="0" w:line="21" w:lineRule="exact"/>
        <w:rPr>
          <w:sz w:val="20"/>
          <w:szCs w:val="20"/>
          <w:color w:val="auto"/>
        </w:rPr>
      </w:pPr>
    </w:p>
    <w:p>
      <w:pPr>
        <w:jc w:val="both"/>
        <w:ind w:firstLine="238"/>
        <w:spacing w:after="0" w:line="248"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amounts corresponds to the value of the Company's performance and the transfer of value to the customer.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will issue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1" w:lineRule="exact"/>
        <w:rPr>
          <w:sz w:val="20"/>
          <w:szCs w:val="20"/>
          <w:color w:val="auto"/>
        </w:rPr>
      </w:pPr>
    </w:p>
    <w:p>
      <w:pPr>
        <w:jc w:val="both"/>
        <w:ind w:right="20" w:firstLine="226"/>
        <w:spacing w:after="0" w:line="253" w:lineRule="auto"/>
        <w:rPr>
          <w:sz w:val="20"/>
          <w:szCs w:val="20"/>
          <w:color w:val="auto"/>
        </w:rPr>
      </w:pPr>
      <w:r>
        <w:rPr>
          <w:rFonts w:ascii="Arial" w:cs="Arial" w:eastAsia="Arial" w:hAnsi="Arial"/>
          <w:sz w:val="16"/>
          <w:szCs w:val="16"/>
          <w:color w:val="auto"/>
        </w:rPr>
        <w:t>Incremental costs of obtaining a contract are recognized as an asset on the Condensed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Condensed Consolidated Statement of Operations or Other Comprehensive Income depending on whether the liability is considered a financial instrument.</w:t>
      </w:r>
    </w:p>
    <w:p>
      <w:pPr>
        <w:spacing w:after="0" w:line="235" w:lineRule="exact"/>
        <w:rPr>
          <w:sz w:val="20"/>
          <w:szCs w:val="20"/>
          <w:color w:val="auto"/>
        </w:rPr>
      </w:pPr>
    </w:p>
    <w:p>
      <w:pPr>
        <w:jc w:val="both"/>
        <w:ind w:firstLine="183"/>
        <w:spacing w:after="0" w:line="25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Debt issuance costs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Debt issuance costs relating to the Company’s long-term debt are recorded as a direct reduction of long-term debt; these costs are deferred and amortized to interest expense using the effective interest method, over the respective terms of the related debt. Debt issuance costs relating to the Company’s revolving credit facilities are recorded as an asset; these costs are deferred and amortized to interest expense using the straight-line method.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and integration-related expenses</w:t>
      </w:r>
    </w:p>
    <w:p>
      <w:pPr>
        <w:spacing w:after="0" w:line="25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Transaction and integration-related expenses are the incremental costs directly attributable to the completion and integration activities associated with the Company’s recent acquisitions. The costs consist of investment banking fees, advisory costs, retention agreements with employees, accelerated share compensation charges, contingent consideration valuation adjustments and ongoing integration activities. The Company accounts for these transaction and integration-related costs as expenses in the periods in which the costs are incurred and the services are received.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are amortized on a straight line basis over their estimated useful life.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fair value of financial instruments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Cash, cash equivalents, other receivables, available for sale investments, accounts receivable, accounts payable, investigator payments and income taxes payable have carrying amounts that approximate fair value due to the short term maturities of these instruments. Other liabilities' carrying amounts approximate fair value based on net present value of estimated future cash flows. Debt is measured at historical cost.</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Financial instruments are measured in the Condensed Consolidated Balance Sheets at amortized cost or fair value using a fair value hierarchy of valuation inputs. For financial instruments measured at amortized cost, the fair value of these financial instruments closely approximates their fair value. The fair value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These levels are: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Inputs are based upon unadjusted quoted prices for identical instruments traded in active markets.</w:t>
      </w:r>
    </w:p>
    <w:p>
      <w:pPr>
        <w:spacing w:after="0" w:line="5" w:lineRule="exact"/>
        <w:rPr>
          <w:sz w:val="20"/>
          <w:szCs w:val="20"/>
          <w:color w:val="auto"/>
        </w:rPr>
      </w:pPr>
    </w:p>
    <w:p>
      <w:pPr>
        <w:jc w:val="both"/>
        <w:ind w:left="660"/>
        <w:spacing w:after="0" w:line="246"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Inputs are based upon quoted prices for similar instruments in active markets, quoted prices for identical or similar instruments in markets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not active and model-based valuation techniques for which all significant assumptions are observable in the market or can be corroborated by observable market data for substantially the full term of the assets or liabilities.</w:t>
      </w:r>
    </w:p>
    <w:p>
      <w:pPr>
        <w:spacing w:after="0" w:line="1" w:lineRule="exact"/>
        <w:rPr>
          <w:sz w:val="20"/>
          <w:szCs w:val="20"/>
          <w:color w:val="auto"/>
        </w:rPr>
      </w:pPr>
    </w:p>
    <w:p>
      <w:pPr>
        <w:jc w:val="both"/>
        <w:ind w:left="660"/>
        <w:spacing w:after="0" w:line="260" w:lineRule="auto"/>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Inputs are generally unobservable and typically reflect management’s estimates of assumptions that market participants would use in</w:t>
      </w:r>
      <w:r>
        <w:rPr>
          <w:rFonts w:ascii="Arial" w:cs="Arial" w:eastAsia="Arial" w:hAnsi="Arial"/>
          <w:sz w:val="16"/>
          <w:szCs w:val="16"/>
          <w:b w:val="1"/>
          <w:bCs w:val="1"/>
          <w:color w:val="auto"/>
        </w:rPr>
        <w:t xml:space="preserve"> </w:t>
      </w:r>
      <w:r>
        <w:rPr>
          <w:rFonts w:ascii="Arial" w:cs="Arial" w:eastAsia="Arial" w:hAnsi="Arial"/>
          <w:sz w:val="16"/>
          <w:szCs w:val="16"/>
          <w:color w:val="auto"/>
        </w:rPr>
        <w:t>pricing the asset or liability.</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classifies its investments in short term debt or equity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the Condensed Consolidated Statement of Operations. Losses other than temporary, which reduce the carrying amount below cost are recognized in Condensed Consolidated Statement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accounts for its share options, Restricted Share Units ("RSUs") and Performance Share Units ("PSUs") in accordance with the provisions of ASC 718 'Compensation – Stock Compensation'. Share-based compensation expense for equity-settled awards made to employees and directors is measured and recognized based on estimated grant date fair values.</w:t>
      </w:r>
    </w:p>
    <w:p>
      <w:pPr>
        <w:spacing w:after="0" w:line="22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These equity-settled awards include employee share options, RSUs and PSUs. 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awards expected to vest is recognized as an expense over the requisite service periods. We account for forfeitures as they occur.</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00" w:lineRule="exact"/>
        <w:rPr>
          <w:sz w:val="20"/>
          <w:szCs w:val="20"/>
          <w:color w:val="auto"/>
        </w:rPr>
      </w:pPr>
    </w:p>
    <w:p>
      <w:pPr>
        <w:spacing w:after="0" w:line="278"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rFonts w:ascii="Arial" w:cs="Arial" w:eastAsia="Arial" w:hAnsi="Arial"/>
          <w:sz w:val="16"/>
          <w:szCs w:val="16"/>
          <w:b w:val="1"/>
          <w:bCs w:val="1"/>
          <w:color w:val="auto"/>
        </w:rPr>
      </w:pPr>
    </w:p>
    <w:p>
      <w:pPr>
        <w:ind w:left="180"/>
        <w:spacing w:after="0"/>
        <w:rPr>
          <w:rFonts w:ascii="Arial" w:cs="Arial" w:eastAsia="Arial" w:hAnsi="Arial"/>
          <w:sz w:val="16"/>
          <w:szCs w:val="16"/>
          <w:b w:val="1"/>
          <w:bCs w:val="1"/>
          <w:color w:val="auto"/>
        </w:rPr>
      </w:pPr>
      <w:r>
        <w:rPr>
          <w:rFonts w:ascii="Arial" w:cs="Arial" w:eastAsia="Arial" w:hAnsi="Arial"/>
          <w:sz w:val="16"/>
          <w:szCs w:val="16"/>
          <w:color w:val="auto"/>
        </w:rPr>
        <w:t>Revenue disaggregated by customer profile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32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525,806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269,460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1,242,446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802,503</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283,003</w:t>
            </w:r>
          </w:p>
        </w:tc>
        <w:tc>
          <w:tcPr>
            <w:tcW w:w="24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89,062</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472,788</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249,807</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398,816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118,156</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704,312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344,463</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658,727</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225,051</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1,176,159</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640,286</w:t>
            </w:r>
          </w:p>
        </w:tc>
      </w:tr>
      <w:tr>
        <w:trPr>
          <w:trHeight w:val="257"/>
        </w:trPr>
        <w:tc>
          <w:tcPr>
            <w:tcW w:w="5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1,866,352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701,729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3,595,705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2,037,059</w:t>
            </w:r>
          </w:p>
        </w:tc>
      </w:tr>
      <w:tr>
        <w:trPr>
          <w:trHeight w:val="23"/>
        </w:trPr>
        <w:tc>
          <w:tcPr>
            <w:tcW w:w="5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from individual customers greater than 10% of consolidated revenue in the respective periods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shd w:val="clear" w:color="auto" w:fill="CCEEFF"/>
          </w:tcPr>
          <w:p>
            <w:pPr>
              <w:spacing w:after="0"/>
              <w:rPr>
                <w:sz w:val="18"/>
                <w:szCs w:val="18"/>
                <w:color w:val="auto"/>
              </w:rPr>
            </w:pPr>
          </w:p>
        </w:tc>
        <w:tc>
          <w:tcPr>
            <w:tcW w:w="3180" w:type="dxa"/>
            <w:vAlign w:val="bottom"/>
            <w:tcBorders>
              <w:bottom w:val="single" w:sz="8" w:color="auto"/>
            </w:tcBorders>
            <w:gridSpan w:val="3"/>
            <w:shd w:val="clear" w:color="auto" w:fill="CCEEFF"/>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3080" w:type="dxa"/>
            <w:vAlign w:val="bottom"/>
            <w:tcBorders>
              <w:bottom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4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7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 2020</w:t>
            </w:r>
          </w:p>
        </w:tc>
        <w:tc>
          <w:tcPr>
            <w:tcW w:w="15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215"/>
        </w:trPr>
        <w:tc>
          <w:tcPr>
            <w:tcW w:w="49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700" w:type="dxa"/>
            <w:vAlign w:val="bottom"/>
            <w:gridSpan w:val="2"/>
            <w:vMerge w:val="continue"/>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Customer:</w:t>
            </w:r>
          </w:p>
        </w:tc>
        <w:tc>
          <w:tcPr>
            <w:tcW w:w="14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Customer A</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Customer B</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*Less than 10%</w:t>
      </w:r>
    </w:p>
    <w:p>
      <w:pPr>
        <w:spacing w:after="0" w:line="200" w:lineRule="exact"/>
        <w:rPr>
          <w:sz w:val="20"/>
          <w:szCs w:val="20"/>
          <w:color w:val="auto"/>
        </w:rPr>
      </w:pPr>
    </w:p>
    <w:p>
      <w:pPr>
        <w:spacing w:after="0" w:line="271" w:lineRule="exact"/>
        <w:rPr>
          <w:sz w:val="20"/>
          <w:szCs w:val="20"/>
          <w:color w:val="auto"/>
        </w:rPr>
      </w:pPr>
    </w:p>
    <w:p>
      <w:pPr>
        <w:ind w:left="180" w:right="1540" w:hanging="172"/>
        <w:spacing w:after="0" w:line="496" w:lineRule="auto"/>
        <w:tabs>
          <w:tab w:leader="none" w:pos="18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62"/>
        </w:trPr>
        <w:tc>
          <w:tcPr>
            <w:tcW w:w="4500" w:type="dxa"/>
            <w:vAlign w:val="bottom"/>
            <w:shd w:val="clear" w:color="auto" w:fill="CCEEFF"/>
          </w:tcPr>
          <w:p>
            <w:pPr>
              <w:spacing w:after="0"/>
              <w:rPr>
                <w:sz w:val="14"/>
                <w:szCs w:val="14"/>
                <w:color w:val="auto"/>
              </w:rPr>
            </w:pPr>
          </w:p>
        </w:tc>
        <w:tc>
          <w:tcPr>
            <w:tcW w:w="40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40" w:type="dxa"/>
            <w:vAlign w:val="bottom"/>
          </w:tcPr>
          <w:p>
            <w:pPr>
              <w:spacing w:after="0"/>
              <w:rPr>
                <w:sz w:val="14"/>
                <w:szCs w:val="14"/>
                <w:color w:val="auto"/>
              </w:rPr>
            </w:pPr>
          </w:p>
        </w:tc>
      </w:tr>
      <w:tr>
        <w:trPr>
          <w:trHeight w:val="215"/>
        </w:trPr>
        <w:tc>
          <w:tcPr>
            <w:tcW w:w="450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r>
      <w:tr>
        <w:trPr>
          <w:trHeight w:val="210"/>
        </w:trPr>
        <w:tc>
          <w:tcPr>
            <w:tcW w:w="45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62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8"/>
                <w:szCs w:val="18"/>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4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4500" w:type="dxa"/>
            <w:vAlign w:val="bottom"/>
          </w:tcPr>
          <w:p>
            <w:pPr>
              <w:ind w:left="140"/>
              <w:spacing w:after="0"/>
              <w:rPr>
                <w:sz w:val="20"/>
                <w:szCs w:val="20"/>
                <w:color w:val="auto"/>
              </w:rPr>
            </w:pPr>
            <w:r>
              <w:rPr>
                <w:rFonts w:ascii="Arial" w:cs="Arial" w:eastAsia="Arial" w:hAnsi="Arial"/>
                <w:sz w:val="16"/>
                <w:szCs w:val="16"/>
                <w:color w:val="auto"/>
              </w:rPr>
              <w:t>Billed services (accounts receivable)</w:t>
            </w:r>
          </w:p>
        </w:tc>
        <w:tc>
          <w:tcPr>
            <w:tcW w:w="40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1,345,588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722,420</w:t>
            </w:r>
          </w:p>
        </w:tc>
        <w:tc>
          <w:tcPr>
            <w:tcW w:w="40" w:type="dxa"/>
            <w:vAlign w:val="bottom"/>
          </w:tcPr>
          <w:p>
            <w:pPr>
              <w:spacing w:after="0"/>
              <w:rPr>
                <w:sz w:val="18"/>
                <w:szCs w:val="18"/>
                <w:color w:val="auto"/>
              </w:rPr>
            </w:pPr>
          </w:p>
        </w:tc>
      </w:tr>
      <w:tr>
        <w:trPr>
          <w:trHeight w:val="226"/>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Unbilled services (unbilled revenue)</w:t>
            </w:r>
          </w:p>
        </w:tc>
        <w:tc>
          <w:tcPr>
            <w:tcW w:w="40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550,692</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428,684</w:t>
            </w:r>
          </w:p>
        </w:tc>
        <w:tc>
          <w:tcPr>
            <w:tcW w:w="40" w:type="dxa"/>
            <w:vAlign w:val="bottom"/>
          </w:tcPr>
          <w:p>
            <w:pPr>
              <w:spacing w:after="0"/>
              <w:rPr>
                <w:sz w:val="19"/>
                <w:szCs w:val="19"/>
                <w:color w:val="auto"/>
              </w:rPr>
            </w:pPr>
          </w:p>
        </w:tc>
      </w:tr>
      <w:tr>
        <w:trPr>
          <w:trHeight w:val="213"/>
        </w:trPr>
        <w:tc>
          <w:tcPr>
            <w:tcW w:w="4500" w:type="dxa"/>
            <w:vAlign w:val="bottom"/>
          </w:tcPr>
          <w:p>
            <w:pPr>
              <w:ind w:left="140"/>
              <w:spacing w:after="0"/>
              <w:rPr>
                <w:sz w:val="20"/>
                <w:szCs w:val="20"/>
                <w:color w:val="auto"/>
              </w:rPr>
            </w:pPr>
            <w:r>
              <w:rPr>
                <w:rFonts w:ascii="Arial" w:cs="Arial" w:eastAsia="Arial" w:hAnsi="Arial"/>
                <w:sz w:val="16"/>
                <w:szCs w:val="16"/>
                <w:color w:val="auto"/>
              </w:rPr>
              <w:t>Accounts receivable and unbilled revenue</w:t>
            </w:r>
          </w:p>
        </w:tc>
        <w:tc>
          <w:tcPr>
            <w:tcW w:w="408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1,896,280</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1,151,104</w:t>
            </w:r>
          </w:p>
        </w:tc>
        <w:tc>
          <w:tcPr>
            <w:tcW w:w="40" w:type="dxa"/>
            <w:vAlign w:val="bottom"/>
          </w:tcPr>
          <w:p>
            <w:pPr>
              <w:spacing w:after="0"/>
              <w:rPr>
                <w:sz w:val="18"/>
                <w:szCs w:val="18"/>
                <w:color w:val="auto"/>
              </w:rPr>
            </w:pPr>
          </w:p>
        </w:tc>
      </w:tr>
      <w:tr>
        <w:trPr>
          <w:trHeight w:val="213"/>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40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(7,262)</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(7,149)</w:t>
            </w:r>
          </w:p>
        </w:tc>
        <w:tc>
          <w:tcPr>
            <w:tcW w:w="40" w:type="dxa"/>
            <w:vAlign w:val="bottom"/>
          </w:tcPr>
          <w:p>
            <w:pPr>
              <w:spacing w:after="0"/>
              <w:rPr>
                <w:sz w:val="18"/>
                <w:szCs w:val="18"/>
                <w:color w:val="auto"/>
              </w:rPr>
            </w:pPr>
          </w:p>
        </w:tc>
      </w:tr>
      <w:tr>
        <w:trPr>
          <w:trHeight w:val="257"/>
        </w:trPr>
        <w:tc>
          <w:tcPr>
            <w:tcW w:w="45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8"/>
        </w:trPr>
        <w:tc>
          <w:tcPr>
            <w:tcW w:w="4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Accounts receivable and unbilled revenue, net</w:t>
            </w:r>
          </w:p>
        </w:tc>
        <w:tc>
          <w:tcPr>
            <w:tcW w:w="4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1,889,018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1,143,955</w:t>
            </w:r>
          </w:p>
        </w:tc>
        <w:tc>
          <w:tcPr>
            <w:tcW w:w="40" w:type="dxa"/>
            <w:vAlign w:val="bottom"/>
          </w:tcPr>
          <w:p>
            <w:pPr>
              <w:spacing w:after="0"/>
              <w:rPr>
                <w:sz w:val="20"/>
                <w:szCs w:val="20"/>
                <w:color w:val="auto"/>
              </w:rPr>
            </w:pP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40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5"/>
        </w:trPr>
        <w:tc>
          <w:tcPr>
            <w:tcW w:w="4500" w:type="dxa"/>
            <w:vAlign w:val="bottom"/>
          </w:tcPr>
          <w:p>
            <w:pPr>
              <w:spacing w:after="0"/>
              <w:rPr>
                <w:sz w:val="24"/>
                <w:szCs w:val="24"/>
                <w:color w:val="auto"/>
              </w:rPr>
            </w:pPr>
          </w:p>
        </w:tc>
        <w:tc>
          <w:tcPr>
            <w:tcW w:w="4080" w:type="dxa"/>
            <w:vAlign w:val="bottom"/>
          </w:tcPr>
          <w:p>
            <w:pPr>
              <w:jc w:val="right"/>
              <w:ind w:right="2779"/>
              <w:spacing w:after="0"/>
              <w:rPr>
                <w:sz w:val="20"/>
                <w:szCs w:val="20"/>
                <w:color w:val="auto"/>
              </w:rPr>
            </w:pPr>
            <w:r>
              <w:rPr>
                <w:rFonts w:ascii="Arial" w:cs="Arial" w:eastAsia="Arial" w:hAnsi="Arial"/>
                <w:sz w:val="16"/>
                <w:szCs w:val="16"/>
                <w:color w:val="auto"/>
              </w:rPr>
              <w:t>14</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450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6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ind w:left="100"/>
              <w:spacing w:after="0"/>
              <w:rPr>
                <w:sz w:val="20"/>
                <w:szCs w:val="20"/>
                <w:color w:val="auto"/>
              </w:rPr>
            </w:pPr>
            <w:r>
              <w:rPr>
                <w:rFonts w:ascii="Arial" w:cs="Arial" w:eastAsia="Arial" w:hAnsi="Arial"/>
                <w:sz w:val="16"/>
                <w:szCs w:val="16"/>
                <w:b w:val="1"/>
                <w:bCs w:val="1"/>
                <w:color w:val="auto"/>
              </w:rPr>
              <w:t>$ Change</w:t>
            </w:r>
          </w:p>
        </w:tc>
        <w:tc>
          <w:tcPr>
            <w:tcW w:w="13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Unbilled services (unbilled revenue)</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550,692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428,684</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122,008</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28.5 %</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Unearned revenue (payments on account)</w:t>
            </w:r>
          </w:p>
        </w:tc>
        <w:tc>
          <w:tcPr>
            <w:tcW w:w="1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(1,349,000)</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(660,883)</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(688,117)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104.1 %</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Net balance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(798,308)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(232,199)</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rPr>
              <w:t>(566,109)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243.8 %</w:t>
            </w:r>
          </w:p>
        </w:tc>
        <w:tc>
          <w:tcPr>
            <w:tcW w:w="0" w:type="dxa"/>
            <w:vAlign w:val="bottom"/>
          </w:tcPr>
          <w:p>
            <w:pPr>
              <w:spacing w:after="0"/>
              <w:rPr>
                <w:sz w:val="1"/>
                <w:szCs w:val="1"/>
                <w:color w:val="auto"/>
              </w:rPr>
            </w:pPr>
          </w:p>
        </w:tc>
      </w:tr>
      <w:tr>
        <w:trPr>
          <w:trHeight w:val="23"/>
        </w:trPr>
        <w:tc>
          <w:tcPr>
            <w:tcW w:w="4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18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Unbilled services as at September 30, 2021 increased by $122.0 million compared to December 31, 2020. Unearned revenue increased by $688.1 million over the same period resulting in a decrease of $566.1 million in the net balance of unbilled services and unearned revenue or payments on account between December 31, 2020 and September 30, 2021. These fluctuations are primarily due to the Merger with PRA on July 1, 2021 but also partly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35" w:lineRule="exact"/>
        <w:rPr>
          <w:sz w:val="20"/>
          <w:szCs w:val="20"/>
          <w:color w:val="auto"/>
        </w:rPr>
      </w:pPr>
    </w:p>
    <w:p>
      <w:pPr>
        <w:jc w:val="both"/>
        <w:ind w:firstLine="194"/>
        <w:spacing w:after="0" w:line="253" w:lineRule="auto"/>
        <w:rPr>
          <w:sz w:val="20"/>
          <w:szCs w:val="20"/>
          <w:color w:val="auto"/>
        </w:rPr>
      </w:pPr>
      <w:r>
        <w:rPr>
          <w:rFonts w:ascii="Arial" w:cs="Arial" w:eastAsia="Arial" w:hAnsi="Arial"/>
          <w:sz w:val="16"/>
          <w:szCs w:val="16"/>
          <w:color w:val="auto"/>
        </w:rPr>
        <w:t>As of September 30, 2021 approximately $13.0 billion (September 30, 2020: $6.1 billion) of revenue is expected to be recognized in the future in respect of unsatisfied performance obligations. The Company expects to recognize revenue on approximately 49% of the unsatisfied performance obligation over the next 12 months, with the remainder recognized thereafter over the duration of the customer contracts.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Pr>
          <w:p>
            <w:pPr>
              <w:spacing w:after="0"/>
              <w:rPr>
                <w:sz w:val="20"/>
                <w:szCs w:val="20"/>
                <w:color w:val="auto"/>
              </w:rPr>
            </w:pPr>
            <w:r>
              <w:rPr>
                <w:rFonts w:ascii="Arial" w:cs="Arial" w:eastAsia="Arial" w:hAnsi="Arial"/>
                <w:sz w:val="16"/>
                <w:szCs w:val="16"/>
                <w:b w:val="1"/>
                <w:bCs w:val="1"/>
                <w:color w:val="auto"/>
              </w:rPr>
              <w:t>5. Goodwill</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63"/>
        </w:trPr>
        <w:tc>
          <w:tcPr>
            <w:tcW w:w="7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15"/>
        </w:trPr>
        <w:tc>
          <w:tcPr>
            <w:tcW w:w="7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Nine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7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September 30, 2021</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7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936,257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883,170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8,013,878</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Prior period acquisitions</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(14,923)</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25,773</w:t>
            </w:r>
          </w:p>
        </w:tc>
      </w:tr>
      <w:tr>
        <w:trPr>
          <w:trHeight w:val="240"/>
        </w:trPr>
        <w:tc>
          <w:tcPr>
            <w:tcW w:w="7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8"/>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8,935,212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936,257</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7840" w:type="dxa"/>
            <w:vAlign w:val="bottom"/>
          </w:tcPr>
          <w:p>
            <w:pPr>
              <w:spacing w:after="0"/>
              <w:rPr>
                <w:sz w:val="20"/>
                <w:szCs w:val="20"/>
                <w:color w:val="auto"/>
              </w:rPr>
            </w:pPr>
            <w:r>
              <w:rPr>
                <w:rFonts w:ascii="Arial" w:cs="Arial" w:eastAsia="Arial" w:hAnsi="Arial"/>
                <w:sz w:val="16"/>
                <w:szCs w:val="16"/>
                <w:color w:val="auto"/>
              </w:rPr>
              <w:t>There are no accumulated impairment charges as of September 30, 2021 and December 31, 2020.</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788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42"/>
        </w:trPr>
        <w:tc>
          <w:tcPr>
            <w:tcW w:w="7880" w:type="dxa"/>
            <w:vAlign w:val="bottom"/>
          </w:tcPr>
          <w:p>
            <w:pPr>
              <w:ind w:left="660"/>
              <w:spacing w:after="0"/>
              <w:rPr>
                <w:sz w:val="20"/>
                <w:szCs w:val="20"/>
                <w:color w:val="auto"/>
              </w:rPr>
            </w:pPr>
            <w:r>
              <w:rPr>
                <w:rFonts w:ascii="Arial" w:cs="Arial" w:eastAsia="Arial" w:hAnsi="Arial"/>
                <w:sz w:val="16"/>
                <w:szCs w:val="16"/>
                <w:color w:val="auto"/>
              </w:rPr>
              <w:t>Intangible assets, net consisted of the following:</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5"/>
        </w:trPr>
        <w:tc>
          <w:tcPr>
            <w:tcW w:w="7880" w:type="dxa"/>
            <w:vAlign w:val="bottom"/>
            <w:shd w:val="clear" w:color="auto" w:fill="CCEEFF"/>
          </w:tcPr>
          <w:p>
            <w:pPr>
              <w:spacing w:after="0"/>
              <w:rPr>
                <w:sz w:val="19"/>
                <w:szCs w:val="19"/>
                <w:color w:val="auto"/>
              </w:rPr>
            </w:pPr>
          </w:p>
        </w:tc>
        <w:tc>
          <w:tcPr>
            <w:tcW w:w="172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480" w:type="dxa"/>
            <w:vAlign w:val="bottom"/>
            <w:shd w:val="clear" w:color="auto" w:fill="CCEEFF"/>
          </w:tcPr>
          <w:p>
            <w:pPr>
              <w:spacing w:after="0"/>
              <w:rPr>
                <w:sz w:val="18"/>
                <w:szCs w:val="18"/>
                <w:color w:val="auto"/>
              </w:rPr>
            </w:pPr>
          </w:p>
        </w:tc>
        <w:tc>
          <w:tcPr>
            <w:tcW w:w="2880" w:type="dxa"/>
            <w:vAlign w:val="bottom"/>
            <w:gridSpan w:val="4"/>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78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4,047,002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144,251</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39,269</w:t>
            </w:r>
          </w:p>
        </w:tc>
      </w:tr>
      <w:tr>
        <w:trPr>
          <w:trHeight w:val="213"/>
        </w:trPr>
        <w:tc>
          <w:tcPr>
            <w:tcW w:w="788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204,705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2,766</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r>
      <w:tr>
        <w:trPr>
          <w:trHeight w:val="213"/>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11,173</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5,071,216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200,011</w:t>
            </w:r>
          </w:p>
        </w:tc>
      </w:tr>
      <w:tr>
        <w:trPr>
          <w:trHeight w:val="213"/>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(256,032)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(133,551)</w:t>
            </w:r>
          </w:p>
        </w:tc>
      </w:tr>
      <w:tr>
        <w:trPr>
          <w:trHeight w:val="234"/>
        </w:trPr>
        <w:tc>
          <w:tcPr>
            <w:tcW w:w="78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4,815,184</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66,460</w:t>
            </w:r>
          </w:p>
        </w:tc>
      </w:tr>
      <w:tr>
        <w:trPr>
          <w:trHeight w:val="20"/>
        </w:trPr>
        <w:tc>
          <w:tcPr>
            <w:tcW w:w="7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1, 2021 (the "Merger Date"), ICON plc announced the completion of its Merger with PRA Health Sciences, Inc. ("PRA"). The combined company has retained the name ICON and brings together approximately 37,960 employees across 53 countries, creating the world’s most advanced healthcare intelligence and clinical research organization. The Merger was accounted for as a business combination using the acquisition method of accounting in accordance with ASC Topic 805, Business Combinations.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21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30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In the nine months ended September 30, 2021, the Company incurred $182.3 million of Merger-related expenses which were accounted for separately from the business combination and expensed as incurred within the “Transaction and integration related expenses” line item of the condensed consolidated statements of operations. These costs consisted primarily of investment banker fees, advisory fees, legal costs, accounting and consulting fees, share-based compensation expense, and employee retention bonuses. The Company also incurred approximately $78.2 million of financing fees which are included in the “Interest expense” line item in the Condensed Consolidated Statements of Operations for the nine months ended September 30, 2021. The Company deferred $76.2 million of financing costs incurred as a result of the Senior Secured Credit Facility and Senior Secured Notes. These costs will be amortized over the term of the related debt.</w:t>
      </w:r>
    </w:p>
    <w:p>
      <w:pPr>
        <w:spacing w:after="0" w:line="227"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6"/>
          <w:szCs w:val="16"/>
          <w:color w:val="auto"/>
        </w:rPr>
        <w:t>The purchase accounting associated with the PRA Merger remains ongoing and we continue to review the acquisition balance sheet. We expect to conclude the purchase accounting exercise by June 30, 2022.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Merger Date fair value of the consideration transferred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8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06"/>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cash consideration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spacing w:after="0"/>
              <w:rPr>
                <w:sz w:val="20"/>
                <w:szCs w:val="20"/>
                <w:color w:val="auto"/>
              </w:rPr>
            </w:pPr>
            <w:r>
              <w:rPr>
                <w:rFonts w:ascii="Arial" w:cs="Arial" w:eastAsia="Arial" w:hAnsi="Arial"/>
                <w:sz w:val="16"/>
                <w:szCs w:val="16"/>
                <w:color w:val="auto"/>
              </w:rPr>
              <w:t>5,308,646</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ordinary shares issued to acquiree stockholders</w:t>
            </w:r>
          </w:p>
        </w:tc>
        <w:tc>
          <w:tcPr>
            <w:tcW w:w="46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5,658,126</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replacement share-based awards issued to acquiree employees</w:t>
            </w:r>
          </w:p>
        </w:tc>
        <w:tc>
          <w:tcPr>
            <w:tcW w:w="4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209,399</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term loan obligations and accrued interest *</w:t>
            </w: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865,800</w:t>
            </w:r>
          </w:p>
        </w:tc>
      </w:tr>
      <w:tr>
        <w:trPr>
          <w:trHeight w:val="209"/>
        </w:trPr>
        <w:tc>
          <w:tcPr>
            <w:tcW w:w="85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12,041,971</w:t>
            </w:r>
          </w:p>
        </w:tc>
      </w:tr>
      <w:tr>
        <w:trPr>
          <w:trHeight w:val="23"/>
        </w:trPr>
        <w:tc>
          <w:tcPr>
            <w:tcW w:w="85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ind w:right="540" w:firstLine="8"/>
        <w:spacing w:after="0" w:line="260" w:lineRule="auto"/>
        <w:tabs>
          <w:tab w:leader="none" w:pos="10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represents the portion of PRA debt paid by ICON. PRA also paid $401.6 million from available cash to settle debt obligations that existed at the Merger Date.</w:t>
      </w:r>
    </w:p>
    <w:p>
      <w:pPr>
        <w:spacing w:after="0" w:line="200" w:lineRule="exact"/>
        <w:rPr>
          <w:sz w:val="20"/>
          <w:szCs w:val="20"/>
          <w:color w:val="auto"/>
        </w:rPr>
      </w:pPr>
    </w:p>
    <w:p>
      <w:pPr>
        <w:spacing w:after="0" w:line="26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The following table summarizes the preliminary allocation of the consideration transferred based on management’s estimates of Merger Date fair values of assets acquired and liabilities assumed, with the excess of the purchase price over the estimated fair values of the identifiable net assets acquired recorded as goodwill:</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July 1,</w:t>
            </w:r>
          </w:p>
        </w:tc>
      </w:tr>
      <w:tr>
        <w:trPr>
          <w:trHeight w:val="215"/>
        </w:trPr>
        <w:tc>
          <w:tcPr>
            <w:tcW w:w="65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259,971</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934,308</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110,691</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3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162,988</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192,345</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8,013,878</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4,875,000</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172,229</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35,094</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(50,259)</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(342,552)</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(38,371)</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(758,901)</w:t>
            </w: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(157,658)</w:t>
            </w:r>
          </w:p>
        </w:tc>
      </w:tr>
      <w:tr>
        <w:trPr>
          <w:trHeight w:val="213"/>
        </w:trPr>
        <w:tc>
          <w:tcPr>
            <w:tcW w:w="650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(1,313,599)</w:t>
            </w: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(53,193)</w:t>
            </w:r>
          </w:p>
        </w:tc>
      </w:tr>
      <w:tr>
        <w:trPr>
          <w:trHeight w:val="240"/>
        </w:trPr>
        <w:tc>
          <w:tcPr>
            <w:tcW w:w="6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5"/>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3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12,041,971</w:t>
            </w:r>
          </w:p>
        </w:tc>
      </w:tr>
    </w:tbl>
    <w:p>
      <w:pPr>
        <w:spacing w:after="0" w:line="272" w:lineRule="exact"/>
        <w:rPr>
          <w:sz w:val="20"/>
          <w:szCs w:val="20"/>
          <w:color w:val="auto"/>
        </w:rPr>
      </w:pPr>
    </w:p>
    <w:p>
      <w:pPr>
        <w:ind w:right="20" w:firstLine="8"/>
        <w:spacing w:after="0" w:line="242" w:lineRule="auto"/>
        <w:tabs>
          <w:tab w:leader="none" w:pos="11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goodwill in connection with the Merger is primarily attributable to the assembled workforce of PRA and the expected synergies of the Merger. None of the goodwill recognized is expected to be deductible for income tax purposes.</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preliminary estimates of the fair value of identified intangible assets and their respective useful lives as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Merger Date (in thousands, except for estimated useful lives):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Estimated Fair Value</w:t>
            </w:r>
          </w:p>
        </w:tc>
        <w:tc>
          <w:tcPr>
            <w:tcW w:w="3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Estimated Useful Life</w:t>
            </w:r>
          </w:p>
        </w:tc>
      </w:tr>
      <w:tr>
        <w:trPr>
          <w:trHeight w:val="206"/>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w:t>
            </w:r>
          </w:p>
        </w:tc>
        <w:tc>
          <w:tcPr>
            <w:tcW w:w="3040" w:type="dxa"/>
            <w:vAlign w:val="bottom"/>
          </w:tcPr>
          <w:p>
            <w:pPr>
              <w:jc w:val="right"/>
              <w:spacing w:after="0"/>
              <w:rPr>
                <w:sz w:val="20"/>
                <w:szCs w:val="20"/>
                <w:color w:val="auto"/>
              </w:rPr>
            </w:pPr>
            <w:r>
              <w:rPr>
                <w:rFonts w:ascii="Arial" w:cs="Arial" w:eastAsia="Arial" w:hAnsi="Arial"/>
                <w:sz w:val="16"/>
                <w:szCs w:val="16"/>
                <w:color w:val="auto"/>
              </w:rPr>
              <w:t>3,905,000</w:t>
            </w:r>
          </w:p>
        </w:tc>
        <w:tc>
          <w:tcPr>
            <w:tcW w:w="3060" w:type="dxa"/>
            <w:vAlign w:val="bottom"/>
          </w:tcPr>
          <w:p>
            <w:pPr>
              <w:jc w:val="center"/>
              <w:spacing w:after="0"/>
              <w:rPr>
                <w:sz w:val="20"/>
                <w:szCs w:val="20"/>
                <w:color w:val="auto"/>
              </w:rPr>
            </w:pPr>
            <w:r>
              <w:rPr>
                <w:rFonts w:ascii="Arial" w:cs="Arial" w:eastAsia="Arial" w:hAnsi="Arial"/>
                <w:sz w:val="16"/>
                <w:szCs w:val="16"/>
                <w:color w:val="auto"/>
              </w:rPr>
              <w:t>23 years</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489,000</w:t>
            </w:r>
          </w:p>
        </w:tc>
        <w:tc>
          <w:tcPr>
            <w:tcW w:w="3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 years</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tcPr>
          <w:p>
            <w:pPr>
              <w:jc w:val="right"/>
              <w:spacing w:after="0"/>
              <w:rPr>
                <w:sz w:val="20"/>
                <w:szCs w:val="20"/>
                <w:color w:val="auto"/>
              </w:rPr>
            </w:pPr>
            <w:r>
              <w:rPr>
                <w:rFonts w:ascii="Arial" w:cs="Arial" w:eastAsia="Arial" w:hAnsi="Arial"/>
                <w:sz w:val="16"/>
                <w:szCs w:val="16"/>
                <w:color w:val="auto"/>
              </w:rPr>
              <w:t>202,000</w:t>
            </w:r>
          </w:p>
        </w:tc>
        <w:tc>
          <w:tcPr>
            <w:tcW w:w="3060" w:type="dxa"/>
            <w:vAlign w:val="bottom"/>
          </w:tcPr>
          <w:p>
            <w:pPr>
              <w:jc w:val="center"/>
              <w:spacing w:after="0"/>
              <w:rPr>
                <w:sz w:val="20"/>
                <w:szCs w:val="20"/>
                <w:color w:val="auto"/>
              </w:rPr>
            </w:pPr>
            <w:r>
              <w:rPr>
                <w:rFonts w:ascii="Arial" w:cs="Arial" w:eastAsia="Arial" w:hAnsi="Arial"/>
                <w:sz w:val="16"/>
                <w:szCs w:val="16"/>
                <w:color w:val="auto"/>
              </w:rPr>
              <w:t>3 years</w:t>
            </w: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168,000</w:t>
            </w:r>
          </w:p>
        </w:tc>
        <w:tc>
          <w:tcPr>
            <w:tcW w:w="3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 years</w:t>
            </w: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111,000</w:t>
            </w:r>
          </w:p>
        </w:tc>
        <w:tc>
          <w:tcPr>
            <w:tcW w:w="30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5 years</w:t>
            </w:r>
          </w:p>
        </w:tc>
      </w:tr>
      <w:tr>
        <w:trPr>
          <w:trHeight w:val="234"/>
        </w:trPr>
        <w:tc>
          <w:tcPr>
            <w:tcW w:w="512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4,875,000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Since July 1, 2021, PRA has earned revenue of $1,019.7 million and pre-tax net income of $113.4 million in the three months ended September 30, 2021.</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 forma financial information</w:t>
      </w:r>
    </w:p>
    <w:p>
      <w:pPr>
        <w:spacing w:after="0" w:line="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following pro forma financial information was derived from the historical financial statements of the Company and PRA and presents the combined results of operations as if the Merger had occurred on January 1, 2020. The pro forma financial information is presented for comparative purposes only and is not necessarily indicative of the results that would have actually occurred had the Merger been completed on January 1, 2020. In addition, the pro forma financial information does not give effect to any anticipated cost savings, operating efficiencies or other synergies that may result from the Merger, or any estimated costs that have been or will be incurred by the Company to integrate the assets and operations of PRA. Consequently, actual future results of the Company will differ from the pro forma financial information presented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Nine months ended</w:t>
            </w: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7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5,580,879</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5,964,653</w:t>
            </w:r>
          </w:p>
        </w:tc>
      </w:tr>
      <w:tr>
        <w:trPr>
          <w:trHeight w:val="213"/>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231,442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(151,209)</w:t>
            </w:r>
          </w:p>
        </w:tc>
      </w:tr>
    </w:tbl>
    <w:p>
      <w:pPr>
        <w:spacing w:after="0" w:line="3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pro forma adjustments primarily relate to the amortization of acquired intangible assets, interest expense and amortization of deferred financing costs related to the new financing arrangements. In addition, the pro forma net income for the nine months ended September 30, 2021 was adjusted to exclude certain merger-related nonrecurring adjustments; these adjustments were included in the year ended December 31, 2020 giving effect to the Merger as if it had occurred on January 1, 2020. The nonrecurring merger related adjustments include transaction costs, share-based compensation expense related to the acceleration of share-based compensation awards and replacement share-based awards, and financing fees. The merger related adjustment were tax effected using the Company's effective tax rate.</w:t>
      </w:r>
    </w:p>
    <w:p>
      <w:pPr>
        <w:sectPr>
          <w:pgSz w:w="11900" w:h="16838" w:orient="portrait"/>
          <w:cols w:equalWidth="0" w:num="1">
            <w:col w:w="11240"/>
          </w:cols>
          <w:pgMar w:left="320" w:top="911" w:right="339" w:bottom="10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058"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i w:val="1"/>
          <w:iCs w:val="1"/>
          <w:color w:val="auto"/>
        </w:rPr>
        <w:t>Acquisitions – MedPass Group ("MedPass")</w:t>
      </w:r>
    </w:p>
    <w:p>
      <w:pPr>
        <w:spacing w:after="0" w:line="2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r>
        <w:rPr>
          <w:rFonts w:ascii="Arial" w:cs="Arial" w:eastAsia="Arial" w:hAnsi="Arial"/>
          <w:sz w:val="16"/>
          <w:szCs w:val="16"/>
          <w:color w:val="auto"/>
        </w:rPr>
        <w:t xml:space="preserve"> Accounting for the acquisition of MedPass was finalized in the period ended December 31, 2020.</w:t>
      </w:r>
    </w:p>
    <w:p>
      <w:pPr>
        <w:spacing w:after="0" w:line="235"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an assessment of the fair value of assets acquired and liabilities assumed as at that date. The following table summarizes the Company’s fair values of the assets acquired and liabilities assumed: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22,</w:t>
            </w:r>
          </w:p>
        </w:tc>
      </w:tr>
      <w:tr>
        <w:trPr>
          <w:trHeight w:val="215"/>
        </w:trPr>
        <w:tc>
          <w:tcPr>
            <w:tcW w:w="6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10,170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11,725</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149"/>
        </w:trPr>
        <w:tc>
          <w:tcPr>
            <w:tcW w:w="6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r>
        <w:trPr>
          <w:trHeight w:val="189"/>
        </w:trPr>
        <w:tc>
          <w:tcPr>
            <w:tcW w:w="6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46,992</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bl>
    <w:p>
      <w:pPr>
        <w:spacing w:after="0" w:line="218" w:lineRule="exact"/>
        <w:rPr>
          <w:sz w:val="20"/>
          <w:szCs w:val="20"/>
          <w:color w:val="auto"/>
        </w:rPr>
      </w:pPr>
    </w:p>
    <w:p>
      <w:pPr>
        <w:ind w:firstLine="8"/>
        <w:spacing w:after="0" w:line="260" w:lineRule="auto"/>
        <w:tabs>
          <w:tab w:leader="none" w:pos="118" w:val="left"/>
        </w:tabs>
        <w:numPr>
          <w:ilvl w:val="0"/>
          <w:numId w:val="6"/>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33" w:lineRule="exact"/>
        <w:rPr>
          <w:sz w:val="20"/>
          <w:szCs w:val="20"/>
          <w:color w:val="auto"/>
        </w:rPr>
      </w:pPr>
    </w:p>
    <w:p>
      <w:pPr>
        <w:jc w:val="both"/>
        <w:ind w:firstLine="8"/>
        <w:spacing w:after="0" w:line="253"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as $Nil. Depending on performance of MedPass for the 12 month period ended December 31, 2020, the total consideration could have increased by a maximum of $6.7 million in contingent consideration. In January 2021, the contingent consideration was finalized and a value of $Nil was payable.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Equity method investments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invested $4.9 million to obtain a 49% interest in the voting share capital of Oncacare Limited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648"/>
        <w:spacing w:after="0" w:line="260"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 two and half year period commencing from January 1, 2023 and ICON also has the right to acquire the 51% majority voting share capital from August 1, 2025.</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September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18"/>
                <w:szCs w:val="18"/>
                <w:color w:val="auto"/>
              </w:rPr>
            </w:pPr>
          </w:p>
        </w:tc>
        <w:tc>
          <w:tcPr>
            <w:tcW w:w="40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Ownership Percentage</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6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5"/>
        </w:trPr>
        <w:tc>
          <w:tcPr>
            <w:tcW w:w="31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September 30, 2021</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314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Oncacare Limited</w:t>
            </w:r>
          </w:p>
        </w:tc>
        <w:tc>
          <w:tcPr>
            <w:tcW w:w="4020" w:type="dxa"/>
            <w:vAlign w:val="bottom"/>
          </w:tcPr>
          <w:p>
            <w:pPr>
              <w:jc w:val="right"/>
              <w:ind w:right="219"/>
              <w:spacing w:after="0"/>
              <w:rPr>
                <w:sz w:val="20"/>
                <w:szCs w:val="20"/>
                <w:color w:val="auto"/>
              </w:rPr>
            </w:pPr>
            <w:r>
              <w:rPr>
                <w:rFonts w:ascii="Arial" w:cs="Arial" w:eastAsia="Arial" w:hAnsi="Arial"/>
                <w:sz w:val="16"/>
                <w:szCs w:val="16"/>
                <w:color w:val="auto"/>
              </w:rPr>
              <w:t>49 % $</w:t>
            </w:r>
          </w:p>
        </w:tc>
        <w:tc>
          <w:tcPr>
            <w:tcW w:w="1820" w:type="dxa"/>
            <w:vAlign w:val="bottom"/>
          </w:tcPr>
          <w:p>
            <w:pPr>
              <w:jc w:val="right"/>
              <w:spacing w:after="0"/>
              <w:rPr>
                <w:sz w:val="20"/>
                <w:szCs w:val="20"/>
                <w:color w:val="auto"/>
              </w:rPr>
            </w:pPr>
            <w:r>
              <w:rPr>
                <w:rFonts w:ascii="Arial" w:cs="Arial" w:eastAsia="Arial" w:hAnsi="Arial"/>
                <w:sz w:val="16"/>
                <w:szCs w:val="16"/>
                <w:color w:val="auto"/>
              </w:rPr>
              <w:t>3,062</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4,534</w:t>
            </w:r>
          </w:p>
        </w:tc>
      </w:tr>
      <w:tr>
        <w:trPr>
          <w:trHeight w:val="273"/>
        </w:trPr>
        <w:tc>
          <w:tcPr>
            <w:tcW w:w="3140" w:type="dxa"/>
            <w:vAlign w:val="bottom"/>
            <w:tcBorders>
              <w:bottom w:val="single" w:sz="8" w:color="auto"/>
            </w:tcBorders>
            <w:shd w:val="clear" w:color="auto" w:fill="CCEEFF"/>
          </w:tcPr>
          <w:p>
            <w:pPr>
              <w:spacing w:after="0"/>
              <w:rPr>
                <w:sz w:val="23"/>
                <w:szCs w:val="23"/>
                <w:color w:val="auto"/>
              </w:rPr>
            </w:pPr>
          </w:p>
        </w:tc>
        <w:tc>
          <w:tcPr>
            <w:tcW w:w="40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bl>
    <w:p>
      <w:pPr>
        <w:spacing w:after="0" w:line="3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recorded a loss of $0.7 million representing its pro rata share of the losses in Oncacare for the three month period ended September 30, 2021. The Company recorded a loss of $1.5 million for the nine months ended September 30,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Fair value measurements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29"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Recurring Fair Value Measurements</w:t>
      </w:r>
    </w:p>
    <w:p>
      <w:pPr>
        <w:spacing w:after="0" w:line="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classifies its interests in investments in equity-long term having considered the nature of its investment, the extent of influence over operating and financial decisions and the availability of readily determinable fair values. The Company determined that the interests in funds at September 30, 2021 and December 31, 2020 meet the definition of equity securities without readily determinable fair values. The Company concluded that the interests held at September 30, 2021 and December 31, 2020 qualify for the Net Asset Value (NAV) practical expedient in ASC 820 'Fair value measurements and disclosures'. Any increases or decreases in fair value are recognized in net income in the period. These are therefore measured at Level 3 of the fair value hierarchy. The value of these investments were $22.8 million at September 30, 2021 and $15.8 million at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and identifiable indefinite-lived intangible assets that are tested for impairment annually or when a triggering event occurs. As of September 30, 2021, assets carried on the balance sheet and not re-measured to fair value on a recurring basis totaled approximately $13,750.4 million and are identified as Level 3 assets. These assets are comprised of goodwill of $8,935.2 million and identifiable intangible assets, net of $4,815.2 million. Refer to "Note 12 - Non-current bank credit lines and loan facilities" for additional information regarding the fair value of long-term debt balances.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10. Restructuring</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Restructuring plans reflect rationalizations across the business to improve resource utilization related to the Group's workforce as well as facilities.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6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September 30, 2021</w:t>
            </w: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jc w:val="right"/>
              <w:ind w:right="161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6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10,748</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Additional provisions</w:t>
            </w:r>
          </w:p>
        </w:tc>
        <w:tc>
          <w:tcPr>
            <w:tcW w:w="240" w:type="dxa"/>
            <w:vAlign w:val="bottom"/>
          </w:tcPr>
          <w:p>
            <w:pPr>
              <w:spacing w:after="0"/>
              <w:rPr>
                <w:sz w:val="18"/>
                <w:szCs w:val="18"/>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6,162</w:t>
            </w:r>
          </w:p>
        </w:tc>
        <w:tc>
          <w:tcPr>
            <w:tcW w:w="3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18,089</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w:t>
            </w:r>
          </w:p>
        </w:tc>
      </w:tr>
      <w:tr>
        <w:trPr>
          <w:trHeight w:val="21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34"/>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Ending provision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10,015</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10,748</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nine months ended September 30, 2021, a restructuring charge of $6.2 million was recorded in the Condensed Consolidated Statement of Operations, including the recognition of an impairment of right of use assets of $5.7 million. This charge reflects an ongoing restructuring program to rationalize the Company's global office footprint.</w:t>
      </w:r>
    </w:p>
    <w:p>
      <w:pPr>
        <w:spacing w:after="0" w:line="8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At September 30, 2021, the total restructuring provision of $10.0 million included $8.9 million related to office consolidation of which $4.8 million is included within other liabilities and $4.1 million is included within non-current operating lease liabilities. The remaining provision of $1.1 million relates to workforce reduction and is included within other liabilities.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Operating leases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Lease costs recorded under operating leases for the three and nine months ended September 30, 2021 and September 30, 2020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6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September 30, 2020</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2020</w:t>
            </w:r>
          </w:p>
        </w:tc>
      </w:tr>
      <w:tr>
        <w:trPr>
          <w:trHeight w:val="210"/>
        </w:trPr>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60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ind w:left="980"/>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ind w:left="600"/>
              <w:spacing w:after="0"/>
              <w:rPr>
                <w:sz w:val="20"/>
                <w:szCs w:val="20"/>
                <w:color w:val="auto"/>
              </w:rPr>
            </w:pPr>
            <w:r>
              <w:rPr>
                <w:rFonts w:ascii="Arial" w:cs="Arial" w:eastAsia="Arial" w:hAnsi="Arial"/>
                <w:sz w:val="16"/>
                <w:szCs w:val="16"/>
                <w:color w:val="auto"/>
              </w:rPr>
              <w:t>18,905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7,417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ind w:left="960"/>
              <w:spacing w:after="0"/>
              <w:rPr>
                <w:sz w:val="20"/>
                <w:szCs w:val="20"/>
                <w:color w:val="auto"/>
              </w:rPr>
            </w:pPr>
            <w:r>
              <w:rPr>
                <w:rFonts w:ascii="Arial" w:cs="Arial" w:eastAsia="Arial" w:hAnsi="Arial"/>
                <w:sz w:val="16"/>
                <w:szCs w:val="16"/>
                <w:color w:val="auto"/>
              </w:rPr>
              <w:t>34,243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23,274</w:t>
            </w:r>
          </w:p>
        </w:tc>
      </w:tr>
      <w:tr>
        <w:trPr>
          <w:trHeight w:val="216"/>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1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18,593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33,500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22,493</w:t>
            </w:r>
          </w:p>
        </w:tc>
      </w:tr>
      <w:tr>
        <w:trPr>
          <w:trHeight w:val="23"/>
        </w:trPr>
        <w:tc>
          <w:tcPr>
            <w:tcW w:w="4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6"/>
          <w:szCs w:val="16"/>
          <w:color w:val="auto"/>
        </w:rPr>
        <w:t>Of the total cost of $33.5 million incurred in the nine months ended September 30, 2021 (September 30, 2020: $22.5 million), $31.9 million (September 30, 2020: $20.6 million) is recorded within selling, general and administration costs and $1.6 million (September 30, 2020: $1.9 million) is recorded within direct costs.</w:t>
      </w:r>
    </w:p>
    <w:p>
      <w:pPr>
        <w:spacing w:after="0" w:line="228" w:lineRule="exact"/>
        <w:rPr>
          <w:sz w:val="20"/>
          <w:szCs w:val="20"/>
          <w:color w:val="auto"/>
        </w:rPr>
      </w:pPr>
    </w:p>
    <w:p>
      <w:pPr>
        <w:jc w:val="both"/>
        <w:ind w:firstLine="212"/>
        <w:spacing w:after="0" w:line="260" w:lineRule="auto"/>
        <w:rPr>
          <w:sz w:val="20"/>
          <w:szCs w:val="20"/>
          <w:color w:val="auto"/>
        </w:rPr>
      </w:pPr>
      <w:r>
        <w:rPr>
          <w:rFonts w:ascii="Arial" w:cs="Arial" w:eastAsia="Arial" w:hAnsi="Arial"/>
          <w:sz w:val="16"/>
          <w:szCs w:val="16"/>
          <w:color w:val="auto"/>
        </w:rPr>
        <w:t>During the three and nine months ended September 30, 2021 and September 30, 2020, costs incurred by the Group related to variable lease payments was de minimis.</w:t>
      </w:r>
    </w:p>
    <w:p>
      <w:pPr>
        <w:spacing w:after="0" w:line="222" w:lineRule="exact"/>
        <w:rPr>
          <w:sz w:val="20"/>
          <w:szCs w:val="20"/>
          <w:color w:val="auto"/>
        </w:rPr>
      </w:pPr>
    </w:p>
    <w:p>
      <w:pPr>
        <w:jc w:val="both"/>
        <w:ind w:firstLine="262"/>
        <w:spacing w:after="0" w:line="249" w:lineRule="auto"/>
        <w:rPr>
          <w:sz w:val="20"/>
          <w:szCs w:val="20"/>
          <w:color w:val="auto"/>
        </w:rPr>
      </w:pPr>
      <w:r>
        <w:rPr>
          <w:rFonts w:ascii="Arial" w:cs="Arial" w:eastAsia="Arial" w:hAnsi="Arial"/>
          <w:sz w:val="16"/>
          <w:szCs w:val="16"/>
          <w:color w:val="auto"/>
        </w:rPr>
        <w:t xml:space="preserve">Right-of-use assets obtained during the three months ended September 30, 2021, excluding early termination options, now reasonably certain to be exercised of $Nil (September 30, 2020: $Nil ), totaled $1.1 million (September 30, 2020: $5.3 million). Right-of-use assets obtained during the nine months ended September 30, 2021, excluding early termination options now reasonably certain to be exercised of $4.2 million (September 30, 2020: $1.6 million), totaled $4.9 million (September 30, 2020: $8.2 million). In the three and nine months ended September 30, 2021, office consolidations resulted in the recognition of a restructuring provision. The right-of-use assets related to these offices have been impaired to the extent they are considered onerous and a loss of $5.7 million was recorded (September 30, 2020: $5.4 million) (see </w:t>
      </w:r>
      <w:r>
        <w:rPr>
          <w:rFonts w:ascii="Arial" w:cs="Arial" w:eastAsia="Arial" w:hAnsi="Arial"/>
          <w:sz w:val="16"/>
          <w:szCs w:val="16"/>
          <w:i w:val="1"/>
          <w:iCs w:val="1"/>
          <w:color w:val="auto"/>
        </w:rPr>
        <w:t>note 10 - Restructuring</w:t>
      </w:r>
      <w:r>
        <w:rPr>
          <w:rFonts w:ascii="Arial" w:cs="Arial" w:eastAsia="Arial" w:hAnsi="Arial"/>
          <w:sz w:val="16"/>
          <w:szCs w:val="16"/>
          <w:color w:val="auto"/>
        </w:rPr>
        <w: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September 30, 2021 were 6.94 years and 2.16%,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8760" w:type="dxa"/>
            <w:vAlign w:val="bottom"/>
          </w:tcPr>
          <w:p>
            <w:pPr>
              <w:ind w:left="180"/>
              <w:spacing w:after="0"/>
              <w:rPr>
                <w:sz w:val="20"/>
                <w:szCs w:val="20"/>
                <w:color w:val="auto"/>
              </w:rPr>
            </w:pPr>
            <w:r>
              <w:rPr>
                <w:rFonts w:ascii="Arial" w:cs="Arial" w:eastAsia="Arial" w:hAnsi="Arial"/>
                <w:sz w:val="16"/>
                <w:szCs w:val="16"/>
                <w:color w:val="auto"/>
              </w:rPr>
              <w:t>Future minimum lease payments under non-cancelable leases as of September 30, 2021 were as follows:</w:t>
            </w: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14"/>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216"/>
        </w:trPr>
        <w:tc>
          <w:tcPr>
            <w:tcW w:w="8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 payments</w:t>
            </w:r>
          </w:p>
        </w:tc>
      </w:tr>
      <w:tr>
        <w:trPr>
          <w:trHeight w:val="215"/>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r>
      <w:tr>
        <w:trPr>
          <w:trHeight w:val="210"/>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67,214</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Year 2</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55,183</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3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36,907</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Year 4</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24,320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3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20,284</w:t>
            </w:r>
          </w:p>
        </w:tc>
      </w:t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70,292</w:t>
            </w: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274,200</w:t>
            </w:r>
          </w:p>
        </w:tc>
      </w:t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(21,345)</w:t>
            </w:r>
          </w:p>
        </w:tc>
      </w:tr>
      <w:tr>
        <w:trPr>
          <w:trHeight w:val="238"/>
        </w:trPr>
        <w:tc>
          <w:tcPr>
            <w:tcW w:w="8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252,855</w:t>
            </w:r>
          </w:p>
        </w:tc>
      </w:tr>
      <w:tr>
        <w:trPr>
          <w:trHeight w:val="20"/>
        </w:trPr>
        <w:tc>
          <w:tcPr>
            <w:tcW w:w="8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$61.9 million have been included in other liabilities as at September 30, 2021 (September 30, 2020: $24.3 million).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Non-current bank credit lines and loan facilities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the following debt outstanding as of September 30, 2021 and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gridSpan w:val="3"/>
            <w:shd w:val="clear" w:color="auto" w:fill="CCEEFF"/>
          </w:tcPr>
          <w:p>
            <w:pPr>
              <w:ind w:left="840"/>
              <w:spacing w:after="0"/>
              <w:rPr>
                <w:sz w:val="20"/>
                <w:szCs w:val="20"/>
                <w:color w:val="auto"/>
              </w:rPr>
            </w:pPr>
            <w:r>
              <w:rPr>
                <w:rFonts w:ascii="Arial" w:cs="Arial" w:eastAsia="Arial" w:hAnsi="Arial"/>
                <w:sz w:val="16"/>
                <w:szCs w:val="16"/>
                <w:b w:val="1"/>
                <w:bCs w:val="1"/>
                <w:color w:val="auto"/>
              </w:rPr>
              <w:t>Principal amount</w:t>
            </w:r>
          </w:p>
        </w:tc>
        <w:tc>
          <w:tcPr>
            <w:tcW w:w="1880" w:type="dxa"/>
            <w:vAlign w:val="bottom"/>
            <w:shd w:val="clear" w:color="auto" w:fill="CCEEFF"/>
          </w:tcPr>
          <w:p>
            <w:pPr>
              <w:spacing w:after="0"/>
              <w:rPr>
                <w:sz w:val="18"/>
                <w:szCs w:val="18"/>
                <w:color w:val="auto"/>
              </w:rPr>
            </w:pPr>
          </w:p>
        </w:tc>
      </w:tr>
      <w:tr>
        <w:trPr>
          <w:trHeight w:val="209"/>
        </w:trPr>
        <w:tc>
          <w:tcPr>
            <w:tcW w:w="1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6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Interest rate as of</w:t>
            </w:r>
          </w:p>
        </w:tc>
        <w:tc>
          <w:tcPr>
            <w:tcW w:w="180" w:type="dxa"/>
            <w:vAlign w:val="bottom"/>
          </w:tcPr>
          <w:p>
            <w:pPr>
              <w:spacing w:after="0"/>
              <w:rPr>
                <w:sz w:val="18"/>
                <w:szCs w:val="18"/>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880" w:type="dxa"/>
            <w:vAlign w:val="bottom"/>
          </w:tcPr>
          <w:p>
            <w:pPr>
              <w:spacing w:after="0"/>
              <w:rPr>
                <w:sz w:val="18"/>
                <w:szCs w:val="18"/>
                <w:color w:val="auto"/>
              </w:rPr>
            </w:pPr>
          </w:p>
        </w:tc>
      </w:tr>
      <w:tr>
        <w:trPr>
          <w:trHeight w:val="216"/>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3040" w:type="dxa"/>
            <w:vAlign w:val="bottom"/>
            <w:tcBorders>
              <w:bottom w:val="single" w:sz="8" w:color="auto"/>
            </w:tcBorders>
            <w:gridSpan w:val="2"/>
            <w:shd w:val="clear" w:color="auto" w:fill="CCEEFF"/>
          </w:tcPr>
          <w:p>
            <w:pPr>
              <w:jc w:val="right"/>
              <w:ind w:right="740"/>
              <w:spacing w:after="0"/>
              <w:rPr>
                <w:sz w:val="20"/>
                <w:szCs w:val="20"/>
                <w:color w:val="auto"/>
              </w:rPr>
            </w:pPr>
            <w:r>
              <w:rPr>
                <w:rFonts w:ascii="Arial" w:cs="Arial" w:eastAsia="Arial" w:hAnsi="Arial"/>
                <w:sz w:val="16"/>
                <w:szCs w:val="16"/>
                <w:b w:val="1"/>
                <w:bCs w:val="1"/>
                <w:color w:val="auto"/>
              </w:rPr>
              <w:t>September 30, 2021</w:t>
            </w:r>
          </w:p>
        </w:tc>
        <w:tc>
          <w:tcPr>
            <w:tcW w:w="14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8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Maturity Date</w:t>
            </w:r>
          </w:p>
        </w:tc>
      </w:tr>
      <w:tr>
        <w:trPr>
          <w:trHeight w:val="207"/>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Senior Secured Credit Facility</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9"/>
        </w:trPr>
        <w:tc>
          <w:tcPr>
            <w:tcW w:w="31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Term loan</w:t>
            </w:r>
          </w:p>
        </w:tc>
        <w:tc>
          <w:tcPr>
            <w:tcW w:w="3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3.00 %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5,501,213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July 2028</w:t>
            </w:r>
          </w:p>
        </w:tc>
      </w:tr>
      <w:tr>
        <w:trPr>
          <w:trHeight w:val="213"/>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Senior Secured Notes</w:t>
            </w:r>
          </w:p>
        </w:tc>
        <w:tc>
          <w:tcPr>
            <w:tcW w:w="2860" w:type="dxa"/>
            <w:vAlign w:val="bottom"/>
          </w:tcPr>
          <w:p>
            <w:pPr>
              <w:jc w:val="right"/>
              <w:spacing w:after="0"/>
              <w:rPr>
                <w:sz w:val="20"/>
                <w:szCs w:val="20"/>
                <w:color w:val="auto"/>
              </w:rPr>
            </w:pPr>
            <w:r>
              <w:rPr>
                <w:rFonts w:ascii="Arial" w:cs="Arial" w:eastAsia="Arial" w:hAnsi="Arial"/>
                <w:sz w:val="16"/>
                <w:szCs w:val="16"/>
                <w:color w:val="auto"/>
              </w:rPr>
              <w:t>2.875 %</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ind w:left="1160"/>
              <w:spacing w:after="0"/>
              <w:rPr>
                <w:sz w:val="20"/>
                <w:szCs w:val="20"/>
                <w:color w:val="auto"/>
              </w:rPr>
            </w:pPr>
            <w:r>
              <w:rPr>
                <w:rFonts w:ascii="Arial" w:cs="Arial" w:eastAsia="Arial" w:hAnsi="Arial"/>
                <w:sz w:val="16"/>
                <w:szCs w:val="16"/>
                <w:color w:val="auto"/>
              </w:rPr>
              <w:t>July 2026</w:t>
            </w:r>
          </w:p>
        </w:tc>
      </w:tr>
      <w:tr>
        <w:trPr>
          <w:trHeight w:val="21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2020 Senior Notes:</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13"/>
        </w:trPr>
        <w:tc>
          <w:tcPr>
            <w:tcW w:w="3160" w:type="dxa"/>
            <w:vAlign w:val="bottom"/>
            <w:gridSpan w:val="2"/>
          </w:tcPr>
          <w:p>
            <w:pPr>
              <w:ind w:left="240"/>
              <w:spacing w:after="0"/>
              <w:rPr>
                <w:sz w:val="20"/>
                <w:szCs w:val="20"/>
                <w:color w:val="auto"/>
              </w:rPr>
            </w:pPr>
            <w:r>
              <w:rPr>
                <w:rFonts w:ascii="Arial" w:cs="Arial" w:eastAsia="Arial" w:hAnsi="Arial"/>
                <w:sz w:val="16"/>
                <w:szCs w:val="16"/>
                <w:color w:val="auto"/>
              </w:rPr>
              <w:t>Series A notes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275,000</w:t>
            </w:r>
          </w:p>
        </w:tc>
        <w:tc>
          <w:tcPr>
            <w:tcW w:w="1880" w:type="dxa"/>
            <w:vAlign w:val="bottom"/>
          </w:tcPr>
          <w:p>
            <w:pPr>
              <w:spacing w:after="0"/>
              <w:rPr>
                <w:sz w:val="18"/>
                <w:szCs w:val="18"/>
                <w:color w:val="auto"/>
              </w:rPr>
            </w:pPr>
          </w:p>
        </w:tc>
      </w:tr>
      <w:tr>
        <w:trPr>
          <w:trHeight w:val="216"/>
        </w:trPr>
        <w:tc>
          <w:tcPr>
            <w:tcW w:w="316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color w:val="auto"/>
              </w:rPr>
              <w:t>Series B notes</w:t>
            </w:r>
          </w:p>
        </w:tc>
        <w:tc>
          <w:tcPr>
            <w:tcW w:w="28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880" w:type="dxa"/>
            <w:vAlign w:val="bottom"/>
            <w:tcBorders>
              <w:bottom w:val="single" w:sz="8" w:color="auto"/>
            </w:tcBorders>
            <w:shd w:val="clear" w:color="auto" w:fill="CCEEFF"/>
          </w:tcPr>
          <w:p>
            <w:pPr>
              <w:spacing w:after="0"/>
              <w:rPr>
                <w:sz w:val="18"/>
                <w:szCs w:val="18"/>
                <w:color w:val="auto"/>
              </w:rPr>
            </w:pPr>
          </w:p>
        </w:tc>
      </w:tr>
      <w:tr>
        <w:trPr>
          <w:trHeight w:val="209"/>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6,001,213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350,000</w:t>
            </w:r>
          </w:p>
        </w:tc>
        <w:tc>
          <w:tcPr>
            <w:tcW w:w="1880" w:type="dxa"/>
            <w:vAlign w:val="bottom"/>
          </w:tcPr>
          <w:p>
            <w:pPr>
              <w:spacing w:after="0"/>
              <w:rPr>
                <w:sz w:val="18"/>
                <w:szCs w:val="18"/>
                <w:color w:val="auto"/>
              </w:rPr>
            </w:pPr>
          </w:p>
        </w:tc>
      </w:tr>
      <w:tr>
        <w:trPr>
          <w:trHeight w:val="216"/>
        </w:trPr>
        <w:tc>
          <w:tcPr>
            <w:tcW w:w="3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8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(55,150)</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spacing w:after="0"/>
              <w:rPr>
                <w:sz w:val="18"/>
                <w:szCs w:val="18"/>
                <w:color w:val="auto"/>
              </w:rPr>
            </w:pPr>
          </w:p>
        </w:tc>
      </w:tr>
      <w:tr>
        <w:trPr>
          <w:trHeight w:val="210"/>
        </w:trPr>
        <w:tc>
          <w:tcPr>
            <w:tcW w:w="3160" w:type="dxa"/>
            <w:vAlign w:val="bottom"/>
            <w:gridSpan w:val="2"/>
          </w:tcPr>
          <w:p>
            <w:pPr>
              <w:ind w:left="20"/>
              <w:spacing w:after="0"/>
              <w:rPr>
                <w:sz w:val="20"/>
                <w:szCs w:val="20"/>
                <w:color w:val="auto"/>
              </w:rPr>
            </w:pPr>
            <w:r>
              <w:rPr>
                <w:rFonts w:ascii="Arial" w:cs="Arial" w:eastAsia="Arial" w:hAnsi="Arial"/>
                <w:sz w:val="16"/>
                <w:szCs w:val="16"/>
                <w:color w:val="auto"/>
              </w:rPr>
              <w:t>Total long-term debt</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5,946,063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350,000</w:t>
            </w:r>
          </w:p>
        </w:tc>
        <w:tc>
          <w:tcPr>
            <w:tcW w:w="1880" w:type="dxa"/>
            <w:vAlign w:val="bottom"/>
          </w:tcPr>
          <w:p>
            <w:pPr>
              <w:spacing w:after="0"/>
              <w:rPr>
                <w:sz w:val="18"/>
                <w:szCs w:val="18"/>
                <w:color w:val="auto"/>
              </w:rPr>
            </w:pPr>
          </w:p>
        </w:tc>
      </w:tr>
      <w:tr>
        <w:trPr>
          <w:trHeight w:val="219"/>
        </w:trPr>
        <w:tc>
          <w:tcPr>
            <w:tcW w:w="3160" w:type="dxa"/>
            <w:vAlign w:val="bottom"/>
            <w:tcBorders>
              <w:bottom w:val="single" w:sz="8" w:color="auto"/>
            </w:tcBorders>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Less debt issuance costs and debt discount</w:t>
            </w:r>
          </w:p>
        </w:tc>
        <w:tc>
          <w:tcPr>
            <w:tcW w:w="2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840"/>
              <w:spacing w:after="0" w:line="178" w:lineRule="exact"/>
              <w:rPr>
                <w:sz w:val="20"/>
                <w:szCs w:val="20"/>
                <w:color w:val="auto"/>
              </w:rPr>
            </w:pPr>
            <w:r>
              <w:rPr>
                <w:rFonts w:ascii="Arial" w:cs="Arial" w:eastAsia="Arial" w:hAnsi="Arial"/>
                <w:sz w:val="16"/>
                <w:szCs w:val="16"/>
                <w:color w:val="auto"/>
              </w:rPr>
              <w:t>(73,343)</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(1,523)</w:t>
            </w:r>
          </w:p>
        </w:tc>
        <w:tc>
          <w:tcPr>
            <w:tcW w:w="1880" w:type="dxa"/>
            <w:vAlign w:val="bottom"/>
            <w:tcBorders>
              <w:bottom w:val="single" w:sz="8" w:color="auto"/>
            </w:tcBorders>
            <w:shd w:val="clear" w:color="auto" w:fill="CCEEFF"/>
          </w:tcPr>
          <w:p>
            <w:pPr>
              <w:spacing w:after="0"/>
              <w:rPr>
                <w:sz w:val="19"/>
                <w:szCs w:val="19"/>
                <w:color w:val="auto"/>
              </w:rPr>
            </w:pPr>
          </w:p>
        </w:tc>
      </w:tr>
      <w:tr>
        <w:trPr>
          <w:trHeight w:val="206"/>
        </w:trPr>
        <w:tc>
          <w:tcPr>
            <w:tcW w:w="3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long-term debt, net</w:t>
            </w:r>
          </w:p>
        </w:tc>
        <w:tc>
          <w:tcPr>
            <w:tcW w:w="3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5,872,720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348,477</w:t>
            </w:r>
          </w:p>
        </w:tc>
        <w:tc>
          <w:tcPr>
            <w:tcW w:w="1880" w:type="dxa"/>
            <w:vAlign w:val="bottom"/>
            <w:tcBorders>
              <w:bottom w:val="single" w:sz="8" w:color="auto"/>
            </w:tcBorders>
          </w:tcPr>
          <w:p>
            <w:pPr>
              <w:spacing w:after="0"/>
              <w:rPr>
                <w:sz w:val="17"/>
                <w:szCs w:val="17"/>
                <w:color w:val="auto"/>
              </w:rPr>
            </w:pPr>
          </w:p>
        </w:tc>
      </w:tr>
      <w:tr>
        <w:trPr>
          <w:trHeight w:val="24"/>
        </w:trPr>
        <w:tc>
          <w:tcPr>
            <w:tcW w:w="1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a $27.6 million debt discount in connection with the Senior Secured Credit Facility and Senior Secured Notes.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2021, the contractual maturities of the Company's debt obligations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maturities of long-term debt:</w:t>
            </w: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2021 (remaining)</w:t>
            </w:r>
          </w:p>
        </w:tc>
        <w:tc>
          <w:tcPr>
            <w:tcW w:w="3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13,788</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3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5940" w:type="dxa"/>
            <w:vAlign w:val="bottom"/>
          </w:tcPr>
          <w:p>
            <w:pPr>
              <w:ind w:left="20"/>
              <w:spacing w:after="0"/>
              <w:rPr>
                <w:sz w:val="20"/>
                <w:szCs w:val="20"/>
                <w:color w:val="auto"/>
              </w:rPr>
            </w:pPr>
            <w:r>
              <w:rPr>
                <w:rFonts w:ascii="Arial" w:cs="Arial" w:eastAsia="Arial" w:hAnsi="Arial"/>
                <w:sz w:val="16"/>
                <w:szCs w:val="16"/>
                <w:color w:val="auto"/>
              </w:rPr>
              <w:t>2023</w:t>
            </w:r>
          </w:p>
        </w:tc>
        <w:tc>
          <w:tcPr>
            <w:tcW w:w="3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33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and thereafter</w:t>
            </w:r>
          </w:p>
        </w:tc>
        <w:tc>
          <w:tcPr>
            <w:tcW w:w="3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5,821,975</w:t>
            </w:r>
          </w:p>
        </w:tc>
      </w:tr>
      <w:tr>
        <w:trPr>
          <w:trHeight w:val="235"/>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6,001,213</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3" w:name="page24"/>
    <w:bookmarkEnd w:id="23"/>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will be, at the option of the applicable borrower (as defined in the credit agreement), either (i) the base rate (as described in the credit agreement) plus an applicable margin of 1.50% or (ii) LIBOR plus an applicable margin of 2.50%, in each case, with a step down of 0.25% if the first lien net leverage ratio is equal to or less than 4.00 to 1.00. The senior secured term loan facility is subject to a LIBOR floor of 0.50%.</w:t>
      </w:r>
    </w:p>
    <w:p>
      <w:pPr>
        <w:spacing w:after="0" w:line="21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of under the revolving loan facility are entitled to commitment fees as a percentage of the applicable margin at the time of drawing and utilization fees dependent on the proportion of the facility drawn. At September 30, 2021, no amounts have been drawn under the revolving loan facility.</w:t>
      </w:r>
    </w:p>
    <w:p>
      <w:pPr>
        <w:spacing w:after="0" w:line="2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Senior Secured Notes (see below), subject to other permitted liens.</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On September 27, 2021, the Company repaid $13.8 million of the senior secured term loan facility and made a quarterly interest payment of $40.4 million.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5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in a private offering (the “Offering”). The Senior Secured Notes will mature on July 15, 2026. The proceeds from the Offering and borrowings made under the Senior Secured Credit Facilities, together with cash on hand, were used to (i) fund the cash consideration payable by ICON for the Merger, (ii) repay existing indebtedness of ICON and PRA and (iii) pay fees and expenses related to the Merger, the Offering and the Senior Secured Credit Facilities. The Senior Secured Notes are guaranteed on a senior secured basis by ICON and its direct and indirect subsidiaries that guarantee the Senior Secured Credit Facilities.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Senior Notes</w:t>
      </w:r>
    </w:p>
    <w:p>
      <w:pPr>
        <w:spacing w:after="0" w:line="26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On December 8, 2020, the Company issued new senior notes, (the "2020 Senior Notes") for aggregate gross proceeds of $350.0 million in the private placement market. The 2020 Senior Notes were issued in two tranches; Series A Notes of $275.0 million at a fixed interest rate of 2.32% and Series B Notes of $75.0 million at a fixed interest rate of 2.43%. The effective interest rate was adjusted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loss related to this derivative was recorded within other comprehensive income and amortized over the life of the 2020 Senior Notes. The effective rate on the 2020 Senior Notes was fixed at 2.41%.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ind w:firstLine="648"/>
        <w:spacing w:after="0" w:line="250" w:lineRule="auto"/>
        <w:rPr>
          <w:sz w:val="20"/>
          <w:szCs w:val="20"/>
          <w:color w:val="auto"/>
        </w:rPr>
      </w:pPr>
      <w:r>
        <w:rPr>
          <w:rFonts w:ascii="Arial" w:cs="Arial" w:eastAsia="Arial" w:hAnsi="Arial"/>
          <w:sz w:val="16"/>
          <w:szCs w:val="16"/>
          <w:color w:val="auto"/>
        </w:rPr>
        <w:t>In connection with the Merger, the Company was required to repay the 2020 Senior Notes prior to entering into the Senior Secured Credit Facilities and the Senior Secured Notes. In June 2021, ICON committed to entering into the Senior Secured Credit Facilities and the Senior Secured Notes and therefore committed to replacing the 2020 Senior Notes. The 2020 Senior Notes have been repaid and long term financing consisting of the Senior Secured Credit Facilities and the Senior Secured Notes have been drawn. The 2020 Senior Notes were repaid on July 1, 2021 inclusive of early repayment charges. The total repayment on July 1, 2021 was $364.0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estimated fair value of the Company’s debt was $6,035.1 million at September 30, 2021. The fair values of the Senior Secured Credit Facilities and Senior Secured Notes were determined based on Level 2 inputs, which are primarily based on rates at which the debt is traded among financial institutions adjusted for the Company's credit standing.</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taxes recognized during the three and nine months ended September 30, 2021 and September 30, 2020, comprise: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Provision for income taxes (excluding restructuring)</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(2,401)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13,706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27,880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34,967</w:t>
            </w:r>
          </w:p>
        </w:tc>
      </w:tr>
      <w:tr>
        <w:trPr>
          <w:trHeight w:val="22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 impact of restructuring</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26,718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32,706</w:t>
            </w:r>
          </w:p>
        </w:tc>
      </w:tr>
      <w:tr>
        <w:trPr>
          <w:trHeight w:val="23"/>
        </w:trPr>
        <w:tc>
          <w:tcPr>
            <w:tcW w:w="5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247"/>
        <w:spacing w:after="0" w:line="253" w:lineRule="auto"/>
        <w:rPr>
          <w:sz w:val="20"/>
          <w:szCs w:val="20"/>
          <w:color w:val="auto"/>
        </w:rPr>
      </w:pPr>
      <w:r>
        <w:rPr>
          <w:rFonts w:ascii="Arial" w:cs="Arial" w:eastAsia="Arial" w:hAnsi="Arial"/>
          <w:sz w:val="16"/>
          <w:szCs w:val="16"/>
          <w:color w:val="auto"/>
        </w:rPr>
        <w:t>As at September 30, 2021 the Company maintains a $59.8 million liability (December 31, 2020: $19.6 million) for unrecognized tax benefit, which is comprised of $55.4 million (December 31, 2020: $19.1 million) related to items generating unrecognized tax benefits and $4.4 million (December 31, 2020: $0.5 million) for interest related to such items. The Company recognizes interest accrued on unrecognized tax benefits as an additional income tax expense.</w:t>
      </w:r>
    </w:p>
    <w:p>
      <w:pPr>
        <w:spacing w:after="0" w:line="228"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2020 tax years. During such audits, local tax authorities may challenge the positions taken by us in our tax returns.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14. Net income per ordinary share</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 Group is in a net loss position for the three months ended September 30, 2021, and therefore ordinary shares potentially issuable from share-based payment arrangements are anti-dilutive due to the loss in the period, meaning there is no difference between basic and diluted net income per ordinary share attributable to the Group.</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4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for the nine months ended September 30, 2020 includes the adjustment to reflect the accretion of the noncontrolling interest in MeDiNova to its redemption value ("NCI redemption amount).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18"/>
                <w:szCs w:val="18"/>
                <w:color w:val="auto"/>
              </w:rPr>
            </w:pPr>
          </w:p>
        </w:tc>
        <w:tc>
          <w:tcPr>
            <w:tcW w:w="2880" w:type="dxa"/>
            <w:vAlign w:val="bottom"/>
            <w:tcBorders>
              <w:bottom w:val="single" w:sz="8" w:color="auto"/>
            </w:tcBorders>
            <w:gridSpan w:val="2"/>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2720" w:type="dxa"/>
            <w:vAlign w:val="bottom"/>
            <w:tcBorders>
              <w:bottom w:val="single" w:sz="8" w:color="auto"/>
            </w:tcBorders>
            <w:gridSpan w:val="2"/>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640" w:type="dxa"/>
            <w:vAlign w:val="bottom"/>
          </w:tcPr>
          <w:p>
            <w:pPr>
              <w:spacing w:after="0"/>
              <w:rPr>
                <w:sz w:val="13"/>
                <w:szCs w:val="13"/>
                <w:color w:val="auto"/>
              </w:rPr>
            </w:pPr>
          </w:p>
        </w:tc>
        <w:tc>
          <w:tcPr>
            <w:tcW w:w="146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September 30,</w:t>
            </w:r>
          </w:p>
        </w:tc>
        <w:tc>
          <w:tcPr>
            <w:tcW w:w="142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September 30,</w:t>
            </w:r>
          </w:p>
        </w:tc>
        <w:tc>
          <w:tcPr>
            <w:tcW w:w="1440" w:type="dxa"/>
            <w:vAlign w:val="bottom"/>
          </w:tcPr>
          <w:p>
            <w:pPr>
              <w:jc w:val="right"/>
              <w:ind w:right="79"/>
              <w:spacing w:after="0" w:line="155" w:lineRule="exact"/>
              <w:rPr>
                <w:sz w:val="20"/>
                <w:szCs w:val="20"/>
                <w:color w:val="auto"/>
              </w:rPr>
            </w:pPr>
            <w:r>
              <w:rPr>
                <w:rFonts w:ascii="Arial" w:cs="Arial" w:eastAsia="Arial" w:hAnsi="Arial"/>
                <w:sz w:val="16"/>
                <w:szCs w:val="16"/>
                <w:b w:val="1"/>
                <w:bCs w:val="1"/>
                <w:color w:val="auto"/>
              </w:rPr>
              <w:t>September 30,</w:t>
            </w:r>
          </w:p>
        </w:tc>
        <w:tc>
          <w:tcPr>
            <w:tcW w:w="12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172"/>
        </w:trPr>
        <w:tc>
          <w:tcPr>
            <w:tcW w:w="564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14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01"/>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80,771,397</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52,737,299</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62,264,851</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52,885,252</w:t>
            </w:r>
          </w:p>
        </w:tc>
      </w:tr>
      <w:tr>
        <w:trPr>
          <w:trHeight w:val="177"/>
        </w:trPr>
        <w:tc>
          <w:tcPr>
            <w:tcW w:w="5640" w:type="dxa"/>
            <w:vAlign w:val="bottom"/>
          </w:tcPr>
          <w:p>
            <w:pPr>
              <w:ind w:left="20"/>
              <w:spacing w:after="0" w:line="178" w:lineRule="exact"/>
              <w:rPr>
                <w:sz w:val="20"/>
                <w:szCs w:val="20"/>
                <w:color w:val="auto"/>
              </w:rPr>
            </w:pPr>
            <w:r>
              <w:rPr>
                <w:rFonts w:ascii="Arial" w:cs="Arial" w:eastAsia="Arial" w:hAnsi="Arial"/>
                <w:sz w:val="16"/>
                <w:szCs w:val="16"/>
                <w:color w:val="auto"/>
              </w:rPr>
              <w:t>Effect of dilutive share options and other awards outstanding under share</w:t>
            </w:r>
          </w:p>
        </w:tc>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based compensation programs</w:t>
            </w: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457,028</w:t>
            </w: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831,006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398,428</w:t>
            </w:r>
          </w:p>
        </w:tc>
      </w:tr>
      <w:tr>
        <w:trPr>
          <w:trHeight w:val="177"/>
        </w:trPr>
        <w:tc>
          <w:tcPr>
            <w:tcW w:w="56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14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80,771,397</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53,194,327</w:t>
            </w:r>
          </w:p>
        </w:tc>
        <w:tc>
          <w:tcPr>
            <w:tcW w:w="1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63,095,857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53,283,680</w:t>
            </w: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220" w:firstLine="648"/>
        <w:spacing w:after="0" w:line="260" w:lineRule="auto"/>
        <w:rPr>
          <w:sz w:val="20"/>
          <w:szCs w:val="20"/>
          <w:color w:val="auto"/>
        </w:rPr>
      </w:pPr>
      <w:r>
        <w:rPr>
          <w:rFonts w:ascii="Arial" w:cs="Arial" w:eastAsia="Arial" w:hAnsi="Arial"/>
          <w:sz w:val="16"/>
          <w:szCs w:val="16"/>
          <w:color w:val="auto"/>
        </w:rPr>
        <w:t>The reconciliation of net income attributable to the Group and net income attributable to the Group (including NCI redemption amount) as used to calculate net income per ordinary share attributable to the Group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gridSpan w:val="3"/>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3"/>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5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Net (loss)/income attributable to the Group</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(94,270)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91,641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76,717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231,097</w:t>
            </w:r>
          </w:p>
        </w:tc>
      </w:tr>
      <w:tr>
        <w:trPr>
          <w:trHeight w:val="226"/>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(4,522)</w:t>
            </w:r>
          </w:p>
        </w:tc>
      </w:tr>
      <w:tr>
        <w:trPr>
          <w:trHeight w:val="21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 (including NCI redemption adjustment)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91,641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76,717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226,575</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0"/>
        </w:trPr>
        <w:tc>
          <w:tcPr>
            <w:tcW w:w="5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5"/>
        </w:trPr>
        <w:tc>
          <w:tcPr>
            <w:tcW w:w="5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6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r>
      <w:tr>
        <w:trPr>
          <w:trHeight w:val="156"/>
        </w:trPr>
        <w:tc>
          <w:tcPr>
            <w:tcW w:w="56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Net income/(loss) per Ordinary Share attributable to the Group</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(including NCI redemption adjustment):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3"/>
        </w:trPr>
        <w:tc>
          <w:tcPr>
            <w:tcW w:w="5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diluted net loss per ordinary share attributable to the Group for the three month period ended September 30, 2021 above excludes the effect of dilutive share options and other awards outstanding under share based compensation programs in the amount of 1,521,890 shares.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15. Share-based awards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option activity for the nine months ended September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rPr>
                <w:sz w:val="14"/>
                <w:szCs w:val="14"/>
                <w:color w:val="auto"/>
              </w:rPr>
            </w:pPr>
          </w:p>
        </w:tc>
        <w:tc>
          <w:tcPr>
            <w:tcW w:w="2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660" w:type="dxa"/>
            <w:vAlign w:val="bottom"/>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rPr>
                <w:sz w:val="14"/>
                <w:szCs w:val="14"/>
                <w:color w:val="auto"/>
              </w:rPr>
            </w:pPr>
          </w:p>
        </w:tc>
        <w:tc>
          <w:tcPr>
            <w:tcW w:w="288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Average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rPr>
                <w:sz w:val="14"/>
                <w:szCs w:val="14"/>
                <w:color w:val="auto"/>
              </w:rPr>
            </w:pPr>
          </w:p>
        </w:tc>
        <w:tc>
          <w:tcPr>
            <w:tcW w:w="28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Exercise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5"/>
        </w:trPr>
        <w:tc>
          <w:tcPr>
            <w:tcW w:w="45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6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Price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2020</w:t>
            </w:r>
          </w:p>
        </w:tc>
        <w:tc>
          <w:tcPr>
            <w:tcW w:w="2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553,746</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108.53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Assumed through business combinations </w:t>
            </w:r>
            <w:r>
              <w:rPr>
                <w:rFonts w:ascii="Arial" w:cs="Arial" w:eastAsia="Arial" w:hAnsi="Arial"/>
                <w:sz w:val="21"/>
                <w:szCs w:val="21"/>
                <w:color w:val="auto"/>
                <w:vertAlign w:val="superscript"/>
              </w:rPr>
              <w:t>(a)</w:t>
            </w:r>
          </w:p>
        </w:tc>
        <w:tc>
          <w:tcPr>
            <w:tcW w:w="2880" w:type="dxa"/>
            <w:vAlign w:val="bottom"/>
          </w:tcPr>
          <w:p>
            <w:pPr>
              <w:jc w:val="right"/>
              <w:ind w:right="39"/>
              <w:spacing w:after="0"/>
              <w:rPr>
                <w:sz w:val="20"/>
                <w:szCs w:val="20"/>
                <w:color w:val="auto"/>
              </w:rPr>
            </w:pPr>
            <w:r>
              <w:rPr>
                <w:rFonts w:ascii="Arial" w:cs="Arial" w:eastAsia="Arial" w:hAnsi="Arial"/>
                <w:sz w:val="16"/>
                <w:szCs w:val="16"/>
                <w:color w:val="auto"/>
              </w:rPr>
              <w:t>2,177,130</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79"/>
              <w:spacing w:after="0"/>
              <w:rPr>
                <w:sz w:val="20"/>
                <w:szCs w:val="20"/>
                <w:color w:val="auto"/>
              </w:rPr>
            </w:pPr>
            <w:r>
              <w:rPr>
                <w:rFonts w:ascii="Arial" w:cs="Arial" w:eastAsia="Arial" w:hAnsi="Arial"/>
                <w:sz w:val="16"/>
                <w:szCs w:val="16"/>
                <w:color w:val="auto"/>
              </w:rPr>
              <w:t>108.78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100,299</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177.76</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Exercised</w:t>
            </w:r>
          </w:p>
        </w:tc>
        <w:tc>
          <w:tcPr>
            <w:tcW w:w="2880" w:type="dxa"/>
            <w:vAlign w:val="bottom"/>
          </w:tcPr>
          <w:p>
            <w:pPr>
              <w:jc w:val="right"/>
              <w:spacing w:after="0"/>
              <w:rPr>
                <w:sz w:val="20"/>
                <w:szCs w:val="20"/>
                <w:color w:val="auto"/>
              </w:rPr>
            </w:pPr>
            <w:r>
              <w:rPr>
                <w:rFonts w:ascii="Arial" w:cs="Arial" w:eastAsia="Arial" w:hAnsi="Arial"/>
                <w:sz w:val="16"/>
                <w:szCs w:val="16"/>
                <w:color w:val="auto"/>
              </w:rPr>
              <w:t>(913,743)</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79"/>
              <w:spacing w:after="0"/>
              <w:rPr>
                <w:sz w:val="20"/>
                <w:szCs w:val="20"/>
                <w:color w:val="auto"/>
              </w:rPr>
            </w:pPr>
            <w:r>
              <w:rPr>
                <w:rFonts w:ascii="Arial" w:cs="Arial" w:eastAsia="Arial" w:hAnsi="Arial"/>
                <w:sz w:val="16"/>
                <w:szCs w:val="16"/>
                <w:color w:val="auto"/>
              </w:rPr>
              <w:t>113.87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Canceled/expired</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(32,784)</w:t>
            </w:r>
          </w:p>
        </w:tc>
        <w:tc>
          <w:tcPr>
            <w:tcW w:w="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132.25</w:t>
            </w:r>
          </w:p>
        </w:tc>
        <w:tc>
          <w:tcPr>
            <w:tcW w:w="14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2021</w:t>
            </w:r>
          </w:p>
        </w:tc>
        <w:tc>
          <w:tcPr>
            <w:tcW w:w="2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1,884,648</w:t>
            </w:r>
          </w:p>
        </w:tc>
        <w:tc>
          <w:tcPr>
            <w:tcW w:w="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109.50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Exercisable at September 30, 2021</w:t>
            </w:r>
          </w:p>
        </w:tc>
        <w:tc>
          <w:tcPr>
            <w:tcW w:w="2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1,095,429</w:t>
            </w:r>
          </w:p>
        </w:tc>
        <w:tc>
          <w:tcPr>
            <w:tcW w:w="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90.80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stock options issued as replacement awards in connection with the Merger.</w:t>
      </w:r>
    </w:p>
    <w:p>
      <w:pPr>
        <w:spacing w:after="0" w:line="237" w:lineRule="exact"/>
        <w:rPr>
          <w:sz w:val="20"/>
          <w:szCs w:val="20"/>
          <w:color w:val="auto"/>
        </w:rPr>
      </w:pPr>
    </w:p>
    <w:p>
      <w:pPr>
        <w:jc w:val="both"/>
        <w:ind w:firstLine="346"/>
        <w:spacing w:after="0" w:line="253"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September 30, 2021 was 1,095,429. Fully vested share options at September 30, 2021 have an average remaining contractual term of 4.72 years, an average exercise price of $90.80.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weighted average fair value of options granted during the nine months ended September 30, 2021 and September 30, 2020 was calculated using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Black-Scholes option pricing model. The weighted average grant date fair values and assumptions used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Nine Months Ended</w:t>
            </w:r>
          </w:p>
        </w:tc>
        <w:tc>
          <w:tcPr>
            <w:tcW w:w="740" w:type="dxa"/>
            <w:vAlign w:val="bottom"/>
            <w:tcBorders>
              <w:bottom w:val="single" w:sz="8" w:color="auto"/>
            </w:tcBorders>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2020</w:t>
            </w: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7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49.15</w:t>
            </w:r>
          </w:p>
        </w:tc>
        <w:tc>
          <w:tcPr>
            <w:tcW w:w="8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42.43</w:t>
            </w:r>
          </w:p>
        </w:tc>
      </w:tr>
      <w:tr>
        <w:trPr>
          <w:trHeight w:val="175"/>
        </w:trPr>
        <w:tc>
          <w:tcPr>
            <w:tcW w:w="20" w:type="dxa"/>
            <w:vAlign w:val="bottom"/>
          </w:tcPr>
          <w:p>
            <w:pPr>
              <w:spacing w:after="0"/>
              <w:rPr>
                <w:sz w:val="15"/>
                <w:szCs w:val="15"/>
                <w:color w:val="auto"/>
              </w:rPr>
            </w:pPr>
          </w:p>
        </w:tc>
        <w:tc>
          <w:tcPr>
            <w:tcW w:w="796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0.78 %</w:t>
            </w:r>
          </w:p>
        </w:tc>
        <w:tc>
          <w:tcPr>
            <w:tcW w:w="8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0.57 %</w:t>
            </w:r>
          </w:p>
        </w:tc>
      </w:tr>
      <w:tr>
        <w:trPr>
          <w:trHeight w:val="213"/>
        </w:trPr>
        <w:tc>
          <w:tcPr>
            <w:tcW w:w="2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3"/>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weighted average fair value of options assumed on the date of the Merger was calculated using the Black-Scholes option pricing model. The weighted average fair values on the date of the Merger and assumptions used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July 1, 2021</w:t>
            </w:r>
          </w:p>
        </w:tc>
      </w:tr>
      <w:tr>
        <w:trPr>
          <w:trHeight w:val="207"/>
        </w:trPr>
        <w:tc>
          <w:tcPr>
            <w:tcW w:w="20" w:type="dxa"/>
            <w:vAlign w:val="bottom"/>
            <w:tcBorders>
              <w:bottom w:val="single" w:sz="8" w:color="auto"/>
            </w:tcBorders>
          </w:tcPr>
          <w:p>
            <w:pPr>
              <w:spacing w:after="0"/>
              <w:rPr>
                <w:sz w:val="17"/>
                <w:szCs w:val="17"/>
                <w:color w:val="auto"/>
              </w:rPr>
            </w:pPr>
          </w:p>
        </w:tc>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Weighted average grant date fair value</w:t>
            </w:r>
          </w:p>
        </w:tc>
        <w:tc>
          <w:tcPr>
            <w:tcW w:w="3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107.21</w:t>
            </w: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w w:val="99"/>
              </w:rPr>
              <w:t>Assumptions:</w:t>
            </w:r>
          </w:p>
        </w:tc>
        <w:tc>
          <w:tcPr>
            <w:tcW w:w="5240" w:type="dxa"/>
            <w:vAlign w:val="bottom"/>
            <w:tcBorders>
              <w:bottom w:val="single" w:sz="8" w:color="CCEEFF"/>
            </w:tcBorders>
            <w:shd w:val="clear" w:color="auto" w:fill="CCEEFF"/>
          </w:tcPr>
          <w:p>
            <w:pPr>
              <w:spacing w:after="0"/>
              <w:rPr>
                <w:sz w:val="16"/>
                <w:szCs w:val="16"/>
                <w:color w:val="auto"/>
              </w:rPr>
            </w:pPr>
          </w:p>
        </w:tc>
        <w:tc>
          <w:tcPr>
            <w:tcW w:w="38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20" w:type="dxa"/>
            <w:vAlign w:val="bottom"/>
            <w:shd w:val="clear" w:color="auto" w:fill="CCEEFF"/>
          </w:tcPr>
          <w:p>
            <w:pPr>
              <w:spacing w:after="0"/>
              <w:rPr>
                <w:sz w:val="19"/>
                <w:szCs w:val="19"/>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3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0.56 %</w:t>
            </w:r>
          </w:p>
        </w:tc>
      </w:tr>
      <w:tr>
        <w:trPr>
          <w:trHeight w:val="241"/>
        </w:trPr>
        <w:tc>
          <w:tcPr>
            <w:tcW w:w="20" w:type="dxa"/>
            <w:vAlign w:val="bottom"/>
            <w:tcBorders>
              <w:bottom w:val="single" w:sz="8" w:color="auto"/>
            </w:tcBorders>
            <w:shd w:val="clear" w:color="auto" w:fill="CCEEFF"/>
          </w:tcPr>
          <w:p>
            <w:pPr>
              <w:spacing w:after="0"/>
              <w:rPr>
                <w:sz w:val="20"/>
                <w:szCs w:val="20"/>
                <w:color w:val="auto"/>
              </w:rPr>
            </w:pPr>
          </w:p>
        </w:tc>
        <w:tc>
          <w:tcPr>
            <w:tcW w:w="6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Expected life</w:t>
            </w:r>
          </w:p>
        </w:tc>
        <w:tc>
          <w:tcPr>
            <w:tcW w:w="38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years</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4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7" w:name="page28"/>
    <w:bookmarkEnd w:id="27"/>
    <w:p>
      <w:pPr>
        <w:jc w:val="both"/>
        <w:ind w:firstLine="251"/>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2020 and 2021 vest over twelve months.</w:t>
      </w:r>
    </w:p>
    <w:p>
      <w:pPr>
        <w:spacing w:after="0" w:line="230" w:lineRule="exact"/>
        <w:rPr>
          <w:sz w:val="20"/>
          <w:szCs w:val="20"/>
          <w:color w:val="auto"/>
        </w:rPr>
      </w:pPr>
    </w:p>
    <w:p>
      <w:pPr>
        <w:ind w:right="240" w:firstLine="177"/>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nine months ended September 30,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4400" w:type="dxa"/>
            <w:vAlign w:val="bottom"/>
            <w:shd w:val="clear" w:color="auto" w:fill="CCEEFF"/>
          </w:tcPr>
          <w:p>
            <w:pPr>
              <w:spacing w:after="0"/>
              <w:rPr>
                <w:sz w:val="24"/>
                <w:szCs w:val="24"/>
                <w:color w:val="auto"/>
              </w:rPr>
            </w:pPr>
          </w:p>
        </w:tc>
        <w:tc>
          <w:tcPr>
            <w:tcW w:w="2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PSU</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spacing w:after="0"/>
              <w:rPr>
                <w:sz w:val="14"/>
                <w:szCs w:val="14"/>
                <w:color w:val="auto"/>
              </w:rPr>
            </w:pPr>
          </w:p>
        </w:tc>
        <w:tc>
          <w:tcPr>
            <w:tcW w:w="22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319"/>
              <w:spacing w:after="0" w:line="162" w:lineRule="exact"/>
              <w:rPr>
                <w:sz w:val="20"/>
                <w:szCs w:val="20"/>
                <w:color w:val="auto"/>
              </w:rPr>
            </w:pPr>
            <w:r>
              <w:rPr>
                <w:rFonts w:ascii="Arial" w:cs="Arial" w:eastAsia="Arial" w:hAnsi="Arial"/>
                <w:sz w:val="16"/>
                <w:szCs w:val="16"/>
                <w:b w:val="1"/>
                <w:bCs w:val="1"/>
                <w:color w:val="auto"/>
              </w:rPr>
              <w:t>Weighted</w:t>
            </w:r>
          </w:p>
        </w:tc>
        <w:tc>
          <w:tcPr>
            <w:tcW w:w="14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spacing w:after="0"/>
              <w:rPr>
                <w:sz w:val="14"/>
                <w:szCs w:val="14"/>
                <w:color w:val="auto"/>
              </w:rPr>
            </w:pPr>
          </w:p>
        </w:tc>
        <w:tc>
          <w:tcPr>
            <w:tcW w:w="2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319"/>
              <w:spacing w:after="0" w:line="162" w:lineRule="exact"/>
              <w:rPr>
                <w:sz w:val="20"/>
                <w:szCs w:val="20"/>
                <w:color w:val="auto"/>
              </w:rPr>
            </w:pPr>
            <w:r>
              <w:rPr>
                <w:rFonts w:ascii="Arial" w:cs="Arial" w:eastAsia="Arial" w:hAnsi="Arial"/>
                <w:sz w:val="16"/>
                <w:szCs w:val="16"/>
                <w:b w:val="1"/>
                <w:bCs w:val="1"/>
                <w:color w:val="auto"/>
              </w:rPr>
              <w:t>Average Grant</w:t>
            </w:r>
          </w:p>
        </w:tc>
        <w:tc>
          <w:tcPr>
            <w:tcW w:w="14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spacing w:after="0"/>
              <w:rPr>
                <w:sz w:val="14"/>
                <w:szCs w:val="14"/>
                <w:color w:val="auto"/>
              </w:rPr>
            </w:pPr>
          </w:p>
        </w:tc>
        <w:tc>
          <w:tcPr>
            <w:tcW w:w="22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319"/>
              <w:spacing w:after="0" w:line="162" w:lineRule="exact"/>
              <w:rPr>
                <w:sz w:val="20"/>
                <w:szCs w:val="20"/>
                <w:color w:val="auto"/>
              </w:rPr>
            </w:pPr>
            <w:r>
              <w:rPr>
                <w:rFonts w:ascii="Arial" w:cs="Arial" w:eastAsia="Arial" w:hAnsi="Arial"/>
                <w:sz w:val="16"/>
                <w:szCs w:val="16"/>
                <w:b w:val="1"/>
                <w:bCs w:val="1"/>
                <w:color w:val="auto"/>
              </w:rPr>
              <w:t>Date</w:t>
            </w:r>
          </w:p>
        </w:tc>
        <w:tc>
          <w:tcPr>
            <w:tcW w:w="14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15"/>
        </w:trPr>
        <w:tc>
          <w:tcPr>
            <w:tcW w:w="440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2020</w:t>
            </w:r>
          </w:p>
        </w:tc>
        <w:tc>
          <w:tcPr>
            <w:tcW w:w="2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159,641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137.64</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341,424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145.77</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Assumed through business combinations </w:t>
            </w:r>
            <w:r>
              <w:rPr>
                <w:rFonts w:ascii="Arial" w:cs="Arial" w:eastAsia="Arial" w:hAnsi="Arial"/>
                <w:sz w:val="21"/>
                <w:szCs w:val="21"/>
                <w:color w:val="auto"/>
                <w:vertAlign w:val="superscript"/>
              </w:rPr>
              <w:t>(a)</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589,517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206.71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55,444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177.77</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159,796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210.64</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Shares vested</w:t>
            </w:r>
          </w:p>
        </w:tc>
        <w:tc>
          <w:tcPr>
            <w:tcW w:w="2280" w:type="dxa"/>
            <w:vAlign w:val="bottom"/>
          </w:tcPr>
          <w:p>
            <w:pPr>
              <w:jc w:val="right"/>
              <w:spacing w:after="0"/>
              <w:rPr>
                <w:sz w:val="20"/>
                <w:szCs w:val="20"/>
                <w:color w:val="auto"/>
              </w:rPr>
            </w:pPr>
            <w:r>
              <w:rPr>
                <w:rFonts w:ascii="Arial" w:cs="Arial" w:eastAsia="Arial" w:hAnsi="Arial"/>
                <w:sz w:val="16"/>
                <w:szCs w:val="16"/>
                <w:color w:val="auto"/>
              </w:rPr>
              <w:t>(44,132)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115.61</w:t>
            </w:r>
          </w:p>
        </w:tc>
        <w:tc>
          <w:tcPr>
            <w:tcW w:w="1420" w:type="dxa"/>
            <w:vAlign w:val="bottom"/>
          </w:tcPr>
          <w:p>
            <w:pPr>
              <w:jc w:val="right"/>
              <w:spacing w:after="0"/>
              <w:rPr>
                <w:sz w:val="20"/>
                <w:szCs w:val="20"/>
                <w:color w:val="auto"/>
              </w:rPr>
            </w:pPr>
            <w:r>
              <w:rPr>
                <w:rFonts w:ascii="Arial" w:cs="Arial" w:eastAsia="Arial" w:hAnsi="Arial"/>
                <w:sz w:val="16"/>
                <w:szCs w:val="16"/>
                <w:color w:val="auto"/>
              </w:rPr>
              <w:t>(441,328)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186.03</w:t>
            </w:r>
          </w:p>
        </w:tc>
        <w:tc>
          <w:tcPr>
            <w:tcW w:w="0" w:type="dxa"/>
            <w:vAlign w:val="bottom"/>
          </w:tcPr>
          <w:p>
            <w:pPr>
              <w:spacing w:after="0"/>
              <w:rPr>
                <w:sz w:val="1"/>
                <w:szCs w:val="1"/>
                <w:color w:val="auto"/>
              </w:rPr>
            </w:pPr>
          </w:p>
        </w:tc>
      </w:tr>
      <w:tr>
        <w:trPr>
          <w:trHeight w:val="226"/>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115.61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180.74</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2021</w:t>
            </w:r>
          </w:p>
        </w:tc>
        <w:tc>
          <w:tcPr>
            <w:tcW w:w="2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166,176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159.11</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600,968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RSUs issued as replacement awards in connection with the Merger.</w:t>
      </w:r>
    </w:p>
    <w:p>
      <w:pPr>
        <w:spacing w:after="0" w:line="237" w:lineRule="exact"/>
        <w:rPr>
          <w:rFonts w:ascii="Arial" w:cs="Arial" w:eastAsia="Arial" w:hAnsi="Arial"/>
          <w:sz w:val="21"/>
          <w:szCs w:val="21"/>
          <w:color w:val="auto"/>
          <w:vertAlign w:val="superscript"/>
        </w:rPr>
      </w:pPr>
    </w:p>
    <w:p>
      <w:pPr>
        <w:ind w:left="180"/>
        <w:spacing w:after="0"/>
        <w:rPr>
          <w:rFonts w:ascii="Arial" w:cs="Arial" w:eastAsia="Arial" w:hAnsi="Arial"/>
          <w:sz w:val="21"/>
          <w:szCs w:val="21"/>
          <w:color w:val="auto"/>
          <w:vertAlign w:val="superscript"/>
        </w:rPr>
      </w:pPr>
      <w:r>
        <w:rPr>
          <w:rFonts w:ascii="Arial" w:cs="Arial" w:eastAsia="Arial" w:hAnsi="Arial"/>
          <w:sz w:val="16"/>
          <w:szCs w:val="16"/>
          <w:color w:val="auto"/>
        </w:rPr>
        <w:t>The fair value of PSUs vested for the nine months ended September 30, 2021 totaled $5.1 million (full year 2020: $5.3 million).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RSUs vested for the nine months ended September 30, 2021 totaled $82.1 million (full year 2020: $14.3 million).</w:t>
      </w:r>
    </w:p>
    <w:p>
      <w:pPr>
        <w:spacing w:after="0" w:line="248" w:lineRule="exact"/>
        <w:rPr>
          <w:sz w:val="20"/>
          <w:szCs w:val="20"/>
          <w:color w:val="auto"/>
        </w:rPr>
      </w:pPr>
    </w:p>
    <w:p>
      <w:pPr>
        <w:ind w:firstLine="214"/>
        <w:spacing w:after="0" w:line="260" w:lineRule="auto"/>
        <w:rPr>
          <w:sz w:val="20"/>
          <w:szCs w:val="20"/>
          <w:color w:val="auto"/>
        </w:rPr>
      </w:pPr>
      <w:r>
        <w:rPr>
          <w:rFonts w:ascii="Arial" w:cs="Arial" w:eastAsia="Arial" w:hAnsi="Arial"/>
          <w:sz w:val="16"/>
          <w:szCs w:val="16"/>
          <w:color w:val="auto"/>
        </w:rPr>
        <w:t>The PSUs vest based on service and specified EPS targets over the periods 2019 – 2021, 2020 – 2022 and 2021 - 2023. Depending on the amount of EPS from 2019 to 2023, up to an additional 83,088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Non-cash stock compensation expense for the three and nine months ended September 30, 2021 and September 30, 2020 has been allocated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4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4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4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1340" w:type="dxa"/>
            <w:vAlign w:val="bottom"/>
            <w:gridSpan w:val="2"/>
          </w:tcPr>
          <w:p>
            <w:pPr>
              <w:jc w:val="center"/>
              <w:ind w:left="10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8,787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13,822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6,472</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17,568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4,687</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27,133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13,685</w:t>
            </w:r>
          </w:p>
        </w:tc>
      </w:tr>
      <w:tr>
        <w:trPr>
          <w:trHeight w:val="21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73,836</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73,836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4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4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left="10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100,191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114,791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20,157</w:t>
            </w:r>
          </w:p>
        </w:tc>
      </w:tr>
      <w:tr>
        <w:trPr>
          <w:trHeight w:val="24"/>
        </w:trPr>
        <w:tc>
          <w:tcPr>
            <w:tcW w:w="4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865"/>
        </w:trPr>
        <w:tc>
          <w:tcPr>
            <w:tcW w:w="4400" w:type="dxa"/>
            <w:vAlign w:val="bottom"/>
          </w:tcPr>
          <w:p>
            <w:pPr>
              <w:spacing w:after="0"/>
              <w:rPr>
                <w:sz w:val="24"/>
                <w:szCs w:val="24"/>
                <w:color w:val="auto"/>
              </w:rPr>
            </w:pPr>
          </w:p>
        </w:tc>
        <w:tc>
          <w:tcPr>
            <w:tcW w:w="1340" w:type="dxa"/>
            <w:vAlign w:val="bottom"/>
            <w:gridSpan w:val="2"/>
          </w:tcPr>
          <w:p>
            <w:pPr>
              <w:jc w:val="center"/>
              <w:ind w:left="1039"/>
              <w:spacing w:after="0"/>
              <w:rPr>
                <w:sz w:val="20"/>
                <w:szCs w:val="20"/>
                <w:color w:val="auto"/>
              </w:rPr>
            </w:pPr>
            <w:r>
              <w:rPr>
                <w:rFonts w:ascii="Arial" w:cs="Arial" w:eastAsia="Arial" w:hAnsi="Arial"/>
                <w:sz w:val="16"/>
                <w:szCs w:val="16"/>
                <w:color w:val="auto"/>
              </w:rPr>
              <w:t>27</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8"/>
        </w:trPr>
        <w:tc>
          <w:tcPr>
            <w:tcW w:w="44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16. Share capital</w:t>
      </w:r>
    </w:p>
    <w:p>
      <w:pPr>
        <w:spacing w:after="0" w:line="268" w:lineRule="exact"/>
        <w:rPr>
          <w:sz w:val="20"/>
          <w:szCs w:val="20"/>
          <w:color w:val="auto"/>
        </w:rPr>
      </w:pPr>
    </w:p>
    <w:p>
      <w:pPr>
        <w:jc w:val="both"/>
        <w:ind w:right="20" w:firstLine="194"/>
        <w:spacing w:after="0" w:line="260"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On July 1, 2021, the Company completed its Merger with PRA. In accordance with the terms of the Merger Agreement, the Company issued 27,372,427 shares of the Company’s ordinary share capital at par value in exchange for all outstanding PRA shares of common stock.</w:t>
      </w:r>
    </w:p>
    <w:p>
      <w:pPr>
        <w:spacing w:after="0" w:line="222" w:lineRule="exact"/>
        <w:rPr>
          <w:sz w:val="20"/>
          <w:szCs w:val="20"/>
          <w:color w:val="auto"/>
        </w:rPr>
      </w:pPr>
    </w:p>
    <w:p>
      <w:pPr>
        <w:jc w:val="both"/>
        <w:ind w:right="20" w:firstLine="184"/>
        <w:spacing w:after="0" w:line="251" w:lineRule="auto"/>
        <w:rPr>
          <w:sz w:val="20"/>
          <w:szCs w:val="20"/>
          <w:color w:val="auto"/>
        </w:rPr>
      </w:pPr>
      <w:r>
        <w:rPr>
          <w:rFonts w:ascii="Arial" w:cs="Arial" w:eastAsia="Arial" w:hAnsi="Arial"/>
          <w:sz w:val="16"/>
          <w:szCs w:val="16"/>
          <w:color w:val="auto"/>
        </w:rPr>
        <w:t>On January 8, 2019, the Company commenced a share buyback program of up to 1.0 million ordinary shares which was completed during the year ended December 31, 2019 for total consideration of $141.6 million. On October 22, 2019, the Company commenced a further share buyback program. At December 31, 2019, 35,100 ordinary shares were redeemed for a total consideration of $5.3 million. During the year ended December 31, 2020, 1,235,218 ordinary shares were redeemed by the Company under this buyback program for a total consideration of $175.0 million.</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nine months ended September 30, 2021, no ordinary shares were redeemed by the Company under this buyback program. 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Business segment information</w:t>
      </w:r>
    </w:p>
    <w:p>
      <w:pPr>
        <w:spacing w:after="0" w:line="268"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28" w:lineRule="exact"/>
        <w:rPr>
          <w:sz w:val="20"/>
          <w:szCs w:val="20"/>
          <w:color w:val="auto"/>
        </w:rPr>
      </w:pPr>
    </w:p>
    <w:p>
      <w:pPr>
        <w:jc w:val="both"/>
        <w:ind w:firstLine="251"/>
        <w:spacing w:after="0" w:line="253"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28" w:lineRule="exact"/>
        <w:rPr>
          <w:sz w:val="20"/>
          <w:szCs w:val="20"/>
          <w:color w:val="auto"/>
        </w:rPr>
      </w:pPr>
    </w:p>
    <w:p>
      <w:pPr>
        <w:jc w:val="both"/>
        <w:ind w:firstLine="337"/>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through both internal growth and a number of strategic acquisitions to enhance its expertise and capabilities in certain areas of the clinical development process.</w:t>
      </w:r>
    </w:p>
    <w:p>
      <w:pPr>
        <w:spacing w:after="0" w:line="232" w:lineRule="exact"/>
        <w:rPr>
          <w:sz w:val="20"/>
          <w:szCs w:val="20"/>
          <w:color w:val="auto"/>
        </w:rPr>
      </w:pPr>
    </w:p>
    <w:p>
      <w:pPr>
        <w:jc w:val="both"/>
        <w:ind w:firstLine="339"/>
        <w:spacing w:after="0" w:line="250" w:lineRule="auto"/>
        <w:rPr>
          <w:sz w:val="20"/>
          <w:szCs w:val="20"/>
          <w:color w:val="auto"/>
        </w:rPr>
      </w:pPr>
      <w:r>
        <w:rPr>
          <w:rFonts w:ascii="Arial" w:cs="Arial" w:eastAsia="Arial" w:hAnsi="Arial"/>
          <w:sz w:val="16"/>
          <w:szCs w:val="16"/>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6" w:lineRule="exact"/>
        <w:rPr>
          <w:sz w:val="20"/>
          <w:szCs w:val="20"/>
          <w:color w:val="auto"/>
        </w:rPr>
      </w:pPr>
    </w:p>
    <w:p>
      <w:pPr>
        <w:jc w:val="both"/>
        <w:ind w:right="60" w:firstLine="180"/>
        <w:spacing w:after="0" w:line="237"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38" w:lineRule="exact"/>
        <w:rPr>
          <w:sz w:val="20"/>
          <w:szCs w:val="20"/>
          <w:color w:val="auto"/>
        </w:rPr>
      </w:pPr>
    </w:p>
    <w:p>
      <w:pPr>
        <w:jc w:val="both"/>
        <w:ind w:firstLine="234"/>
        <w:spacing w:after="0" w:line="250"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appropriate.The integration of entities acquired through the Merger into this global network and global transfer pricing model remains ongoing.</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ind w:firstLine="224"/>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Austria, Belarus, Belgium, Bulgaria, Croatia, Czechia, Denmark, Finland, France, Georgia, Germany, Greece, Guatemala, Hungary, Italy, Latvia, Lithuania, Norway, Poland, Portugal, Romania, Russia, Serbia, Slovakia, Spain, Sweden, Switzerland, The Netherlands, Turkey, Ukraine, Canada, Argentina, Brazil, Chile, Colombia, Mexico, Peru, China (including Hong Kong), India, Israel, Japan, Malaysia, Singapore, South Korea, The Philippines, Taiwan, Thailand, Australia, New Zealand and South Africa.</w:t>
      </w:r>
    </w:p>
    <w:p>
      <w:pPr>
        <w:spacing w:after="0" w:line="229" w:lineRule="exact"/>
        <w:rPr>
          <w:sz w:val="20"/>
          <w:szCs w:val="20"/>
          <w:color w:val="auto"/>
        </w:rPr>
      </w:pPr>
    </w:p>
    <w:p>
      <w:pPr>
        <w:jc w:val="both"/>
        <w:ind w:right="20" w:firstLine="187"/>
        <w:spacing w:after="0" w:line="260" w:lineRule="auto"/>
        <w:rPr>
          <w:sz w:val="20"/>
          <w:szCs w:val="20"/>
          <w:color w:val="auto"/>
        </w:rPr>
      </w:pPr>
      <w:r>
        <w:rPr>
          <w:rFonts w:ascii="Arial" w:cs="Arial" w:eastAsia="Arial" w:hAnsi="Arial"/>
          <w:sz w:val="16"/>
          <w:szCs w:val="16"/>
          <w:color w:val="auto"/>
        </w:rPr>
        <w:t>The geographical distribution of the Company’s segment measures as at September 30, 2021 and December 31, 2020 and for the three and nine months ended September 30, 2021 and September 30, 2020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ind w:left="660"/>
              <w:spacing w:after="0"/>
              <w:rPr>
                <w:sz w:val="20"/>
                <w:szCs w:val="20"/>
                <w:color w:val="auto"/>
              </w:rPr>
            </w:pPr>
            <w:r>
              <w:rPr>
                <w:rFonts w:ascii="Arial" w:cs="Arial" w:eastAsia="Arial" w:hAnsi="Arial"/>
                <w:sz w:val="16"/>
                <w:szCs w:val="16"/>
                <w:color w:val="auto"/>
              </w:rPr>
              <w:t>a) The distribution of revenue by geographical area was as follows: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14"/>
        </w:trPr>
        <w:tc>
          <w:tcPr>
            <w:tcW w:w="5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8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2520" w:type="dxa"/>
            <w:vAlign w:val="bottom"/>
            <w:gridSpan w:val="3"/>
          </w:tcPr>
          <w:p>
            <w:pPr>
              <w:spacing w:after="0"/>
              <w:rPr>
                <w:sz w:val="9"/>
                <w:szCs w:val="9"/>
                <w:color w:val="auto"/>
              </w:rPr>
            </w:pPr>
          </w:p>
        </w:tc>
      </w:tr>
      <w:tr>
        <w:trPr>
          <w:trHeight w:val="215"/>
        </w:trPr>
        <w:tc>
          <w:tcPr>
            <w:tcW w:w="5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3"/>
                <w:szCs w:val="13"/>
                <w:color w:val="auto"/>
              </w:rPr>
            </w:pPr>
          </w:p>
        </w:tc>
        <w:tc>
          <w:tcPr>
            <w:tcW w:w="118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1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Ireland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358,026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250,230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1,029,877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844,945</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471,110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100,635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710,043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292,453</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U.S.</w:t>
            </w:r>
          </w:p>
        </w:tc>
        <w:tc>
          <w:tcPr>
            <w:tcW w:w="12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934,014</w:t>
            </w:r>
          </w:p>
        </w:tc>
        <w:tc>
          <w:tcPr>
            <w:tcW w:w="180" w:type="dxa"/>
            <w:vAlign w:val="bottom"/>
          </w:tcPr>
          <w:p>
            <w:pPr>
              <w:spacing w:after="0"/>
              <w:rPr>
                <w:sz w:val="18"/>
                <w:szCs w:val="18"/>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285,550</w:t>
            </w: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1,599,623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700,483</w:t>
            </w:r>
          </w:p>
        </w:tc>
      </w:tr>
      <w:tr>
        <w:trPr>
          <w:trHeight w:val="22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103,202</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65,314</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256,162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199,178</w:t>
            </w:r>
          </w:p>
        </w:tc>
      </w:tr>
      <w:tr>
        <w:trPr>
          <w:trHeight w:val="243"/>
        </w:trPr>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1,866,352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701,729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3,595,705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2,037,059</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00" w:hanging="106"/>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sales shown for Ireland are export sales.</w:t>
      </w:r>
    </w:p>
    <w:p>
      <w:pPr>
        <w:spacing w:after="0" w:line="248" w:lineRule="exact"/>
        <w:rPr>
          <w:rFonts w:ascii="Arial" w:cs="Arial" w:eastAsia="Arial" w:hAnsi="Arial"/>
          <w:sz w:val="16"/>
          <w:szCs w:val="16"/>
          <w:color w:val="auto"/>
        </w:rPr>
      </w:pPr>
    </w:p>
    <w:p>
      <w:pPr>
        <w:ind w:left="840" w:hanging="184"/>
        <w:spacing w:after="0"/>
        <w:tabs>
          <w:tab w:leader="none" w:pos="8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distribution of income/(loss) from operations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Ireland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95,478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81,800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270,126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194,390</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92,605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4,713</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109,009</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22,529</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U.S.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(159,704)</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14,399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(133,997)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37,667</w:t>
            </w:r>
          </w:p>
        </w:tc>
      </w:tr>
      <w:tr>
        <w:trPr>
          <w:trHeight w:val="22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(23,271)</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7,489</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(11,144)</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17,055</w:t>
            </w:r>
          </w:p>
        </w:tc>
      </w:tr>
      <w:tr>
        <w:trPr>
          <w:trHeight w:val="243"/>
        </w:trPr>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108,401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233,994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271,641</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720" w:firstLine="8"/>
        <w:spacing w:after="0" w:line="260" w:lineRule="auto"/>
        <w:tabs>
          <w:tab w:leader="none" w:pos="171"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U.S geographical area currently includes the full amortization charge associated with the intangible assets acquired in the Merger. Purchase accounting remains provisional at September 30, 2021.</w:t>
      </w:r>
    </w:p>
    <w:p>
      <w:pPr>
        <w:spacing w:after="0" w:line="73" w:lineRule="exact"/>
        <w:rPr>
          <w:rFonts w:ascii="Arial" w:cs="Arial" w:eastAsia="Arial" w:hAnsi="Arial"/>
          <w:sz w:val="16"/>
          <w:szCs w:val="16"/>
          <w:color w:val="auto"/>
        </w:rPr>
      </w:pPr>
    </w:p>
    <w:p>
      <w:pPr>
        <w:ind w:left="540" w:hanging="172"/>
        <w:spacing w:after="0"/>
        <w:tabs>
          <w:tab w:leader="none" w:pos="5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distribution of depreciation and amortization by geographical area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5"/>
        </w:trPr>
        <w:tc>
          <w:tcPr>
            <w:tcW w:w="5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Ireland</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26,943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24,112</w:t>
            </w: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3,793</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6,964</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4,623</w:t>
            </w:r>
          </w:p>
        </w:tc>
      </w:tr>
      <w:tr>
        <w:trPr>
          <w:trHeight w:val="213"/>
        </w:trPr>
        <w:tc>
          <w:tcPr>
            <w:tcW w:w="5820" w:type="dxa"/>
            <w:vAlign w:val="bottom"/>
          </w:tcPr>
          <w:p>
            <w:pPr>
              <w:ind w:left="20"/>
              <w:spacing w:after="0"/>
              <w:rPr>
                <w:sz w:val="20"/>
                <w:szCs w:val="20"/>
                <w:color w:val="auto"/>
              </w:rPr>
            </w:pPr>
            <w:r>
              <w:rPr>
                <w:rFonts w:ascii="Arial" w:cs="Arial" w:eastAsia="Arial" w:hAnsi="Arial"/>
                <w:sz w:val="16"/>
                <w:szCs w:val="16"/>
                <w:color w:val="auto"/>
              </w:rPr>
              <w:t>U.S. **</w:t>
            </w:r>
          </w:p>
        </w:tc>
        <w:tc>
          <w:tcPr>
            <w:tcW w:w="1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125,238</w:t>
            </w: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5,673</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136,322</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16,886</w:t>
            </w:r>
          </w:p>
        </w:tc>
      </w:tr>
      <w:tr>
        <w:trPr>
          <w:trHeight w:val="22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2,593</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1,167</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5,088</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r>
      <w:tr>
        <w:trPr>
          <w:trHeight w:val="243"/>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140,636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16,801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175,317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48,981</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720" w:firstLine="8"/>
        <w:spacing w:after="0" w:line="260" w:lineRule="auto"/>
        <w:tabs>
          <w:tab w:leader="none" w:pos="1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U.S geographical area currently includes the full amortization charge associated with the intangible assets acquired in the Merger. Purchase accounting remains provisional at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8" w:lineRule="exact"/>
        <w:rPr>
          <w:sz w:val="20"/>
          <w:szCs w:val="20"/>
          <w:color w:val="auto"/>
        </w:rPr>
      </w:pPr>
    </w:p>
    <w:p>
      <w:pPr>
        <w:jc w:val="both"/>
        <w:ind w:firstLine="207"/>
        <w:spacing w:after="0" w:line="25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2020. The consolidated financial statements have been prepared in accordance with accounting principles generally accepted in the United States.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2021 we employed approximately 37,960 employees, in 159 locations in 53 countries. During the nine months ended September 30, 2021 we derived approximately 44.5%, 48.4% and 7.1% of our revenue in the United States, Europe and Rest of World respectively.</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1, 2021, ICON plc announced the completion of its Merger with PRA. The combined company has retained the name ICON and brings together approximately 37,960 employees across 53 countries, creating the world’s most advanced healthcare intelligence and clinical research organization. 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230" w:lineRule="exact"/>
        <w:rPr>
          <w:sz w:val="20"/>
          <w:szCs w:val="20"/>
          <w:color w:val="auto"/>
        </w:rPr>
      </w:pPr>
    </w:p>
    <w:p>
      <w:pPr>
        <w:jc w:val="both"/>
        <w:ind w:firstLine="237"/>
        <w:spacing w:after="0" w:line="251" w:lineRule="auto"/>
        <w:rPr>
          <w:sz w:val="20"/>
          <w:szCs w:val="20"/>
          <w:color w:val="auto"/>
        </w:rPr>
      </w:pPr>
      <w:r>
        <w:rPr>
          <w:rFonts w:ascii="Arial" w:cs="Arial" w:eastAsia="Arial" w:hAnsi="Arial"/>
          <w:sz w:val="16"/>
          <w:szCs w:val="16"/>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29" w:lineRule="exact"/>
        <w:rPr>
          <w:sz w:val="20"/>
          <w:szCs w:val="20"/>
          <w:color w:val="auto"/>
        </w:rPr>
      </w:pPr>
    </w:p>
    <w:p>
      <w:pPr>
        <w:jc w:val="both"/>
        <w:ind w:firstLine="231"/>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30" w:lineRule="exact"/>
        <w:rPr>
          <w:sz w:val="20"/>
          <w:szCs w:val="20"/>
          <w:color w:val="auto"/>
        </w:rPr>
      </w:pPr>
    </w:p>
    <w:p>
      <w:pPr>
        <w:jc w:val="both"/>
        <w:ind w:firstLine="219"/>
        <w:spacing w:after="0" w:line="251" w:lineRule="auto"/>
        <w:rPr>
          <w:sz w:val="20"/>
          <w:szCs w:val="20"/>
          <w:color w:val="auto"/>
        </w:rPr>
      </w:pPr>
      <w:r>
        <w:rPr>
          <w:rFonts w:ascii="Arial" w:cs="Arial" w:eastAsia="Arial" w:hAnsi="Arial"/>
          <w:sz w:val="16"/>
          <w:szCs w:val="16"/>
          <w:color w:val="auto"/>
        </w:rPr>
        <w:t xml:space="preserve">Our unsatisfied performance obligation consists of potential revenue yet to be earned from projects awarded by clients. At September 30, 2021 we had unsatisfied performance obligations of approximately $13.0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 assets) and unearned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or payments on account (contract liabilities) </w:t>
      </w:r>
      <w:r>
        <w:rPr>
          <w:rFonts w:ascii="Arial" w:cs="Arial" w:eastAsia="Arial" w:hAnsi="Arial"/>
          <w:sz w:val="16"/>
          <w:szCs w:val="16"/>
          <w:color w:val="auto"/>
        </w:rPr>
        <w:t>for further details). We believe that our remaining or unrealized performance obligations as of any date</w:t>
      </w:r>
      <w:r>
        <w:rPr>
          <w:rFonts w:ascii="Arial" w:cs="Arial" w:eastAsia="Arial" w:hAnsi="Arial"/>
          <w:sz w:val="16"/>
          <w:szCs w:val="16"/>
          <w:i w:val="1"/>
          <w:iCs w:val="1"/>
          <w:color w:val="auto"/>
        </w:rPr>
        <w:t xml:space="preserve"> </w:t>
      </w:r>
      <w:r>
        <w:rPr>
          <w:rFonts w:ascii="Arial" w:cs="Arial" w:eastAsia="Arial" w:hAnsi="Arial"/>
          <w:sz w:val="16"/>
          <w:szCs w:val="16"/>
          <w:color w:val="auto"/>
        </w:rPr>
        <w:t>is not necessarily a meaningful predictor of future results, due to the potential for cancellation or delay of revenue.</w:t>
      </w:r>
    </w:p>
    <w:p>
      <w:pPr>
        <w:spacing w:after="0" w:line="22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22" w:lineRule="exact"/>
        <w:rPr>
          <w:sz w:val="20"/>
          <w:szCs w:val="20"/>
          <w:color w:val="auto"/>
        </w:rPr>
      </w:pPr>
    </w:p>
    <w:p>
      <w:pPr>
        <w:jc w:val="both"/>
        <w:ind w:firstLine="218"/>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35" w:lineRule="exact"/>
        <w:rPr>
          <w:sz w:val="20"/>
          <w:szCs w:val="20"/>
          <w:color w:val="auto"/>
        </w:rPr>
      </w:pPr>
    </w:p>
    <w:p>
      <w:pPr>
        <w:jc w:val="both"/>
        <w:ind w:firstLine="209"/>
        <w:spacing w:after="0" w:line="260" w:lineRule="auto"/>
        <w:rPr>
          <w:sz w:val="20"/>
          <w:szCs w:val="20"/>
          <w:color w:val="auto"/>
        </w:rPr>
      </w:pPr>
      <w:r>
        <w:rPr>
          <w:rFonts w:ascii="Arial" w:cs="Arial" w:eastAsia="Arial" w:hAnsi="Arial"/>
          <w:sz w:val="16"/>
          <w:szCs w:val="16"/>
          <w:color w:val="auto"/>
        </w:rPr>
        <w:t>As we conduct operations on a global basis, our effective tax rate depends on the geographic distribution of our revenue and earnings among locations with varying tax rates. Our results therefore may be affected by changes in the tax</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16"/>
          <w:szCs w:val="16"/>
          <w:color w:val="auto"/>
        </w:rPr>
        <w:t>rates of the various jurisdictions. In particular, as the geographic mix of our results of operations among various tax jurisdictions changes, our effective tax rate may vary significantly from period to period.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2021</w:t>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500" w:type="dxa"/>
            <w:vAlign w:val="bottom"/>
            <w:gridSpan w:val="5"/>
          </w:tcPr>
          <w:p>
            <w:pPr>
              <w:spacing w:after="0"/>
              <w:rPr>
                <w:sz w:val="20"/>
                <w:szCs w:val="20"/>
                <w:color w:val="auto"/>
              </w:rPr>
            </w:pPr>
            <w:r>
              <w:rPr>
                <w:rFonts w:ascii="Arial" w:cs="Arial" w:eastAsia="Arial" w:hAnsi="Arial"/>
                <w:sz w:val="16"/>
                <w:szCs w:val="16"/>
                <w:color w:val="auto"/>
              </w:rPr>
              <w:t>compared to the prior comparable period. The trends illustrated in the following table may not be indicative of future results.</w:t>
            </w:r>
          </w:p>
        </w:tc>
        <w:tc>
          <w:tcPr>
            <w:tcW w:w="1740" w:type="dxa"/>
            <w:vAlign w:val="bottom"/>
          </w:tcPr>
          <w:p>
            <w:pPr>
              <w:spacing w:after="0"/>
              <w:rPr>
                <w:sz w:val="17"/>
                <w:szCs w:val="17"/>
                <w:color w:val="auto"/>
              </w:rPr>
            </w:pPr>
          </w:p>
        </w:tc>
      </w:tr>
      <w:tr>
        <w:trPr>
          <w:trHeight w:val="226"/>
        </w:trPr>
        <w:tc>
          <w:tcPr>
            <w:tcW w:w="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19"/>
                <w:szCs w:val="19"/>
                <w:color w:val="auto"/>
              </w:rPr>
            </w:pPr>
          </w:p>
        </w:tc>
        <w:tc>
          <w:tcPr>
            <w:tcW w:w="3360" w:type="dxa"/>
            <w:vAlign w:val="bottom"/>
            <w:tcBorders>
              <w:bottom w:val="single" w:sz="8" w:color="auto"/>
            </w:tcBorders>
            <w:gridSpan w:val="2"/>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1740" w:type="dxa"/>
            <w:vAlign w:val="bottom"/>
            <w:shd w:val="clear" w:color="auto" w:fill="CCEEFF"/>
          </w:tcPr>
          <w:p>
            <w:pPr>
              <w:spacing w:after="0"/>
              <w:rPr>
                <w:sz w:val="19"/>
                <w:szCs w:val="19"/>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 to 2021</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360" w:type="dxa"/>
            <w:vAlign w:val="bottom"/>
            <w:gridSpan w:val="2"/>
          </w:tcPr>
          <w:p>
            <w:pPr>
              <w:jc w:val="right"/>
              <w:ind w:right="699"/>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7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rPr>
              <w:t>Increase/</w:t>
            </w:r>
          </w:p>
        </w:tc>
      </w:tr>
      <w:tr>
        <w:trPr>
          <w:trHeight w:val="215"/>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(Decrease)</w:t>
            </w: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46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72.8 %</w:t>
            </w:r>
          </w:p>
        </w:tc>
        <w:tc>
          <w:tcPr>
            <w:tcW w:w="1640" w:type="dxa"/>
            <w:vAlign w:val="bottom"/>
          </w:tcPr>
          <w:p>
            <w:pPr>
              <w:jc w:val="right"/>
              <w:spacing w:after="0"/>
              <w:rPr>
                <w:sz w:val="20"/>
                <w:szCs w:val="20"/>
                <w:color w:val="auto"/>
              </w:rPr>
            </w:pPr>
            <w:r>
              <w:rPr>
                <w:rFonts w:ascii="Arial" w:cs="Arial" w:eastAsia="Arial" w:hAnsi="Arial"/>
                <w:sz w:val="16"/>
                <w:szCs w:val="16"/>
                <w:color w:val="auto"/>
              </w:rPr>
              <w:t>70.3 %</w:t>
            </w:r>
          </w:p>
        </w:tc>
        <w:tc>
          <w:tcPr>
            <w:tcW w:w="1740" w:type="dxa"/>
            <w:vAlign w:val="bottom"/>
          </w:tcPr>
          <w:p>
            <w:pPr>
              <w:jc w:val="right"/>
              <w:spacing w:after="0"/>
              <w:rPr>
                <w:sz w:val="20"/>
                <w:szCs w:val="20"/>
                <w:color w:val="auto"/>
              </w:rPr>
            </w:pPr>
            <w:r>
              <w:rPr>
                <w:rFonts w:ascii="Arial" w:cs="Arial" w:eastAsia="Arial" w:hAnsi="Arial"/>
                <w:sz w:val="16"/>
                <w:szCs w:val="16"/>
                <w:color w:val="auto"/>
              </w:rPr>
              <w:t>175.2 %</w:t>
            </w:r>
          </w:p>
        </w:tc>
      </w:tr>
      <w:tr>
        <w:trPr>
          <w:trHeight w:val="219"/>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149.9 %</w:t>
            </w:r>
          </w:p>
        </w:tc>
      </w:tr>
      <w:tr>
        <w:trPr>
          <w:trHeight w:val="213"/>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1.3 %</w:t>
            </w:r>
          </w:p>
        </w:tc>
        <w:tc>
          <w:tcPr>
            <w:tcW w:w="1640" w:type="dxa"/>
            <w:vAlign w:val="bottom"/>
          </w:tcPr>
          <w:p>
            <w:pPr>
              <w:jc w:val="right"/>
              <w:spacing w:after="0"/>
              <w:rPr>
                <w:sz w:val="20"/>
                <w:szCs w:val="20"/>
                <w:color w:val="auto"/>
              </w:rPr>
            </w:pPr>
            <w:r>
              <w:rPr>
                <w:rFonts w:ascii="Arial" w:cs="Arial" w:eastAsia="Arial" w:hAnsi="Arial"/>
                <w:sz w:val="16"/>
                <w:szCs w:val="16"/>
                <w:color w:val="auto"/>
              </w:rPr>
              <w:t>1.7 %</w:t>
            </w:r>
          </w:p>
        </w:tc>
        <w:tc>
          <w:tcPr>
            <w:tcW w:w="1740" w:type="dxa"/>
            <w:vAlign w:val="bottom"/>
          </w:tcPr>
          <w:p>
            <w:pPr>
              <w:jc w:val="right"/>
              <w:spacing w:after="0"/>
              <w:rPr>
                <w:sz w:val="20"/>
                <w:szCs w:val="20"/>
                <w:color w:val="auto"/>
              </w:rPr>
            </w:pPr>
            <w:r>
              <w:rPr>
                <w:rFonts w:ascii="Arial" w:cs="Arial" w:eastAsia="Arial" w:hAnsi="Arial"/>
                <w:sz w:val="16"/>
                <w:szCs w:val="16"/>
                <w:color w:val="auto"/>
              </w:rPr>
              <w:t>107.9 %</w:t>
            </w:r>
          </w:p>
        </w:tc>
      </w:tr>
      <w:tr>
        <w:trPr>
          <w:trHeight w:val="219"/>
        </w:trPr>
        <w:tc>
          <w:tcPr>
            <w:tcW w:w="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2,269.6 %</w:t>
            </w:r>
          </w:p>
        </w:tc>
      </w:tr>
      <w:tr>
        <w:trPr>
          <w:trHeight w:val="213"/>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Transaction and integration-related expenses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8.0 %</w:t>
            </w:r>
          </w:p>
        </w:tc>
        <w:tc>
          <w:tcPr>
            <w:tcW w:w="1640" w:type="dxa"/>
            <w:vAlign w:val="bottom"/>
          </w:tcPr>
          <w:p>
            <w:pPr>
              <w:jc w:val="right"/>
              <w:spacing w:after="0"/>
              <w:rPr>
                <w:sz w:val="20"/>
                <w:szCs w:val="20"/>
                <w:color w:val="auto"/>
              </w:rPr>
            </w:pPr>
            <w:r>
              <w:rPr>
                <w:rFonts w:ascii="Arial" w:cs="Arial" w:eastAsia="Arial" w:hAnsi="Arial"/>
                <w:sz w:val="16"/>
                <w:szCs w:val="16"/>
                <w:color w:val="auto"/>
              </w:rPr>
              <w:t>0.1 %</w:t>
            </w:r>
          </w:p>
        </w:tc>
        <w:tc>
          <w:tcPr>
            <w:tcW w:w="1740" w:type="dxa"/>
            <w:vAlign w:val="bottom"/>
          </w:tcPr>
          <w:p>
            <w:pPr>
              <w:jc w:val="right"/>
              <w:spacing w:after="0"/>
              <w:rPr>
                <w:sz w:val="20"/>
                <w:szCs w:val="20"/>
                <w:color w:val="auto"/>
              </w:rPr>
            </w:pPr>
            <w:r>
              <w:rPr>
                <w:rFonts w:ascii="Arial" w:cs="Arial" w:eastAsia="Arial" w:hAnsi="Arial"/>
                <w:sz w:val="16"/>
                <w:szCs w:val="16"/>
                <w:color w:val="auto"/>
              </w:rPr>
              <w:t>37,161.4 %</w:t>
            </w:r>
          </w:p>
        </w:tc>
      </w:tr>
      <w:tr>
        <w:trPr>
          <w:trHeight w:val="226"/>
        </w:trPr>
        <w:tc>
          <w:tcPr>
            <w:tcW w:w="20" w:type="dxa"/>
            <w:vAlign w:val="bottom"/>
            <w:tcBorders>
              <w:bottom w:val="single" w:sz="8" w:color="auto"/>
            </w:tcBorders>
            <w:shd w:val="clear" w:color="auto" w:fill="CCEEFF"/>
          </w:tcPr>
          <w:p>
            <w:pPr>
              <w:spacing w:after="0"/>
              <w:rPr>
                <w:sz w:val="19"/>
                <w:szCs w:val="19"/>
                <w:color w:val="auto"/>
              </w:rPr>
            </w:pPr>
          </w:p>
        </w:tc>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3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16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1,866,352 $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701,729</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1,164,623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Revenue for the three months ended September 30, 2021 increased by $1,164.6 million, or 166.0%, to $1,866.4 million, compared to $701.7 million for the three months ended September 30, 2020. The increase in revenue in the three months ended September 30, 2021 is due to the Merger and the impact the continued recovery from the COVID-19 global pandemic has had on operations including: our ability to ensure laboratory samples are collected and analyzed on time, our ability to perform on-site monitoring of clinical trials, the ability of patients or service providers to travel, and our ability to travel.</w:t>
      </w:r>
    </w:p>
    <w:p>
      <w:pPr>
        <w:spacing w:after="0" w:line="200" w:lineRule="exact"/>
        <w:rPr>
          <w:sz w:val="20"/>
          <w:szCs w:val="20"/>
          <w:color w:val="auto"/>
        </w:rPr>
      </w:pPr>
    </w:p>
    <w:p>
      <w:pPr>
        <w:spacing w:after="0" w:line="221" w:lineRule="exact"/>
        <w:rPr>
          <w:sz w:val="20"/>
          <w:szCs w:val="20"/>
          <w:color w:val="auto"/>
        </w:rPr>
      </w:pPr>
    </w:p>
    <w:p>
      <w:pPr>
        <w:jc w:val="both"/>
        <w:ind w:firstLine="204"/>
        <w:spacing w:after="0" w:line="251" w:lineRule="auto"/>
        <w:rPr>
          <w:sz w:val="20"/>
          <w:szCs w:val="20"/>
          <w:color w:val="auto"/>
        </w:rPr>
      </w:pPr>
      <w:r>
        <w:rPr>
          <w:rFonts w:ascii="Arial" w:cs="Arial" w:eastAsia="Arial" w:hAnsi="Arial"/>
          <w:sz w:val="16"/>
          <w:szCs w:val="16"/>
          <w:color w:val="auto"/>
        </w:rPr>
        <w:t>During the three months ended September 30, 2021 we derived approximately 50.0%, 44.4% and 5.5% of our revenue in the United States, Europe and Rest of World respectively. During the three months ended September 30, 2021, $525.8 million or 28.2% of our revenues were derived from our top 5 customers. New customer accounts are continually added, particularly from mid-tier pharma customers and biotech customers, which over time will continue to result in a reduction in concentration of revenues from our top 5 customers.</w:t>
      </w:r>
    </w:p>
    <w:p>
      <w:pPr>
        <w:spacing w:after="0" w:line="229" w:lineRule="exact"/>
        <w:rPr>
          <w:sz w:val="20"/>
          <w:szCs w:val="20"/>
          <w:color w:val="auto"/>
        </w:rPr>
      </w:pPr>
    </w:p>
    <w:p>
      <w:pPr>
        <w:jc w:val="both"/>
        <w:ind w:firstLine="214"/>
        <w:spacing w:after="0" w:line="249" w:lineRule="auto"/>
        <w:rPr>
          <w:sz w:val="20"/>
          <w:szCs w:val="20"/>
          <w:color w:val="auto"/>
        </w:rPr>
      </w:pPr>
      <w:r>
        <w:rPr>
          <w:rFonts w:ascii="Arial" w:cs="Arial" w:eastAsia="Arial" w:hAnsi="Arial"/>
          <w:sz w:val="16"/>
          <w:szCs w:val="16"/>
          <w:color w:val="auto"/>
        </w:rPr>
        <w:t xml:space="preserve">Revenue in Ireland for the three months ended September 30, 2021 increased to $358.0 million compared to $250.2 million for the three months ended September 30, 2020. Revenue in Ireland is principally a function of the Company’s global transfer pricing model (see </w:t>
      </w:r>
      <w:r>
        <w:rPr>
          <w:rFonts w:ascii="Arial" w:cs="Arial" w:eastAsia="Arial" w:hAnsi="Arial"/>
          <w:sz w:val="16"/>
          <w:szCs w:val="16"/>
          <w:i w:val="1"/>
          <w:iCs w:val="1"/>
          <w:color w:val="auto"/>
        </w:rPr>
        <w:t>note 17 -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increased to $471.1 million compared to $100.6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Revenue in the Rest of World region increased to $103.2 million compared to $65.3 million for the three months ended September 30, 2020. Revenue in the U.S. region increased to $934.0 million from $285.6 million for the three months ended September 30, 2020. Revenue has increased across all regions due to the completion of the Merger on July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1,357,942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493,410</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864,532</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72.8 %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70.3 %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175.2 %</w:t>
            </w:r>
          </w:p>
        </w:tc>
      </w:tr>
    </w:tbl>
    <w:p>
      <w:pPr>
        <w:spacing w:after="0" w:line="345" w:lineRule="exact"/>
        <w:rPr>
          <w:sz w:val="20"/>
          <w:szCs w:val="20"/>
          <w:color w:val="auto"/>
        </w:rPr>
      </w:pPr>
    </w:p>
    <w:p>
      <w:pPr>
        <w:jc w:val="both"/>
        <w:ind w:firstLine="261"/>
        <w:spacing w:after="0" w:line="248" w:lineRule="auto"/>
        <w:rPr>
          <w:sz w:val="20"/>
          <w:szCs w:val="20"/>
          <w:color w:val="auto"/>
        </w:rPr>
      </w:pPr>
      <w:r>
        <w:rPr>
          <w:rFonts w:ascii="Arial" w:cs="Arial" w:eastAsia="Arial" w:hAnsi="Arial"/>
          <w:sz w:val="16"/>
          <w:szCs w:val="16"/>
          <w:color w:val="auto"/>
        </w:rPr>
        <w:t>Direct costs consist primarily of investigator and other reimbursable costs, compensation, associated fringe benefits and share based compensation expense for project-related employees and other direct project driven costs. Direct costs for the three months ended September 30, 2021 increased by $864.5 million, or 175.2%, to $1,357.9 million compared to $493.4 million for the three months ended September 30, 2020. The increase in direct costs is primarily driven by the Merger but also relates to an increase in third party investigator and other reimbursable costs, an increase in personnel related expenditure and an increase in laboratory costs during the period. As a percentage of revenue, direct costs were 72.8% for the three months ended September 30, 2021 compared to 70.3% for the three months ended September 30, 2020. The increase in direct costs as a percentage of revenue reflect the different activity mix for the three months ended September 30, 2021 compared to the three months ended September 30, 2020 as a result of the Merger.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206,713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82,715</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123,998</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11.8 %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149.9 %</w:t>
            </w:r>
          </w:p>
        </w:tc>
      </w:tr>
    </w:tbl>
    <w:p>
      <w:pPr>
        <w:spacing w:after="0" w:line="2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Selling, general and administrative expenses for the three months ended September 30, 2021 increased by $124.0 million, or 149.9%, to $206.7 million, compared to $82.7 million for the three months ended September 30, 2020. The increase is primarily driven by the increased headcount and additional facilities as a result of the Merger. As a percentage of revenue, selling, general and administrative expenses decreased to 11.1% compared to 11.8% for the three months ended September 30, 2020.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24,762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11,911</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12,851</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107.9 %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115,874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4,890</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110,984</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0.7 %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2,269.6 %</w:t>
            </w:r>
          </w:p>
        </w:tc>
      </w:tr>
    </w:tbl>
    <w:p>
      <w:pPr>
        <w:spacing w:after="0" w:line="345" w:lineRule="exact"/>
        <w:rPr>
          <w:sz w:val="20"/>
          <w:szCs w:val="20"/>
          <w:color w:val="auto"/>
        </w:rPr>
      </w:pPr>
    </w:p>
    <w:p>
      <w:pPr>
        <w:jc w:val="both"/>
        <w:ind w:firstLine="207"/>
        <w:spacing w:after="0" w:line="251" w:lineRule="auto"/>
        <w:rPr>
          <w:sz w:val="20"/>
          <w:szCs w:val="20"/>
          <w:color w:val="auto"/>
        </w:rPr>
      </w:pPr>
      <w:r>
        <w:rPr>
          <w:rFonts w:ascii="Arial" w:cs="Arial" w:eastAsia="Arial" w:hAnsi="Arial"/>
          <w:sz w:val="16"/>
          <w:szCs w:val="16"/>
          <w:color w:val="auto"/>
        </w:rPr>
        <w:t>Depreciation expense arises principally from investment in facilities, information systems and equipment to support the Company’s growth. Depreciation expense for the three months ended September 30, 2021 increased by $12.9 million, or 107.9%, to $24.8 million compared to $11.9 million for the three months ended September 30, 2020. As a percentage of revenue the depreciation expense was 1.3%, which decreased from 1.7% for the three months ended September 30, 2020. The increase in depreciation is primarily driven by the Merger.</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Amortization expense represents the amortization of intangible assets acquired on business combinations. Amortization of intangibles for the three months ended September 30, 2021 increased by $111.0 million, or 2,269.6%, to $115.9 million compared to $4.9 million for the three months ended September 30, 2020. As a percentage of revenue, amortization expense increased to 6.2%, compared to 0.7% for the three months ended September 30, 2020. The increase in amortization is driven by the Merger and the associated $4,875 million additional intangible assets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6"/>
        </w:trPr>
        <w:tc>
          <w:tcPr>
            <w:tcW w:w="55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integration-related costs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149,791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149,389</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0.1 %</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37,161.4 %</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Facilities restructuring costs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6,162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6,162</w:t>
            </w: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 %</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100.0 %</w:t>
            </w:r>
          </w:p>
        </w:tc>
      </w:tr>
    </w:tbl>
    <w:p>
      <w:pPr>
        <w:spacing w:after="0" w:line="34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During the three months ended September 30, 2021, the Company incurred $156.0 million for restructuring, transaction and integration-related expenses associated with the Merger. The charge includes transaction and integration costs of $149.8 million associated with investment banking, advisory costs, retention agreements with employees, accelerated share compensation charges and ongoing integration activities. The transaction and integration-related costs of $0.4 million incurred in the three months ended September 30, 2020 related to expenses incurred as part of ICON's recent acquisitions. The Company has also undertaken a restructuring program following the announcement of the Merger to review its global office footprint and optimize its locations to best fit the requirements of the Company. This program has resulted in a charge of $6.2 million in the three months ended September 30, 2021.</w:t>
      </w:r>
    </w:p>
    <w:p>
      <w:pPr>
        <w:spacing w:after="0" w:line="2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expect to incur additional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6"/>
        </w:trPr>
        <w:tc>
          <w:tcPr>
            <w:tcW w:w="55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108,401</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(103,293)</w:t>
            </w: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15.4 %</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(95.3)%</w:t>
            </w:r>
          </w:p>
        </w:tc>
      </w:tr>
    </w:tbl>
    <w:p>
      <w:pPr>
        <w:spacing w:after="0" w:line="200" w:lineRule="exact"/>
        <w:rPr>
          <w:sz w:val="20"/>
          <w:szCs w:val="20"/>
          <w:color w:val="auto"/>
        </w:rPr>
      </w:pPr>
    </w:p>
    <w:p>
      <w:pPr>
        <w:spacing w:after="0" w:line="213"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color w:val="auto"/>
        </w:rPr>
        <w:t>Income from operations for the three months ended September 30, 2021 decreased by $103.3 million or 95.3% to $5.1 million compared to $108.4 million for the three months ended September 30, 2020. As a percentage of revenue, income from operations decreased to 0.3% compared to 15.4% of revenue for the three months ended September 30, 2020. Income from operations is significantly impacted by Merger related costs incurred in the period.</w:t>
      </w:r>
    </w:p>
    <w:p>
      <w:pPr>
        <w:spacing w:after="0" w:line="2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Income from operations in Ireland increased to a profit of $95.5 million compared to a profit of $81.8 million for the three months ended September 30, 2020. Income from operations in Ireland is impacted by the Group’s global transfer pricing model </w:t>
      </w:r>
      <w:r>
        <w:rPr>
          <w:rFonts w:ascii="Arial" w:cs="Arial" w:eastAsia="Arial" w:hAnsi="Arial"/>
          <w:sz w:val="16"/>
          <w:szCs w:val="16"/>
          <w:i w:val="1"/>
          <w:iCs w:val="1"/>
          <w:color w:val="auto"/>
        </w:rPr>
        <w:t>(see note 17 -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from operations in our Rest of Europe region increased to $92.6 million compared to $4.7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Income from operations in our Rest of World region decreased to a loss of $23.3 million compared to a profit of $7.5 million for the three months ended September 30, 2020. Income from operations in the U.S. region decreased to a loss of $159.7 million compared to a profit of $14.4 million for the three months ended September 30, 2020.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gridSpan w:val="2"/>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(215)</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(102,306)</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(3,239)</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699"/>
              <w:spacing w:after="0"/>
              <w:rPr>
                <w:sz w:val="20"/>
                <w:szCs w:val="20"/>
                <w:color w:val="auto"/>
              </w:rPr>
            </w:pPr>
            <w:r>
              <w:rPr>
                <w:rFonts w:ascii="Arial" w:cs="Arial" w:eastAsia="Arial" w:hAnsi="Arial"/>
                <w:sz w:val="16"/>
                <w:szCs w:val="16"/>
                <w:color w:val="auto"/>
              </w:rPr>
              <w:t>(99,067)</w:t>
            </w:r>
          </w:p>
        </w:tc>
        <w:tc>
          <w:tcPr>
            <w:tcW w:w="1160" w:type="dxa"/>
            <w:vAlign w:val="bottom"/>
          </w:tcPr>
          <w:p>
            <w:pPr>
              <w:jc w:val="right"/>
              <w:spacing w:after="0"/>
              <w:rPr>
                <w:sz w:val="20"/>
                <w:szCs w:val="20"/>
                <w:color w:val="auto"/>
              </w:rPr>
            </w:pPr>
            <w:r>
              <w:rPr>
                <w:rFonts w:ascii="Arial" w:cs="Arial" w:eastAsia="Arial" w:hAnsi="Arial"/>
                <w:sz w:val="16"/>
                <w:szCs w:val="16"/>
                <w:color w:val="auto"/>
              </w:rPr>
              <w:t>3,058.6 %</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Interest income for the three months ended September 30, 2021 decreased to $0.1 million, compared to $0.3 million for the three months ended September 30, 2020. Interest expense for the three months ended September 30, 2021 increased to $102.3 million, compared to $3.2 million for the three months ended September 30, 2020 due to the new debt issued to fund the Merger. Interest expense for the three months ended September 30, 2021 includes transaction related financing fees of $55.8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gridSpan w:val="2"/>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(excl. restructuring charges)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(2,401)</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13,706</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(16,107)</w:t>
            </w: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Effective income tax rate (excl. restructuring charges)</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2.6 %</w:t>
            </w:r>
          </w:p>
        </w:tc>
        <w:tc>
          <w:tcPr>
            <w:tcW w:w="10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(3,563)</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13,706</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(17,269)</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3.7 %</w:t>
            </w:r>
          </w:p>
        </w:tc>
        <w:tc>
          <w:tcPr>
            <w:tcW w:w="10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6"/>
          <w:szCs w:val="16"/>
          <w:color w:val="auto"/>
        </w:rPr>
        <w:t>Provision for income taxes decreased to a $3.6 million credit ($2.4 million credit excluding restructuring charges), compared to $13.7 million for the three months ended September 30, 2020. The Company’s effective tax rate for the three months ended September 30, 2021 was 3.7% (2.6% excluding restructuring charges) compared with 13.0% for the three months ended September 30, 2020.</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 and the tax treatment of costs related to the Merger.</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Pr>
          <w:p>
            <w:pPr>
              <w:spacing w:after="0"/>
              <w:rPr>
                <w:sz w:val="20"/>
                <w:szCs w:val="20"/>
                <w:color w:val="auto"/>
              </w:rPr>
            </w:pPr>
            <w:r>
              <w:rPr>
                <w:rFonts w:ascii="Arial" w:cs="Arial" w:eastAsia="Arial" w:hAnsi="Arial"/>
                <w:sz w:val="16"/>
                <w:szCs w:val="16"/>
                <w:b w:val="1"/>
                <w:bCs w:val="1"/>
                <w:color w:val="auto"/>
              </w:rPr>
              <w:t>Operating Results</w:t>
            </w: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32"/>
        </w:trPr>
        <w:tc>
          <w:tcPr>
            <w:tcW w:w="614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2021:</w:t>
            </w: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3"/>
        </w:trPr>
        <w:tc>
          <w:tcPr>
            <w:tcW w:w="6140" w:type="dxa"/>
            <w:vAlign w:val="bottom"/>
          </w:tcPr>
          <w:p>
            <w:pPr>
              <w:spacing w:after="0"/>
              <w:rPr>
                <w:sz w:val="22"/>
                <w:szCs w:val="22"/>
                <w:color w:val="auto"/>
              </w:rPr>
            </w:pPr>
          </w:p>
        </w:tc>
        <w:tc>
          <w:tcPr>
            <w:tcW w:w="3360" w:type="dxa"/>
            <w:vAlign w:val="bottom"/>
            <w:gridSpan w:val="2"/>
          </w:tcPr>
          <w:p>
            <w:pPr>
              <w:spacing w:after="0"/>
              <w:rPr>
                <w:sz w:val="22"/>
                <w:szCs w:val="22"/>
                <w:color w:val="auto"/>
              </w:rPr>
            </w:pPr>
          </w:p>
        </w:tc>
        <w:tc>
          <w:tcPr>
            <w:tcW w:w="1740" w:type="dxa"/>
            <w:vAlign w:val="bottom"/>
          </w:tcPr>
          <w:p>
            <w:pPr>
              <w:spacing w:after="0"/>
              <w:rPr>
                <w:sz w:val="22"/>
                <w:szCs w:val="22"/>
                <w:color w:val="auto"/>
              </w:rPr>
            </w:pPr>
          </w:p>
        </w:tc>
      </w:tr>
      <w:tr>
        <w:trPr>
          <w:trHeight w:val="216"/>
        </w:trPr>
        <w:tc>
          <w:tcPr>
            <w:tcW w:w="6140" w:type="dxa"/>
            <w:vAlign w:val="bottom"/>
            <w:shd w:val="clear" w:color="auto" w:fill="CCEEFF"/>
          </w:tcPr>
          <w:p>
            <w:pPr>
              <w:spacing w:after="0"/>
              <w:rPr>
                <w:sz w:val="18"/>
                <w:szCs w:val="18"/>
                <w:color w:val="auto"/>
              </w:rPr>
            </w:pPr>
          </w:p>
        </w:tc>
        <w:tc>
          <w:tcPr>
            <w:tcW w:w="3360" w:type="dxa"/>
            <w:vAlign w:val="bottom"/>
            <w:tcBorders>
              <w:bottom w:val="single" w:sz="8" w:color="auto"/>
            </w:tcBorders>
            <w:gridSpan w:val="2"/>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Nine Months Ended</w:t>
            </w:r>
          </w:p>
        </w:tc>
        <w:tc>
          <w:tcPr>
            <w:tcW w:w="1740" w:type="dxa"/>
            <w:vAlign w:val="bottom"/>
            <w:shd w:val="clear" w:color="auto" w:fill="CCEEFF"/>
          </w:tcPr>
          <w:p>
            <w:pPr>
              <w:spacing w:after="0"/>
              <w:rPr>
                <w:sz w:val="18"/>
                <w:szCs w:val="18"/>
                <w:color w:val="auto"/>
              </w:rPr>
            </w:pPr>
          </w:p>
        </w:tc>
      </w:tr>
      <w:tr>
        <w:trPr>
          <w:trHeight w:val="209"/>
        </w:trPr>
        <w:tc>
          <w:tcPr>
            <w:tcW w:w="6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 to 2021</w:t>
            </w:r>
          </w:p>
        </w:tc>
      </w:tr>
      <w:tr>
        <w:trPr>
          <w:trHeight w:val="237"/>
        </w:trPr>
        <w:tc>
          <w:tcPr>
            <w:tcW w:w="61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162"/>
        </w:trPr>
        <w:tc>
          <w:tcPr>
            <w:tcW w:w="6140" w:type="dxa"/>
            <w:vAlign w:val="bottom"/>
          </w:tcPr>
          <w:p>
            <w:pPr>
              <w:spacing w:after="0"/>
              <w:rPr>
                <w:sz w:val="14"/>
                <w:szCs w:val="14"/>
                <w:color w:val="auto"/>
              </w:rPr>
            </w:pPr>
          </w:p>
        </w:tc>
        <w:tc>
          <w:tcPr>
            <w:tcW w:w="3360" w:type="dxa"/>
            <w:vAlign w:val="bottom"/>
            <w:gridSpan w:val="2"/>
          </w:tcPr>
          <w:p>
            <w:pPr>
              <w:jc w:val="right"/>
              <w:ind w:right="699"/>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740" w:type="dxa"/>
            <w:vAlign w:val="bottom"/>
          </w:tcPr>
          <w:p>
            <w:pPr>
              <w:jc w:val="center"/>
              <w:ind w:left="19"/>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4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rPr>
              <w:t>Increase/</w:t>
            </w:r>
          </w:p>
        </w:tc>
      </w:tr>
      <w:tr>
        <w:trPr>
          <w:trHeight w:val="215"/>
        </w:trPr>
        <w:tc>
          <w:tcPr>
            <w:tcW w:w="6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rPr>
              <w:t>(Decrease)</w:t>
            </w:r>
          </w:p>
        </w:tc>
      </w:tr>
      <w:tr>
        <w:trPr>
          <w:trHeight w:val="224"/>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76.5 %</w:t>
            </w:r>
          </w:p>
        </w:tc>
      </w:tr>
      <w:tr>
        <w:trPr>
          <w:trHeight w:val="243"/>
        </w:trPr>
        <w:tc>
          <w:tcPr>
            <w:tcW w:w="6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72.7 %</w:t>
            </w:r>
          </w:p>
        </w:tc>
        <w:tc>
          <w:tcPr>
            <w:tcW w:w="1640" w:type="dxa"/>
            <w:vAlign w:val="bottom"/>
          </w:tcPr>
          <w:p>
            <w:pPr>
              <w:jc w:val="right"/>
              <w:spacing w:after="0"/>
              <w:rPr>
                <w:sz w:val="20"/>
                <w:szCs w:val="20"/>
                <w:color w:val="auto"/>
              </w:rPr>
            </w:pPr>
            <w:r>
              <w:rPr>
                <w:rFonts w:ascii="Arial" w:cs="Arial" w:eastAsia="Arial" w:hAnsi="Arial"/>
                <w:sz w:val="16"/>
                <w:szCs w:val="16"/>
                <w:color w:val="auto"/>
              </w:rPr>
              <w:t>70.9 %</w:t>
            </w:r>
          </w:p>
        </w:tc>
        <w:tc>
          <w:tcPr>
            <w:tcW w:w="1740" w:type="dxa"/>
            <w:vAlign w:val="bottom"/>
          </w:tcPr>
          <w:p>
            <w:pPr>
              <w:jc w:val="right"/>
              <w:spacing w:after="0"/>
              <w:rPr>
                <w:sz w:val="20"/>
                <w:szCs w:val="20"/>
                <w:color w:val="auto"/>
              </w:rPr>
            </w:pPr>
            <w:r>
              <w:rPr>
                <w:rFonts w:ascii="Arial" w:cs="Arial" w:eastAsia="Arial" w:hAnsi="Arial"/>
                <w:sz w:val="16"/>
                <w:szCs w:val="16"/>
                <w:color w:val="auto"/>
              </w:rPr>
              <w:t>81.0 %</w:t>
            </w: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50.5 %</w:t>
            </w: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1.4 %</w:t>
            </w:r>
          </w:p>
        </w:tc>
        <w:tc>
          <w:tcPr>
            <w:tcW w:w="1640" w:type="dxa"/>
            <w:vAlign w:val="bottom"/>
          </w:tcPr>
          <w:p>
            <w:pPr>
              <w:jc w:val="right"/>
              <w:spacing w:after="0"/>
              <w:rPr>
                <w:sz w:val="20"/>
                <w:szCs w:val="20"/>
                <w:color w:val="auto"/>
              </w:rPr>
            </w:pPr>
            <w:r>
              <w:rPr>
                <w:rFonts w:ascii="Arial" w:cs="Arial" w:eastAsia="Arial" w:hAnsi="Arial"/>
                <w:sz w:val="16"/>
                <w:szCs w:val="16"/>
                <w:color w:val="auto"/>
              </w:rPr>
              <w:t>1.7 %</w:t>
            </w:r>
          </w:p>
        </w:tc>
        <w:tc>
          <w:tcPr>
            <w:tcW w:w="1740" w:type="dxa"/>
            <w:vAlign w:val="bottom"/>
          </w:tcPr>
          <w:p>
            <w:pPr>
              <w:jc w:val="right"/>
              <w:spacing w:after="0"/>
              <w:rPr>
                <w:sz w:val="20"/>
                <w:szCs w:val="20"/>
                <w:color w:val="auto"/>
              </w:rPr>
            </w:pPr>
            <w:r>
              <w:rPr>
                <w:rFonts w:ascii="Arial" w:cs="Arial" w:eastAsia="Arial" w:hAnsi="Arial"/>
                <w:sz w:val="16"/>
                <w:szCs w:val="16"/>
                <w:color w:val="auto"/>
              </w:rPr>
              <w:t>46.7 %</w:t>
            </w: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763.7 %</w:t>
            </w: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5.1 %</w:t>
            </w: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c>
          <w:tcPr>
            <w:tcW w:w="1740" w:type="dxa"/>
            <w:vAlign w:val="bottom"/>
          </w:tcPr>
          <w:p>
            <w:pPr>
              <w:jc w:val="right"/>
              <w:spacing w:after="0"/>
              <w:rPr>
                <w:sz w:val="20"/>
                <w:szCs w:val="20"/>
                <w:color w:val="auto"/>
              </w:rPr>
            </w:pPr>
            <w:r>
              <w:rPr>
                <w:rFonts w:ascii="Arial" w:cs="Arial" w:eastAsia="Arial" w:hAnsi="Arial"/>
                <w:sz w:val="16"/>
                <w:szCs w:val="16"/>
                <w:color w:val="auto"/>
              </w:rPr>
              <w:t>36,781.9 %</w:t>
            </w:r>
          </w:p>
        </w:tc>
      </w:tr>
      <w:tr>
        <w:trPr>
          <w:trHeight w:val="226"/>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r>
      <w:tr>
        <w:trPr>
          <w:trHeight w:val="243"/>
        </w:trPr>
        <w:tc>
          <w:tcPr>
            <w:tcW w:w="6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shd w:val="clear" w:color="auto" w:fill="CCEEFF"/>
          </w:tcPr>
          <w:p>
            <w:pPr>
              <w:spacing w:after="0"/>
              <w:rPr>
                <w:sz w:val="16"/>
                <w:szCs w:val="16"/>
                <w:color w:val="auto"/>
              </w:rPr>
            </w:pPr>
          </w:p>
        </w:tc>
        <w:tc>
          <w:tcPr>
            <w:tcW w:w="2680" w:type="dxa"/>
            <w:vAlign w:val="bottom"/>
            <w:shd w:val="clear" w:color="auto" w:fill="CCEEFF"/>
          </w:tcPr>
          <w:p>
            <w:pPr>
              <w:ind w:left="1040"/>
              <w:spacing w:after="0"/>
              <w:rPr>
                <w:sz w:val="20"/>
                <w:szCs w:val="20"/>
                <w:color w:val="auto"/>
              </w:rPr>
            </w:pPr>
            <w:r>
              <w:rPr>
                <w:rFonts w:ascii="Arial" w:cs="Arial" w:eastAsia="Arial" w:hAnsi="Arial"/>
                <w:sz w:val="16"/>
                <w:szCs w:val="16"/>
                <w:b w:val="1"/>
                <w:bCs w:val="1"/>
                <w:color w:val="auto"/>
              </w:rPr>
              <w:t>Nine Months Ended</w:t>
            </w:r>
          </w:p>
        </w:tc>
        <w:tc>
          <w:tcPr>
            <w:tcW w:w="1420" w:type="dxa"/>
            <w:vAlign w:val="bottom"/>
            <w:shd w:val="clear" w:color="auto" w:fill="CCEEFF"/>
          </w:tcPr>
          <w:p>
            <w:pPr>
              <w:spacing w:after="0"/>
              <w:rPr>
                <w:sz w:val="16"/>
                <w:szCs w:val="16"/>
                <w:color w:val="auto"/>
              </w:rPr>
            </w:pPr>
          </w:p>
        </w:tc>
        <w:tc>
          <w:tcPr>
            <w:tcW w:w="218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b w:val="1"/>
                <w:bCs w:val="1"/>
                <w:color w:val="auto"/>
              </w:rPr>
              <w:t>September 30, 2021</w:t>
            </w:r>
          </w:p>
        </w:tc>
        <w:tc>
          <w:tcPr>
            <w:tcW w:w="142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1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3,595,705 $</w:t>
            </w: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2,037,059</w:t>
            </w:r>
          </w:p>
        </w:tc>
        <w:tc>
          <w:tcPr>
            <w:tcW w:w="218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1,558,646</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76.5 %</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Revenue for the nine months ended September 30, 2021 increased by $1,558.6 million, or 76.5%, to $3,595.7 million, compared to $2,037.1 million for the nine months ended September 30, 2020. The increase in revenue in the nine months ended September 30, 2021 is due to the Merger and the impact of the continued recovery from the COVID-19 global pandemic has had on operations including: our ability to ensure laboratory samples are collected and analyzed on time, our ability to perform on-site monitoring of clinical trials, the ability of patients or service providers to travel, and our ability to travel.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jc w:val="both"/>
        <w:ind w:firstLine="212"/>
        <w:spacing w:after="0" w:line="251" w:lineRule="auto"/>
        <w:rPr>
          <w:sz w:val="20"/>
          <w:szCs w:val="20"/>
          <w:color w:val="auto"/>
        </w:rPr>
      </w:pPr>
      <w:r>
        <w:rPr>
          <w:rFonts w:ascii="Arial" w:cs="Arial" w:eastAsia="Arial" w:hAnsi="Arial"/>
          <w:sz w:val="16"/>
          <w:szCs w:val="16"/>
          <w:color w:val="auto"/>
        </w:rPr>
        <w:t>During the nine months ended September 30, 2021 we derived approximately 44.5%, 48.4% and 7.1% of our revenue in the United States, Europe and Rest of World respectively. During the nine months ended September 30, 2021, $1,242.4 million or 34.6% of our revenues were derived from our top 5 customers. New customer accounts are continually added, particularly from mid-tier pharma customers and biotech customers, which over time will result in a reduction in concentration of revenues from our top 5 customers.</w:t>
      </w:r>
    </w:p>
    <w:p>
      <w:pPr>
        <w:spacing w:after="0" w:line="229" w:lineRule="exact"/>
        <w:rPr>
          <w:sz w:val="20"/>
          <w:szCs w:val="20"/>
          <w:color w:val="auto"/>
        </w:rPr>
      </w:pPr>
    </w:p>
    <w:p>
      <w:pPr>
        <w:jc w:val="both"/>
        <w:ind w:firstLine="212"/>
        <w:spacing w:after="0" w:line="249" w:lineRule="auto"/>
        <w:rPr>
          <w:sz w:val="20"/>
          <w:szCs w:val="20"/>
          <w:color w:val="auto"/>
        </w:rPr>
      </w:pPr>
      <w:r>
        <w:rPr>
          <w:rFonts w:ascii="Arial" w:cs="Arial" w:eastAsia="Arial" w:hAnsi="Arial"/>
          <w:sz w:val="16"/>
          <w:szCs w:val="16"/>
          <w:color w:val="auto"/>
        </w:rPr>
        <w:t xml:space="preserve">Revenue in Ireland for the nine months ended September 30, 2021 increased to $1,029.9 million compared to $844.9 million for the nine months ended September 30, 2020. Revenue in Ireland is principally a function of the Company’s global transfer pricing model (see </w:t>
      </w:r>
      <w:r>
        <w:rPr>
          <w:rFonts w:ascii="Arial" w:cs="Arial" w:eastAsia="Arial" w:hAnsi="Arial"/>
          <w:sz w:val="16"/>
          <w:szCs w:val="16"/>
          <w:i w:val="1"/>
          <w:iCs w:val="1"/>
          <w:color w:val="auto"/>
        </w:rPr>
        <w:t>note 17 -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increased to $710.0 million compared to $292.5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2020. Revenue in the Rest of World region increased to $256.2 million compared to $199.2 million for the nine months ended September 30, 2020. Revenue in the U.S. region increased to $1,599.6 million from $700.5 million for the nine months ended September 30, 2020. Revenue has increased across all regions due to the completion of the Merger on July 1, 2021.</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2,615,309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1,444,536</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1,170,773</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72.7 %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70.9 %</w:t>
            </w:r>
          </w:p>
        </w:tc>
        <w:tc>
          <w:tcPr>
            <w:tcW w:w="5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81.0 %</w:t>
            </w:r>
          </w:p>
        </w:tc>
      </w:tr>
    </w:tbl>
    <w:p>
      <w:pPr>
        <w:spacing w:after="0" w:line="3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Direct costs for the nine months ended September 30, 2021 increased by $1,170.8 million, or 81.0%, to $2,615.3 million compared to $1,444.5 million for the nine months ended September 30, 2020. The increase in direct costs is primarily related to the Merger but also relates to an increase in third party investigator and other reimbursable costs, an increase in personnel related expenditure and an increase in laboratory costs during the period. As a percentage of revenue, direct costs have increased to 72.7% compared to 70.9% for the nine months ended September 30,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382,614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254,309</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128,305</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12.5 %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50.5 %</w:t>
            </w:r>
          </w:p>
        </w:tc>
      </w:tr>
    </w:tbl>
    <w:p>
      <w:pPr>
        <w:spacing w:after="0" w:line="2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Selling, general and administrative expenses for the nine months ended September 30, 2021 increased by $128.3 million, or 50.5%, to $382.6 million, compared to $254.3 million for the nine months ended September 30, 2020. The increase is primarily driven by the increased headcount and additional facilities as a result of the Merger. As a percentage of revenue, selling, general and administrative expenses decreased to 10.6% compared to 12.5% for the nine months ended September 30,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50,702</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34,553</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16,149</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124,615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14,428</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110,187</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0.7 %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6" w:name="page37"/>
    <w:bookmarkEnd w:id="36"/>
    <w:p>
      <w:pPr>
        <w:jc w:val="both"/>
        <w:ind w:firstLine="207"/>
        <w:spacing w:after="0" w:line="251" w:lineRule="auto"/>
        <w:rPr>
          <w:sz w:val="20"/>
          <w:szCs w:val="20"/>
          <w:color w:val="auto"/>
        </w:rPr>
      </w:pPr>
      <w:r>
        <w:rPr>
          <w:rFonts w:ascii="Arial" w:cs="Arial" w:eastAsia="Arial" w:hAnsi="Arial"/>
          <w:sz w:val="16"/>
          <w:szCs w:val="16"/>
          <w:color w:val="auto"/>
        </w:rPr>
        <w:t>Depreciation expense arises principally from investment in facilities, information systems and equipment to support the Company’s growth. Depreciation expense for the nine months ended September 30, 2021 increased by $16.1 million, or 46.7%, to $50.7 million compared to $34.6 million for the nine months ended September 30, 2020. As a percentage of revenue the depreciation expense was 1.4%, which decreased from 1.7% for the nine months ended September 30, 2020. The increase in depreciation is primarily driven by the Merger.</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Amortization expense represents the amortization of intangible assets acquired on business combinations. Amortization of intangibles for the nine months ended September 30, 2021 increased by $110.2 million, or 763.7%, to $124.6 million compared to $14.4 million for the nine months ended September 30, 2020. As a percentage of revenue, amortization expense increased to 3.5%, compared to 0.7% for the nine months ended September 30, 2020. The increase in amortization is driven by the Merger and the associated $4,875 million additional intangible assets recognized.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integration-related expenses (credit)</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182,309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(497)</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182,806</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 %</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36,781.9 %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Facilities restructuring costs</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6,162</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18,089</w:t>
            </w: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(11,927)</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0.9 %</w:t>
            </w:r>
          </w:p>
        </w:tc>
        <w:tc>
          <w:tcPr>
            <w:tcW w:w="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(65.9)%</w:t>
            </w:r>
          </w:p>
        </w:tc>
      </w:tr>
    </w:tbl>
    <w:p>
      <w:pPr>
        <w:spacing w:after="0" w:line="3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nine months ended September 30, 2021, the Company incurred $188.5 million for restructuring, transaction and integration-related expenses associated with the Merger. The charge includes transaction and integration costs of $182.3 million associated with investment banking, advisory costs, retention agreements with employees, accelerated share compensation charges and ongoing integration activities. The transaction and integration-related credit of $0.5 million incurred in the nine months ended September 30, 2020 related to the release of contingent consideration net of expenses incurred as part of ICON's recent acquisitions.</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has also undertaken a restructuring program following the announcement of the Merger to review its global office footprint and optimize its locations to best fit the requirements of the Company. This program has resulted in a charge of $6.2 million in the nine months ended September 30, 2021. In the nine months ended September 30, 2020, a restructuring charge of $18.1 million was recognized under a restructuring plan adopted following a review of operations. The restructuring plan reflected resource rationalization across the business to improve resource utilization.</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expect to incur additional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233,994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271,641</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(37,647)</w:t>
            </w: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13.3 %</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r>
    </w:tbl>
    <w:p>
      <w:pPr>
        <w:spacing w:after="0" w:line="200" w:lineRule="exact"/>
        <w:rPr>
          <w:sz w:val="20"/>
          <w:szCs w:val="20"/>
          <w:color w:val="auto"/>
        </w:rPr>
      </w:pP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Income from operations for the nine months ended September 30, 2021 decreased by $37.6 million, or 13.9%, to $234.0 million compared to $271.6 million for the nine months ended September 30, 2020. As a percentage of revenue, income from operations decreased to 6.5% compared to 13.3% of revenue for the nine months ended September 30, 2020. Income from operations is significantly impacted by Merger related costs incurred in the period.</w:t>
      </w:r>
    </w:p>
    <w:p>
      <w:pPr>
        <w:spacing w:after="0" w:line="22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Income from operations in Ireland increased to a profit of $270.1 million compared to a profit of $194.4 million for the nine months ended September 30, 2020. Income from operations in Ireland is impacted by the Group’s global transfer pricing model </w:t>
      </w:r>
      <w:r>
        <w:rPr>
          <w:rFonts w:ascii="Arial" w:cs="Arial" w:eastAsia="Arial" w:hAnsi="Arial"/>
          <w:sz w:val="16"/>
          <w:szCs w:val="16"/>
          <w:i w:val="1"/>
          <w:iCs w:val="1"/>
          <w:color w:val="auto"/>
        </w:rPr>
        <w:t>(see note 17 -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w:t>
      </w:r>
      <w:r>
        <w:rPr>
          <w:rFonts w:ascii="Arial" w:cs="Arial" w:eastAsia="Arial" w:hAnsi="Arial"/>
          <w:sz w:val="16"/>
          <w:szCs w:val="16"/>
          <w:i w:val="1"/>
          <w:iCs w:val="1"/>
          <w:color w:val="auto"/>
        </w:rPr>
        <w:t xml:space="preserve"> . </w:t>
      </w:r>
      <w:r>
        <w:rPr>
          <w:rFonts w:ascii="Arial" w:cs="Arial" w:eastAsia="Arial" w:hAnsi="Arial"/>
          <w:sz w:val="16"/>
          <w:szCs w:val="16"/>
          <w:color w:val="auto"/>
        </w:rPr>
        <w:t>Income from operations in our Rest of Europe region increased to $109.0 million compared to $22.5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Income from operations in our Rest of World region decreased to a loss of $11.1 million compared to a profit of $17.1 million for the nine months ended September 30, 2020. Income from operations in the U.S. region decreased to a loss of $134.0 million compared to a profit of $37.7 million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7" w:name="page38"/>
    <w:bookmarkEnd w:id="37"/>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(2,022)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(129,584)</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(9,640)</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ind w:right="699"/>
              <w:spacing w:after="0"/>
              <w:rPr>
                <w:sz w:val="20"/>
                <w:szCs w:val="20"/>
                <w:color w:val="auto"/>
              </w:rPr>
            </w:pPr>
            <w:r>
              <w:rPr>
                <w:rFonts w:ascii="Arial" w:cs="Arial" w:eastAsia="Arial" w:hAnsi="Arial"/>
                <w:sz w:val="16"/>
                <w:szCs w:val="16"/>
                <w:color w:val="auto"/>
              </w:rPr>
              <w:t>(119,944)</w:t>
            </w:r>
          </w:p>
        </w:tc>
        <w:tc>
          <w:tcPr>
            <w:tcW w:w="1160" w:type="dxa"/>
            <w:vAlign w:val="bottom"/>
          </w:tcPr>
          <w:p>
            <w:pPr>
              <w:jc w:val="right"/>
              <w:spacing w:after="0"/>
              <w:rPr>
                <w:sz w:val="20"/>
                <w:szCs w:val="20"/>
                <w:color w:val="auto"/>
              </w:rPr>
            </w:pPr>
            <w:r>
              <w:rPr>
                <w:rFonts w:ascii="Arial" w:cs="Arial" w:eastAsia="Arial" w:hAnsi="Arial"/>
                <w:sz w:val="16"/>
                <w:szCs w:val="16"/>
                <w:color w:val="auto"/>
              </w:rPr>
              <w:t>1,244.2 %</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Interest income for the nine months ended September 30, 2021 decreased to $0.5 million, compared to $2.5 million for the nine months ended September 30, 2020. Interest expense for the nine months ended September 30, 2021 increased to $129.6 million, compared to $9.6 million for the nine months ended September 30, 2020 due to the new debt issued to fund the Merger. Interest expense for the nine months ended September 30, 2021 includes transaction related financing fees of $78.2 million.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6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(excl. restructuring charges)</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27,880</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34,967</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(7,087)</w:t>
            </w: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Effective income tax rate (excl. restructuring charges)</w:t>
            </w: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25.1 %</w:t>
            </w:r>
          </w:p>
        </w:tc>
        <w:tc>
          <w:tcPr>
            <w:tcW w:w="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26,718</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32,706</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(5,988)</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25.5 %</w:t>
            </w:r>
          </w:p>
        </w:tc>
        <w:tc>
          <w:tcPr>
            <w:tcW w:w="9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Provision for income taxes decreased to $26.7 million ($27.9 million excluding restructuring charges), compared to $32.7 million ($35.0 million excluding restructuring charges) for the nine months ended September 30, 2020. The Company’s effective tax rate for the nine months ended September 30, 2021 was 25.5% (25.1% excluding restructuring charges) compared with 12.4% for the nine months ended September 30, 2020.</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 and the tax treatment of costs related to the Merger.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28" w:lineRule="exact"/>
        <w:rPr>
          <w:sz w:val="20"/>
          <w:szCs w:val="20"/>
          <w:color w:val="auto"/>
        </w:rPr>
      </w:pPr>
    </w:p>
    <w:p>
      <w:pPr>
        <w:jc w:val="both"/>
        <w:ind w:firstLine="246"/>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Balance</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Drawn</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Net cash</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Other non-</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Effect of</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December</w:t>
            </w:r>
          </w:p>
        </w:tc>
        <w:tc>
          <w:tcPr>
            <w:tcW w:w="128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down/</w:t>
            </w:r>
          </w:p>
        </w:tc>
        <w:tc>
          <w:tcPr>
            <w:tcW w:w="1200" w:type="dxa"/>
            <w:vAlign w:val="bottom"/>
            <w:shd w:val="clear" w:color="auto" w:fill="CCEEFF"/>
          </w:tcPr>
          <w:p>
            <w:pPr>
              <w:jc w:val="right"/>
              <w:ind w:right="199"/>
              <w:spacing w:after="0" w:line="162" w:lineRule="exact"/>
              <w:rPr>
                <w:sz w:val="20"/>
                <w:szCs w:val="20"/>
                <w:color w:val="auto"/>
              </w:rPr>
            </w:pPr>
            <w:r>
              <w:rPr>
                <w:rFonts w:ascii="Arial" w:cs="Arial" w:eastAsia="Arial" w:hAnsi="Arial"/>
                <w:sz w:val="16"/>
                <w:szCs w:val="16"/>
                <w:b w:val="1"/>
                <w:bCs w:val="1"/>
                <w:color w:val="auto"/>
              </w:rPr>
              <w:t>inflow/</w:t>
            </w:r>
          </w:p>
        </w:tc>
        <w:tc>
          <w:tcPr>
            <w:tcW w:w="14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cash</w:t>
            </w:r>
          </w:p>
        </w:tc>
        <w:tc>
          <w:tcPr>
            <w:tcW w:w="112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b w:val="1"/>
                <w:bCs w:val="1"/>
                <w:color w:val="auto"/>
              </w:rPr>
              <w:t>exchange</w:t>
            </w:r>
          </w:p>
        </w:tc>
        <w:tc>
          <w:tcPr>
            <w:tcW w:w="1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31, 2020</w:t>
            </w: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(repaid)</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(outflow)</w:t>
            </w: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adjustments</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rates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 (in thousands)</w:t>
            </w:r>
          </w:p>
        </w:tc>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840,305</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174,299</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(6,080)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1,008,524</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400" w:type="dxa"/>
            <w:vAlign w:val="bottom"/>
          </w:tcPr>
          <w:p>
            <w:pPr>
              <w:jc w:val="right"/>
              <w:ind w:right="219"/>
              <w:spacing w:after="0"/>
              <w:rPr>
                <w:sz w:val="20"/>
                <w:szCs w:val="20"/>
                <w:color w:val="auto"/>
              </w:rPr>
            </w:pPr>
            <w:r>
              <w:rPr>
                <w:rFonts w:ascii="Arial" w:cs="Arial" w:eastAsia="Arial" w:hAnsi="Arial"/>
                <w:sz w:val="16"/>
                <w:szCs w:val="16"/>
                <w:color w:val="auto"/>
              </w:rPr>
              <w:t>1,729</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Senior notes</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(348,477)</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(363,992)</w:t>
            </w: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15,515</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120" w:type="dxa"/>
            <w:vAlign w:val="bottom"/>
          </w:tcPr>
          <w:p>
            <w:pPr>
              <w:ind w:left="20"/>
              <w:spacing w:after="0" w:line="178" w:lineRule="exact"/>
              <w:rPr>
                <w:sz w:val="20"/>
                <w:szCs w:val="20"/>
                <w:color w:val="auto"/>
              </w:rPr>
            </w:pPr>
            <w:r>
              <w:rPr>
                <w:rFonts w:ascii="Arial" w:cs="Arial" w:eastAsia="Arial" w:hAnsi="Arial"/>
                <w:sz w:val="16"/>
                <w:szCs w:val="16"/>
                <w:color w:val="auto"/>
              </w:rPr>
              <w:t>Senior Secured Credit Facilities &amp; Senior</w:t>
            </w: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Secured Notes</w:t>
            </w: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6,015,000</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(89,985)</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2,855</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(5,927,870)</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493,557</w:t>
            </w:r>
          </w:p>
        </w:tc>
        <w:tc>
          <w:tcPr>
            <w:tcW w:w="12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5,651,008</w:t>
            </w:r>
          </w:p>
        </w:tc>
        <w:tc>
          <w:tcPr>
            <w:tcW w:w="1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84,297</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18,370</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(6,080)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(4,917,634)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jc w:val="both"/>
        <w:ind w:firstLine="261"/>
        <w:spacing w:after="0" w:line="251" w:lineRule="auto"/>
        <w:rPr>
          <w:sz w:val="20"/>
          <w:szCs w:val="20"/>
          <w:color w:val="auto"/>
        </w:rPr>
      </w:pPr>
      <w:r>
        <w:rPr>
          <w:rFonts w:ascii="Arial" w:cs="Arial" w:eastAsia="Arial" w:hAnsi="Arial"/>
          <w:sz w:val="16"/>
          <w:szCs w:val="16"/>
          <w:color w:val="auto"/>
        </w:rPr>
        <w:t>The Company’s cash and short term investment balances at September 30, 2021 amounted to $1,010.2 million compared with cash and short term investment balances of $842.0 million at December 31, 2020. The Company’s cash and short term investment balances at September 30, 2021 comprised of cash and cash equivalents of $1,008.5 million and short-term investments of $1.7 million. The Company’s cash and short term investment balances at December 31, 2020 comprised of cash and cash equivalents of $840.3 million and short-term investments of $1.7 million.</w:t>
      </w:r>
    </w:p>
    <w:p>
      <w:pPr>
        <w:spacing w:after="0" w:line="229" w:lineRule="exact"/>
        <w:rPr>
          <w:sz w:val="20"/>
          <w:szCs w:val="20"/>
          <w:color w:val="auto"/>
        </w:rPr>
      </w:pPr>
    </w:p>
    <w:p>
      <w:pPr>
        <w:jc w:val="both"/>
        <w:ind w:firstLine="247"/>
        <w:spacing w:after="0" w:line="253" w:lineRule="auto"/>
        <w:rPr>
          <w:sz w:val="20"/>
          <w:szCs w:val="20"/>
          <w:color w:val="auto"/>
        </w:rPr>
      </w:pPr>
      <w:r>
        <w:rPr>
          <w:rFonts w:ascii="Arial" w:cs="Arial" w:eastAsia="Arial" w:hAnsi="Arial"/>
          <w:sz w:val="16"/>
          <w:szCs w:val="16"/>
          <w:color w:val="auto"/>
        </w:rPr>
        <w:t>On December 15, 2015, ICON Investments Five Unlimited Company issued Senior Notes for aggregate gross proceeds of $350.0 million in a private placement. Interest payable was fixed at 3.64%, and was payable semi-annually on the Senior Notes on each June 15 and December 15, commencing June 15, 2016. The Senior Notes were guaranteed by ICON plc and matured on December 15, 2020 at which time they were repaid in full.</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December 8, 2020, ICON Investments Five Unlimited Company issued new senior notes ("2020 Senior Notes") for aggregate gross proceeds of $350.0 million in a private placement which was guaranteed by ICON plc. The 2020 Senior Notes were issued in two tranches; Series A Notes of $275.0 million maturing on December 8, 2023 and Series B Notes of $75.0 million maturing on December 8, 2025. Interest payable on the 2020 Senior Notes was fixed at 2.32% and 2.43% for Series A Notes and Series B Notes respectively. Due to the conditions attached to the additional borrowings to fund the PRA merger, the 2020 Senior Notes were repaid on July 1, 2021 inclusive of early repayment charges. The total repayment on July 1, 2021 was $364.0 million.</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 was a cash outflow on maturity in July 2020 of $0.9 million, representing the realized loss on the interest rate hedge. The</w:t>
      </w:r>
      <w:r>
        <w:rPr>
          <w:rFonts w:ascii="Arial" w:cs="Arial" w:eastAsia="Arial" w:hAnsi="Arial"/>
          <w:sz w:val="16"/>
          <w:szCs w:val="16"/>
          <w:i w:val="1"/>
          <w:iCs w:val="1"/>
          <w:color w:val="auto"/>
        </w:rPr>
        <w:t xml:space="preserve"> </w:t>
      </w:r>
      <w:r>
        <w:rPr>
          <w:rFonts w:ascii="Arial" w:cs="Arial" w:eastAsia="Arial" w:hAnsi="Arial"/>
          <w:sz w:val="16"/>
          <w:szCs w:val="16"/>
          <w:color w:val="auto"/>
        </w:rPr>
        <w:t>unamortized portion of this loss has been released in the period in line with the commitment to early settle the 2020 Senior Notes.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 The proceeds of the senior secured term loan facility were used to repay in full (i) PRA’s existing credit facilities and (ii) the Company's private placement notes outstanding and fund, in part, the transaction. The senior secured term loan facility will mature in July 2028 and the revolving loan facility will mature in July 2026. No amounts have been drawn under the revolving loan facility at September 30, 2021.</w:t>
      </w:r>
    </w:p>
    <w:p>
      <w:pPr>
        <w:spacing w:after="0" w:line="2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addition to the Senior Secured Credit Facilities, on July 1, 2021, the Company, issued $500 million in aggregate principal amount of 2.875% senior secured notes due 2026 in a private offering. The senior secured notes will mature on July 15, 2026 and will bear interest at a rate of 2.875%.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firstLine="215"/>
        <w:spacing w:after="0" w:line="247" w:lineRule="auto"/>
        <w:rPr>
          <w:sz w:val="20"/>
          <w:szCs w:val="20"/>
          <w:color w:val="auto"/>
        </w:rPr>
      </w:pPr>
      <w:r>
        <w:rPr>
          <w:rFonts w:ascii="Arial" w:cs="Arial" w:eastAsia="Arial" w:hAnsi="Arial"/>
          <w:sz w:val="16"/>
          <w:szCs w:val="16"/>
          <w:color w:val="auto"/>
        </w:rPr>
        <w:t>Net cash provided by operating activities was $539.3 million for the nine months ended September 30, 2021 compared with cash provided by operating activities of $372.6 million for the nine months ended September 30, 2020. This reflects the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2021 was 26 days compared with 57 days at December 31, 2020 and 64 days at September 30, 2020. This reflects the timing of cash collections. The increase in cash driven by the decrease in days sales outstanding is offset by payments of transaction related expenses during the nine months ended September 30, 2021.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180"/>
        <w:spacing w:after="0" w:line="250" w:lineRule="auto"/>
        <w:rPr>
          <w:sz w:val="20"/>
          <w:szCs w:val="20"/>
          <w:color w:val="auto"/>
        </w:rPr>
      </w:pPr>
      <w:r>
        <w:rPr>
          <w:rFonts w:ascii="Arial" w:cs="Arial" w:eastAsia="Arial" w:hAnsi="Arial"/>
          <w:sz w:val="16"/>
          <w:szCs w:val="16"/>
          <w:color w:val="auto"/>
        </w:rPr>
        <w:t>Net cash used in investing activities was $5,965.2 million for the nine months ended September 30, 2021 compared to net cash used in investing activities of $23.1 million for the nine months ended September 30, 2020. Net cash used in investing activities during the nine months ended September 30, 2021 were primarily related to outflows on completion of the Merger, net of cash acquired of $5,914.5 million. Other cash movements in investing activities were cash outflows of $46.1 million for capital expenditures made mainly relating to investment in facilities and IT infrastructure, a cash outflow of $2.5 million in relation to the Company's investment in Oncacare and cash outflows of $2.2 million for the purchase of investments in equity.</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Net cash used in investing activities during the nine months ended September 30, 2020 was largely attributable to cash outflows on the acquisition of Medpass of $47.6 million on January 22, 2020. These were offset in part by cash acquired of $10.2 million. During the nine months ended September 30, 2020, cash used for the purchase of equity method investments was $2.5 million. During the nine months ended September 30, 2020, capital expenditure of $28.0 million was made which was mainly comprised of investment in facilities and IT infrastructure. In addition, $2.7 million was used for the purchase of investments in equity. During the nine months ended September 30, 2020 $47.9 million was generated by the sale of short term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8" w:lineRule="exact"/>
        <w:rPr>
          <w:sz w:val="20"/>
          <w:szCs w:val="20"/>
          <w:color w:val="auto"/>
        </w:rPr>
      </w:pPr>
    </w:p>
    <w:p>
      <w:pPr>
        <w:jc w:val="both"/>
        <w:ind w:firstLine="193"/>
        <w:spacing w:after="0" w:line="249" w:lineRule="auto"/>
        <w:rPr>
          <w:sz w:val="20"/>
          <w:szCs w:val="20"/>
          <w:color w:val="auto"/>
        </w:rPr>
      </w:pPr>
      <w:r>
        <w:rPr>
          <w:rFonts w:ascii="Arial" w:cs="Arial" w:eastAsia="Arial" w:hAnsi="Arial"/>
          <w:sz w:val="16"/>
          <w:szCs w:val="16"/>
          <w:color w:val="auto"/>
        </w:rPr>
        <w:t>Net cash provided by financing activities during the nine months ended September 30, 2021 amounted to $5,600.2 million compared to net cash used in financing activities of $162.8 million for the nine months ended September 30, 2020. During the nine months ended September 30, 2021, the Company drew down external financing of $6,015 million to fund the completion of the Merger. This was offset by payments for debt issue costs of $109.9 million. As part of the external financing, the Company paid financing professional fees of $30.3 million and made payments of principal on the external debt of $13.8 million. The Company also repaid the 2020 Senior Notes on 1 July 2021, including early repayment charges, totaling $364.0 million. During the nine months ended September 30, 2021, $104.1 million was received by the Company from the exercise of share options.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nine months ended September 30, 2020, $175.0 million was recognized in relation to the Company's share repurchase program. In addition, $12.3 million was received by the Company from the exercise of share options.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68" w:lineRule="exact"/>
        <w:rPr>
          <w:sz w:val="20"/>
          <w:szCs w:val="20"/>
          <w:color w:val="auto"/>
        </w:rPr>
      </w:pPr>
    </w:p>
    <w:p>
      <w:pPr>
        <w:jc w:val="both"/>
        <w:ind w:right="20" w:firstLine="205"/>
        <w:spacing w:after="0" w:line="260" w:lineRule="auto"/>
        <w:rPr>
          <w:sz w:val="20"/>
          <w:szCs w:val="20"/>
          <w:color w:val="auto"/>
        </w:rPr>
      </w:pPr>
      <w:r>
        <w:rPr>
          <w:rFonts w:ascii="Arial" w:cs="Arial" w:eastAsia="Arial" w:hAnsi="Arial"/>
          <w:sz w:val="16"/>
          <w:szCs w:val="16"/>
          <w:color w:val="auto"/>
        </w:rPr>
        <w:t>As a result of these cash flows, cash and cash equivalents increased by $168.2 million for the nine months ended September 30, 2021 compared to an increase of $187.7 million for the nine months ended September 30,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Legal proceedings</w:t>
      </w:r>
    </w:p>
    <w:p>
      <w:pPr>
        <w:spacing w:after="0" w:line="25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On April 20, 2020, an individual named Chrystal Miller (“Miller”) who previously worked for a subsidiary of the Company, ICON Clinical Research LLC (“ICON Clinical”), filed a putative class action lawsuit, Chrystal Miller v. ICON plc et al., in the Superior Court of California, County of San Mateo. Her lawsuit was brought against the Company, ICON Clinical, DOCS Global, Inc., a subsidiary of the Company, and an individual former employee of ICON Clinical (collectively, “the ICON defendants”). Miller has filed several amended complaints and the operative complaint alleges that the ICON defendants violated the California Labor Code and the California Business &amp; Professions Code by failing to pay overtime wages, provide meal and rest periods, provide accurate, itemized wage statements, timely pay all final wages, and provide personnel records upon request to Clinical Research Associates employed in California from April 20, 2016, to June 22, 2020. The suit seeks monetary damages, interest, injunctive relief, and attorneys’ fees and costs. ICON Clinical has filed a cross-complaint against Miller alleging causes of action for fraud, negligent misrepresentation and breach of contract. The case has been removed to federal court and is pending in the United States District Court, Northern District of California. The ICON defendants deny the allegations that they have acted unlawfully and are vigorously defending the lawsuit.</w:t>
      </w:r>
    </w:p>
    <w:p>
      <w:pPr>
        <w:spacing w:after="0" w:line="22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do not expect the Miller litigation or any other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Following the completion of the Merger on July 1, 2021 the Company supplemented its existing risk factors as detailed in the Form 20-F for the year ended December 31, 2020 with the following additional risk factors:</w:t>
      </w:r>
    </w:p>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substantial additional indebtedness that ICON incurred in connection with the transaction could adversely affect the combined company’s business, financial condition or results of operations.</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Following completion of the Merger and the other transactions contemplated by the merger agreement, the combined company has a substantial amount of debt. ICON borrowed approximately $6,015 million in order to pay PRA stockholders the cash consideration due to them as merger consideration under the merger agreement, pay related fees and transaction costs in connection with the transactions, and refinance certain existing indebtedness of PRA. ICON’s consolidated borrowings were $5,927.9 million as at September 30, 2021. This increased level of borrowings could adversely affect the combined company in a number of ways, including, but not limited to, by making it more difficult for the combined company to satisfy its obligations with respect to its debt or to its trade or other creditors, requiring a substantial portion of the combined company’s cash flows from operations for the payment of interest on the combined company’s debt, reducing the combined company’s flexibility to respond to changing business and economic conditions, and reducing funds available for the combined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2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addition, ICON’s increased level of indebtedness could adversely affect ICON’s credit rating, which could result in increased borrowing costs for the combined company in the future. No assurances can be made that ICON will be able to refinance any indebtedness incurred in connection with the Merger on terms acceptable to it or at all.</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The combined company may not be able to retain customers or suppliers, or attract new customers, or customers or suppliers may seek to modify contractual obligations with the combined company, which could have an adverse effect on the combined company’s business and operations.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a result of the Merger, the combined company may experience strain in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or may decline to award new business to, or renew existing contracts or enter into new long-term agreements with, the combined company. There can be no guarantee that customers and suppliers will remain with or continue to have a relationship with the combined company or do so on the same or similar contractual terms following the Merger or that the combined company will be able to attract new customers. If any of the customers or suppliers seek to terminate or modify contractual obligations or discontinue the relationship with the combined company, or if the combined company is unable to attract new customers, then the combined company’s business and results of operations may be harmed.</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Combining the businesses of ICON and PRA may be more difficult, costly or time-consuming than expected and the combined company may fail to realize the anticipated benefits of the Merger, which may adversely affect the combined company’s business results and negatively affect the market price of ICON ordinary shares following the Merger.</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success of the Merger will depend on, among other things, the ability of ICON and PRA to combine their businesses in a manner that facilitates growth opportunities and realizes cost savings. ICON and PRA have entered into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spacing w:after="0" w:line="260" w:lineRule="auto"/>
        <w:rPr>
          <w:sz w:val="20"/>
          <w:szCs w:val="20"/>
          <w:color w:val="auto"/>
        </w:rPr>
      </w:pPr>
      <w:r>
        <w:rPr>
          <w:rFonts w:ascii="Arial" w:cs="Arial" w:eastAsia="Arial" w:hAnsi="Arial"/>
          <w:sz w:val="16"/>
          <w:szCs w:val="16"/>
          <w:color w:val="auto"/>
        </w:rPr>
        <w:t>merger agreement because each believes that the Merger and the other transactions contemplated by the merger agreement are fair to and in the best interests of its respective stockholders and that combining the businesses of ICON and PRA will produce benefits and cost savings.</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However, ICON and PRA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ordinary shares of the combined company.</w:t>
      </w:r>
    </w:p>
    <w:p>
      <w:pPr>
        <w:spacing w:after="0" w:line="22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the actual integration may result in additional and unforeseen expenses, and the anticipated benefits of the integration plan may not be realized. Actual growth and cost savings, if achieved, may be lower than what ICON and PRA expect and may take longer to achieve than anticipated. If ICON and PRA are not able to adequately address integration challenges, they may be unable to successfully integrate their operations or realize the anticipated benefits of the integration of the two companies.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failure to integrate successfully the businesses and operations of ICON and PRA in the expected time frame may adversely affect the combined company’s future results.</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and PRA have operated independently. There can be no assurances that their businesses can be integrated successfully. It is possible that the integration process could result in the loss of key ICON employees or key PRA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due to the integration process, customers may be slow to award new business to the combined company or may not award new business to the combined company at all. Specifically, the following issues, among others, must be addressed in integrating the operations of ICON and PRA in order to realize the anticipated benefits of the Merger so the combined company performs as expected:</w:t>
      </w:r>
    </w:p>
    <w:p>
      <w:pPr>
        <w:spacing w:after="0" w:line="235"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combining the companies’ operations and corporate functions;</w:t>
      </w:r>
    </w:p>
    <w:p>
      <w:pPr>
        <w:spacing w:after="0" w:line="248" w:lineRule="exact"/>
        <w:rPr>
          <w:sz w:val="20"/>
          <w:szCs w:val="20"/>
          <w:color w:val="auto"/>
        </w:rPr>
      </w:pPr>
    </w:p>
    <w:p>
      <w:pPr>
        <w:ind w:left="1300" w:hanging="323"/>
        <w:spacing w:after="0" w:line="260" w:lineRule="auto"/>
        <w:tabs>
          <w:tab w:leader="none" w:pos="1280" w:val="left"/>
        </w:tabs>
        <w:rPr>
          <w:sz w:val="20"/>
          <w:szCs w:val="20"/>
          <w:color w:val="auto"/>
        </w:rPr>
      </w:pPr>
      <w:r>
        <w:rPr>
          <w:rFonts w:ascii="Arial" w:cs="Arial" w:eastAsia="Arial" w:hAnsi="Arial"/>
          <w:sz w:val="16"/>
          <w:szCs w:val="16"/>
          <w:color w:val="auto"/>
        </w:rPr>
        <w:t>•</w:t>
        <w:tab/>
        <w:t>combining the businesses of ICON and PRA and meeting the capital requirements of the combined company, in a manner that permits the combined company to achieve the synergies and other benefits anticipated to result from the Merger;</w:t>
      </w:r>
    </w:p>
    <w:p>
      <w:pPr>
        <w:spacing w:after="0" w:line="222"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integrating personnel from the two companies;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integrating the companies’ technologies, systems and processes;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integrating and unifying the offerings and services available to customers;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identifying and eliminating redundant and underperforming functions and assets;</w:t>
      </w:r>
    </w:p>
    <w:p>
      <w:pPr>
        <w:spacing w:after="0" w:line="248"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harmonizing the companies’ operating practices, employee development and compensation programs, internal controls and other policies, procedures and processes;</w:t>
      </w:r>
    </w:p>
    <w:p>
      <w:pPr>
        <w:spacing w:after="0" w:line="222" w:lineRule="exact"/>
        <w:rPr>
          <w:rFonts w:ascii="Arial" w:cs="Arial" w:eastAsia="Arial" w:hAnsi="Arial"/>
          <w:sz w:val="16"/>
          <w:szCs w:val="16"/>
          <w:color w:val="auto"/>
        </w:rPr>
      </w:pPr>
    </w:p>
    <w:p>
      <w:pPr>
        <w:ind w:left="1300" w:hanging="320"/>
        <w:spacing w:after="0" w:line="260"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maintaining existing agreements with customers, distributors, providers and vendors and avoiding delays in entering into new agreements with prospective customers, distributors, providers and vendors;</w:t>
      </w:r>
    </w:p>
    <w:p>
      <w:pPr>
        <w:spacing w:after="0" w:line="222"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addressing possible differences in business backgrounds, corporate cultures and management philosophies;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consolidating the companies’ administrative and information technology infrastructure;</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coordinating distribution and sales and marketing efforts;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managing the movement of certain positions to different locations;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coordinating geographically dispersed organizations; and</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effecting actions that may be required in connection with obtaining regulatory approvals.</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42" w:name="page43"/>
    <w:bookmarkEnd w:id="42"/>
    <w:p>
      <w:pPr>
        <w:jc w:val="both"/>
        <w:ind w:firstLine="648"/>
        <w:spacing w:after="0" w:line="253" w:lineRule="auto"/>
        <w:rPr>
          <w:sz w:val="20"/>
          <w:szCs w:val="20"/>
          <w:color w:val="auto"/>
        </w:rPr>
      </w:pPr>
      <w:r>
        <w:rPr>
          <w:rFonts w:ascii="Arial" w:cs="Arial" w:eastAsia="Arial" w:hAnsi="Arial"/>
          <w:sz w:val="16"/>
          <w:szCs w:val="16"/>
          <w:color w:val="auto"/>
        </w:rPr>
        <w:t>In addition, at times the attention of certain members of either company’s or both companies’ management and resources may be focused on the integration of the businesses of the two companies and diverted from day-to-day business operations, which may disrupt each company’s ongoing business and the business of the combined company.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ICON may be unable to realize anticipated cost and tax synergies and expects to incur substantial expenses related to the Merger.</w:t>
      </w:r>
    </w:p>
    <w:p>
      <w:pPr>
        <w:spacing w:after="0" w:line="2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ICON expects to generate run rate cost synergies of approximately $150 million and tax savings from the combined target effective tax rate both to be realized within approximately four years after completion of the Merger. 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realize all of these cost and tax synergies within the timeframe expected or at all. In addition, ICON may incur additional or unexpected costs in order to realize these cost and tax synergies. ICON’s ability to realize tax synergies is subject to uncertainties. Failure to achieve the expected cost and tax synergies could significantly reduce the expected benefits associated with the Merger. In addition, ICON has incurred and will incur substantial expenses in connection with completion of the Merger.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combined company may be exposed to increased litigation, which could have an adverse effect on the combined company’s business and operations.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combined company may be exposed to increased litigation from stockholders, customers, suppliers, consumers and other third parties due to the combination of ICON’s business and PRA’s business following the Merger. Such litigation may have an adverse impact on the combined company’s business and results of operations or may cause disruptions to the combined company’s operations.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Upon completion of the transaction, PRA stockholders became ICON shareholders, and the market price for ICON ordinary shares may be affected by factors different from those that historically have affected the market price of PRA’s shares.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Upon completion of the transaction, PRA stockholders became ICON shareholders. ICON’s and PRA’s businesses differ and, accordingly, the results of operations of the combined company will be affected by some factors that are different from those currently or historically affecting the results of operations of ICON and those currently or historically affecting the results of operations of PRA.</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Resales of ICON ordinary shares following the Merger may cause the market price of ICON ordinary shares to decline.</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issued 27,372,427 ICON ordinary shares in connection with the Merger. The issuance of these new ICON ordinary shares and the sale of additional ICON ordinary shares that may become eligible for sale in the public market from time to time could have the effect of depressing the market price for ICON ordinary shares. The increase in the number of ICON ordinary shares may lead to sales of such ICON ordinary shares or the perception that such sales may occur, either of which may adversely affect the market for, and the market price of, ICON ordinary shares.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ICON ordinary shares may decline as a result of the transaction.</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market price of ICON ordinary shares may decline as a result of the transaction if, among other things, the combined company is unable to achieve the expected growth in revenues and earnings, or if the cost savings estimates in connection with the integration of ICON’s and PRA’s businesses are not realized or if the transaction costs related to the transaction are greater than expected. The market price also may decline if the combined company does not achieve the perceived benefits of the transaction as rapidly or to the extent anticipated by the market or if the effect of the transaction on the combined company’s financial position, results of operations or cash flows is not consistent with the expectations of financial or industry analysts.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ICON does not expect to pay any cash dividends for the foreseeable future.</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currently does not expect to declare dividends on ICON ordinary shares and has not done so in the past. Any determination to declare or pay dividends in the future will be at the discretion of the ICON board of directors, subject to relevant laws and dependent on a number of factors, including ICON’s earnings, capital requirements and overall financial condition. Therefore, the only opportunity for PRA stockholders to achieve a return on the ICON ordinary shares received as share consideration may be if the market price of ICON ordinary shares appreciates and shares received as share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3" w:name="page44"/>
    <w:bookmarkEnd w:id="43"/>
    <w:p>
      <w:pPr>
        <w:jc w:val="both"/>
        <w:spacing w:after="0" w:line="260" w:lineRule="auto"/>
        <w:rPr>
          <w:sz w:val="20"/>
          <w:szCs w:val="20"/>
          <w:color w:val="auto"/>
        </w:rPr>
      </w:pPr>
      <w:r>
        <w:rPr>
          <w:rFonts w:ascii="Arial" w:cs="Arial" w:eastAsia="Arial" w:hAnsi="Arial"/>
          <w:sz w:val="16"/>
          <w:szCs w:val="16"/>
          <w:color w:val="auto"/>
        </w:rPr>
        <w:t>consideration are sold at a price higher than the implied value of the share consideration. The market price for ICON ordinary shares may not appreciate and may fall below the implied value of the share consideration.</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 future transfer of ICON ordinary shares, other than one effected by means of the transfer of book entry interests in DTC, may be subject to Irish stamp duty.</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Transfers of ICON ordinary shares effected by means of the transfer of book entry interests in DTC should not be subject to Irish stamp duty where ICON ordinary shares are traded through DTC, either directly or through brokers that hold such shares on behalf of customers through DTC. However, if you hold ICON ordinary shares as of record rather than beneficially through DTC, any transfer of ICON ordinary shares could be subject to Irish stamp duty (currently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There may be less publicly available information concerning ICON than there is for issuers that are not foreign private issuers because ICON, as a foreign private issuer, is exempt from a number of rules under the Exchange Act, is permitted to file less information with the SEC than issuers that are not foreign private issuers and is permitted to follow home country practice in lieu of the listing requirements of Nasdaq, subject to certain exceptions.</w:t>
      </w:r>
    </w:p>
    <w:p>
      <w:pPr>
        <w:spacing w:after="0" w:line="22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As a foreign private issuer under the Exchange Act, ICON is exempt from certain rules under the Exchange Act, and is not required to file periodic reports and financial statements with the SEC as frequently or as promptly as companies whose securities are registered under the Exchange Act but are not foreign private issuers, or to comply with Regulation FD, which restricts the selective disclosure of material non-public information. In addition, ICON is exempt from certain disclosure and procedural requirements applicable to proxy solicitations under Section 14 of the Exchange Act. The members of the ICON management board, officers and principal shareholders are exempt from the reporting and “short-swing” profit recovery provisions of Section 16 of the Exchange Act. Accordingly, there may be less publicly available information concerning ICON than there is for companies whose securities are registered under the Exchange Act but are not foreign private issuers, and such information may not be provided as promptly as it is provided by such companies. In addition, certain information may be provided by ICON in accordance with Irish law, which may differ in substance or timing from such disclosure requirements under the Exchange Act. Further, as a foreign private issuer, under Nasdaq rules, ICON is subject to less stringent corporate governance requirements. Subject to certain exceptions, the rules of Nasdaq permit a foreign private issuer to follow its home country practice in lieu of the listing requirements of Nasdaq, including, for example, certain internal controls as well as board, committee and director independence requirements. Accordingly, if ICON remains a foreign private issuer after the merger, you may not have the same protections afforded to shareholders of companies that are required to comply with all of the Nasdaq corporate governance requirements.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ICON is a public limited company incorporated under the laws of Ireland and a substantial portion of its assets are, and many of its directors and officers reside, outside of the United States. As a result, it may not be possible for shareholders to enforce civil liability provisions of the securities laws of the United States against ICON or ICON’s directors and members of the ICON board.</w:t>
      </w:r>
    </w:p>
    <w:p>
      <w:pPr>
        <w:spacing w:after="0" w:line="21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ICON is organized under the laws of Ireland. A substantial portion of ICON’s assets are located outside the United States, and many of ICON’s directors and officers and some of the experts named in this joint proxy statement/prospectus are residents of jurisdictions outside of the United States and the assets of such persons may be located outside of the United States. As a result, it may be difficult for investors to effect service within the United States upon ICON and those directors, officers and experts, or to enforce judgments obtained in U.S. courts against ICON or such persons either inside or outside of the United States, or to enforce in U.S. courts judgments obtained against ICON or such persons in courts in jurisdictions outside the United States, in any action predicated upon the civil liability provisions of the federal securities laws of the United States.</w:t>
      </w:r>
    </w:p>
    <w:p>
      <w:pPr>
        <w:spacing w:after="0" w:line="23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There is no certainty that civil liabilities predicated solely upon the federal securities laws of the United States can be enforced in Ireland, whether by original action or by seeking to enforce a judgment of U.S. courts. In addition, punitive damages awards in actions brought in the United States or elsewhere may be unenforceable in Ireland.</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third parties to provide certain data and other information to us. Our suppliers or providers might increase our cost to obtain, restrict our use of or refuse to license data, which could lead to our inability to access certain data or provide certain services and, as a result, materially and adversely affect our operating results and financial condition.</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services are derived from, or include, the use of data we collect from third parties. We have several data suppliers that provide us with a broad and diverse scope of information that we collect, use in our business and sell.</w:t>
      </w:r>
    </w:p>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generally enter into long-term contractual arrangements with many of our data suppliers. At the time we enter into a new data supply contract or renew an existing contract, suppliers may increase our cost to obtain and use the data provided by such supplier, increase restrictions on our ability to use or sell such data, or altogether refuse to license the data to us. Also, our data suppliers may fail to meet or adhere to our quality control standards or fail to deliver the data to us. Although no single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4" w:name="page45"/>
    <w:bookmarkEnd w:id="44"/>
    <w:p>
      <w:pPr>
        <w:jc w:val="both"/>
        <w:spacing w:after="0" w:line="251" w:lineRule="auto"/>
        <w:rPr>
          <w:sz w:val="20"/>
          <w:szCs w:val="20"/>
          <w:color w:val="auto"/>
        </w:rPr>
      </w:pPr>
      <w:r>
        <w:rPr>
          <w:rFonts w:ascii="Arial" w:cs="Arial" w:eastAsia="Arial" w:hAnsi="Arial"/>
          <w:sz w:val="16"/>
          <w:szCs w:val="16"/>
          <w:color w:val="auto"/>
        </w:rPr>
        <w:t>supplier is material to our business, if suppliers that collectively provide a significant amount of the data we receive or use were to increase our costs to obtain or use such data, further restrict our access to or use of such data, fail to meet or adhere to our quality control standards, refuse to provide or fail to deliver data to us, our ability to provide data-dependent services to our clients may be adversely impacted, which could have a material adverse effect on our business, results of operations, financial condition or cash flow.</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rely on third parties for important products, services and licenses to certain technology and intellectual property rights and we might not be able to continue to obtain such products, services and licenses.</w:t>
      </w:r>
    </w:p>
    <w:p>
      <w:pPr>
        <w:spacing w:after="0" w:line="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 others, suppliers of drugs for patients participating in trials, suppliers of kits for use in our laboratories, suppliers of reagents for use in our testing equipment and providers of maintenance services for our equipment. The failure of any of these third parties to adequately provide the required products or services, or to do so in compliance with applicable regulatory requirements, could have a material adverse effect on our business.</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Some of our services rely on intellectual property, technology and other similar property owned and/or controlled by third parties. Our licenses to this property and technology could terminate or expire and we might not be able to replace these licenses in a timely manner. Also, we might not be able to renew these licenses on similar terms and conditions. Failure to renew these licenses, or renewals of these licenses on less advantageous terms, could have a material adverse effect on our business, results of operations, financial condition or cash flow.</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68" w:lineRule="exact"/>
        <w:rPr>
          <w:sz w:val="20"/>
          <w:szCs w:val="20"/>
          <w:color w:val="auto"/>
        </w:rPr>
      </w:pPr>
    </w:p>
    <w:p>
      <w:pPr>
        <w:jc w:val="both"/>
        <w:ind w:firstLine="188"/>
        <w:spacing w:after="0" w:line="249" w:lineRule="auto"/>
        <w:rPr>
          <w:sz w:val="20"/>
          <w:szCs w:val="20"/>
          <w:color w:val="auto"/>
        </w:rPr>
      </w:pPr>
      <w:r>
        <w:rPr>
          <w:rFonts w:ascii="Arial" w:cs="Arial" w:eastAsia="Arial" w:hAnsi="Arial"/>
          <w:sz w:val="16"/>
          <w:szCs w:val="16"/>
          <w:color w:val="auto"/>
        </w:rPr>
        <w:t>Certain statements contained herein are forward looking statements.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Forward-looking statements are only as of the date they are made and we do not undertake any obligation to update publicly any forward-looking statement, either as a result of new information, future events or otherwise. Please also refer to the Form 20-F filed on February 24, 2021 for risks and uncertainties facing the Company.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277"/>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65" w:lineRule="exact"/>
        <w:rPr>
          <w:sz w:val="20"/>
          <w:szCs w:val="20"/>
          <w:color w:val="auto"/>
        </w:rPr>
      </w:pPr>
    </w:p>
    <w:p>
      <w:pPr>
        <w:ind w:left="790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2318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26" w:lineRule="exact"/>
        <w:rPr>
          <w:sz w:val="20"/>
          <w:szCs w:val="20"/>
          <w:color w:val="auto"/>
        </w:rPr>
      </w:pPr>
    </w:p>
    <w:p>
      <w:pPr>
        <w:ind w:left="680" w:right="1740" w:hanging="7869"/>
        <w:spacing w:after="0" w:line="267" w:lineRule="auto"/>
        <w:tabs>
          <w:tab w:leader="none" w:pos="660" w:val="left"/>
        </w:tabs>
        <w:rPr>
          <w:sz w:val="20"/>
          <w:szCs w:val="20"/>
          <w:color w:val="auto"/>
        </w:rPr>
      </w:pPr>
      <w:r>
        <w:rPr>
          <w:rFonts w:ascii="Arial" w:cs="Arial" w:eastAsia="Arial" w:hAnsi="Arial"/>
          <w:sz w:val="16"/>
          <w:szCs w:val="16"/>
          <w:color w:val="auto"/>
        </w:rPr>
        <w:t>Date:</w:t>
        <w:tab/>
        <w:t>November 9, 2021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sectPr>
      <w:pgSz w:w="11900" w:h="16838" w:orient="portrait"/>
      <w:cols w:equalWidth="0" w:num="1">
        <w:col w:w="11220"/>
      </w:cols>
      <w:pgMar w:left="320" w:top="11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Roman"/>
      <w:start w:val="2"/>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lvl w:ilvl="1">
      <w:lvlJc w:val="left"/>
      <w:lvlText w:val="%2)"/>
      <w:numFmt w:val="lowerLetter"/>
      <w:start w:val="2"/>
    </w:lvl>
  </w:abstractNum>
  <w:abstractNum w:abstractNumId="11">
    <w:nsid w:val="109CF92E"/>
    <w:multiLevelType w:val="hybridMultilevel"/>
    <w:lvl w:ilvl="0">
      <w:lvlJc w:val="left"/>
      <w:lvlText w:val="**"/>
      <w:numFmt w:val="bullet"/>
      <w:start w:val="1"/>
    </w:lvl>
    <w:lvl w:ilvl="1">
      <w:lvlJc w:val="left"/>
      <w:lvlText w:val="%2)"/>
      <w:numFmt w:val="lowerLetter"/>
      <w:start w:val="3"/>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2021-11-09T15:46:23Z</dcterms:created>
  <dcterms:modified xsi:type="dcterms:W3CDTF">2021-11-09T15:46:23Z</dcterms:modified>
</cp:coreProperties>
</file>