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59"/>
        <w:spacing w:after="0"/>
        <w:rPr>
          <w:sz w:val="20"/>
          <w:szCs w:val="20"/>
          <w:color w:val="auto"/>
        </w:rPr>
      </w:pPr>
      <w:r>
        <w:rPr>
          <w:rFonts w:ascii="Courier New" w:cs="Courier New" w:eastAsia="Courier New" w:hAnsi="Courier New"/>
          <w:sz w:val="16"/>
          <w:szCs w:val="16"/>
          <w:color w:val="auto"/>
        </w:rPr>
        <w:t>FORM 6-K</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Washington, D.C. 20549</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Report of Foreign Private Issuer</w:t>
      </w:r>
    </w:p>
    <w:p>
      <w:pPr>
        <w:spacing w:after="0" w:line="5"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Pursuant to Rule 13a - 16 under</w:t>
      </w:r>
    </w:p>
    <w:p>
      <w:pPr>
        <w:spacing w:after="0" w:line="5"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191"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For the month of July, 2003</w:t>
      </w:r>
    </w:p>
    <w:p>
      <w:pPr>
        <w:spacing w:after="0" w:line="191"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ICON plc</w:t>
      </w:r>
    </w:p>
    <w:p>
      <w:pPr>
        <w:spacing w:after="0" w:line="5" w:lineRule="exact"/>
        <w:rPr>
          <w:sz w:val="24"/>
          <w:szCs w:val="24"/>
          <w:color w:val="auto"/>
        </w:rPr>
      </w:pPr>
    </w:p>
    <w:p>
      <w:pPr>
        <w:ind w:left="3000"/>
        <w:spacing w:after="0"/>
        <w:rPr>
          <w:sz w:val="20"/>
          <w:szCs w:val="20"/>
          <w:color w:val="auto"/>
        </w:rPr>
      </w:pPr>
      <w:r>
        <w:rPr>
          <w:rFonts w:ascii="Courier New" w:cs="Courier New" w:eastAsia="Courier New" w:hAnsi="Courier New"/>
          <w:sz w:val="16"/>
          <w:szCs w:val="16"/>
          <w:color w:val="auto"/>
        </w:rPr>
        <w:t>(Registrant's name)</w:t>
      </w:r>
    </w:p>
    <w:p>
      <w:pPr>
        <w:spacing w:after="0" w:line="191" w:lineRule="exact"/>
        <w:rPr>
          <w:sz w:val="24"/>
          <w:szCs w:val="24"/>
          <w:color w:val="auto"/>
        </w:rPr>
      </w:pPr>
    </w:p>
    <w:p>
      <w:pPr>
        <w:ind w:left="3580"/>
        <w:spacing w:after="0"/>
        <w:rPr>
          <w:sz w:val="20"/>
          <w:szCs w:val="20"/>
          <w:color w:val="auto"/>
        </w:rPr>
      </w:pPr>
      <w:r>
        <w:rPr>
          <w:rFonts w:ascii="Courier New" w:cs="Courier New" w:eastAsia="Courier New" w:hAnsi="Courier New"/>
          <w:sz w:val="16"/>
          <w:szCs w:val="16"/>
          <w:color w:val="auto"/>
        </w:rPr>
        <w:t>0-29714</w:t>
      </w:r>
    </w:p>
    <w:p>
      <w:pPr>
        <w:spacing w:after="0" w:line="5" w:lineRule="exact"/>
        <w:rPr>
          <w:sz w:val="24"/>
          <w:szCs w:val="24"/>
          <w:color w:val="auto"/>
        </w:rPr>
      </w:pPr>
    </w:p>
    <w:p>
      <w:pPr>
        <w:ind w:left="2720"/>
        <w:spacing w:after="0"/>
        <w:rPr>
          <w:sz w:val="20"/>
          <w:szCs w:val="20"/>
          <w:color w:val="auto"/>
        </w:rPr>
      </w:pPr>
      <w:r>
        <w:rPr>
          <w:rFonts w:ascii="Courier New" w:cs="Courier New" w:eastAsia="Courier New" w:hAnsi="Courier New"/>
          <w:sz w:val="16"/>
          <w:szCs w:val="16"/>
          <w:color w:val="auto"/>
        </w:rPr>
        <w:t>(Commission file number)</w:t>
      </w:r>
    </w:p>
    <w:p>
      <w:pPr>
        <w:spacing w:after="0" w:line="191"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South County Business Park, Leopardstown, Dublin 18, Ireland.</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191" w:lineRule="exact"/>
        <w:rPr>
          <w:sz w:val="24"/>
          <w:szCs w:val="24"/>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Indicate by check mark whether the registrant files or will file annual reports under cover Form 20-F or Form 40-F.</w:t>
      </w:r>
    </w:p>
    <w:p>
      <w:pPr>
        <w:spacing w:after="0" w:line="184" w:lineRule="exact"/>
        <w:rPr>
          <w:sz w:val="24"/>
          <w:szCs w:val="24"/>
          <w:color w:val="auto"/>
        </w:rPr>
      </w:pPr>
    </w:p>
    <w:p>
      <w:pPr>
        <w:ind w:left="880"/>
        <w:spacing w:after="0"/>
        <w:tabs>
          <w:tab w:leader="none" w:pos="1720" w:val="left"/>
          <w:tab w:leader="none" w:pos="3860"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5"/>
          <w:szCs w:val="15"/>
          <w:color w:val="auto"/>
        </w:rPr>
        <w:t>No</w:t>
      </w:r>
    </w:p>
    <w:p>
      <w:pPr>
        <w:spacing w:after="0" w:line="191" w:lineRule="exact"/>
        <w:rPr>
          <w:sz w:val="24"/>
          <w:szCs w:val="24"/>
          <w:color w:val="auto"/>
        </w:rPr>
      </w:pPr>
    </w:p>
    <w:p>
      <w:pPr>
        <w:ind w:right="2959"/>
        <w:spacing w:after="0" w:line="248" w:lineRule="auto"/>
        <w:rPr>
          <w:sz w:val="20"/>
          <w:szCs w:val="20"/>
          <w:color w:val="auto"/>
        </w:rPr>
      </w:pPr>
      <w:r>
        <w:rPr>
          <w:rFonts w:ascii="Courier New" w:cs="Courier New" w:eastAsia="Courier New" w:hAnsi="Courier New"/>
          <w:sz w:val="16"/>
          <w:szCs w:val="16"/>
          <w:color w:val="auto"/>
        </w:rPr>
        <w:t>Indicate by check mark whether the registrant is submitting the Form 6-K in paper as permitted by Regulation S-T Rule 101(b)(1):</w:t>
      </w:r>
    </w:p>
    <w:p>
      <w:pPr>
        <w:spacing w:after="0" w:line="184" w:lineRule="exact"/>
        <w:rPr>
          <w:sz w:val="24"/>
          <w:szCs w:val="24"/>
          <w:color w:val="auto"/>
        </w:rPr>
      </w:pPr>
    </w:p>
    <w:p>
      <w:pPr>
        <w:ind w:left="880"/>
        <w:spacing w:after="0"/>
        <w:tabs>
          <w:tab w:leader="none" w:pos="3960" w:val="left"/>
          <w:tab w:leader="none" w:pos="4340"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No</w:t>
        <w:tab/>
        <w:t>X</w:t>
      </w:r>
    </w:p>
    <w:p>
      <w:pPr>
        <w:spacing w:after="0" w:line="191" w:lineRule="exact"/>
        <w:rPr>
          <w:sz w:val="24"/>
          <w:szCs w:val="24"/>
          <w:color w:val="auto"/>
        </w:rPr>
      </w:pPr>
    </w:p>
    <w:p>
      <w:pPr>
        <w:ind w:right="2959"/>
        <w:spacing w:after="0" w:line="248" w:lineRule="auto"/>
        <w:rPr>
          <w:sz w:val="20"/>
          <w:szCs w:val="20"/>
          <w:color w:val="auto"/>
        </w:rPr>
      </w:pPr>
      <w:r>
        <w:rPr>
          <w:rFonts w:ascii="Courier New" w:cs="Courier New" w:eastAsia="Courier New" w:hAnsi="Courier New"/>
          <w:sz w:val="16"/>
          <w:szCs w:val="16"/>
          <w:color w:val="auto"/>
        </w:rPr>
        <w:t>Indicate by check mark whether the registrant is submitting the Form 6-K in paper as permitted by Regulation S-T Rule 101(b)(7):</w:t>
      </w:r>
    </w:p>
    <w:p>
      <w:pPr>
        <w:spacing w:after="0" w:line="184" w:lineRule="exact"/>
        <w:rPr>
          <w:sz w:val="24"/>
          <w:szCs w:val="24"/>
          <w:color w:val="auto"/>
        </w:rPr>
      </w:pPr>
    </w:p>
    <w:p>
      <w:pPr>
        <w:ind w:left="880"/>
        <w:spacing w:after="0"/>
        <w:tabs>
          <w:tab w:leader="none" w:pos="3960" w:val="left"/>
          <w:tab w:leader="none" w:pos="4340"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No</w:t>
        <w:tab/>
        <w:t>X</w:t>
      </w:r>
    </w:p>
    <w:p>
      <w:pPr>
        <w:spacing w:after="0" w:line="191" w:lineRule="exact"/>
        <w:rPr>
          <w:sz w:val="24"/>
          <w:szCs w:val="24"/>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6" w:lineRule="exact"/>
        <w:rPr>
          <w:sz w:val="24"/>
          <w:szCs w:val="24"/>
          <w:color w:val="auto"/>
        </w:rPr>
      </w:pPr>
    </w:p>
    <w:p>
      <w:pPr>
        <w:ind w:left="880"/>
        <w:spacing w:after="0"/>
        <w:tabs>
          <w:tab w:leader="none" w:pos="3960" w:val="left"/>
          <w:tab w:leader="none" w:pos="4340"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No</w:t>
        <w:tab/>
        <w:t>X</w:t>
      </w:r>
    </w:p>
    <w:p>
      <w:pPr>
        <w:spacing w:after="0" w:line="191" w:lineRule="exact"/>
        <w:rPr>
          <w:sz w:val="24"/>
          <w:szCs w:val="24"/>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If "Yes" is marked, indicate below the file number assigned to the registrant in connection with Rule 12g3-2(b):82 N/A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Other Events.</w:t>
      </w:r>
    </w:p>
    <w:p>
      <w:pPr>
        <w:spacing w:after="0" w:line="378" w:lineRule="exact"/>
        <w:rPr>
          <w:sz w:val="24"/>
          <w:szCs w:val="24"/>
          <w:color w:val="auto"/>
        </w:rPr>
      </w:pPr>
    </w:p>
    <w:p>
      <w:pPr>
        <w:ind w:right="3039" w:firstLine="872"/>
        <w:spacing w:after="0" w:line="248" w:lineRule="auto"/>
        <w:rPr>
          <w:sz w:val="20"/>
          <w:szCs w:val="20"/>
          <w:color w:val="auto"/>
        </w:rPr>
      </w:pPr>
      <w:r>
        <w:rPr>
          <w:rFonts w:ascii="Courier New" w:cs="Courier New" w:eastAsia="Courier New" w:hAnsi="Courier New"/>
          <w:sz w:val="16"/>
          <w:szCs w:val="16"/>
          <w:color w:val="auto"/>
        </w:rPr>
        <w:t>The registrant hereby incorporates by reference the press release attached hereto as Exhibit 99.1 into this report.</w:t>
      </w:r>
    </w:p>
    <w:p>
      <w:pPr>
        <w:spacing w:after="0" w:line="200" w:lineRule="exact"/>
        <w:rPr>
          <w:sz w:val="24"/>
          <w:szCs w:val="24"/>
          <w:color w:val="auto"/>
        </w:rPr>
      </w:pPr>
    </w:p>
    <w:p>
      <w:pPr>
        <w:spacing w:after="0" w:line="357" w:lineRule="exact"/>
        <w:rPr>
          <w:sz w:val="24"/>
          <w:szCs w:val="24"/>
          <w:color w:val="auto"/>
        </w:rPr>
      </w:pPr>
    </w:p>
    <w:p>
      <w:pPr>
        <w:ind w:left="38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41"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Financial Statements and Exhibits.</w:t>
      </w:r>
    </w:p>
    <w:p>
      <w:pPr>
        <w:spacing w:after="0" w:line="37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 The following Exhibits are filed as part of this report:</w:t>
      </w:r>
    </w:p>
    <w:p>
      <w:pPr>
        <w:sectPr>
          <w:pgSz w:w="11900" w:h="16838" w:orient="portrait"/>
          <w:cols w:equalWidth="0" w:num="1">
            <w:col w:w="10219"/>
          </w:cols>
          <w:pgMar w:left="240" w:top="862" w:right="1440" w:bottom="1440" w:gutter="0" w:footer="0" w:header="0"/>
        </w:sectPr>
      </w:pPr>
    </w:p>
    <w:p>
      <w:pPr>
        <w:spacing w:after="0" w:line="37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EXHIBIT NO.</w:t>
      </w:r>
    </w:p>
    <w:p>
      <w:pPr>
        <w:spacing w:after="0" w:line="191"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DESCRIPTION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w:t>
      </w:r>
    </w:p>
    <w:p>
      <w:pPr>
        <w:spacing w:after="0" w:line="200" w:lineRule="exact"/>
        <w:rPr>
          <w:sz w:val="20"/>
          <w:szCs w:val="20"/>
          <w:color w:val="auto"/>
        </w:rPr>
      </w:pPr>
    </w:p>
    <w:p>
      <w:pPr>
        <w:sectPr>
          <w:pgSz w:w="11900" w:h="16838" w:orient="portrait"/>
          <w:cols w:equalWidth="0" w:num="2">
            <w:col w:w="4900" w:space="720"/>
            <w:col w:w="4599"/>
          </w:cols>
          <w:pgMar w:left="240" w:top="86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62" w:right="1440" w:bottom="1440" w:gutter="0" w:footer="0" w:header="0"/>
          <w:type w:val="continuous"/>
        </w:sectPr>
      </w:pPr>
    </w:p>
    <w:bookmarkStart w:id="2" w:name="page3"/>
    <w:bookmarkEnd w:id="2"/>
    <w:p>
      <w:pPr>
        <w:ind w:left="3400"/>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ICON plc</w:t>
      </w:r>
    </w:p>
    <w:p>
      <w:pPr>
        <w:sectPr>
          <w:pgSz w:w="11900" w:h="16838" w:orient="portrait"/>
          <w:cols w:equalWidth="0" w:num="1">
            <w:col w:w="10219"/>
          </w:cols>
          <w:pgMar w:left="240" w:top="8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21, 2003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Sean Leech</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Sean Leech</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Chief Financial Officer</w:t>
      </w:r>
    </w:p>
    <w:p>
      <w:pPr>
        <w:spacing w:after="0" w:line="200" w:lineRule="exact"/>
        <w:rPr>
          <w:sz w:val="20"/>
          <w:szCs w:val="20"/>
          <w:color w:val="auto"/>
        </w:rPr>
      </w:pPr>
    </w:p>
    <w:p>
      <w:pPr>
        <w:sectPr>
          <w:pgSz w:w="11900" w:h="16838" w:orient="portrait"/>
          <w:cols w:equalWidth="0" w:num="2">
            <w:col w:w="4020" w:space="720"/>
            <w:col w:w="5479"/>
          </w:cols>
          <w:pgMar w:left="240" w:top="862" w:right="1440" w:bottom="1440" w:gutter="0" w:footer="0" w:header="0"/>
          <w:type w:val="continuous"/>
        </w:sectPr>
      </w:pPr>
    </w:p>
    <w:p>
      <w:pPr>
        <w:spacing w:after="0" w:line="1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62" w:right="1440" w:bottom="1440" w:gutter="0" w:footer="0" w:header="0"/>
          <w:type w:val="continuous"/>
        </w:sectPr>
      </w:pPr>
    </w:p>
    <w:bookmarkStart w:id="3" w:name="page4"/>
    <w:bookmarkEnd w:id="3"/>
    <w:p>
      <w:pPr>
        <w:ind w:left="6581"/>
        <w:spacing w:after="0"/>
        <w:rPr>
          <w:sz w:val="20"/>
          <w:szCs w:val="20"/>
          <w:color w:val="auto"/>
        </w:rPr>
      </w:pPr>
      <w:r>
        <w:rPr>
          <w:rFonts w:ascii="Courier New" w:cs="Courier New" w:eastAsia="Courier New" w:hAnsi="Courier New"/>
          <w:sz w:val="16"/>
          <w:szCs w:val="16"/>
          <w:color w:val="auto"/>
        </w:rPr>
        <w:t>Exhibit 99.1</w:t>
      </w:r>
    </w:p>
    <w:p>
      <w:pPr>
        <w:spacing w:after="0" w:line="191" w:lineRule="exact"/>
        <w:rPr>
          <w:sz w:val="20"/>
          <w:szCs w:val="20"/>
          <w:color w:val="auto"/>
        </w:rPr>
      </w:pPr>
    </w:p>
    <w:p>
      <w:pPr>
        <w:ind w:left="1" w:right="2559"/>
        <w:spacing w:after="0" w:line="248" w:lineRule="auto"/>
        <w:rPr>
          <w:sz w:val="20"/>
          <w:szCs w:val="20"/>
          <w:color w:val="auto"/>
        </w:rPr>
      </w:pPr>
      <w:r>
        <w:rPr>
          <w:rFonts w:ascii="Courier New" w:cs="Courier New" w:eastAsia="Courier New" w:hAnsi="Courier New"/>
          <w:sz w:val="16"/>
          <w:szCs w:val="16"/>
          <w:color w:val="auto"/>
        </w:rPr>
        <w:t>ICON reports strong FY 2003 results with a 37% increase in operating income and EPS of $1.50 (NASDAQ:ICLR)</w:t>
      </w:r>
    </w:p>
    <w:p>
      <w:pPr>
        <w:spacing w:after="0" w:line="371" w:lineRule="exact"/>
        <w:rPr>
          <w:sz w:val="20"/>
          <w:szCs w:val="20"/>
          <w:color w:val="auto"/>
        </w:rPr>
      </w:pPr>
    </w:p>
    <w:p>
      <w:pPr>
        <w:ind w:left="481" w:hanging="481"/>
        <w:spacing w:after="0"/>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Highlights - Fourth Quarter and Full year Fiscal 2003:</w:t>
      </w:r>
    </w:p>
    <w:p>
      <w:pPr>
        <w:spacing w:after="0" w:line="378" w:lineRule="exact"/>
        <w:rPr>
          <w:sz w:val="20"/>
          <w:szCs w:val="20"/>
          <w:color w:val="auto"/>
        </w:rPr>
      </w:pPr>
    </w:p>
    <w:p>
      <w:pPr>
        <w:jc w:val="both"/>
        <w:ind w:left="961" w:right="2659" w:hanging="476"/>
        <w:spacing w:after="0" w:line="248" w:lineRule="auto"/>
        <w:tabs>
          <w:tab w:leader="none" w:pos="96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Fourth quarter net revenues increased 54% over the fourth quarter of fiscal 2002 to $66.0 million and increased 44% on a full year basis.</w:t>
      </w:r>
    </w:p>
    <w:p>
      <w:pPr>
        <w:spacing w:after="0" w:line="370" w:lineRule="exact"/>
        <w:rPr>
          <w:rFonts w:ascii="Courier New" w:cs="Courier New" w:eastAsia="Courier New" w:hAnsi="Courier New"/>
          <w:sz w:val="16"/>
          <w:szCs w:val="16"/>
          <w:color w:val="auto"/>
        </w:rPr>
      </w:pPr>
    </w:p>
    <w:p>
      <w:pPr>
        <w:ind w:left="961" w:right="2459" w:hanging="476"/>
        <w:spacing w:after="0" w:line="248" w:lineRule="auto"/>
        <w:tabs>
          <w:tab w:leader="none" w:pos="96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from operations increased 43% over the fourth quarter of fiscal 2002 to $7.2 million and increased 37% on a full year basis.</w:t>
      </w:r>
    </w:p>
    <w:p>
      <w:pPr>
        <w:spacing w:after="0" w:line="370" w:lineRule="exact"/>
        <w:rPr>
          <w:rFonts w:ascii="Courier New" w:cs="Courier New" w:eastAsia="Courier New" w:hAnsi="Courier New"/>
          <w:sz w:val="16"/>
          <w:szCs w:val="16"/>
          <w:color w:val="auto"/>
        </w:rPr>
      </w:pPr>
    </w:p>
    <w:p>
      <w:pPr>
        <w:ind w:left="961" w:right="2759" w:hanging="476"/>
        <w:spacing w:after="0" w:line="247" w:lineRule="auto"/>
        <w:tabs>
          <w:tab w:leader="none" w:pos="96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Diluted earnings per share increased 39% for the fourth quarter to $0.43 cents compared to $0.31 cents in same quarter last year. Full year diluted earnings per share were $1.50 compared to $1.16 for fiscal 2002.</w:t>
      </w:r>
    </w:p>
    <w:p>
      <w:pPr>
        <w:spacing w:after="0" w:line="371" w:lineRule="exact"/>
        <w:rPr>
          <w:rFonts w:ascii="Courier New" w:cs="Courier New" w:eastAsia="Courier New" w:hAnsi="Courier New"/>
          <w:sz w:val="16"/>
          <w:szCs w:val="16"/>
          <w:color w:val="auto"/>
        </w:rPr>
      </w:pPr>
    </w:p>
    <w:p>
      <w:pPr>
        <w:ind w:left="961" w:hanging="476"/>
        <w:spacing w:after="0"/>
        <w:tabs>
          <w:tab w:leader="none" w:pos="96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Record $88 million of net new business awarded in the quarter.</w:t>
      </w:r>
    </w:p>
    <w:p>
      <w:pPr>
        <w:spacing w:after="0" w:line="378" w:lineRule="exact"/>
        <w:rPr>
          <w:sz w:val="20"/>
          <w:szCs w:val="20"/>
          <w:color w:val="auto"/>
        </w:rPr>
      </w:pPr>
    </w:p>
    <w:p>
      <w:pPr>
        <w:ind w:left="1" w:right="2959"/>
        <w:spacing w:after="0" w:line="247" w:lineRule="auto"/>
        <w:rPr>
          <w:sz w:val="20"/>
          <w:szCs w:val="20"/>
          <w:color w:val="auto"/>
        </w:rPr>
      </w:pPr>
      <w:r>
        <w:rPr>
          <w:rFonts w:ascii="Courier New" w:cs="Courier New" w:eastAsia="Courier New" w:hAnsi="Courier New"/>
          <w:sz w:val="16"/>
          <w:szCs w:val="16"/>
          <w:color w:val="auto"/>
        </w:rPr>
        <w:t>Dublin, Ireland, July 21, 2003 - ICON plc (NASDAQ: ICLR), a global contract clinical research organisation, which has approximately 2,325 employees providing services to the pharmaceutical and biotech industries from 29 locations in 17 countries worldwide, today reported the unaudited financial results for its fourth quarter and fiscal year ended May 31, 2003.</w:t>
      </w:r>
    </w:p>
    <w:p>
      <w:pPr>
        <w:spacing w:after="0" w:line="185"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Net revenues for the quarter were $66.0 million, representing a 54% increase over net revenues of $43.0 million for the same quarter last year. Excluding the impact of acquisitions, revenue growth for the quarter was 34% over the same quarter last year.</w:t>
      </w:r>
    </w:p>
    <w:p>
      <w:pPr>
        <w:spacing w:after="0" w:line="186"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Income from operations for the quarter was $7.2 million, which represents an increase of 43% from the $5.1 million reported for the fourth quarter last year. Operating margin for the quarter was 11.0% compared to 11.8% for the equivalent period last year. Net income for the quarter was $5.3 million or $0.43 cents per share, on a diluted basis, compared with $3.8 million or $0.31 cents per share for the fourth quarter last year.</w:t>
      </w:r>
    </w:p>
    <w:p>
      <w:pPr>
        <w:spacing w:after="0" w:line="185" w:lineRule="exact"/>
        <w:rPr>
          <w:sz w:val="20"/>
          <w:szCs w:val="20"/>
          <w:color w:val="auto"/>
        </w:rPr>
      </w:pPr>
    </w:p>
    <w:p>
      <w:pPr>
        <w:ind w:left="1" w:right="2759"/>
        <w:spacing w:after="0" w:line="247" w:lineRule="auto"/>
        <w:rPr>
          <w:sz w:val="20"/>
          <w:szCs w:val="20"/>
          <w:color w:val="auto"/>
        </w:rPr>
      </w:pPr>
      <w:r>
        <w:rPr>
          <w:rFonts w:ascii="Courier New" w:cs="Courier New" w:eastAsia="Courier New" w:hAnsi="Courier New"/>
          <w:sz w:val="16"/>
          <w:szCs w:val="16"/>
          <w:color w:val="auto"/>
        </w:rPr>
        <w:t>In the year to May 31, 2003, net revenues were $225.7 million, representing a 44% increase over net revenues of $156.6 million reported for fiscal 2002. Excluding the impact of acquisitions revenue growth was 33% for the twelve months ending May 31, 2003.</w:t>
      </w:r>
    </w:p>
    <w:p>
      <w:pPr>
        <w:spacing w:after="0" w:line="186"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Income from operations for the year to May 31, 2003, was $24.9 million, representing an increase of 37% from the $18.2 million reported for fiscal 2002. Operating margin for the full year was 11.0%, compared to 11.6% for fiscal 2002. Net income was $18.3 million or $1.50 per share on a diluted basis for fiscal 2003, compared with $14.2 million or $1.16 per share reported for the same period last year.</w:t>
      </w:r>
    </w:p>
    <w:p>
      <w:pPr>
        <w:spacing w:after="0" w:line="185"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Days sales outstanding, comprising accounts receivable and unbilled revenue less payments on account, were 64 days at May 31, 2003 compared with 67 days at May 31, 2002. For the quarter to May 31, 2003, cash generated</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0"/>
          </w:cols>
          <w:pgMar w:left="239" w:top="86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from operations was $4.9 million, capital expenditure was $4.6 million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payments of $1.2 million were made in relation to acquisitions. In the twelve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months to May 31, 2003, cash generated from operating activities was $21.5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capital expenditure was $15.8 million and payments of $40.0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were made in relation to acquisitions. As a result, the Company's net cash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$11.2 million (cash and cash equivalents of $18.3 million, net of bank overdraft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$7.1 million) at May 31, 2003, compared to $43.1 million (cash and cash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equivalents of $36.3 million and short term investments of $18.6 million, net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 overdraft of $11.8 million) at May 31, 2002.</w:t>
      </w:r>
    </w:p>
    <w:p>
      <w:pPr>
        <w:spacing w:after="0" w:line="19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On July 3, 2003 the Company entered into an agreement with Bank of Ireland and Ulster Bank for a credit line of $60 million, $40 million of which will be available for corporate development, with the remaining $20 million for working capital purposes. The working capital line will replace the majority of the Company's existing lines of credit.</w:t>
      </w:r>
    </w:p>
    <w:p>
      <w:pPr>
        <w:spacing w:after="0" w:line="18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The Company also announced that on July 17, 2003, it entered into a non-binding letter of intent for the potential acquisition of Globomax LLC, a drug development consulting company employing approximately 80 people, based in the US. The proposed consideration is for an initial payment of $11 million. The agreement would allow for additional payments up to a maximum of $4 million to be paid over the subsequent three years contingent upon certain earnings targets being met.</w:t>
      </w:r>
    </w:p>
    <w:p>
      <w:pPr>
        <w:spacing w:after="0" w:line="18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"Fiscal 2003 has been another excellent year for ICON", commented Chairman, Dr. John Climax. "We are very pleased with the strong growth achieved in the year and the continued expansion of both our services and operations. With a further $88 million of net new business awards in the quarter we ended the year with a total backlog of $352 million, of which we estimate $221 million will be earned in the next twelve months. Based on these numbers we look to fiscal 2004 with strong confidence".</w:t>
      </w:r>
    </w:p>
    <w:p>
      <w:pPr>
        <w:spacing w:after="0" w:line="18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The company will hold its fourth quarter and full year conference call today, July 21, 2003 at 11:00 EST [16:00 GMT / 17:00 CET]. This call and linked slide presentation can be accessed live from our website at http://www.iconclinical.com. In addition, a calendar of company events, including upcoming conference presentations, is available on our website, under "shareholders services". This calendar will be updated regularly.</w:t>
      </w:r>
    </w:p>
    <w:p>
      <w:pPr>
        <w:spacing w:after="0" w:line="18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S-8 and F-3, may affect the actual results achieved by ICON. ICON disclaims any intent or obligation to update these forward-looking statements.</w:t>
      </w:r>
    </w:p>
    <w:p>
      <w:pPr>
        <w:spacing w:after="0" w:line="191"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The financial information presented herein has been prepared in accordance with U.S. GAAP.</w:t>
      </w:r>
    </w:p>
    <w:p>
      <w:pPr>
        <w:spacing w:after="0" w:line="200" w:lineRule="exact"/>
        <w:rPr>
          <w:sz w:val="20"/>
          <w:szCs w:val="20"/>
          <w:color w:val="auto"/>
        </w:rPr>
      </w:pPr>
    </w:p>
    <w:p>
      <w:pPr>
        <w:spacing w:after="0" w:line="35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6" w:right="1440" w:bottom="1440" w:gutter="0" w:footer="0" w:header="0"/>
        </w:sectPr>
      </w:pPr>
    </w:p>
    <w:bookmarkStart w:id="5" w:name="page6"/>
    <w:bookmarkEnd w:id="5"/>
    <w:p>
      <w:pPr>
        <w:jc w:val="center"/>
        <w:ind w:right="3760"/>
        <w:spacing w:after="0"/>
        <w:rPr>
          <w:sz w:val="20"/>
          <w:szCs w:val="20"/>
          <w:color w:val="auto"/>
        </w:rPr>
      </w:pPr>
      <w:r>
        <w:rPr>
          <w:rFonts w:ascii="Courier New" w:cs="Courier New" w:eastAsia="Courier New" w:hAnsi="Courier New"/>
          <w:sz w:val="16"/>
          <w:szCs w:val="16"/>
          <w:color w:val="auto"/>
        </w:rPr>
        <w:t>ICON plc</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Consolidated Income Statements</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6"/>
          <w:szCs w:val="16"/>
          <w:color w:val="auto"/>
        </w:rPr>
        <w:t>Three Months and Twelve Months ended May 31, 2003 and 2002</w:t>
      </w:r>
    </w:p>
    <w:p>
      <w:pPr>
        <w:spacing w:after="0" w:line="5"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6"/>
          <w:szCs w:val="16"/>
          <w:color w:val="auto"/>
        </w:rPr>
        <w:t>(Dollars, in thousands, except share and per share data)</w:t>
      </w:r>
    </w:p>
    <w:p>
      <w:pPr>
        <w:spacing w:after="0" w:line="191"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Three Months Ended Twelve Months Ended</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60" w:type="dxa"/>
            <w:vAlign w:val="bottom"/>
          </w:tcPr>
          <w:p>
            <w:pPr>
              <w:spacing w:after="0"/>
              <w:rPr>
                <w:sz w:val="15"/>
                <w:szCs w:val="15"/>
                <w:color w:val="auto"/>
              </w:rPr>
            </w:pPr>
          </w:p>
        </w:tc>
        <w:tc>
          <w:tcPr>
            <w:tcW w:w="426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Three Months Ended</w:t>
            </w:r>
          </w:p>
        </w:tc>
        <w:tc>
          <w:tcPr>
            <w:tcW w:w="260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Twelve Months Ended</w:t>
            </w:r>
          </w:p>
        </w:tc>
      </w:tr>
      <w:tr>
        <w:trPr>
          <w:trHeight w:val="186"/>
        </w:trPr>
        <w:tc>
          <w:tcPr>
            <w:tcW w:w="4660" w:type="dxa"/>
            <w:vAlign w:val="bottom"/>
          </w:tcPr>
          <w:p>
            <w:pPr>
              <w:spacing w:after="0"/>
              <w:rPr>
                <w:sz w:val="16"/>
                <w:szCs w:val="16"/>
                <w:color w:val="auto"/>
              </w:rPr>
            </w:pPr>
          </w:p>
        </w:tc>
        <w:tc>
          <w:tcPr>
            <w:tcW w:w="28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May 31,</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May 31,</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May 31,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May 31,</w:t>
            </w:r>
          </w:p>
        </w:tc>
      </w:tr>
      <w:tr>
        <w:trPr>
          <w:trHeight w:val="186"/>
        </w:trPr>
        <w:tc>
          <w:tcPr>
            <w:tcW w:w="4660" w:type="dxa"/>
            <w:vAlign w:val="bottom"/>
          </w:tcPr>
          <w:p>
            <w:pPr>
              <w:spacing w:after="0"/>
              <w:rPr>
                <w:sz w:val="16"/>
                <w:szCs w:val="16"/>
                <w:color w:val="auto"/>
              </w:rPr>
            </w:pPr>
          </w:p>
        </w:tc>
        <w:tc>
          <w:tcPr>
            <w:tcW w:w="28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2003</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2002</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r>
      <w:tr>
        <w:trPr>
          <w:trHeight w:val="559"/>
        </w:trPr>
        <w:tc>
          <w:tcPr>
            <w:tcW w:w="4660" w:type="dxa"/>
            <w:vAlign w:val="bottom"/>
          </w:tcPr>
          <w:p>
            <w:pPr>
              <w:spacing w:after="0"/>
              <w:rPr>
                <w:sz w:val="20"/>
                <w:szCs w:val="20"/>
                <w:color w:val="auto"/>
              </w:rPr>
            </w:pPr>
            <w:r>
              <w:rPr>
                <w:rFonts w:ascii="Courier New" w:cs="Courier New" w:eastAsia="Courier New" w:hAnsi="Courier New"/>
                <w:sz w:val="16"/>
                <w:szCs w:val="16"/>
                <w:color w:val="auto"/>
              </w:rPr>
              <w:t>Gross Revenue</w:t>
            </w:r>
          </w:p>
        </w:tc>
        <w:tc>
          <w:tcPr>
            <w:tcW w:w="28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104,701</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65,486</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340,971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218,842</w:t>
            </w:r>
          </w:p>
        </w:tc>
      </w:tr>
      <w:tr>
        <w:trPr>
          <w:trHeight w:val="373"/>
        </w:trPr>
        <w:tc>
          <w:tcPr>
            <w:tcW w:w="4660" w:type="dxa"/>
            <w:vAlign w:val="bottom"/>
          </w:tcPr>
          <w:p>
            <w:pPr>
              <w:spacing w:after="0"/>
              <w:rPr>
                <w:sz w:val="20"/>
                <w:szCs w:val="20"/>
                <w:color w:val="auto"/>
              </w:rPr>
            </w:pPr>
            <w:r>
              <w:rPr>
                <w:rFonts w:ascii="Courier New" w:cs="Courier New" w:eastAsia="Courier New" w:hAnsi="Courier New"/>
                <w:sz w:val="16"/>
                <w:szCs w:val="16"/>
                <w:color w:val="auto"/>
              </w:rPr>
              <w:t>Subcontractor costs</w:t>
            </w:r>
          </w:p>
        </w:tc>
        <w:tc>
          <w:tcPr>
            <w:tcW w:w="28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38,681</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22,489</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115,246</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62,287</w:t>
            </w:r>
          </w:p>
        </w:tc>
      </w:tr>
      <w:tr>
        <w:trPr>
          <w:trHeight w:val="373"/>
        </w:trPr>
        <w:tc>
          <w:tcPr>
            <w:tcW w:w="4660" w:type="dxa"/>
            <w:vAlign w:val="bottom"/>
          </w:tcPr>
          <w:p>
            <w:pPr>
              <w:spacing w:after="0"/>
              <w:rPr>
                <w:sz w:val="24"/>
                <w:szCs w:val="24"/>
                <w:color w:val="auto"/>
              </w:rPr>
            </w:pPr>
          </w:p>
        </w:tc>
        <w:tc>
          <w:tcPr>
            <w:tcW w:w="2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660" w:type="dxa"/>
            <w:vAlign w:val="bottom"/>
          </w:tcPr>
          <w:p>
            <w:pPr>
              <w:spacing w:after="0"/>
              <w:rPr>
                <w:sz w:val="20"/>
                <w:szCs w:val="20"/>
                <w:color w:val="auto"/>
              </w:rPr>
            </w:pPr>
            <w:r>
              <w:rPr>
                <w:rFonts w:ascii="Courier New" w:cs="Courier New" w:eastAsia="Courier New" w:hAnsi="Courier New"/>
                <w:sz w:val="16"/>
                <w:szCs w:val="16"/>
                <w:color w:val="auto"/>
              </w:rPr>
              <w:t>Net Revenue</w:t>
            </w:r>
          </w:p>
        </w:tc>
        <w:tc>
          <w:tcPr>
            <w:tcW w:w="28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66,020</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42,997</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225,725</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156,555</w:t>
            </w:r>
          </w:p>
        </w:tc>
      </w:tr>
      <w:tr>
        <w:trPr>
          <w:trHeight w:val="373"/>
        </w:trPr>
        <w:tc>
          <w:tcPr>
            <w:tcW w:w="466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6"/>
        </w:trPr>
        <w:tc>
          <w:tcPr>
            <w:tcW w:w="4660" w:type="dxa"/>
            <w:vAlign w:val="bottom"/>
          </w:tcPr>
          <w:p>
            <w:pPr>
              <w:spacing w:after="0"/>
              <w:rPr>
                <w:sz w:val="20"/>
                <w:szCs w:val="20"/>
                <w:color w:val="auto"/>
              </w:rPr>
            </w:pPr>
            <w:r>
              <w:rPr>
                <w:rFonts w:ascii="Courier New" w:cs="Courier New" w:eastAsia="Courier New" w:hAnsi="Courier New"/>
                <w:sz w:val="16"/>
                <w:szCs w:val="16"/>
                <w:color w:val="auto"/>
              </w:rPr>
              <w:t>Direct costs</w:t>
            </w:r>
          </w:p>
        </w:tc>
        <w:tc>
          <w:tcPr>
            <w:tcW w:w="28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34,866</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22,925</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122,373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83,371</w:t>
            </w:r>
          </w:p>
        </w:tc>
      </w:tr>
      <w:tr>
        <w:trPr>
          <w:trHeight w:val="186"/>
        </w:trPr>
        <w:tc>
          <w:tcPr>
            <w:tcW w:w="466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28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21,637</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13,401</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71,118</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48,951</w:t>
            </w:r>
          </w:p>
        </w:tc>
      </w:tr>
      <w:tr>
        <w:trPr>
          <w:trHeight w:val="186"/>
        </w:trPr>
        <w:tc>
          <w:tcPr>
            <w:tcW w:w="466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28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2,288</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1,604</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7,305</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6,020</w:t>
            </w:r>
          </w:p>
        </w:tc>
      </w:tr>
      <w:tr>
        <w:trPr>
          <w:trHeight w:val="373"/>
        </w:trPr>
        <w:tc>
          <w:tcPr>
            <w:tcW w:w="4660" w:type="dxa"/>
            <w:vAlign w:val="bottom"/>
          </w:tcPr>
          <w:p>
            <w:pPr>
              <w:spacing w:after="0"/>
              <w:rPr>
                <w:sz w:val="24"/>
                <w:szCs w:val="24"/>
                <w:color w:val="auto"/>
              </w:rPr>
            </w:pPr>
          </w:p>
        </w:tc>
        <w:tc>
          <w:tcPr>
            <w:tcW w:w="2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660" w:type="dxa"/>
            <w:vAlign w:val="bottom"/>
          </w:tcPr>
          <w:p>
            <w:pPr>
              <w:spacing w:after="0"/>
              <w:rPr>
                <w:sz w:val="20"/>
                <w:szCs w:val="20"/>
                <w:color w:val="auto"/>
              </w:rPr>
            </w:pPr>
            <w:r>
              <w:rPr>
                <w:rFonts w:ascii="Courier New" w:cs="Courier New" w:eastAsia="Courier New" w:hAnsi="Courier New"/>
                <w:sz w:val="16"/>
                <w:szCs w:val="16"/>
                <w:color w:val="auto"/>
              </w:rPr>
              <w:t>Total costs and expenses</w:t>
            </w:r>
          </w:p>
        </w:tc>
        <w:tc>
          <w:tcPr>
            <w:tcW w:w="28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58,791</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37,930</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200,796</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138,342</w:t>
            </w:r>
          </w:p>
        </w:tc>
      </w:tr>
      <w:tr>
        <w:trPr>
          <w:trHeight w:val="373"/>
        </w:trPr>
        <w:tc>
          <w:tcPr>
            <w:tcW w:w="466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28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7,229</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5,067</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24,929</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18,213</w:t>
            </w:r>
          </w:p>
        </w:tc>
      </w:tr>
      <w:tr>
        <w:trPr>
          <w:trHeight w:val="373"/>
        </w:trPr>
        <w:tc>
          <w:tcPr>
            <w:tcW w:w="4660" w:type="dxa"/>
            <w:vAlign w:val="bottom"/>
          </w:tcPr>
          <w:p>
            <w:pPr>
              <w:spacing w:after="0"/>
              <w:rPr>
                <w:sz w:val="20"/>
                <w:szCs w:val="20"/>
                <w:color w:val="auto"/>
              </w:rPr>
            </w:pPr>
            <w:r>
              <w:rPr>
                <w:rFonts w:ascii="Courier New" w:cs="Courier New" w:eastAsia="Courier New" w:hAnsi="Courier New"/>
                <w:sz w:val="16"/>
                <w:szCs w:val="16"/>
                <w:color w:val="auto"/>
              </w:rPr>
              <w:t>Interest income (net)</w:t>
            </w:r>
          </w:p>
        </w:tc>
        <w:tc>
          <w:tcPr>
            <w:tcW w:w="28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(25)</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252</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354</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1,116</w:t>
            </w:r>
          </w:p>
        </w:tc>
      </w:tr>
      <w:tr>
        <w:trPr>
          <w:trHeight w:val="373"/>
        </w:trPr>
        <w:tc>
          <w:tcPr>
            <w:tcW w:w="4660" w:type="dxa"/>
            <w:vAlign w:val="bottom"/>
          </w:tcPr>
          <w:p>
            <w:pPr>
              <w:spacing w:after="0"/>
              <w:rPr>
                <w:sz w:val="24"/>
                <w:szCs w:val="24"/>
                <w:color w:val="auto"/>
              </w:rPr>
            </w:pPr>
          </w:p>
        </w:tc>
        <w:tc>
          <w:tcPr>
            <w:tcW w:w="2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660" w:type="dxa"/>
            <w:vAlign w:val="bottom"/>
          </w:tcPr>
          <w:p>
            <w:pPr>
              <w:spacing w:after="0"/>
              <w:rPr>
                <w:sz w:val="20"/>
                <w:szCs w:val="20"/>
                <w:color w:val="auto"/>
              </w:rPr>
            </w:pPr>
            <w:r>
              <w:rPr>
                <w:rFonts w:ascii="Courier New" w:cs="Courier New" w:eastAsia="Courier New" w:hAnsi="Courier New"/>
                <w:sz w:val="16"/>
                <w:szCs w:val="16"/>
                <w:color w:val="auto"/>
              </w:rPr>
              <w:t>Income before provision of income taxes</w:t>
            </w:r>
          </w:p>
        </w:tc>
        <w:tc>
          <w:tcPr>
            <w:tcW w:w="28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7,204</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5,319</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25,283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19,329</w:t>
            </w:r>
          </w:p>
        </w:tc>
      </w:tr>
      <w:tr>
        <w:trPr>
          <w:trHeight w:val="373"/>
        </w:trPr>
        <w:tc>
          <w:tcPr>
            <w:tcW w:w="466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28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1,910</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1,504</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7,000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5,129</w:t>
            </w:r>
          </w:p>
        </w:tc>
      </w:tr>
      <w:tr>
        <w:trPr>
          <w:trHeight w:val="186"/>
        </w:trPr>
        <w:tc>
          <w:tcPr>
            <w:tcW w:w="4660" w:type="dxa"/>
            <w:vAlign w:val="bottom"/>
          </w:tcPr>
          <w:p>
            <w:pPr>
              <w:spacing w:after="0"/>
              <w:rPr>
                <w:sz w:val="16"/>
                <w:szCs w:val="16"/>
                <w:color w:val="auto"/>
              </w:rPr>
            </w:pPr>
          </w:p>
        </w:tc>
        <w:tc>
          <w:tcPr>
            <w:tcW w:w="2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6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8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5,294</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3,815</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18,283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14,200</w:t>
            </w:r>
          </w:p>
        </w:tc>
      </w:tr>
      <w:tr>
        <w:trPr>
          <w:trHeight w:val="186"/>
        </w:trPr>
        <w:tc>
          <w:tcPr>
            <w:tcW w:w="4660" w:type="dxa"/>
            <w:vAlign w:val="bottom"/>
          </w:tcPr>
          <w:p>
            <w:pPr>
              <w:spacing w:after="0"/>
              <w:rPr>
                <w:sz w:val="16"/>
                <w:szCs w:val="16"/>
                <w:color w:val="auto"/>
              </w:rPr>
            </w:pPr>
          </w:p>
        </w:tc>
        <w:tc>
          <w:tcPr>
            <w:tcW w:w="2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660" w:type="dxa"/>
            <w:vAlign w:val="bottom"/>
          </w:tcPr>
          <w:p>
            <w:pPr>
              <w:spacing w:after="0"/>
              <w:rPr>
                <w:sz w:val="20"/>
                <w:szCs w:val="20"/>
                <w:color w:val="auto"/>
              </w:rPr>
            </w:pPr>
            <w:r>
              <w:rPr>
                <w:rFonts w:ascii="Courier New" w:cs="Courier New" w:eastAsia="Courier New" w:hAnsi="Courier New"/>
                <w:sz w:val="16"/>
                <w:szCs w:val="16"/>
                <w:color w:val="auto"/>
              </w:rPr>
              <w:t>Net income per ordinary share</w:t>
            </w:r>
          </w:p>
        </w:tc>
        <w:tc>
          <w:tcPr>
            <w:tcW w:w="2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6"/>
        </w:trPr>
        <w:tc>
          <w:tcPr>
            <w:tcW w:w="4660" w:type="dxa"/>
            <w:vAlign w:val="bottom"/>
          </w:tcPr>
          <w:p>
            <w:pPr>
              <w:spacing w:after="0"/>
              <w:rPr>
                <w:sz w:val="20"/>
                <w:szCs w:val="20"/>
                <w:color w:val="auto"/>
              </w:rPr>
            </w:pPr>
            <w:r>
              <w:rPr>
                <w:rFonts w:ascii="Courier New" w:cs="Courier New" w:eastAsia="Courier New" w:hAnsi="Courier New"/>
                <w:sz w:val="16"/>
                <w:szCs w:val="16"/>
                <w:color w:val="auto"/>
              </w:rPr>
              <w:t>Basic</w:t>
            </w:r>
          </w:p>
        </w:tc>
        <w:tc>
          <w:tcPr>
            <w:tcW w:w="28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$0.45</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$0.33</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$1.55</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$1.22</w:t>
            </w:r>
          </w:p>
        </w:tc>
      </w:tr>
      <w:tr>
        <w:trPr>
          <w:trHeight w:val="186"/>
        </w:trPr>
        <w:tc>
          <w:tcPr>
            <w:tcW w:w="4660" w:type="dxa"/>
            <w:vAlign w:val="bottom"/>
          </w:tcPr>
          <w:p>
            <w:pPr>
              <w:spacing w:after="0"/>
              <w:rPr>
                <w:sz w:val="16"/>
                <w:szCs w:val="16"/>
                <w:color w:val="auto"/>
              </w:rPr>
            </w:pPr>
          </w:p>
        </w:tc>
        <w:tc>
          <w:tcPr>
            <w:tcW w:w="2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660" w:type="dxa"/>
            <w:vAlign w:val="bottom"/>
          </w:tcPr>
          <w:p>
            <w:pPr>
              <w:spacing w:after="0"/>
              <w:rPr>
                <w:sz w:val="20"/>
                <w:szCs w:val="20"/>
                <w:color w:val="auto"/>
              </w:rPr>
            </w:pPr>
            <w:r>
              <w:rPr>
                <w:rFonts w:ascii="Courier New" w:cs="Courier New" w:eastAsia="Courier New" w:hAnsi="Courier New"/>
                <w:sz w:val="16"/>
                <w:szCs w:val="16"/>
                <w:color w:val="auto"/>
              </w:rPr>
              <w:t>Diluted</w:t>
            </w:r>
          </w:p>
        </w:tc>
        <w:tc>
          <w:tcPr>
            <w:tcW w:w="28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$0.43</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$0.31</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$1.50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$1.16</w:t>
            </w:r>
          </w:p>
        </w:tc>
      </w:tr>
      <w:tr>
        <w:trPr>
          <w:trHeight w:val="186"/>
        </w:trPr>
        <w:tc>
          <w:tcPr>
            <w:tcW w:w="4660" w:type="dxa"/>
            <w:vAlign w:val="bottom"/>
          </w:tcPr>
          <w:p>
            <w:pPr>
              <w:spacing w:after="0"/>
              <w:rPr>
                <w:sz w:val="16"/>
                <w:szCs w:val="16"/>
                <w:color w:val="auto"/>
              </w:rPr>
            </w:pPr>
          </w:p>
        </w:tc>
        <w:tc>
          <w:tcPr>
            <w:tcW w:w="2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660" w:type="dxa"/>
            <w:vAlign w:val="bottom"/>
          </w:tcPr>
          <w:p>
            <w:pPr>
              <w:spacing w:after="0"/>
              <w:rPr>
                <w:sz w:val="20"/>
                <w:szCs w:val="20"/>
                <w:color w:val="auto"/>
              </w:rPr>
            </w:pPr>
            <w:r>
              <w:rPr>
                <w:rFonts w:ascii="Courier New" w:cs="Courier New" w:eastAsia="Courier New" w:hAnsi="Courier New"/>
                <w:sz w:val="16"/>
                <w:szCs w:val="16"/>
                <w:color w:val="auto"/>
              </w:rPr>
              <w:t>Weighted average number of ordinary shares</w:t>
            </w:r>
          </w:p>
        </w:tc>
        <w:tc>
          <w:tcPr>
            <w:tcW w:w="2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6"/>
        </w:trPr>
        <w:tc>
          <w:tcPr>
            <w:tcW w:w="4660" w:type="dxa"/>
            <w:vAlign w:val="bottom"/>
          </w:tcPr>
          <w:p>
            <w:pPr>
              <w:spacing w:after="0"/>
              <w:rPr>
                <w:sz w:val="20"/>
                <w:szCs w:val="20"/>
                <w:color w:val="auto"/>
              </w:rPr>
            </w:pPr>
            <w:r>
              <w:rPr>
                <w:rFonts w:ascii="Courier New" w:cs="Courier New" w:eastAsia="Courier New" w:hAnsi="Courier New"/>
                <w:sz w:val="16"/>
                <w:szCs w:val="16"/>
                <w:color w:val="auto"/>
              </w:rPr>
              <w:t>Basic</w:t>
            </w:r>
          </w:p>
        </w:tc>
        <w:tc>
          <w:tcPr>
            <w:tcW w:w="28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11,833,154</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11,707,978</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11,813,788</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11,656,153</w:t>
            </w:r>
          </w:p>
        </w:tc>
      </w:tr>
      <w:tr>
        <w:trPr>
          <w:trHeight w:val="559"/>
        </w:trPr>
        <w:tc>
          <w:tcPr>
            <w:tcW w:w="4660" w:type="dxa"/>
            <w:vAlign w:val="bottom"/>
          </w:tcPr>
          <w:p>
            <w:pPr>
              <w:spacing w:after="0"/>
              <w:rPr>
                <w:sz w:val="20"/>
                <w:szCs w:val="20"/>
                <w:color w:val="auto"/>
              </w:rPr>
            </w:pPr>
            <w:r>
              <w:rPr>
                <w:rFonts w:ascii="Courier New" w:cs="Courier New" w:eastAsia="Courier New" w:hAnsi="Courier New"/>
                <w:sz w:val="16"/>
                <w:szCs w:val="16"/>
                <w:color w:val="auto"/>
              </w:rPr>
              <w:t>Diluted</w:t>
            </w:r>
          </w:p>
        </w:tc>
        <w:tc>
          <w:tcPr>
            <w:tcW w:w="28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12,228,648</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12,258,968</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12,181,094</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12,241,820</w:t>
            </w:r>
          </w:p>
        </w:tc>
      </w:tr>
      <w:tr>
        <w:trPr>
          <w:trHeight w:val="932"/>
        </w:trPr>
        <w:tc>
          <w:tcPr>
            <w:tcW w:w="4660" w:type="dxa"/>
            <w:vAlign w:val="bottom"/>
          </w:tcPr>
          <w:p>
            <w:pPr>
              <w:ind w:left="3780"/>
              <w:spacing w:after="0"/>
              <w:rPr>
                <w:sz w:val="20"/>
                <w:szCs w:val="20"/>
                <w:color w:val="auto"/>
              </w:rPr>
            </w:pPr>
            <w:r>
              <w:rPr>
                <w:rFonts w:ascii="Courier New" w:cs="Courier New" w:eastAsia="Courier New" w:hAnsi="Courier New"/>
                <w:sz w:val="16"/>
                <w:szCs w:val="16"/>
                <w:color w:val="auto"/>
              </w:rPr>
              <w:t>7</w:t>
            </w:r>
          </w:p>
        </w:tc>
        <w:tc>
          <w:tcPr>
            <w:tcW w:w="2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520"/>
          </w:cols>
          <w:pgMar w:left="240" w:top="1049" w:right="1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200" w:type="dxa"/>
            <w:vAlign w:val="bottom"/>
          </w:tcPr>
          <w:p>
            <w:pPr>
              <w:spacing w:after="0"/>
              <w:rPr>
                <w:sz w:val="15"/>
                <w:szCs w:val="15"/>
                <w:color w:val="auto"/>
              </w:rPr>
            </w:pPr>
          </w:p>
        </w:tc>
        <w:tc>
          <w:tcPr>
            <w:tcW w:w="2520" w:type="dxa"/>
            <w:vAlign w:val="bottom"/>
          </w:tcPr>
          <w:p>
            <w:pPr>
              <w:jc w:val="right"/>
              <w:ind w:right="1379"/>
              <w:spacing w:after="0"/>
              <w:rPr>
                <w:sz w:val="20"/>
                <w:szCs w:val="20"/>
                <w:color w:val="auto"/>
              </w:rPr>
            </w:pPr>
            <w:r>
              <w:rPr>
                <w:rFonts w:ascii="Courier New" w:cs="Courier New" w:eastAsia="Courier New" w:hAnsi="Courier New"/>
                <w:sz w:val="16"/>
                <w:szCs w:val="16"/>
                <w:color w:val="auto"/>
              </w:rPr>
              <w:t>ICON plc</w:t>
            </w:r>
          </w:p>
        </w:tc>
        <w:tc>
          <w:tcPr>
            <w:tcW w:w="2040" w:type="dxa"/>
            <w:vAlign w:val="bottom"/>
          </w:tcPr>
          <w:p>
            <w:pPr>
              <w:spacing w:after="0"/>
              <w:rPr>
                <w:sz w:val="15"/>
                <w:szCs w:val="15"/>
                <w:color w:val="auto"/>
              </w:rPr>
            </w:pPr>
          </w:p>
        </w:tc>
      </w:tr>
      <w:tr>
        <w:trPr>
          <w:trHeight w:val="373"/>
        </w:trPr>
        <w:tc>
          <w:tcPr>
            <w:tcW w:w="572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Summary Balance Sheet Data</w:t>
            </w:r>
          </w:p>
        </w:tc>
        <w:tc>
          <w:tcPr>
            <w:tcW w:w="2040" w:type="dxa"/>
            <w:vAlign w:val="bottom"/>
          </w:tcPr>
          <w:p>
            <w:pPr>
              <w:spacing w:after="0"/>
              <w:rPr>
                <w:sz w:val="24"/>
                <w:szCs w:val="24"/>
                <w:color w:val="auto"/>
              </w:rPr>
            </w:pPr>
          </w:p>
        </w:tc>
      </w:tr>
      <w:tr>
        <w:trPr>
          <w:trHeight w:val="186"/>
        </w:trPr>
        <w:tc>
          <w:tcPr>
            <w:tcW w:w="3200" w:type="dxa"/>
            <w:vAlign w:val="bottom"/>
          </w:tcPr>
          <w:p>
            <w:pPr>
              <w:spacing w:after="0"/>
              <w:rPr>
                <w:sz w:val="16"/>
                <w:szCs w:val="16"/>
                <w:color w:val="auto"/>
              </w:rPr>
            </w:pPr>
          </w:p>
        </w:tc>
        <w:tc>
          <w:tcPr>
            <w:tcW w:w="2520" w:type="dxa"/>
            <w:vAlign w:val="bottom"/>
          </w:tcPr>
          <w:p>
            <w:pPr>
              <w:jc w:val="center"/>
              <w:ind w:right="979"/>
              <w:spacing w:after="0"/>
              <w:rPr>
                <w:sz w:val="20"/>
                <w:szCs w:val="20"/>
                <w:color w:val="auto"/>
              </w:rPr>
            </w:pPr>
            <w:r>
              <w:rPr>
                <w:rFonts w:ascii="Courier New" w:cs="Courier New" w:eastAsia="Courier New" w:hAnsi="Courier New"/>
                <w:sz w:val="16"/>
                <w:szCs w:val="16"/>
                <w:color w:val="auto"/>
              </w:rPr>
              <w:t>(Unaudited)</w:t>
            </w:r>
          </w:p>
        </w:tc>
        <w:tc>
          <w:tcPr>
            <w:tcW w:w="2040" w:type="dxa"/>
            <w:vAlign w:val="bottom"/>
          </w:tcPr>
          <w:p>
            <w:pPr>
              <w:spacing w:after="0"/>
              <w:rPr>
                <w:sz w:val="16"/>
                <w:szCs w:val="16"/>
                <w:color w:val="auto"/>
              </w:rPr>
            </w:pPr>
          </w:p>
        </w:tc>
      </w:tr>
      <w:tr>
        <w:trPr>
          <w:trHeight w:val="373"/>
        </w:trPr>
        <w:tc>
          <w:tcPr>
            <w:tcW w:w="5720" w:type="dxa"/>
            <w:vAlign w:val="bottom"/>
            <w:gridSpan w:val="2"/>
          </w:tcPr>
          <w:p>
            <w:pPr>
              <w:jc w:val="center"/>
              <w:ind w:left="2039"/>
              <w:spacing w:after="0"/>
              <w:rPr>
                <w:sz w:val="20"/>
                <w:szCs w:val="20"/>
                <w:color w:val="auto"/>
              </w:rPr>
            </w:pPr>
            <w:r>
              <w:rPr>
                <w:rFonts w:ascii="Courier New" w:cs="Courier New" w:eastAsia="Courier New" w:hAnsi="Courier New"/>
                <w:sz w:val="16"/>
                <w:szCs w:val="16"/>
                <w:color w:val="auto"/>
              </w:rPr>
              <w:t>May 31, 2003 and May 31, 2002</w:t>
            </w:r>
          </w:p>
        </w:tc>
        <w:tc>
          <w:tcPr>
            <w:tcW w:w="2040" w:type="dxa"/>
            <w:vAlign w:val="bottom"/>
          </w:tcPr>
          <w:p>
            <w:pPr>
              <w:spacing w:after="0"/>
              <w:rPr>
                <w:sz w:val="24"/>
                <w:szCs w:val="24"/>
                <w:color w:val="auto"/>
              </w:rPr>
            </w:pPr>
          </w:p>
        </w:tc>
      </w:tr>
      <w:tr>
        <w:trPr>
          <w:trHeight w:val="186"/>
        </w:trPr>
        <w:tc>
          <w:tcPr>
            <w:tcW w:w="5720" w:type="dxa"/>
            <w:vAlign w:val="bottom"/>
            <w:gridSpan w:val="2"/>
          </w:tcPr>
          <w:p>
            <w:pPr>
              <w:jc w:val="center"/>
              <w:ind w:left="2039"/>
              <w:spacing w:after="0"/>
              <w:rPr>
                <w:sz w:val="20"/>
                <w:szCs w:val="20"/>
                <w:color w:val="auto"/>
              </w:rPr>
            </w:pPr>
            <w:r>
              <w:rPr>
                <w:rFonts w:ascii="Courier New" w:cs="Courier New" w:eastAsia="Courier New" w:hAnsi="Courier New"/>
                <w:sz w:val="16"/>
                <w:szCs w:val="16"/>
                <w:color w:val="auto"/>
              </w:rPr>
              <w:t>(Dollars, in thousands)</w:t>
            </w:r>
          </w:p>
        </w:tc>
        <w:tc>
          <w:tcPr>
            <w:tcW w:w="2040" w:type="dxa"/>
            <w:vAlign w:val="bottom"/>
          </w:tcPr>
          <w:p>
            <w:pPr>
              <w:spacing w:after="0"/>
              <w:rPr>
                <w:sz w:val="16"/>
                <w:szCs w:val="16"/>
                <w:color w:val="auto"/>
              </w:rPr>
            </w:pPr>
          </w:p>
        </w:tc>
      </w:tr>
      <w:tr>
        <w:trPr>
          <w:trHeight w:val="373"/>
        </w:trPr>
        <w:tc>
          <w:tcPr>
            <w:tcW w:w="3200" w:type="dxa"/>
            <w:vAlign w:val="bottom"/>
          </w:tcPr>
          <w:p>
            <w:pPr>
              <w:spacing w:after="0"/>
              <w:rPr>
                <w:sz w:val="24"/>
                <w:szCs w:val="24"/>
                <w:color w:val="auto"/>
              </w:rPr>
            </w:pPr>
          </w:p>
        </w:tc>
        <w:tc>
          <w:tcPr>
            <w:tcW w:w="252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May 31,</w:t>
            </w:r>
          </w:p>
        </w:tc>
        <w:tc>
          <w:tcPr>
            <w:tcW w:w="204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May 31,</w:t>
            </w:r>
          </w:p>
        </w:tc>
      </w:tr>
      <w:tr>
        <w:trPr>
          <w:trHeight w:val="186"/>
        </w:trPr>
        <w:tc>
          <w:tcPr>
            <w:tcW w:w="3200" w:type="dxa"/>
            <w:vAlign w:val="bottom"/>
          </w:tcPr>
          <w:p>
            <w:pPr>
              <w:spacing w:after="0"/>
              <w:rPr>
                <w:sz w:val="16"/>
                <w:szCs w:val="16"/>
                <w:color w:val="auto"/>
              </w:rPr>
            </w:pPr>
          </w:p>
        </w:tc>
        <w:tc>
          <w:tcPr>
            <w:tcW w:w="252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2003</w:t>
            </w:r>
          </w:p>
        </w:tc>
        <w:tc>
          <w:tcPr>
            <w:tcW w:w="204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2002</w:t>
            </w:r>
          </w:p>
        </w:tc>
      </w:tr>
      <w:tr>
        <w:trPr>
          <w:trHeight w:val="373"/>
        </w:trPr>
        <w:tc>
          <w:tcPr>
            <w:tcW w:w="3200" w:type="dxa"/>
            <w:vAlign w:val="bottom"/>
          </w:tcPr>
          <w:p>
            <w:pPr>
              <w:spacing w:after="0"/>
              <w:rPr>
                <w:sz w:val="20"/>
                <w:szCs w:val="20"/>
                <w:color w:val="auto"/>
              </w:rPr>
            </w:pPr>
            <w:r>
              <w:rPr>
                <w:rFonts w:ascii="Courier New" w:cs="Courier New" w:eastAsia="Courier New" w:hAnsi="Courier New"/>
                <w:sz w:val="16"/>
                <w:szCs w:val="16"/>
                <w:color w:val="auto"/>
              </w:rPr>
              <w:t>Cash and short-term investments</w:t>
            </w:r>
          </w:p>
        </w:tc>
        <w:tc>
          <w:tcPr>
            <w:tcW w:w="252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18,311</w:t>
            </w:r>
          </w:p>
        </w:tc>
        <w:tc>
          <w:tcPr>
            <w:tcW w:w="204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54,842</w:t>
            </w:r>
          </w:p>
        </w:tc>
      </w:tr>
      <w:tr>
        <w:trPr>
          <w:trHeight w:val="186"/>
        </w:trPr>
        <w:tc>
          <w:tcPr>
            <w:tcW w:w="3200" w:type="dxa"/>
            <w:vAlign w:val="bottom"/>
          </w:tcPr>
          <w:p>
            <w:pPr>
              <w:spacing w:after="0"/>
              <w:rPr>
                <w:sz w:val="20"/>
                <w:szCs w:val="20"/>
                <w:color w:val="auto"/>
              </w:rPr>
            </w:pPr>
            <w:r>
              <w:rPr>
                <w:rFonts w:ascii="Courier New" w:cs="Courier New" w:eastAsia="Courier New" w:hAnsi="Courier New"/>
                <w:sz w:val="16"/>
                <w:szCs w:val="16"/>
                <w:color w:val="auto"/>
              </w:rPr>
              <w:t>Short-term debt</w:t>
            </w:r>
          </w:p>
        </w:tc>
        <w:tc>
          <w:tcPr>
            <w:tcW w:w="252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(7,126)</w:t>
            </w:r>
          </w:p>
        </w:tc>
        <w:tc>
          <w:tcPr>
            <w:tcW w:w="204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(11,745)</w:t>
            </w:r>
          </w:p>
        </w:tc>
      </w:tr>
      <w:tr>
        <w:trPr>
          <w:trHeight w:val="186"/>
        </w:trPr>
        <w:tc>
          <w:tcPr>
            <w:tcW w:w="3200" w:type="dxa"/>
            <w:vAlign w:val="bottom"/>
          </w:tcPr>
          <w:p>
            <w:pPr>
              <w:spacing w:after="0"/>
              <w:rPr>
                <w:sz w:val="20"/>
                <w:szCs w:val="20"/>
                <w:color w:val="auto"/>
              </w:rPr>
            </w:pPr>
            <w:r>
              <w:rPr>
                <w:rFonts w:ascii="Courier New" w:cs="Courier New" w:eastAsia="Courier New" w:hAnsi="Courier New"/>
                <w:sz w:val="16"/>
                <w:szCs w:val="16"/>
                <w:color w:val="auto"/>
              </w:rPr>
              <w:t>Net cash</w:t>
            </w:r>
          </w:p>
        </w:tc>
        <w:tc>
          <w:tcPr>
            <w:tcW w:w="252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11,185</w:t>
            </w:r>
          </w:p>
        </w:tc>
        <w:tc>
          <w:tcPr>
            <w:tcW w:w="204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43,097</w:t>
            </w:r>
          </w:p>
        </w:tc>
      </w:tr>
      <w:tr>
        <w:trPr>
          <w:trHeight w:val="559"/>
        </w:trPr>
        <w:tc>
          <w:tcPr>
            <w:tcW w:w="3200" w:type="dxa"/>
            <w:vAlign w:val="bottom"/>
          </w:tcPr>
          <w:p>
            <w:pPr>
              <w:spacing w:after="0"/>
              <w:rPr>
                <w:sz w:val="20"/>
                <w:szCs w:val="20"/>
                <w:color w:val="auto"/>
              </w:rPr>
            </w:pPr>
            <w:r>
              <w:rPr>
                <w:rFonts w:ascii="Courier New" w:cs="Courier New" w:eastAsia="Courier New" w:hAnsi="Courier New"/>
                <w:sz w:val="16"/>
                <w:szCs w:val="16"/>
                <w:color w:val="auto"/>
              </w:rPr>
              <w:t>Accounts receivable</w:t>
            </w:r>
          </w:p>
        </w:tc>
        <w:tc>
          <w:tcPr>
            <w:tcW w:w="252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74,645</w:t>
            </w:r>
          </w:p>
        </w:tc>
        <w:tc>
          <w:tcPr>
            <w:tcW w:w="204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41,306</w:t>
            </w:r>
          </w:p>
        </w:tc>
      </w:tr>
      <w:tr>
        <w:trPr>
          <w:trHeight w:val="186"/>
        </w:trPr>
        <w:tc>
          <w:tcPr>
            <w:tcW w:w="3200" w:type="dxa"/>
            <w:vAlign w:val="bottom"/>
          </w:tcPr>
          <w:p>
            <w:pPr>
              <w:spacing w:after="0"/>
              <w:rPr>
                <w:sz w:val="20"/>
                <w:szCs w:val="20"/>
                <w:color w:val="auto"/>
              </w:rPr>
            </w:pPr>
            <w:r>
              <w:rPr>
                <w:rFonts w:ascii="Courier New" w:cs="Courier New" w:eastAsia="Courier New" w:hAnsi="Courier New"/>
                <w:sz w:val="16"/>
                <w:szCs w:val="16"/>
                <w:color w:val="auto"/>
              </w:rPr>
              <w:t>Unbilled revenue</w:t>
            </w:r>
          </w:p>
        </w:tc>
        <w:tc>
          <w:tcPr>
            <w:tcW w:w="252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44,783</w:t>
            </w:r>
          </w:p>
        </w:tc>
        <w:tc>
          <w:tcPr>
            <w:tcW w:w="204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26,387</w:t>
            </w:r>
          </w:p>
        </w:tc>
      </w:tr>
      <w:tr>
        <w:trPr>
          <w:trHeight w:val="186"/>
        </w:trPr>
        <w:tc>
          <w:tcPr>
            <w:tcW w:w="3200" w:type="dxa"/>
            <w:vAlign w:val="bottom"/>
          </w:tcPr>
          <w:p>
            <w:pPr>
              <w:spacing w:after="0"/>
              <w:rPr>
                <w:sz w:val="20"/>
                <w:szCs w:val="20"/>
                <w:color w:val="auto"/>
              </w:rPr>
            </w:pPr>
            <w:r>
              <w:rPr>
                <w:rFonts w:ascii="Courier New" w:cs="Courier New" w:eastAsia="Courier New" w:hAnsi="Courier New"/>
                <w:sz w:val="16"/>
                <w:szCs w:val="16"/>
                <w:color w:val="auto"/>
              </w:rPr>
              <w:t>Payments on account</w:t>
            </w:r>
          </w:p>
        </w:tc>
        <w:tc>
          <w:tcPr>
            <w:tcW w:w="252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(45,763)</w:t>
            </w:r>
          </w:p>
        </w:tc>
        <w:tc>
          <w:tcPr>
            <w:tcW w:w="204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(19,854)</w:t>
            </w:r>
          </w:p>
        </w:tc>
      </w:tr>
      <w:tr>
        <w:trPr>
          <w:trHeight w:val="186"/>
        </w:trPr>
        <w:tc>
          <w:tcPr>
            <w:tcW w:w="320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252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73,665</w:t>
            </w:r>
          </w:p>
        </w:tc>
        <w:tc>
          <w:tcPr>
            <w:tcW w:w="204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47,839</w:t>
            </w:r>
          </w:p>
        </w:tc>
      </w:tr>
      <w:tr>
        <w:trPr>
          <w:trHeight w:val="373"/>
        </w:trPr>
        <w:tc>
          <w:tcPr>
            <w:tcW w:w="320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252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53,827</w:t>
            </w:r>
          </w:p>
        </w:tc>
        <w:tc>
          <w:tcPr>
            <w:tcW w:w="204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72,923</w:t>
            </w:r>
          </w:p>
        </w:tc>
      </w:tr>
      <w:tr>
        <w:trPr>
          <w:trHeight w:val="373"/>
        </w:trPr>
        <w:tc>
          <w:tcPr>
            <w:tcW w:w="320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252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235,014</w:t>
            </w:r>
          </w:p>
        </w:tc>
        <w:tc>
          <w:tcPr>
            <w:tcW w:w="204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165,794</w:t>
            </w:r>
          </w:p>
        </w:tc>
      </w:tr>
      <w:tr>
        <w:trPr>
          <w:trHeight w:val="373"/>
        </w:trPr>
        <w:tc>
          <w:tcPr>
            <w:tcW w:w="320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252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136,910</w:t>
            </w:r>
          </w:p>
        </w:tc>
        <w:tc>
          <w:tcPr>
            <w:tcW w:w="204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107,561</w:t>
            </w:r>
          </w:p>
        </w:tc>
      </w:tr>
      <w:tr>
        <w:trPr>
          <w:trHeight w:val="559"/>
        </w:trPr>
        <w:tc>
          <w:tcPr>
            <w:tcW w:w="3200" w:type="dxa"/>
            <w:vAlign w:val="bottom"/>
          </w:tcPr>
          <w:p>
            <w:pPr>
              <w:spacing w:after="0"/>
              <w:rPr>
                <w:sz w:val="20"/>
                <w:szCs w:val="20"/>
                <w:color w:val="auto"/>
              </w:rPr>
            </w:pPr>
            <w:r>
              <w:rPr>
                <w:rFonts w:ascii="Courier New" w:cs="Courier New" w:eastAsia="Courier New" w:hAnsi="Courier New"/>
                <w:sz w:val="16"/>
                <w:szCs w:val="16"/>
                <w:color w:val="auto"/>
              </w:rPr>
              <w:t>Source:</w:t>
            </w:r>
          </w:p>
        </w:tc>
        <w:tc>
          <w:tcPr>
            <w:tcW w:w="2520" w:type="dxa"/>
            <w:vAlign w:val="bottom"/>
          </w:tcPr>
          <w:p>
            <w:pPr>
              <w:ind w:left="1060"/>
              <w:spacing w:after="0"/>
              <w:rPr>
                <w:sz w:val="20"/>
                <w:szCs w:val="20"/>
                <w:color w:val="auto"/>
              </w:rPr>
            </w:pPr>
            <w:r>
              <w:rPr>
                <w:rFonts w:ascii="Courier New" w:cs="Courier New" w:eastAsia="Courier New" w:hAnsi="Courier New"/>
                <w:sz w:val="16"/>
                <w:szCs w:val="16"/>
                <w:color w:val="auto"/>
              </w:rPr>
              <w:t>ICON plc</w:t>
            </w:r>
          </w:p>
        </w:tc>
        <w:tc>
          <w:tcPr>
            <w:tcW w:w="2040" w:type="dxa"/>
            <w:vAlign w:val="bottom"/>
          </w:tcPr>
          <w:p>
            <w:pPr>
              <w:spacing w:after="0"/>
              <w:rPr>
                <w:sz w:val="24"/>
                <w:szCs w:val="24"/>
                <w:color w:val="auto"/>
              </w:rPr>
            </w:pPr>
          </w:p>
        </w:tc>
      </w:tr>
      <w:tr>
        <w:trPr>
          <w:trHeight w:val="373"/>
        </w:trPr>
        <w:tc>
          <w:tcPr>
            <w:tcW w:w="3200" w:type="dxa"/>
            <w:vAlign w:val="bottom"/>
          </w:tcPr>
          <w:p>
            <w:pPr>
              <w:spacing w:after="0"/>
              <w:rPr>
                <w:sz w:val="20"/>
                <w:szCs w:val="20"/>
                <w:color w:val="auto"/>
              </w:rPr>
            </w:pPr>
            <w:r>
              <w:rPr>
                <w:rFonts w:ascii="Courier New" w:cs="Courier New" w:eastAsia="Courier New" w:hAnsi="Courier New"/>
                <w:sz w:val="16"/>
                <w:szCs w:val="16"/>
                <w:color w:val="auto"/>
              </w:rPr>
              <w:t>Contact:</w:t>
            </w:r>
          </w:p>
        </w:tc>
        <w:tc>
          <w:tcPr>
            <w:tcW w:w="4560" w:type="dxa"/>
            <w:vAlign w:val="bottom"/>
            <w:gridSpan w:val="2"/>
          </w:tcPr>
          <w:p>
            <w:pPr>
              <w:ind w:left="1060"/>
              <w:spacing w:after="0"/>
              <w:rPr>
                <w:sz w:val="20"/>
                <w:szCs w:val="20"/>
                <w:color w:val="auto"/>
              </w:rPr>
            </w:pPr>
            <w:r>
              <w:rPr>
                <w:rFonts w:ascii="Courier New" w:cs="Courier New" w:eastAsia="Courier New" w:hAnsi="Courier New"/>
                <w:sz w:val="16"/>
                <w:szCs w:val="16"/>
                <w:color w:val="auto"/>
              </w:rPr>
              <w:t>Investor Relations 1-888-381-7923 or</w:t>
            </w:r>
          </w:p>
        </w:tc>
      </w:tr>
    </w:tbl>
    <w:p>
      <w:pPr>
        <w:spacing w:after="0" w:line="4"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Sean Leech CFO + 353 1 291 2000</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both at ICON.</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http://www.iconclinical.com</w:t>
      </w: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sectPr>
      <w:pgSz w:w="11900" w:h="16838" w:orient="portrait"/>
      <w:cols w:equalWidth="0" w:num="1">
        <w:col w:w="10219"/>
      </w:cols>
      <w:pgMar w:left="240" w:top="10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2019-12-12T02:19:17Z</dcterms:created>
  <dcterms:modified xsi:type="dcterms:W3CDTF">2019-12-12T02:19:17Z</dcterms:modified>
</cp:coreProperties>
</file>