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30, 2014 - ICON Reports Second Quarter 2014 and Increases Earnings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July 30, 2014</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2440" w:firstLine="2448"/>
        <w:spacing w:after="0" w:line="435" w:lineRule="auto"/>
        <w:rPr>
          <w:sz w:val="20"/>
          <w:szCs w:val="20"/>
          <w:color w:val="auto"/>
        </w:rPr>
      </w:pPr>
      <w:r>
        <w:rPr>
          <w:rFonts w:ascii="Arial" w:cs="Arial" w:eastAsia="Arial" w:hAnsi="Arial"/>
          <w:sz w:val="22"/>
          <w:szCs w:val="22"/>
          <w:b w:val="1"/>
          <w:bCs w:val="1"/>
          <w:color w:val="auto"/>
        </w:rPr>
        <w:t>ICON Reports Second Quarter 2014 and Increases Earnings Guidance Highlights – Second Quarter Fiscal 2014</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Quarter 2 net revenue increased 12.5% year on year to $376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was $48.3 million or 12.8%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were 64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60"/>
        <w:spacing w:after="0" w:line="256" w:lineRule="auto"/>
        <w:rPr>
          <w:sz w:val="20"/>
          <w:szCs w:val="20"/>
          <w:color w:val="auto"/>
        </w:rPr>
      </w:pPr>
      <w:r>
        <w:rPr>
          <w:rFonts w:ascii="Arial" w:cs="Arial" w:eastAsia="Arial" w:hAnsi="Arial"/>
          <w:sz w:val="22"/>
          <w:szCs w:val="22"/>
          <w:b w:val="1"/>
          <w:bCs w:val="1"/>
          <w:color w:val="auto"/>
        </w:rPr>
        <w:t>Gross business wins were $521 million, representing a gross book to bill of 1.38. Net business wins were $458 million, representing a net book to bill of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00"/>
        <w:spacing w:after="0" w:line="256" w:lineRule="auto"/>
        <w:rPr>
          <w:sz w:val="20"/>
          <w:szCs w:val="20"/>
          <w:color w:val="auto"/>
        </w:rPr>
      </w:pPr>
      <w:r>
        <w:rPr>
          <w:rFonts w:ascii="Arial" w:cs="Arial" w:eastAsia="Arial" w:hAnsi="Arial"/>
          <w:sz w:val="22"/>
          <w:szCs w:val="22"/>
          <w:b w:val="1"/>
          <w:bCs w:val="1"/>
          <w:color w:val="auto"/>
        </w:rPr>
        <w:t>Earnings guidance increased from a range of $2.30 - $2.40 to a range of $2.62 - $2.68 and revenue guidance narrowed to a range of $1,490 million - $1,530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jc w:val="both"/>
        <w:ind w:right="520"/>
        <w:spacing w:after="0" w:line="243" w:lineRule="auto"/>
        <w:rPr>
          <w:sz w:val="20"/>
          <w:szCs w:val="20"/>
          <w:color w:val="auto"/>
        </w:rPr>
      </w:pPr>
      <w:r>
        <w:rPr>
          <w:rFonts w:ascii="Arial" w:cs="Arial" w:eastAsia="Arial" w:hAnsi="Arial"/>
          <w:sz w:val="22"/>
          <w:szCs w:val="22"/>
          <w:color w:val="auto"/>
        </w:rPr>
        <w:t>DUBLIN--(BUSINESS WIRE)--July 30, 2014--</w:t>
      </w:r>
      <w:r>
        <w:rPr>
          <w:rFonts w:ascii="Arial" w:cs="Arial" w:eastAsia="Arial" w:hAnsi="Arial"/>
          <w:sz w:val="22"/>
          <w:szCs w:val="22"/>
          <w:b w:val="1"/>
          <w:bCs w:val="1"/>
          <w:color w:val="auto"/>
        </w:rPr>
        <w:t>ICON plc</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(NASDAQ:ICLR),</w:t>
      </w:r>
      <w:r>
        <w:rPr>
          <w:rFonts w:ascii="Arial" w:cs="Arial" w:eastAsia="Arial" w:hAnsi="Arial"/>
          <w:sz w:val="22"/>
          <w:szCs w:val="22"/>
          <w:color w:val="auto"/>
        </w:rPr>
        <w:t xml:space="preserve"> a global provider of outsourced development services to the pharmaceutical, biotechnology and medical device industries, today reported its financial results for the second quarter ended June 30, 2014.</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For the second quarter, net revenue grew 12.5% year on year to $376 million from $334.2 million in Q2 2013.</w:t>
      </w:r>
    </w:p>
    <w:p>
      <w:pPr>
        <w:spacing w:after="0" w:line="206"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Income from operations, excluding restructuring and other items, was $48.3 million or 12.8% of revenue, compared to $30.9 million or 9.3% for the same quarter last year.</w:t>
      </w:r>
    </w:p>
    <w:p>
      <w:pPr>
        <w:spacing w:after="0" w:line="173"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Net income, excluding restructuring and other items, was $40.8 million or 64 cents per share on a diluted basis, compared with $26.5 million or 43 cents per share for the same quarter last year.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Revenue in the first half of 2014 increased 11.5% to $726 million from $651 million in 2013.</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Income from operations in the first half of 2014, excluding restructuring charges, was $91.3 million or 12.6% of revenue, compared with $58.3 million or 9% of revenue in the previous year.</w:t>
      </w:r>
    </w:p>
    <w:p>
      <w:pPr>
        <w:spacing w:after="0" w:line="173"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Net income in the first half of 2014, excluding restructuring charges, was $77 million or $1.22 per share on a diluted basis, compared with $48.7 million or 79 cents per diluted share last year.</w:t>
      </w:r>
    </w:p>
    <w:p>
      <w:pPr>
        <w:spacing w:after="0" w:line="173" w:lineRule="exact"/>
        <w:rPr>
          <w:sz w:val="20"/>
          <w:szCs w:val="20"/>
          <w:color w:val="auto"/>
        </w:rPr>
      </w:pPr>
    </w:p>
    <w:p>
      <w:pPr>
        <w:jc w:val="both"/>
        <w:ind w:right="180"/>
        <w:spacing w:after="0" w:line="251" w:lineRule="auto"/>
        <w:rPr>
          <w:sz w:val="20"/>
          <w:szCs w:val="20"/>
          <w:color w:val="auto"/>
        </w:rPr>
      </w:pPr>
      <w:r>
        <w:rPr>
          <w:rFonts w:ascii="Arial" w:cs="Arial" w:eastAsia="Arial" w:hAnsi="Arial"/>
          <w:sz w:val="22"/>
          <w:szCs w:val="22"/>
          <w:color w:val="auto"/>
        </w:rPr>
        <w:t>Guidance for the full year 2014 has been updated with EPS guidance increased from a range of $2.30 - $2.40 to a range of $2.62 - $2.68 and revenue narrowed to a range of $1.490 billion - $1.530 billion.</w:t>
      </w:r>
    </w:p>
    <w:p>
      <w:pPr>
        <w:spacing w:after="0" w:line="17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40 days at June 30, 2014, compared with 35 days at the end of March 2014.</w:t>
      </w:r>
    </w:p>
    <w:p>
      <w:pPr>
        <w:spacing w:after="0" w:line="173" w:lineRule="exact"/>
        <w:rPr>
          <w:sz w:val="20"/>
          <w:szCs w:val="20"/>
          <w:color w:val="auto"/>
        </w:rPr>
      </w:pPr>
    </w:p>
    <w:p>
      <w:pPr>
        <w:jc w:val="both"/>
        <w:ind w:right="200"/>
        <w:spacing w:after="0" w:line="297" w:lineRule="auto"/>
        <w:rPr>
          <w:sz w:val="20"/>
          <w:szCs w:val="20"/>
          <w:color w:val="auto"/>
        </w:rPr>
      </w:pPr>
      <w:r>
        <w:rPr>
          <w:rFonts w:ascii="Arial" w:cs="Arial" w:eastAsia="Arial" w:hAnsi="Arial"/>
          <w:sz w:val="19"/>
          <w:szCs w:val="19"/>
          <w:color w:val="auto"/>
        </w:rPr>
        <w:t>For the quarter ended June 30, 2014, cash used in operating activities was $54.9 million and capital expenditure was $6.8 million. In addition during the quarter the acquisition of Aptiv Solutions was completed for an initial cash consideration of $143.5m. The company’s net cash amounted to $175 million at June 30, 2014, compared to net cash of $364 million at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100"/>
        <w:spacing w:after="0" w:line="252" w:lineRule="auto"/>
        <w:rPr>
          <w:sz w:val="20"/>
          <w:szCs w:val="20"/>
          <w:color w:val="auto"/>
        </w:rPr>
      </w:pPr>
      <w:r>
        <w:rPr>
          <w:rFonts w:ascii="Arial" w:cs="Arial" w:eastAsia="Arial" w:hAnsi="Arial"/>
          <w:sz w:val="21"/>
          <w:szCs w:val="21"/>
          <w:color w:val="auto"/>
        </w:rPr>
        <w:t xml:space="preserve">CEO Ciaran Murray commented, </w:t>
      </w:r>
      <w:r>
        <w:rPr>
          <w:rFonts w:ascii="Arial" w:cs="Arial" w:eastAsia="Arial" w:hAnsi="Arial"/>
          <w:sz w:val="21"/>
          <w:szCs w:val="21"/>
          <w:i w:val="1"/>
          <w:iCs w:val="1"/>
          <w:color w:val="auto"/>
        </w:rPr>
        <w:t>“We continue to make progress in line with our strategic plan delivering $458 million of new</w:t>
      </w:r>
      <w:r>
        <w:rPr>
          <w:rFonts w:ascii="Arial" w:cs="Arial" w:eastAsia="Arial" w:hAnsi="Arial"/>
          <w:sz w:val="21"/>
          <w:szCs w:val="21"/>
          <w:color w:val="auto"/>
        </w:rPr>
        <w:t xml:space="preserve"> </w:t>
      </w:r>
      <w:r>
        <w:rPr>
          <w:rFonts w:ascii="Arial" w:cs="Arial" w:eastAsia="Arial" w:hAnsi="Arial"/>
          <w:sz w:val="21"/>
          <w:szCs w:val="21"/>
          <w:i w:val="1"/>
          <w:iCs w:val="1"/>
          <w:color w:val="auto"/>
        </w:rPr>
        <w:t>business in the quarter, representing a book to bill of 1.22. In Quarter 2 revenues grew 12.5% over 2013 and operating margins expanded to 12.8%.Consequently we are increasing our full year EPS guidance from a range of $2.30 - $2.40 to a range of $2.62 - $2.68 and narrowing our revenue guidance to a range of $1.490 billion - $1.530 billion.”</w:t>
      </w:r>
    </w:p>
    <w:p>
      <w:pPr>
        <w:spacing w:after="0" w:line="175"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ICON will hold its second quarter conference call today, July 30, 2014 at 8:30 EST [13:30 Ireland &amp; UK]. This call and linked slide presentation can be accessed live from our website at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83 locations in 38 countries and has approximately 11,000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 Investor Relations 1-888-381-7923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 + 353 –1-291-2000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Simon Holmes EVP Investor Relations and Corporate Development + 353 –1-291-2000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4040" w:type="dxa"/>
            <w:vAlign w:val="bottom"/>
            <w:gridSpan w:val="2"/>
          </w:tcPr>
          <w:p>
            <w:pPr>
              <w:jc w:val="center"/>
              <w:ind w:left="888"/>
              <w:spacing w:after="0"/>
              <w:rPr>
                <w:sz w:val="20"/>
                <w:szCs w:val="20"/>
                <w:color w:val="auto"/>
              </w:rPr>
            </w:pPr>
            <w:r>
              <w:rPr>
                <w:rFonts w:ascii="Arial" w:cs="Arial" w:eastAsia="Arial" w:hAnsi="Arial"/>
                <w:sz w:val="14"/>
                <w:szCs w:val="14"/>
                <w:b w:val="1"/>
                <w:bCs w:val="1"/>
                <w:color w:val="auto"/>
              </w:rPr>
              <w:t>ICON plc</w:t>
            </w: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200" w:type="dxa"/>
            <w:vAlign w:val="bottom"/>
          </w:tcPr>
          <w:p>
            <w:pPr>
              <w:spacing w:after="0"/>
              <w:rPr>
                <w:sz w:val="24"/>
                <w:szCs w:val="24"/>
                <w:color w:val="auto"/>
              </w:rPr>
            </w:pPr>
          </w:p>
        </w:tc>
        <w:tc>
          <w:tcPr>
            <w:tcW w:w="4040" w:type="dxa"/>
            <w:vAlign w:val="bottom"/>
            <w:gridSpan w:val="2"/>
          </w:tcPr>
          <w:p>
            <w:pPr>
              <w:jc w:val="center"/>
              <w:ind w:left="908"/>
              <w:spacing w:after="0"/>
              <w:rPr>
                <w:sz w:val="20"/>
                <w:szCs w:val="20"/>
                <w:color w:val="auto"/>
              </w:rPr>
            </w:pPr>
            <w:r>
              <w:rPr>
                <w:rFonts w:ascii="Arial" w:cs="Arial" w:eastAsia="Arial" w:hAnsi="Arial"/>
                <w:sz w:val="14"/>
                <w:szCs w:val="14"/>
                <w:b w:val="1"/>
                <w:bCs w:val="1"/>
                <w:color w:val="auto"/>
                <w:w w:val="91"/>
              </w:rPr>
              <w:t>Consolidated Income Statements (Unaudited)</w:t>
            </w: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4040" w:type="dxa"/>
            <w:vAlign w:val="bottom"/>
            <w:gridSpan w:val="2"/>
          </w:tcPr>
          <w:p>
            <w:pPr>
              <w:jc w:val="center"/>
              <w:ind w:left="908"/>
              <w:spacing w:after="0"/>
              <w:rPr>
                <w:sz w:val="20"/>
                <w:szCs w:val="20"/>
                <w:color w:val="auto"/>
              </w:rPr>
            </w:pPr>
            <w:r>
              <w:rPr>
                <w:rFonts w:ascii="Arial" w:cs="Arial" w:eastAsia="Arial" w:hAnsi="Arial"/>
                <w:sz w:val="14"/>
                <w:szCs w:val="14"/>
                <w:b w:val="1"/>
                <w:bCs w:val="1"/>
                <w:color w:val="auto"/>
                <w:w w:val="92"/>
              </w:rPr>
              <w:t>(Before restructuring and other items)</w:t>
            </w: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4"/>
                <w:szCs w:val="24"/>
                <w:color w:val="auto"/>
              </w:rPr>
            </w:pPr>
          </w:p>
        </w:tc>
        <w:tc>
          <w:tcPr>
            <w:tcW w:w="526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2"/>
              </w:rPr>
              <w:t>Three and Six Months ended June 30, 2014 and June 30, 2013</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4"/>
                <w:szCs w:val="24"/>
                <w:color w:val="auto"/>
              </w:rPr>
            </w:pPr>
          </w:p>
        </w:tc>
        <w:tc>
          <w:tcPr>
            <w:tcW w:w="526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20" w:type="dxa"/>
            <w:vAlign w:val="bottom"/>
            <w:gridSpan w:val="2"/>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960" w:type="dxa"/>
            <w:vAlign w:val="bottom"/>
            <w:gridSpan w:val="2"/>
          </w:tcPr>
          <w:p>
            <w:pPr>
              <w:ind w:left="9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700" w:type="dxa"/>
            <w:vAlign w:val="bottom"/>
          </w:tcPr>
          <w:p>
            <w:pPr>
              <w:ind w:left="380"/>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ind w:left="180"/>
              <w:spacing w:after="0"/>
              <w:rPr>
                <w:sz w:val="20"/>
                <w:szCs w:val="20"/>
                <w:color w:val="auto"/>
              </w:rPr>
            </w:pPr>
            <w:r>
              <w:rPr>
                <w:rFonts w:ascii="Arial" w:cs="Arial" w:eastAsia="Arial" w:hAnsi="Arial"/>
                <w:sz w:val="14"/>
                <w:szCs w:val="14"/>
                <w:b w:val="1"/>
                <w:bCs w:val="1"/>
                <w:color w:val="auto"/>
              </w:rPr>
              <w:t>June 30,</w:t>
            </w:r>
          </w:p>
        </w:tc>
        <w:tc>
          <w:tcPr>
            <w:tcW w:w="1540" w:type="dxa"/>
            <w:vAlign w:val="bottom"/>
          </w:tcPr>
          <w:p>
            <w:pPr>
              <w:ind w:left="480"/>
              <w:spacing w:after="0"/>
              <w:rPr>
                <w:sz w:val="20"/>
                <w:szCs w:val="20"/>
                <w:color w:val="auto"/>
              </w:rPr>
            </w:pPr>
            <w:r>
              <w:rPr>
                <w:rFonts w:ascii="Arial" w:cs="Arial" w:eastAsia="Arial" w:hAnsi="Arial"/>
                <w:sz w:val="14"/>
                <w:szCs w:val="14"/>
                <w:b w:val="1"/>
                <w:bCs w:val="1"/>
                <w:color w:val="auto"/>
              </w:rPr>
              <w:t>June 30,</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b w:val="1"/>
                <w:bCs w:val="1"/>
                <w:color w:val="auto"/>
                <w:w w:val="89"/>
              </w:rPr>
              <w:t>2014</w:t>
            </w:r>
          </w:p>
        </w:tc>
        <w:tc>
          <w:tcPr>
            <w:tcW w:w="1220" w:type="dxa"/>
            <w:vAlign w:val="bottom"/>
          </w:tcPr>
          <w:p>
            <w:pPr>
              <w:jc w:val="center"/>
              <w:ind w:right="248"/>
              <w:spacing w:after="0"/>
              <w:rPr>
                <w:sz w:val="20"/>
                <w:szCs w:val="20"/>
                <w:color w:val="auto"/>
              </w:rPr>
            </w:pPr>
            <w:r>
              <w:rPr>
                <w:rFonts w:ascii="Arial" w:cs="Arial" w:eastAsia="Arial" w:hAnsi="Arial"/>
                <w:sz w:val="14"/>
                <w:szCs w:val="14"/>
                <w:b w:val="1"/>
                <w:bCs w:val="1"/>
                <w:color w:val="auto"/>
                <w:w w:val="96"/>
              </w:rPr>
              <w:t>2013</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42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4"/>
                <w:szCs w:val="14"/>
                <w:color w:val="auto"/>
              </w:rPr>
              <w:t>Gross Revenue</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4"/>
              </w:rPr>
              <w:t>506,404</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0"/>
              </w:rPr>
              <w:t>469,626</w:t>
            </w: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982,948</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0"/>
              </w:rPr>
              <w:t>888,685</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4"/>
                <w:szCs w:val="14"/>
                <w:color w:val="auto"/>
              </w:rPr>
              <w:t>Reimbursable expenses</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4"/>
              </w:rPr>
              <w:t>130,384</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0"/>
              </w:rPr>
              <w:t>135,407</w:t>
            </w: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257,294</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0"/>
              </w:rPr>
              <w:t>237,677</w:t>
            </w: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404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700" w:type="dxa"/>
            <w:vAlign w:val="bottom"/>
            <w:tcBorders>
              <w:top w:val="single" w:sz="8" w:color="auto"/>
            </w:tcBorders>
          </w:tcPr>
          <w:p>
            <w:pPr>
              <w:jc w:val="center"/>
              <w:ind w:right="348"/>
              <w:spacing w:after="0"/>
              <w:rPr>
                <w:sz w:val="20"/>
                <w:szCs w:val="20"/>
                <w:color w:val="auto"/>
              </w:rPr>
            </w:pPr>
            <w:r>
              <w:rPr>
                <w:rFonts w:ascii="Arial" w:cs="Arial" w:eastAsia="Arial" w:hAnsi="Arial"/>
                <w:sz w:val="14"/>
                <w:szCs w:val="14"/>
                <w:color w:val="auto"/>
                <w:w w:val="94"/>
              </w:rPr>
              <w:t>376,020</w:t>
            </w:r>
          </w:p>
        </w:tc>
        <w:tc>
          <w:tcPr>
            <w:tcW w:w="1220" w:type="dxa"/>
            <w:vAlign w:val="bottom"/>
            <w:tcBorders>
              <w:top w:val="single" w:sz="8" w:color="auto"/>
            </w:tcBorders>
          </w:tcPr>
          <w:p>
            <w:pPr>
              <w:jc w:val="center"/>
              <w:ind w:right="248"/>
              <w:spacing w:after="0"/>
              <w:rPr>
                <w:sz w:val="20"/>
                <w:szCs w:val="20"/>
                <w:color w:val="auto"/>
              </w:rPr>
            </w:pPr>
            <w:r>
              <w:rPr>
                <w:rFonts w:ascii="Arial" w:cs="Arial" w:eastAsia="Arial" w:hAnsi="Arial"/>
                <w:sz w:val="14"/>
                <w:szCs w:val="14"/>
                <w:color w:val="auto"/>
                <w:w w:val="90"/>
              </w:rPr>
              <w:t>334,219</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725,654</w:t>
            </w:r>
          </w:p>
        </w:tc>
        <w:tc>
          <w:tcPr>
            <w:tcW w:w="14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w w:val="90"/>
              </w:rPr>
              <w:t>651,008</w:t>
            </w:r>
          </w:p>
        </w:tc>
        <w:tc>
          <w:tcPr>
            <w:tcW w:w="0" w:type="dxa"/>
            <w:vAlign w:val="bottom"/>
          </w:tcPr>
          <w:p>
            <w:pPr>
              <w:spacing w:after="0"/>
              <w:rPr>
                <w:sz w:val="1"/>
                <w:szCs w:val="1"/>
                <w:color w:val="auto"/>
              </w:rPr>
            </w:pPr>
          </w:p>
        </w:tc>
      </w:tr>
      <w:tr>
        <w:trPr>
          <w:trHeight w:val="339"/>
        </w:trPr>
        <w:tc>
          <w:tcPr>
            <w:tcW w:w="32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Direct Costs</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4"/>
              </w:rPr>
              <w:t>227,188</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0"/>
              </w:rPr>
              <w:t>214,231</w:t>
            </w: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443,328</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0"/>
              </w:rPr>
              <w:t>416,592</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3"/>
              </w:rPr>
              <w:t>87,622</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3"/>
              </w:rPr>
              <w:t>77,548</w:t>
            </w: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166,570</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0"/>
              </w:rPr>
              <w:t>153,112</w:t>
            </w: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Arial" w:cs="Arial" w:eastAsia="Arial" w:hAnsi="Arial"/>
                <w:sz w:val="14"/>
                <w:szCs w:val="14"/>
                <w:color w:val="auto"/>
              </w:rPr>
              <w:t>Depreciation and amortisation</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3"/>
              </w:rPr>
              <w:t>12,922</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88"/>
              </w:rPr>
              <w:t>11,520</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24,470</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88"/>
              </w:rPr>
              <w:t>22,976</w:t>
            </w: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404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700" w:type="dxa"/>
            <w:vAlign w:val="bottom"/>
            <w:tcBorders>
              <w:top w:val="single" w:sz="8" w:color="auto"/>
            </w:tcBorders>
          </w:tcPr>
          <w:p>
            <w:pPr>
              <w:jc w:val="center"/>
              <w:ind w:right="348"/>
              <w:spacing w:after="0"/>
              <w:rPr>
                <w:sz w:val="20"/>
                <w:szCs w:val="20"/>
                <w:color w:val="auto"/>
              </w:rPr>
            </w:pPr>
            <w:r>
              <w:rPr>
                <w:rFonts w:ascii="Arial" w:cs="Arial" w:eastAsia="Arial" w:hAnsi="Arial"/>
                <w:sz w:val="14"/>
                <w:szCs w:val="14"/>
                <w:color w:val="auto"/>
                <w:w w:val="94"/>
              </w:rPr>
              <w:t>327,732</w:t>
            </w:r>
          </w:p>
        </w:tc>
        <w:tc>
          <w:tcPr>
            <w:tcW w:w="1220" w:type="dxa"/>
            <w:vAlign w:val="bottom"/>
            <w:tcBorders>
              <w:top w:val="single" w:sz="8" w:color="auto"/>
            </w:tcBorders>
          </w:tcPr>
          <w:p>
            <w:pPr>
              <w:jc w:val="center"/>
              <w:ind w:right="248"/>
              <w:spacing w:after="0"/>
              <w:rPr>
                <w:sz w:val="20"/>
                <w:szCs w:val="20"/>
                <w:color w:val="auto"/>
              </w:rPr>
            </w:pPr>
            <w:r>
              <w:rPr>
                <w:rFonts w:ascii="Arial" w:cs="Arial" w:eastAsia="Arial" w:hAnsi="Arial"/>
                <w:sz w:val="14"/>
                <w:szCs w:val="14"/>
                <w:color w:val="auto"/>
                <w:w w:val="90"/>
              </w:rPr>
              <w:t>303,299</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634,368</w:t>
            </w:r>
          </w:p>
        </w:tc>
        <w:tc>
          <w:tcPr>
            <w:tcW w:w="14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w w:val="90"/>
              </w:rPr>
              <w:t>592,680</w:t>
            </w:r>
          </w:p>
        </w:tc>
        <w:tc>
          <w:tcPr>
            <w:tcW w:w="0" w:type="dxa"/>
            <w:vAlign w:val="bottom"/>
          </w:tcPr>
          <w:p>
            <w:pPr>
              <w:spacing w:after="0"/>
              <w:rPr>
                <w:sz w:val="1"/>
                <w:szCs w:val="1"/>
                <w:color w:val="auto"/>
              </w:rPr>
            </w:pPr>
          </w:p>
        </w:tc>
      </w:tr>
      <w:tr>
        <w:trPr>
          <w:trHeight w:val="346"/>
        </w:trPr>
        <w:tc>
          <w:tcPr>
            <w:tcW w:w="32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3"/>
              </w:rPr>
              <w:t>48,288</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3"/>
              </w:rPr>
              <w:t>30,920</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91,286</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88"/>
              </w:rPr>
              <w:t>58,328</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4"/>
                <w:szCs w:val="14"/>
                <w:color w:val="auto"/>
              </w:rPr>
              <w:t>Net interest income / (expense)</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6"/>
              </w:rPr>
              <w:t>(38)</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1"/>
              </w:rPr>
              <w:t>(100)</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1"/>
              </w:rPr>
              <w:t>(285)</w:t>
            </w: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404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700" w:type="dxa"/>
            <w:vAlign w:val="bottom"/>
            <w:tcBorders>
              <w:top w:val="single" w:sz="8" w:color="auto"/>
            </w:tcBorders>
          </w:tcPr>
          <w:p>
            <w:pPr>
              <w:jc w:val="center"/>
              <w:ind w:right="348"/>
              <w:spacing w:after="0"/>
              <w:rPr>
                <w:sz w:val="20"/>
                <w:szCs w:val="20"/>
                <w:color w:val="auto"/>
              </w:rPr>
            </w:pPr>
            <w:r>
              <w:rPr>
                <w:rFonts w:ascii="Arial" w:cs="Arial" w:eastAsia="Arial" w:hAnsi="Arial"/>
                <w:sz w:val="14"/>
                <w:szCs w:val="14"/>
                <w:color w:val="auto"/>
                <w:w w:val="93"/>
              </w:rPr>
              <w:t>48,250</w:t>
            </w:r>
          </w:p>
        </w:tc>
        <w:tc>
          <w:tcPr>
            <w:tcW w:w="1220" w:type="dxa"/>
            <w:vAlign w:val="bottom"/>
            <w:tcBorders>
              <w:top w:val="single" w:sz="8" w:color="auto"/>
            </w:tcBorders>
          </w:tcPr>
          <w:p>
            <w:pPr>
              <w:jc w:val="center"/>
              <w:ind w:right="228"/>
              <w:spacing w:after="0"/>
              <w:rPr>
                <w:sz w:val="20"/>
                <w:szCs w:val="20"/>
                <w:color w:val="auto"/>
              </w:rPr>
            </w:pPr>
            <w:r>
              <w:rPr>
                <w:rFonts w:ascii="Arial" w:cs="Arial" w:eastAsia="Arial" w:hAnsi="Arial"/>
                <w:sz w:val="14"/>
                <w:szCs w:val="14"/>
                <w:color w:val="auto"/>
                <w:w w:val="93"/>
              </w:rPr>
              <w:t>30,820</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91,339</w:t>
            </w:r>
          </w:p>
        </w:tc>
        <w:tc>
          <w:tcPr>
            <w:tcW w:w="14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w w:val="88"/>
              </w:rPr>
              <w:t>58,043</w:t>
            </w:r>
          </w:p>
        </w:tc>
        <w:tc>
          <w:tcPr>
            <w:tcW w:w="0" w:type="dxa"/>
            <w:vAlign w:val="bottom"/>
          </w:tcPr>
          <w:p>
            <w:pPr>
              <w:spacing w:after="0"/>
              <w:rPr>
                <w:sz w:val="1"/>
                <w:szCs w:val="1"/>
                <w:color w:val="auto"/>
              </w:rPr>
            </w:pPr>
          </w:p>
        </w:tc>
      </w:tr>
      <w:tr>
        <w:trPr>
          <w:trHeight w:val="346"/>
        </w:trPr>
        <w:tc>
          <w:tcPr>
            <w:tcW w:w="32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1"/>
              </w:rPr>
              <w:t>7,467</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1"/>
              </w:rPr>
              <w:t>4,315</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14,361</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6"/>
              </w:rPr>
              <w:t>9,336</w:t>
            </w: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234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200" w:type="dxa"/>
            <w:vAlign w:val="bottom"/>
            <w:vMerge w:val="continue"/>
          </w:tcPr>
          <w:p>
            <w:pPr>
              <w:spacing w:after="0"/>
              <w:rPr>
                <w:sz w:val="24"/>
                <w:szCs w:val="24"/>
                <w:color w:val="auto"/>
              </w:rPr>
            </w:pP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3"/>
              </w:rPr>
              <w:t>40,783</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3"/>
              </w:rPr>
              <w:t>26,505</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76,978</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88"/>
              </w:rPr>
              <w:t>48,707</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23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2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200" w:type="dxa"/>
            <w:vAlign w:val="bottom"/>
          </w:tcPr>
          <w:p>
            <w:pPr>
              <w:spacing w:after="0"/>
              <w:rPr>
                <w:sz w:val="20"/>
                <w:szCs w:val="20"/>
                <w:color w:val="auto"/>
              </w:rPr>
            </w:pPr>
            <w:r>
              <w:rPr>
                <w:rFonts w:ascii="Arial" w:cs="Arial" w:eastAsia="Arial" w:hAnsi="Arial"/>
                <w:sz w:val="14"/>
                <w:szCs w:val="14"/>
                <w:color w:val="auto"/>
              </w:rPr>
              <w:t>Basic</w:t>
            </w:r>
          </w:p>
        </w:tc>
        <w:tc>
          <w:tcPr>
            <w:tcW w:w="2340" w:type="dxa"/>
            <w:vAlign w:val="bottom"/>
          </w:tcPr>
          <w:p>
            <w:pPr>
              <w:spacing w:after="0"/>
              <w:rPr>
                <w:sz w:val="15"/>
                <w:szCs w:val="15"/>
                <w:color w:val="auto"/>
              </w:rPr>
            </w:pPr>
          </w:p>
        </w:tc>
        <w:tc>
          <w:tcPr>
            <w:tcW w:w="170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color w:val="auto"/>
                <w:w w:val="91"/>
              </w:rPr>
              <w:t>$0.66</w:t>
            </w:r>
          </w:p>
        </w:tc>
        <w:tc>
          <w:tcPr>
            <w:tcW w:w="12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w w:val="91"/>
              </w:rPr>
              <w:t>$0.44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$1.24</w:t>
            </w:r>
          </w:p>
        </w:tc>
        <w:tc>
          <w:tcPr>
            <w:tcW w:w="14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6"/>
              </w:rPr>
              <w:t>$0.80</w:t>
            </w:r>
          </w:p>
        </w:tc>
        <w:tc>
          <w:tcPr>
            <w:tcW w:w="0" w:type="dxa"/>
            <w:vAlign w:val="bottom"/>
          </w:tcPr>
          <w:p>
            <w:pPr>
              <w:spacing w:after="0"/>
              <w:rPr>
                <w:sz w:val="1"/>
                <w:szCs w:val="1"/>
                <w:color w:val="auto"/>
              </w:rPr>
            </w:pPr>
          </w:p>
        </w:tc>
      </w:tr>
      <w:tr>
        <w:trPr>
          <w:trHeight w:val="345"/>
        </w:trPr>
        <w:tc>
          <w:tcPr>
            <w:tcW w:w="3200" w:type="dxa"/>
            <w:vAlign w:val="bottom"/>
          </w:tcPr>
          <w:p>
            <w:pPr>
              <w:spacing w:after="0"/>
              <w:rPr>
                <w:sz w:val="20"/>
                <w:szCs w:val="20"/>
                <w:color w:val="auto"/>
              </w:rPr>
            </w:pPr>
            <w:r>
              <w:rPr>
                <w:rFonts w:ascii="Arial" w:cs="Arial" w:eastAsia="Arial" w:hAnsi="Arial"/>
                <w:sz w:val="14"/>
                <w:szCs w:val="14"/>
                <w:color w:val="auto"/>
              </w:rPr>
              <w:t>Diluted</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1"/>
              </w:rPr>
              <w:t>$0.64</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1"/>
              </w:rPr>
              <w:t>$0.43</w:t>
            </w:r>
          </w:p>
        </w:tc>
        <w:tc>
          <w:tcPr>
            <w:tcW w:w="1540" w:type="dxa"/>
            <w:vAlign w:val="bottom"/>
          </w:tcPr>
          <w:p>
            <w:pPr>
              <w:jc w:val="center"/>
              <w:spacing w:after="0"/>
              <w:rPr>
                <w:sz w:val="20"/>
                <w:szCs w:val="20"/>
                <w:color w:val="auto"/>
              </w:rPr>
            </w:pPr>
            <w:r>
              <w:rPr>
                <w:rFonts w:ascii="Arial" w:cs="Arial" w:eastAsia="Arial" w:hAnsi="Arial"/>
                <w:sz w:val="14"/>
                <w:szCs w:val="14"/>
                <w:color w:val="auto"/>
                <w:w w:val="91"/>
              </w:rPr>
              <w:t>$1.22</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6"/>
              </w:rPr>
              <w:t>$0.79</w:t>
            </w:r>
          </w:p>
        </w:tc>
        <w:tc>
          <w:tcPr>
            <w:tcW w:w="0" w:type="dxa"/>
            <w:vAlign w:val="bottom"/>
          </w:tcPr>
          <w:p>
            <w:pPr>
              <w:spacing w:after="0"/>
              <w:rPr>
                <w:sz w:val="1"/>
                <w:szCs w:val="1"/>
                <w:color w:val="auto"/>
              </w:rPr>
            </w:pPr>
          </w:p>
        </w:tc>
      </w:tr>
      <w:tr>
        <w:trPr>
          <w:trHeight w:val="339"/>
        </w:trPr>
        <w:tc>
          <w:tcPr>
            <w:tcW w:w="320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23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Arial" w:cs="Arial" w:eastAsia="Arial" w:hAnsi="Arial"/>
                <w:sz w:val="14"/>
                <w:szCs w:val="14"/>
                <w:color w:val="auto"/>
              </w:rPr>
              <w:t>Basic</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1"/>
              </w:rPr>
              <w:t>61,934,923</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4"/>
              </w:rPr>
              <w:t>60,724,296</w:t>
            </w: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61,855,783</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4"/>
              </w:rPr>
              <w:t>60,555,945</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4"/>
                <w:szCs w:val="14"/>
                <w:color w:val="auto"/>
              </w:rPr>
              <w:t>Diluted</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1"/>
              </w:rPr>
              <w:t>63,343,269</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4"/>
              </w:rPr>
              <w:t>61,898,903</w:t>
            </w: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63,290,292</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4"/>
              </w:rPr>
              <w:t>61,607,757</w:t>
            </w:r>
          </w:p>
        </w:tc>
        <w:tc>
          <w:tcPr>
            <w:tcW w:w="0" w:type="dxa"/>
            <w:vAlign w:val="bottom"/>
          </w:tcPr>
          <w:p>
            <w:pPr>
              <w:spacing w:after="0"/>
              <w:rPr>
                <w:sz w:val="1"/>
                <w:szCs w:val="1"/>
                <w:color w:val="auto"/>
              </w:rPr>
            </w:pPr>
          </w:p>
        </w:tc>
      </w:tr>
      <w:tr>
        <w:trPr>
          <w:trHeight w:val="309"/>
        </w:trPr>
        <w:tc>
          <w:tcPr>
            <w:tcW w:w="32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4040" w:type="dxa"/>
            <w:vAlign w:val="bottom"/>
            <w:gridSpan w:val="2"/>
          </w:tcPr>
          <w:p>
            <w:pPr>
              <w:jc w:val="center"/>
              <w:ind w:left="888"/>
              <w:spacing w:after="0"/>
              <w:rPr>
                <w:sz w:val="20"/>
                <w:szCs w:val="20"/>
                <w:color w:val="auto"/>
              </w:rPr>
            </w:pPr>
            <w:r>
              <w:rPr>
                <w:rFonts w:ascii="Arial" w:cs="Arial" w:eastAsia="Arial" w:hAnsi="Arial"/>
                <w:sz w:val="14"/>
                <w:szCs w:val="14"/>
                <w:b w:val="1"/>
                <w:bCs w:val="1"/>
                <w:color w:val="auto"/>
              </w:rPr>
              <w:t>ICON plc</w:t>
            </w: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200" w:type="dxa"/>
            <w:vAlign w:val="bottom"/>
          </w:tcPr>
          <w:p>
            <w:pPr>
              <w:spacing w:after="0"/>
              <w:rPr>
                <w:sz w:val="24"/>
                <w:szCs w:val="24"/>
                <w:color w:val="auto"/>
              </w:rPr>
            </w:pPr>
          </w:p>
        </w:tc>
        <w:tc>
          <w:tcPr>
            <w:tcW w:w="4040" w:type="dxa"/>
            <w:vAlign w:val="bottom"/>
            <w:gridSpan w:val="2"/>
          </w:tcPr>
          <w:p>
            <w:pPr>
              <w:jc w:val="center"/>
              <w:ind w:left="908"/>
              <w:spacing w:after="0"/>
              <w:rPr>
                <w:sz w:val="20"/>
                <w:szCs w:val="20"/>
                <w:color w:val="auto"/>
              </w:rPr>
            </w:pPr>
            <w:r>
              <w:rPr>
                <w:rFonts w:ascii="Arial" w:cs="Arial" w:eastAsia="Arial" w:hAnsi="Arial"/>
                <w:sz w:val="14"/>
                <w:szCs w:val="14"/>
                <w:b w:val="1"/>
                <w:bCs w:val="1"/>
                <w:color w:val="auto"/>
                <w:w w:val="91"/>
              </w:rPr>
              <w:t>Consolidated Income Statements (Unaudited)</w:t>
            </w: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4040" w:type="dxa"/>
            <w:vAlign w:val="bottom"/>
            <w:gridSpan w:val="2"/>
          </w:tcPr>
          <w:p>
            <w:pPr>
              <w:jc w:val="center"/>
              <w:ind w:left="888"/>
              <w:spacing w:after="0"/>
              <w:rPr>
                <w:sz w:val="20"/>
                <w:szCs w:val="20"/>
                <w:color w:val="auto"/>
              </w:rPr>
            </w:pPr>
            <w:r>
              <w:rPr>
                <w:rFonts w:ascii="Arial" w:cs="Arial" w:eastAsia="Arial" w:hAnsi="Arial"/>
                <w:sz w:val="14"/>
                <w:szCs w:val="14"/>
                <w:b w:val="1"/>
                <w:bCs w:val="1"/>
                <w:color w:val="auto"/>
                <w:w w:val="98"/>
              </w:rPr>
              <w:t>(US GAAP)</w:t>
            </w: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4"/>
                <w:szCs w:val="24"/>
                <w:color w:val="auto"/>
              </w:rPr>
            </w:pPr>
          </w:p>
        </w:tc>
        <w:tc>
          <w:tcPr>
            <w:tcW w:w="526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2"/>
              </w:rPr>
              <w:t>Three and Six Months ended June 30, 2014 and June 30, 2013</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4"/>
                <w:szCs w:val="24"/>
                <w:color w:val="auto"/>
              </w:rPr>
            </w:pPr>
          </w:p>
        </w:tc>
        <w:tc>
          <w:tcPr>
            <w:tcW w:w="526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20" w:type="dxa"/>
            <w:vAlign w:val="bottom"/>
            <w:gridSpan w:val="2"/>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960" w:type="dxa"/>
            <w:vAlign w:val="bottom"/>
            <w:gridSpan w:val="2"/>
          </w:tcPr>
          <w:p>
            <w:pPr>
              <w:ind w:left="9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700" w:type="dxa"/>
            <w:vAlign w:val="bottom"/>
          </w:tcPr>
          <w:p>
            <w:pPr>
              <w:ind w:left="380"/>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ind w:left="180"/>
              <w:spacing w:after="0"/>
              <w:rPr>
                <w:sz w:val="20"/>
                <w:szCs w:val="20"/>
                <w:color w:val="auto"/>
              </w:rPr>
            </w:pPr>
            <w:r>
              <w:rPr>
                <w:rFonts w:ascii="Arial" w:cs="Arial" w:eastAsia="Arial" w:hAnsi="Arial"/>
                <w:sz w:val="14"/>
                <w:szCs w:val="14"/>
                <w:b w:val="1"/>
                <w:bCs w:val="1"/>
                <w:color w:val="auto"/>
              </w:rPr>
              <w:t>June 30,</w:t>
            </w:r>
          </w:p>
        </w:tc>
        <w:tc>
          <w:tcPr>
            <w:tcW w:w="1540" w:type="dxa"/>
            <w:vAlign w:val="bottom"/>
          </w:tcPr>
          <w:p>
            <w:pPr>
              <w:ind w:left="480"/>
              <w:spacing w:after="0"/>
              <w:rPr>
                <w:sz w:val="20"/>
                <w:szCs w:val="20"/>
                <w:color w:val="auto"/>
              </w:rPr>
            </w:pPr>
            <w:r>
              <w:rPr>
                <w:rFonts w:ascii="Arial" w:cs="Arial" w:eastAsia="Arial" w:hAnsi="Arial"/>
                <w:sz w:val="14"/>
                <w:szCs w:val="14"/>
                <w:b w:val="1"/>
                <w:bCs w:val="1"/>
                <w:color w:val="auto"/>
              </w:rPr>
              <w:t>June 30,</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b w:val="1"/>
                <w:bCs w:val="1"/>
                <w:color w:val="auto"/>
                <w:w w:val="89"/>
              </w:rPr>
              <w:t>2014</w:t>
            </w:r>
          </w:p>
        </w:tc>
        <w:tc>
          <w:tcPr>
            <w:tcW w:w="1220" w:type="dxa"/>
            <w:vAlign w:val="bottom"/>
          </w:tcPr>
          <w:p>
            <w:pPr>
              <w:jc w:val="center"/>
              <w:ind w:right="248"/>
              <w:spacing w:after="0"/>
              <w:rPr>
                <w:sz w:val="20"/>
                <w:szCs w:val="20"/>
                <w:color w:val="auto"/>
              </w:rPr>
            </w:pPr>
            <w:r>
              <w:rPr>
                <w:rFonts w:ascii="Arial" w:cs="Arial" w:eastAsia="Arial" w:hAnsi="Arial"/>
                <w:sz w:val="14"/>
                <w:szCs w:val="14"/>
                <w:b w:val="1"/>
                <w:bCs w:val="1"/>
                <w:color w:val="auto"/>
                <w:w w:val="96"/>
              </w:rPr>
              <w:t>2013</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42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4"/>
                <w:szCs w:val="14"/>
                <w:color w:val="auto"/>
              </w:rPr>
              <w:t>Gross Revenue</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4"/>
              </w:rPr>
              <w:t>506,404</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0"/>
              </w:rPr>
              <w:t>469,626</w:t>
            </w: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982,948</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0"/>
              </w:rPr>
              <w:t>888,685</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4"/>
                <w:szCs w:val="14"/>
                <w:color w:val="auto"/>
              </w:rPr>
              <w:t>Reimbursable expenses</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4"/>
              </w:rPr>
              <w:t>130,384</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0"/>
              </w:rPr>
              <w:t>135,407</w:t>
            </w: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257,294</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0"/>
              </w:rPr>
              <w:t>237,677</w:t>
            </w: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404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700" w:type="dxa"/>
            <w:vAlign w:val="bottom"/>
            <w:tcBorders>
              <w:top w:val="single" w:sz="8" w:color="auto"/>
            </w:tcBorders>
          </w:tcPr>
          <w:p>
            <w:pPr>
              <w:jc w:val="center"/>
              <w:ind w:right="348"/>
              <w:spacing w:after="0"/>
              <w:rPr>
                <w:sz w:val="20"/>
                <w:szCs w:val="20"/>
                <w:color w:val="auto"/>
              </w:rPr>
            </w:pPr>
            <w:r>
              <w:rPr>
                <w:rFonts w:ascii="Arial" w:cs="Arial" w:eastAsia="Arial" w:hAnsi="Arial"/>
                <w:sz w:val="14"/>
                <w:szCs w:val="14"/>
                <w:color w:val="auto"/>
                <w:w w:val="94"/>
              </w:rPr>
              <w:t>376,020</w:t>
            </w:r>
          </w:p>
        </w:tc>
        <w:tc>
          <w:tcPr>
            <w:tcW w:w="1220" w:type="dxa"/>
            <w:vAlign w:val="bottom"/>
            <w:tcBorders>
              <w:top w:val="single" w:sz="8" w:color="auto"/>
            </w:tcBorders>
          </w:tcPr>
          <w:p>
            <w:pPr>
              <w:jc w:val="center"/>
              <w:ind w:right="248"/>
              <w:spacing w:after="0"/>
              <w:rPr>
                <w:sz w:val="20"/>
                <w:szCs w:val="20"/>
                <w:color w:val="auto"/>
              </w:rPr>
            </w:pPr>
            <w:r>
              <w:rPr>
                <w:rFonts w:ascii="Arial" w:cs="Arial" w:eastAsia="Arial" w:hAnsi="Arial"/>
                <w:sz w:val="14"/>
                <w:szCs w:val="14"/>
                <w:color w:val="auto"/>
                <w:w w:val="90"/>
              </w:rPr>
              <w:t>334,219</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725,654</w:t>
            </w:r>
          </w:p>
        </w:tc>
        <w:tc>
          <w:tcPr>
            <w:tcW w:w="14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w w:val="90"/>
              </w:rPr>
              <w:t>651,008</w:t>
            </w:r>
          </w:p>
        </w:tc>
        <w:tc>
          <w:tcPr>
            <w:tcW w:w="0" w:type="dxa"/>
            <w:vAlign w:val="bottom"/>
          </w:tcPr>
          <w:p>
            <w:pPr>
              <w:spacing w:after="0"/>
              <w:rPr>
                <w:sz w:val="1"/>
                <w:szCs w:val="1"/>
                <w:color w:val="auto"/>
              </w:rPr>
            </w:pPr>
          </w:p>
        </w:tc>
      </w:tr>
      <w:tr>
        <w:trPr>
          <w:trHeight w:val="339"/>
        </w:trPr>
        <w:tc>
          <w:tcPr>
            <w:tcW w:w="32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Direct costs</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4"/>
              </w:rPr>
              <w:t>227,188</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0"/>
              </w:rPr>
              <w:t>214,231</w:t>
            </w: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443,328</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0"/>
              </w:rPr>
              <w:t>416,592</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3"/>
              </w:rPr>
              <w:t>87,622</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3"/>
              </w:rPr>
              <w:t>77,548</w:t>
            </w:r>
          </w:p>
        </w:tc>
        <w:tc>
          <w:tcPr>
            <w:tcW w:w="1540" w:type="dxa"/>
            <w:vAlign w:val="bottom"/>
          </w:tcPr>
          <w:p>
            <w:pPr>
              <w:jc w:val="center"/>
              <w:spacing w:after="0"/>
              <w:rPr>
                <w:sz w:val="20"/>
                <w:szCs w:val="20"/>
                <w:color w:val="auto"/>
              </w:rPr>
            </w:pPr>
            <w:r>
              <w:rPr>
                <w:rFonts w:ascii="Arial" w:cs="Arial" w:eastAsia="Arial" w:hAnsi="Arial"/>
                <w:sz w:val="14"/>
                <w:szCs w:val="14"/>
                <w:color w:val="auto"/>
                <w:w w:val="90"/>
              </w:rPr>
              <w:t>166,570</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0"/>
              </w:rPr>
              <w:t>153,112</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3"/>
              </w:rPr>
              <w:t>12,922</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88"/>
              </w:rPr>
              <w:t>11,520</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24,470</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88"/>
              </w:rPr>
              <w:t>22,976</w:t>
            </w: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Arial" w:cs="Arial" w:eastAsia="Arial" w:hAnsi="Arial"/>
                <w:sz w:val="14"/>
                <w:szCs w:val="14"/>
                <w:color w:val="auto"/>
              </w:rPr>
              <w:t>Restructuring and other items</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84"/>
              </w:rPr>
              <w:t>-</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1"/>
              </w:rPr>
              <w:t>4,621</w:t>
            </w:r>
          </w:p>
        </w:tc>
        <w:tc>
          <w:tcPr>
            <w:tcW w:w="154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6"/>
              </w:rPr>
              <w:t>9,033</w:t>
            </w: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404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700" w:type="dxa"/>
            <w:vAlign w:val="bottom"/>
            <w:tcBorders>
              <w:top w:val="single" w:sz="8" w:color="auto"/>
            </w:tcBorders>
          </w:tcPr>
          <w:p>
            <w:pPr>
              <w:jc w:val="center"/>
              <w:ind w:right="348"/>
              <w:spacing w:after="0"/>
              <w:rPr>
                <w:sz w:val="20"/>
                <w:szCs w:val="20"/>
                <w:color w:val="auto"/>
              </w:rPr>
            </w:pPr>
            <w:r>
              <w:rPr>
                <w:rFonts w:ascii="Arial" w:cs="Arial" w:eastAsia="Arial" w:hAnsi="Arial"/>
                <w:sz w:val="14"/>
                <w:szCs w:val="14"/>
                <w:color w:val="auto"/>
                <w:w w:val="94"/>
              </w:rPr>
              <w:t>327,732</w:t>
            </w:r>
          </w:p>
        </w:tc>
        <w:tc>
          <w:tcPr>
            <w:tcW w:w="1220" w:type="dxa"/>
            <w:vAlign w:val="bottom"/>
            <w:tcBorders>
              <w:top w:val="single" w:sz="8" w:color="auto"/>
            </w:tcBorders>
          </w:tcPr>
          <w:p>
            <w:pPr>
              <w:jc w:val="center"/>
              <w:ind w:right="248"/>
              <w:spacing w:after="0"/>
              <w:rPr>
                <w:sz w:val="20"/>
                <w:szCs w:val="20"/>
                <w:color w:val="auto"/>
              </w:rPr>
            </w:pPr>
            <w:r>
              <w:rPr>
                <w:rFonts w:ascii="Arial" w:cs="Arial" w:eastAsia="Arial" w:hAnsi="Arial"/>
                <w:sz w:val="14"/>
                <w:szCs w:val="14"/>
                <w:color w:val="auto"/>
                <w:w w:val="90"/>
              </w:rPr>
              <w:t>307,920</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634,368</w:t>
            </w:r>
          </w:p>
        </w:tc>
        <w:tc>
          <w:tcPr>
            <w:tcW w:w="14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w w:val="90"/>
              </w:rPr>
              <w:t>601,713</w:t>
            </w:r>
          </w:p>
        </w:tc>
        <w:tc>
          <w:tcPr>
            <w:tcW w:w="0" w:type="dxa"/>
            <w:vAlign w:val="bottom"/>
          </w:tcPr>
          <w:p>
            <w:pPr>
              <w:spacing w:after="0"/>
              <w:rPr>
                <w:sz w:val="1"/>
                <w:szCs w:val="1"/>
                <w:color w:val="auto"/>
              </w:rPr>
            </w:pPr>
          </w:p>
        </w:tc>
      </w:tr>
      <w:tr>
        <w:trPr>
          <w:trHeight w:val="346"/>
        </w:trPr>
        <w:tc>
          <w:tcPr>
            <w:tcW w:w="32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3"/>
              </w:rPr>
              <w:t>48,288</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3"/>
              </w:rPr>
              <w:t>26,299</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91,286</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88"/>
              </w:rPr>
              <w:t>49,295</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4"/>
                <w:szCs w:val="14"/>
                <w:color w:val="auto"/>
              </w:rPr>
              <w:t>Net interest expense</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6"/>
              </w:rPr>
              <w:t>(38)</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1"/>
              </w:rPr>
              <w:t>(100)</w:t>
            </w: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1"/>
              </w:rPr>
              <w:t>(285)</w:t>
            </w: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404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700" w:type="dxa"/>
            <w:vAlign w:val="bottom"/>
            <w:tcBorders>
              <w:top w:val="single" w:sz="8" w:color="auto"/>
            </w:tcBorders>
          </w:tcPr>
          <w:p>
            <w:pPr>
              <w:jc w:val="center"/>
              <w:ind w:right="348"/>
              <w:spacing w:after="0"/>
              <w:rPr>
                <w:sz w:val="20"/>
                <w:szCs w:val="20"/>
                <w:color w:val="auto"/>
              </w:rPr>
            </w:pPr>
            <w:r>
              <w:rPr>
                <w:rFonts w:ascii="Arial" w:cs="Arial" w:eastAsia="Arial" w:hAnsi="Arial"/>
                <w:sz w:val="14"/>
                <w:szCs w:val="14"/>
                <w:color w:val="auto"/>
                <w:w w:val="93"/>
              </w:rPr>
              <w:t>48,250</w:t>
            </w:r>
          </w:p>
        </w:tc>
        <w:tc>
          <w:tcPr>
            <w:tcW w:w="1220" w:type="dxa"/>
            <w:vAlign w:val="bottom"/>
            <w:tcBorders>
              <w:top w:val="single" w:sz="8" w:color="auto"/>
            </w:tcBorders>
          </w:tcPr>
          <w:p>
            <w:pPr>
              <w:jc w:val="center"/>
              <w:ind w:right="228"/>
              <w:spacing w:after="0"/>
              <w:rPr>
                <w:sz w:val="20"/>
                <w:szCs w:val="20"/>
                <w:color w:val="auto"/>
              </w:rPr>
            </w:pPr>
            <w:r>
              <w:rPr>
                <w:rFonts w:ascii="Arial" w:cs="Arial" w:eastAsia="Arial" w:hAnsi="Arial"/>
                <w:sz w:val="14"/>
                <w:szCs w:val="14"/>
                <w:color w:val="auto"/>
                <w:w w:val="93"/>
              </w:rPr>
              <w:t>26,199</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91,339</w:t>
            </w:r>
          </w:p>
        </w:tc>
        <w:tc>
          <w:tcPr>
            <w:tcW w:w="14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w w:val="88"/>
              </w:rPr>
              <w:t>49,010</w:t>
            </w:r>
          </w:p>
        </w:tc>
        <w:tc>
          <w:tcPr>
            <w:tcW w:w="0" w:type="dxa"/>
            <w:vAlign w:val="bottom"/>
          </w:tcPr>
          <w:p>
            <w:pPr>
              <w:spacing w:after="0"/>
              <w:rPr>
                <w:sz w:val="1"/>
                <w:szCs w:val="1"/>
                <w:color w:val="auto"/>
              </w:rPr>
            </w:pPr>
          </w:p>
        </w:tc>
      </w:tr>
      <w:tr>
        <w:trPr>
          <w:trHeight w:val="346"/>
        </w:trPr>
        <w:tc>
          <w:tcPr>
            <w:tcW w:w="32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1"/>
              </w:rPr>
              <w:t>7,467</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1"/>
              </w:rPr>
              <w:t>3,720</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14,361</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6"/>
              </w:rPr>
              <w:t>7,486</w:t>
            </w:r>
          </w:p>
        </w:tc>
        <w:tc>
          <w:tcPr>
            <w:tcW w:w="0" w:type="dxa"/>
            <w:vAlign w:val="bottom"/>
          </w:tcPr>
          <w:p>
            <w:pPr>
              <w:spacing w:after="0"/>
              <w:rPr>
                <w:sz w:val="1"/>
                <w:szCs w:val="1"/>
                <w:color w:val="auto"/>
              </w:rPr>
            </w:pPr>
          </w:p>
        </w:tc>
      </w:tr>
      <w:tr>
        <w:trPr>
          <w:trHeight w:val="174"/>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234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200" w:type="dxa"/>
            <w:vAlign w:val="bottom"/>
            <w:vMerge w:val="continue"/>
          </w:tcPr>
          <w:p>
            <w:pPr>
              <w:spacing w:after="0"/>
              <w:rPr>
                <w:sz w:val="24"/>
                <w:szCs w:val="24"/>
                <w:color w:val="auto"/>
              </w:rPr>
            </w:pP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3"/>
              </w:rPr>
              <w:t>40,783</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3"/>
              </w:rPr>
              <w:t>22,479</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76,978</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88"/>
              </w:rPr>
              <w:t>41,524</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23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2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200" w:type="dxa"/>
            <w:vAlign w:val="bottom"/>
          </w:tcPr>
          <w:p>
            <w:pPr>
              <w:spacing w:after="0"/>
              <w:rPr>
                <w:sz w:val="20"/>
                <w:szCs w:val="20"/>
                <w:color w:val="auto"/>
              </w:rPr>
            </w:pPr>
            <w:r>
              <w:rPr>
                <w:rFonts w:ascii="Arial" w:cs="Arial" w:eastAsia="Arial" w:hAnsi="Arial"/>
                <w:sz w:val="14"/>
                <w:szCs w:val="14"/>
                <w:color w:val="auto"/>
              </w:rPr>
              <w:t>Basic</w:t>
            </w:r>
          </w:p>
        </w:tc>
        <w:tc>
          <w:tcPr>
            <w:tcW w:w="2340" w:type="dxa"/>
            <w:vAlign w:val="bottom"/>
          </w:tcPr>
          <w:p>
            <w:pPr>
              <w:spacing w:after="0"/>
              <w:rPr>
                <w:sz w:val="15"/>
                <w:szCs w:val="15"/>
                <w:color w:val="auto"/>
              </w:rPr>
            </w:pPr>
          </w:p>
        </w:tc>
        <w:tc>
          <w:tcPr>
            <w:tcW w:w="170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color w:val="auto"/>
                <w:w w:val="91"/>
              </w:rPr>
              <w:t>$0.66</w:t>
            </w:r>
          </w:p>
        </w:tc>
        <w:tc>
          <w:tcPr>
            <w:tcW w:w="12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w w:val="91"/>
              </w:rPr>
              <w:t>$0.37</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$1.24</w:t>
            </w:r>
          </w:p>
        </w:tc>
        <w:tc>
          <w:tcPr>
            <w:tcW w:w="14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6"/>
              </w:rPr>
              <w:t>$0.69</w:t>
            </w:r>
          </w:p>
        </w:tc>
        <w:tc>
          <w:tcPr>
            <w:tcW w:w="0" w:type="dxa"/>
            <w:vAlign w:val="bottom"/>
          </w:tcPr>
          <w:p>
            <w:pPr>
              <w:spacing w:after="0"/>
              <w:rPr>
                <w:sz w:val="1"/>
                <w:szCs w:val="1"/>
                <w:color w:val="auto"/>
              </w:rPr>
            </w:pPr>
          </w:p>
        </w:tc>
      </w:tr>
      <w:tr>
        <w:trPr>
          <w:trHeight w:val="345"/>
        </w:trPr>
        <w:tc>
          <w:tcPr>
            <w:tcW w:w="3200" w:type="dxa"/>
            <w:vAlign w:val="bottom"/>
          </w:tcPr>
          <w:p>
            <w:pPr>
              <w:spacing w:after="0"/>
              <w:rPr>
                <w:sz w:val="20"/>
                <w:szCs w:val="20"/>
                <w:color w:val="auto"/>
              </w:rPr>
            </w:pPr>
            <w:r>
              <w:rPr>
                <w:rFonts w:ascii="Arial" w:cs="Arial" w:eastAsia="Arial" w:hAnsi="Arial"/>
                <w:sz w:val="14"/>
                <w:szCs w:val="14"/>
                <w:color w:val="auto"/>
              </w:rPr>
              <w:t>Diluted</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1"/>
              </w:rPr>
              <w:t>$0.64</w:t>
            </w:r>
          </w:p>
        </w:tc>
        <w:tc>
          <w:tcPr>
            <w:tcW w:w="1220" w:type="dxa"/>
            <w:vAlign w:val="bottom"/>
          </w:tcPr>
          <w:p>
            <w:pPr>
              <w:jc w:val="center"/>
              <w:ind w:right="228"/>
              <w:spacing w:after="0"/>
              <w:rPr>
                <w:sz w:val="20"/>
                <w:szCs w:val="20"/>
                <w:color w:val="auto"/>
              </w:rPr>
            </w:pPr>
            <w:r>
              <w:rPr>
                <w:rFonts w:ascii="Arial" w:cs="Arial" w:eastAsia="Arial" w:hAnsi="Arial"/>
                <w:sz w:val="14"/>
                <w:szCs w:val="14"/>
                <w:color w:val="auto"/>
                <w:w w:val="91"/>
              </w:rPr>
              <w:t>$0.36</w:t>
            </w:r>
          </w:p>
        </w:tc>
        <w:tc>
          <w:tcPr>
            <w:tcW w:w="1540" w:type="dxa"/>
            <w:vAlign w:val="bottom"/>
          </w:tcPr>
          <w:p>
            <w:pPr>
              <w:jc w:val="center"/>
              <w:spacing w:after="0"/>
              <w:rPr>
                <w:sz w:val="20"/>
                <w:szCs w:val="20"/>
                <w:color w:val="auto"/>
              </w:rPr>
            </w:pPr>
            <w:r>
              <w:rPr>
                <w:rFonts w:ascii="Arial" w:cs="Arial" w:eastAsia="Arial" w:hAnsi="Arial"/>
                <w:sz w:val="14"/>
                <w:szCs w:val="14"/>
                <w:color w:val="auto"/>
                <w:w w:val="91"/>
              </w:rPr>
              <w:t>$1.22</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6"/>
              </w:rPr>
              <w:t>$0.67</w:t>
            </w:r>
          </w:p>
        </w:tc>
        <w:tc>
          <w:tcPr>
            <w:tcW w:w="0" w:type="dxa"/>
            <w:vAlign w:val="bottom"/>
          </w:tcPr>
          <w:p>
            <w:pPr>
              <w:spacing w:after="0"/>
              <w:rPr>
                <w:sz w:val="1"/>
                <w:szCs w:val="1"/>
                <w:color w:val="auto"/>
              </w:rPr>
            </w:pPr>
          </w:p>
        </w:tc>
      </w:tr>
      <w:tr>
        <w:trPr>
          <w:trHeight w:val="339"/>
        </w:trPr>
        <w:tc>
          <w:tcPr>
            <w:tcW w:w="320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23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Arial" w:cs="Arial" w:eastAsia="Arial" w:hAnsi="Arial"/>
                <w:sz w:val="14"/>
                <w:szCs w:val="14"/>
                <w:color w:val="auto"/>
              </w:rPr>
              <w:t>Basic</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1"/>
              </w:rPr>
              <w:t>61,934,923</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4"/>
              </w:rPr>
              <w:t>60,724,296</w:t>
            </w: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61,855,783</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4"/>
              </w:rPr>
              <w:t>60,555,945</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4"/>
                <w:szCs w:val="14"/>
                <w:color w:val="auto"/>
              </w:rPr>
              <w:t>Diluted</w:t>
            </w:r>
          </w:p>
        </w:tc>
        <w:tc>
          <w:tcPr>
            <w:tcW w:w="4040" w:type="dxa"/>
            <w:vAlign w:val="bottom"/>
            <w:gridSpan w:val="2"/>
          </w:tcPr>
          <w:p>
            <w:pPr>
              <w:jc w:val="center"/>
              <w:ind w:left="1848"/>
              <w:spacing w:after="0"/>
              <w:rPr>
                <w:sz w:val="20"/>
                <w:szCs w:val="20"/>
                <w:color w:val="auto"/>
              </w:rPr>
            </w:pPr>
            <w:r>
              <w:rPr>
                <w:rFonts w:ascii="Arial" w:cs="Arial" w:eastAsia="Arial" w:hAnsi="Arial"/>
                <w:sz w:val="14"/>
                <w:szCs w:val="14"/>
                <w:color w:val="auto"/>
                <w:w w:val="91"/>
              </w:rPr>
              <w:t>63,343,269</w:t>
            </w:r>
          </w:p>
        </w:tc>
        <w:tc>
          <w:tcPr>
            <w:tcW w:w="1220" w:type="dxa"/>
            <w:vAlign w:val="bottom"/>
          </w:tcPr>
          <w:p>
            <w:pPr>
              <w:jc w:val="center"/>
              <w:ind w:right="248"/>
              <w:spacing w:after="0"/>
              <w:rPr>
                <w:sz w:val="20"/>
                <w:szCs w:val="20"/>
                <w:color w:val="auto"/>
              </w:rPr>
            </w:pPr>
            <w:r>
              <w:rPr>
                <w:rFonts w:ascii="Arial" w:cs="Arial" w:eastAsia="Arial" w:hAnsi="Arial"/>
                <w:sz w:val="14"/>
                <w:szCs w:val="14"/>
                <w:color w:val="auto"/>
                <w:w w:val="94"/>
              </w:rPr>
              <w:t>61,898,903</w:t>
            </w:r>
          </w:p>
        </w:tc>
        <w:tc>
          <w:tcPr>
            <w:tcW w:w="1540" w:type="dxa"/>
            <w:vAlign w:val="bottom"/>
          </w:tcPr>
          <w:p>
            <w:pPr>
              <w:jc w:val="center"/>
              <w:spacing w:after="0"/>
              <w:rPr>
                <w:sz w:val="20"/>
                <w:szCs w:val="20"/>
                <w:color w:val="auto"/>
              </w:rPr>
            </w:pPr>
            <w:r>
              <w:rPr>
                <w:rFonts w:ascii="Arial" w:cs="Arial" w:eastAsia="Arial" w:hAnsi="Arial"/>
                <w:sz w:val="14"/>
                <w:szCs w:val="14"/>
                <w:color w:val="auto"/>
                <w:w w:val="94"/>
              </w:rPr>
              <w:t>63,290,292</w:t>
            </w:r>
          </w:p>
        </w:tc>
        <w:tc>
          <w:tcPr>
            <w:tcW w:w="1420" w:type="dxa"/>
            <w:vAlign w:val="bottom"/>
          </w:tcPr>
          <w:p>
            <w:pPr>
              <w:jc w:val="center"/>
              <w:ind w:left="48"/>
              <w:spacing w:after="0"/>
              <w:rPr>
                <w:sz w:val="20"/>
                <w:szCs w:val="20"/>
                <w:color w:val="auto"/>
              </w:rPr>
            </w:pPr>
            <w:r>
              <w:rPr>
                <w:rFonts w:ascii="Arial" w:cs="Arial" w:eastAsia="Arial" w:hAnsi="Arial"/>
                <w:sz w:val="14"/>
                <w:szCs w:val="14"/>
                <w:color w:val="auto"/>
                <w:w w:val="94"/>
              </w:rPr>
              <w:t>61,607,757</w:t>
            </w:r>
          </w:p>
        </w:tc>
        <w:tc>
          <w:tcPr>
            <w:tcW w:w="0" w:type="dxa"/>
            <w:vAlign w:val="bottom"/>
          </w:tcPr>
          <w:p>
            <w:pPr>
              <w:spacing w:after="0"/>
              <w:rPr>
                <w:sz w:val="1"/>
                <w:szCs w:val="1"/>
                <w:color w:val="auto"/>
              </w:rPr>
            </w:pPr>
          </w:p>
        </w:tc>
      </w:tr>
      <w:tr>
        <w:trPr>
          <w:trHeight w:val="309"/>
        </w:trPr>
        <w:tc>
          <w:tcPr>
            <w:tcW w:w="32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rPr>
              <w:t>ICON plc</w:t>
            </w:r>
          </w:p>
        </w:tc>
        <w:tc>
          <w:tcPr>
            <w:tcW w:w="2000" w:type="dxa"/>
            <w:vAlign w:val="bottom"/>
          </w:tcPr>
          <w:p>
            <w:pPr>
              <w:spacing w:after="0"/>
              <w:rPr>
                <w:sz w:val="16"/>
                <w:szCs w:val="16"/>
                <w:color w:val="auto"/>
              </w:rPr>
            </w:pPr>
          </w:p>
        </w:tc>
      </w:tr>
      <w:tr>
        <w:trPr>
          <w:trHeight w:val="351"/>
        </w:trPr>
        <w:tc>
          <w:tcPr>
            <w:tcW w:w="2940" w:type="dxa"/>
            <w:vAlign w:val="bottom"/>
          </w:tcPr>
          <w:p>
            <w:pPr>
              <w:spacing w:after="0"/>
              <w:rPr>
                <w:sz w:val="24"/>
                <w:szCs w:val="24"/>
                <w:color w:val="auto"/>
              </w:rPr>
            </w:pPr>
          </w:p>
        </w:tc>
        <w:tc>
          <w:tcPr>
            <w:tcW w:w="546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Summary Balance Sheet Data</w:t>
            </w:r>
          </w:p>
        </w:tc>
        <w:tc>
          <w:tcPr>
            <w:tcW w:w="2000" w:type="dxa"/>
            <w:vAlign w:val="bottom"/>
          </w:tcPr>
          <w:p>
            <w:pPr>
              <w:spacing w:after="0"/>
              <w:rPr>
                <w:sz w:val="24"/>
                <w:szCs w:val="24"/>
                <w:color w:val="auto"/>
              </w:rPr>
            </w:pPr>
          </w:p>
        </w:tc>
      </w:tr>
      <w:tr>
        <w:trPr>
          <w:trHeight w:val="351"/>
        </w:trPr>
        <w:tc>
          <w:tcPr>
            <w:tcW w:w="2940" w:type="dxa"/>
            <w:vAlign w:val="bottom"/>
          </w:tcPr>
          <w:p>
            <w:pPr>
              <w:spacing w:after="0"/>
              <w:rPr>
                <w:sz w:val="24"/>
                <w:szCs w:val="24"/>
                <w:color w:val="auto"/>
              </w:rPr>
            </w:pPr>
          </w:p>
        </w:tc>
        <w:tc>
          <w:tcPr>
            <w:tcW w:w="546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June 30, 2014 and March 31, 2014</w:t>
            </w:r>
          </w:p>
        </w:tc>
        <w:tc>
          <w:tcPr>
            <w:tcW w:w="2000" w:type="dxa"/>
            <w:vAlign w:val="bottom"/>
          </w:tcPr>
          <w:p>
            <w:pPr>
              <w:spacing w:after="0"/>
              <w:rPr>
                <w:sz w:val="24"/>
                <w:szCs w:val="24"/>
                <w:color w:val="auto"/>
              </w:rPr>
            </w:pPr>
          </w:p>
        </w:tc>
      </w:tr>
      <w:tr>
        <w:trPr>
          <w:trHeight w:val="351"/>
        </w:trPr>
        <w:tc>
          <w:tcPr>
            <w:tcW w:w="29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92"/>
              </w:rPr>
              <w:t>(Dollars, in thousands)</w:t>
            </w:r>
          </w:p>
        </w:tc>
        <w:tc>
          <w:tcPr>
            <w:tcW w:w="2000" w:type="dxa"/>
            <w:vAlign w:val="bottom"/>
          </w:tcPr>
          <w:p>
            <w:pPr>
              <w:spacing w:after="0"/>
              <w:rPr>
                <w:sz w:val="24"/>
                <w:szCs w:val="24"/>
                <w:color w:val="auto"/>
              </w:rPr>
            </w:pPr>
          </w:p>
        </w:tc>
      </w:tr>
      <w:tr>
        <w:trPr>
          <w:trHeight w:val="340"/>
        </w:trPr>
        <w:tc>
          <w:tcPr>
            <w:tcW w:w="2940" w:type="dxa"/>
            <w:vAlign w:val="bottom"/>
          </w:tcPr>
          <w:p>
            <w:pPr>
              <w:spacing w:after="0"/>
              <w:rPr>
                <w:sz w:val="24"/>
                <w:szCs w:val="24"/>
                <w:color w:val="auto"/>
              </w:rPr>
            </w:pPr>
          </w:p>
        </w:tc>
        <w:tc>
          <w:tcPr>
            <w:tcW w:w="5460" w:type="dxa"/>
            <w:vAlign w:val="bottom"/>
          </w:tcPr>
          <w:p>
            <w:pPr>
              <w:jc w:val="center"/>
              <w:ind w:left="2108"/>
              <w:spacing w:after="0"/>
              <w:rPr>
                <w:sz w:val="20"/>
                <w:szCs w:val="20"/>
                <w:color w:val="auto"/>
              </w:rPr>
            </w:pPr>
            <w:r>
              <w:rPr>
                <w:rFonts w:ascii="Arial" w:cs="Arial" w:eastAsia="Arial" w:hAnsi="Arial"/>
                <w:sz w:val="14"/>
                <w:szCs w:val="14"/>
                <w:b w:val="1"/>
                <w:bCs w:val="1"/>
                <w:color w:val="auto"/>
                <w:w w:val="92"/>
              </w:rPr>
              <w:t>June 30,</w:t>
            </w:r>
          </w:p>
        </w:tc>
        <w:tc>
          <w:tcPr>
            <w:tcW w:w="2000" w:type="dxa"/>
            <w:vAlign w:val="bottom"/>
          </w:tcPr>
          <w:p>
            <w:pPr>
              <w:jc w:val="center"/>
              <w:ind w:left="1168"/>
              <w:spacing w:after="0"/>
              <w:rPr>
                <w:sz w:val="20"/>
                <w:szCs w:val="20"/>
                <w:color w:val="auto"/>
              </w:rPr>
            </w:pPr>
            <w:r>
              <w:rPr>
                <w:rFonts w:ascii="Arial" w:cs="Arial" w:eastAsia="Arial" w:hAnsi="Arial"/>
                <w:sz w:val="14"/>
                <w:szCs w:val="14"/>
                <w:b w:val="1"/>
                <w:bCs w:val="1"/>
                <w:color w:val="auto"/>
                <w:w w:val="99"/>
              </w:rPr>
              <w:t>March 31,</w:t>
            </w:r>
          </w:p>
        </w:tc>
      </w:tr>
      <w:tr>
        <w:trPr>
          <w:trHeight w:val="176"/>
        </w:trPr>
        <w:tc>
          <w:tcPr>
            <w:tcW w:w="2940" w:type="dxa"/>
            <w:vAlign w:val="bottom"/>
          </w:tcPr>
          <w:p>
            <w:pPr>
              <w:spacing w:after="0"/>
              <w:rPr>
                <w:sz w:val="15"/>
                <w:szCs w:val="15"/>
                <w:color w:val="auto"/>
              </w:rPr>
            </w:pPr>
          </w:p>
        </w:tc>
        <w:tc>
          <w:tcPr>
            <w:tcW w:w="5460" w:type="dxa"/>
            <w:vAlign w:val="bottom"/>
          </w:tcPr>
          <w:p>
            <w:pPr>
              <w:jc w:val="center"/>
              <w:ind w:left="2128"/>
              <w:spacing w:after="0"/>
              <w:rPr>
                <w:sz w:val="20"/>
                <w:szCs w:val="20"/>
                <w:color w:val="auto"/>
              </w:rPr>
            </w:pPr>
            <w:r>
              <w:rPr>
                <w:rFonts w:ascii="Arial" w:cs="Arial" w:eastAsia="Arial" w:hAnsi="Arial"/>
                <w:sz w:val="14"/>
                <w:szCs w:val="14"/>
                <w:b w:val="1"/>
                <w:bCs w:val="1"/>
                <w:color w:val="auto"/>
                <w:w w:val="96"/>
              </w:rPr>
              <w:t>2014</w:t>
            </w:r>
          </w:p>
        </w:tc>
        <w:tc>
          <w:tcPr>
            <w:tcW w:w="2000" w:type="dxa"/>
            <w:vAlign w:val="bottom"/>
          </w:tcPr>
          <w:p>
            <w:pPr>
              <w:jc w:val="center"/>
              <w:ind w:left="1188"/>
              <w:spacing w:after="0"/>
              <w:rPr>
                <w:sz w:val="20"/>
                <w:szCs w:val="20"/>
                <w:color w:val="auto"/>
              </w:rPr>
            </w:pPr>
            <w:r>
              <w:rPr>
                <w:rFonts w:ascii="Arial" w:cs="Arial" w:eastAsia="Arial" w:hAnsi="Arial"/>
                <w:sz w:val="14"/>
                <w:szCs w:val="14"/>
                <w:b w:val="1"/>
                <w:bCs w:val="1"/>
                <w:color w:val="auto"/>
                <w:w w:val="96"/>
              </w:rPr>
              <w:t>2014</w:t>
            </w:r>
          </w:p>
        </w:tc>
      </w:tr>
      <w:tr>
        <w:trPr>
          <w:trHeight w:val="186"/>
        </w:trPr>
        <w:tc>
          <w:tcPr>
            <w:tcW w:w="2940" w:type="dxa"/>
            <w:vAlign w:val="bottom"/>
          </w:tcPr>
          <w:p>
            <w:pPr>
              <w:spacing w:after="0"/>
              <w:rPr>
                <w:sz w:val="16"/>
                <w:szCs w:val="16"/>
                <w:color w:val="auto"/>
              </w:rPr>
            </w:pPr>
          </w:p>
        </w:tc>
        <w:tc>
          <w:tcPr>
            <w:tcW w:w="5460" w:type="dxa"/>
            <w:vAlign w:val="bottom"/>
          </w:tcPr>
          <w:p>
            <w:pPr>
              <w:jc w:val="center"/>
              <w:ind w:left="2108"/>
              <w:spacing w:after="0"/>
              <w:rPr>
                <w:sz w:val="20"/>
                <w:szCs w:val="20"/>
                <w:color w:val="auto"/>
              </w:rPr>
            </w:pPr>
            <w:r>
              <w:rPr>
                <w:rFonts w:ascii="Arial" w:cs="Arial" w:eastAsia="Arial" w:hAnsi="Arial"/>
                <w:sz w:val="14"/>
                <w:szCs w:val="14"/>
                <w:b w:val="1"/>
                <w:bCs w:val="1"/>
                <w:color w:val="auto"/>
                <w:w w:val="97"/>
              </w:rPr>
              <w:t>(Unaudited)</w:t>
            </w:r>
          </w:p>
        </w:tc>
        <w:tc>
          <w:tcPr>
            <w:tcW w:w="2000" w:type="dxa"/>
            <w:vAlign w:val="bottom"/>
          </w:tcPr>
          <w:p>
            <w:pPr>
              <w:jc w:val="center"/>
              <w:ind w:left="1188"/>
              <w:spacing w:after="0"/>
              <w:rPr>
                <w:sz w:val="20"/>
                <w:szCs w:val="20"/>
                <w:color w:val="auto"/>
              </w:rPr>
            </w:pPr>
            <w:r>
              <w:rPr>
                <w:rFonts w:ascii="Arial" w:cs="Arial" w:eastAsia="Arial" w:hAnsi="Arial"/>
                <w:sz w:val="14"/>
                <w:szCs w:val="14"/>
                <w:b w:val="1"/>
                <w:bCs w:val="1"/>
                <w:color w:val="auto"/>
                <w:w w:val="95"/>
              </w:rPr>
              <w:t>(Unaudited)</w:t>
            </w:r>
          </w:p>
        </w:tc>
      </w:tr>
      <w:tr>
        <w:trPr>
          <w:trHeight w:val="527"/>
        </w:trPr>
        <w:tc>
          <w:tcPr>
            <w:tcW w:w="2940" w:type="dxa"/>
            <w:vAlign w:val="bottom"/>
          </w:tcPr>
          <w:p>
            <w:pPr>
              <w:spacing w:after="0"/>
              <w:rPr>
                <w:sz w:val="20"/>
                <w:szCs w:val="20"/>
                <w:color w:val="auto"/>
              </w:rPr>
            </w:pPr>
            <w:r>
              <w:rPr>
                <w:rFonts w:ascii="Arial" w:cs="Arial" w:eastAsia="Arial" w:hAnsi="Arial"/>
                <w:sz w:val="14"/>
                <w:szCs w:val="14"/>
                <w:color w:val="auto"/>
              </w:rPr>
              <w:t>Net cash</w:t>
            </w:r>
          </w:p>
        </w:tc>
        <w:tc>
          <w:tcPr>
            <w:tcW w:w="5460" w:type="dxa"/>
            <w:vAlign w:val="bottom"/>
          </w:tcPr>
          <w:p>
            <w:pPr>
              <w:jc w:val="center"/>
              <w:ind w:left="2128"/>
              <w:spacing w:after="0"/>
              <w:rPr>
                <w:sz w:val="20"/>
                <w:szCs w:val="20"/>
                <w:color w:val="auto"/>
              </w:rPr>
            </w:pPr>
            <w:r>
              <w:rPr>
                <w:rFonts w:ascii="Arial" w:cs="Arial" w:eastAsia="Arial" w:hAnsi="Arial"/>
                <w:sz w:val="14"/>
                <w:szCs w:val="14"/>
                <w:color w:val="auto"/>
                <w:w w:val="90"/>
              </w:rPr>
              <w:t>175,372</w:t>
            </w:r>
          </w:p>
        </w:tc>
        <w:tc>
          <w:tcPr>
            <w:tcW w:w="2000" w:type="dxa"/>
            <w:vAlign w:val="bottom"/>
          </w:tcPr>
          <w:p>
            <w:pPr>
              <w:jc w:val="center"/>
              <w:ind w:left="1188"/>
              <w:spacing w:after="0"/>
              <w:rPr>
                <w:sz w:val="20"/>
                <w:szCs w:val="20"/>
                <w:color w:val="auto"/>
              </w:rPr>
            </w:pPr>
            <w:r>
              <w:rPr>
                <w:rFonts w:ascii="Arial" w:cs="Arial" w:eastAsia="Arial" w:hAnsi="Arial"/>
                <w:sz w:val="14"/>
                <w:szCs w:val="14"/>
                <w:color w:val="auto"/>
                <w:w w:val="90"/>
              </w:rPr>
              <w:t>363,521</w:t>
            </w:r>
          </w:p>
        </w:tc>
      </w:tr>
      <w:tr>
        <w:trPr>
          <w:trHeight w:val="344"/>
        </w:trPr>
        <w:tc>
          <w:tcPr>
            <w:tcW w:w="2940" w:type="dxa"/>
            <w:vAlign w:val="bottom"/>
          </w:tcPr>
          <w:p>
            <w:pPr>
              <w:spacing w:after="0"/>
              <w:rPr>
                <w:sz w:val="20"/>
                <w:szCs w:val="20"/>
                <w:color w:val="auto"/>
              </w:rPr>
            </w:pPr>
            <w:r>
              <w:rPr>
                <w:rFonts w:ascii="Arial" w:cs="Arial" w:eastAsia="Arial" w:hAnsi="Arial"/>
                <w:sz w:val="14"/>
                <w:szCs w:val="14"/>
                <w:color w:val="auto"/>
              </w:rPr>
              <w:t>Accounts receivable</w:t>
            </w:r>
          </w:p>
        </w:tc>
        <w:tc>
          <w:tcPr>
            <w:tcW w:w="5460" w:type="dxa"/>
            <w:vAlign w:val="bottom"/>
          </w:tcPr>
          <w:p>
            <w:pPr>
              <w:jc w:val="center"/>
              <w:ind w:left="2128"/>
              <w:spacing w:after="0"/>
              <w:rPr>
                <w:sz w:val="20"/>
                <w:szCs w:val="20"/>
                <w:color w:val="auto"/>
              </w:rPr>
            </w:pPr>
            <w:r>
              <w:rPr>
                <w:rFonts w:ascii="Arial" w:cs="Arial" w:eastAsia="Arial" w:hAnsi="Arial"/>
                <w:sz w:val="14"/>
                <w:szCs w:val="14"/>
                <w:color w:val="auto"/>
                <w:w w:val="90"/>
              </w:rPr>
              <w:t>382,924</w:t>
            </w:r>
          </w:p>
        </w:tc>
        <w:tc>
          <w:tcPr>
            <w:tcW w:w="2000" w:type="dxa"/>
            <w:vAlign w:val="bottom"/>
          </w:tcPr>
          <w:p>
            <w:pPr>
              <w:jc w:val="center"/>
              <w:ind w:left="1188"/>
              <w:spacing w:after="0"/>
              <w:rPr>
                <w:sz w:val="20"/>
                <w:szCs w:val="20"/>
                <w:color w:val="auto"/>
              </w:rPr>
            </w:pPr>
            <w:r>
              <w:rPr>
                <w:rFonts w:ascii="Arial" w:cs="Arial" w:eastAsia="Arial" w:hAnsi="Arial"/>
                <w:sz w:val="14"/>
                <w:szCs w:val="14"/>
                <w:color w:val="auto"/>
                <w:w w:val="90"/>
              </w:rPr>
              <w:t>337,600</w:t>
            </w:r>
          </w:p>
        </w:tc>
      </w:tr>
      <w:tr>
        <w:trPr>
          <w:trHeight w:val="176"/>
        </w:trPr>
        <w:tc>
          <w:tcPr>
            <w:tcW w:w="2940" w:type="dxa"/>
            <w:vAlign w:val="bottom"/>
          </w:tcPr>
          <w:p>
            <w:pPr>
              <w:spacing w:after="0"/>
              <w:rPr>
                <w:sz w:val="20"/>
                <w:szCs w:val="20"/>
                <w:color w:val="auto"/>
              </w:rPr>
            </w:pPr>
            <w:r>
              <w:rPr>
                <w:rFonts w:ascii="Arial" w:cs="Arial" w:eastAsia="Arial" w:hAnsi="Arial"/>
                <w:sz w:val="14"/>
                <w:szCs w:val="14"/>
                <w:color w:val="auto"/>
              </w:rPr>
              <w:t>Unbilled revenue</w:t>
            </w:r>
          </w:p>
        </w:tc>
        <w:tc>
          <w:tcPr>
            <w:tcW w:w="5460" w:type="dxa"/>
            <w:vAlign w:val="bottom"/>
          </w:tcPr>
          <w:p>
            <w:pPr>
              <w:jc w:val="center"/>
              <w:ind w:left="2128"/>
              <w:spacing w:after="0"/>
              <w:rPr>
                <w:sz w:val="20"/>
                <w:szCs w:val="20"/>
                <w:color w:val="auto"/>
              </w:rPr>
            </w:pPr>
            <w:r>
              <w:rPr>
                <w:rFonts w:ascii="Arial" w:cs="Arial" w:eastAsia="Arial" w:hAnsi="Arial"/>
                <w:sz w:val="14"/>
                <w:szCs w:val="14"/>
                <w:color w:val="auto"/>
                <w:w w:val="90"/>
              </w:rPr>
              <w:t>139,739</w:t>
            </w:r>
          </w:p>
        </w:tc>
        <w:tc>
          <w:tcPr>
            <w:tcW w:w="2000" w:type="dxa"/>
            <w:vAlign w:val="bottom"/>
          </w:tcPr>
          <w:p>
            <w:pPr>
              <w:jc w:val="center"/>
              <w:ind w:left="1188"/>
              <w:spacing w:after="0"/>
              <w:rPr>
                <w:sz w:val="20"/>
                <w:szCs w:val="20"/>
                <w:color w:val="auto"/>
              </w:rPr>
            </w:pPr>
            <w:r>
              <w:rPr>
                <w:rFonts w:ascii="Arial" w:cs="Arial" w:eastAsia="Arial" w:hAnsi="Arial"/>
                <w:sz w:val="14"/>
                <w:szCs w:val="14"/>
                <w:color w:val="auto"/>
                <w:w w:val="90"/>
              </w:rPr>
              <w:t>116,653</w:t>
            </w:r>
          </w:p>
        </w:tc>
      </w:tr>
      <w:tr>
        <w:trPr>
          <w:trHeight w:val="176"/>
        </w:trPr>
        <w:tc>
          <w:tcPr>
            <w:tcW w:w="2940" w:type="dxa"/>
            <w:vAlign w:val="bottom"/>
          </w:tcPr>
          <w:p>
            <w:pPr>
              <w:spacing w:after="0"/>
              <w:rPr>
                <w:sz w:val="20"/>
                <w:szCs w:val="20"/>
                <w:color w:val="auto"/>
              </w:rPr>
            </w:pPr>
            <w:r>
              <w:rPr>
                <w:rFonts w:ascii="Arial" w:cs="Arial" w:eastAsia="Arial" w:hAnsi="Arial"/>
                <w:sz w:val="14"/>
                <w:szCs w:val="14"/>
                <w:color w:val="auto"/>
              </w:rPr>
              <w:t>Payments on account</w:t>
            </w:r>
          </w:p>
        </w:tc>
        <w:tc>
          <w:tcPr>
            <w:tcW w:w="5460" w:type="dxa"/>
            <w:vAlign w:val="bottom"/>
          </w:tcPr>
          <w:p>
            <w:pPr>
              <w:jc w:val="center"/>
              <w:ind w:left="2108"/>
              <w:spacing w:after="0"/>
              <w:rPr>
                <w:sz w:val="20"/>
                <w:szCs w:val="20"/>
                <w:color w:val="auto"/>
              </w:rPr>
            </w:pPr>
            <w:r>
              <w:rPr>
                <w:rFonts w:ascii="Arial" w:cs="Arial" w:eastAsia="Arial" w:hAnsi="Arial"/>
                <w:sz w:val="14"/>
                <w:szCs w:val="14"/>
                <w:color w:val="auto"/>
                <w:w w:val="93"/>
              </w:rPr>
              <w:t>(290,754)</w:t>
            </w:r>
          </w:p>
        </w:tc>
        <w:tc>
          <w:tcPr>
            <w:tcW w:w="2000" w:type="dxa"/>
            <w:vAlign w:val="bottom"/>
          </w:tcPr>
          <w:p>
            <w:pPr>
              <w:jc w:val="center"/>
              <w:ind w:left="1188"/>
              <w:spacing w:after="0"/>
              <w:rPr>
                <w:sz w:val="20"/>
                <w:szCs w:val="20"/>
                <w:color w:val="auto"/>
              </w:rPr>
            </w:pPr>
            <w:r>
              <w:rPr>
                <w:rFonts w:ascii="Arial" w:cs="Arial" w:eastAsia="Arial" w:hAnsi="Arial"/>
                <w:sz w:val="14"/>
                <w:szCs w:val="14"/>
                <w:color w:val="auto"/>
                <w:w w:val="96"/>
              </w:rPr>
              <w:t>(269,771)</w:t>
            </w:r>
          </w:p>
        </w:tc>
      </w:tr>
      <w:tr>
        <w:trPr>
          <w:trHeight w:val="182"/>
        </w:trPr>
        <w:tc>
          <w:tcPr>
            <w:tcW w:w="2940" w:type="dxa"/>
            <w:vAlign w:val="bottom"/>
          </w:tcPr>
          <w:p>
            <w:pPr>
              <w:spacing w:after="0"/>
              <w:rPr>
                <w:sz w:val="20"/>
                <w:szCs w:val="20"/>
                <w:color w:val="auto"/>
              </w:rPr>
            </w:pPr>
            <w:r>
              <w:rPr>
                <w:rFonts w:ascii="Arial" w:cs="Arial" w:eastAsia="Arial" w:hAnsi="Arial"/>
                <w:sz w:val="14"/>
                <w:szCs w:val="14"/>
                <w:color w:val="auto"/>
              </w:rPr>
              <w:t>Total</w:t>
            </w:r>
          </w:p>
        </w:tc>
        <w:tc>
          <w:tcPr>
            <w:tcW w:w="5460" w:type="dxa"/>
            <w:vAlign w:val="bottom"/>
          </w:tcPr>
          <w:p>
            <w:pPr>
              <w:jc w:val="center"/>
              <w:ind w:left="2128"/>
              <w:spacing w:after="0"/>
              <w:rPr>
                <w:sz w:val="20"/>
                <w:szCs w:val="20"/>
                <w:color w:val="auto"/>
              </w:rPr>
            </w:pPr>
            <w:r>
              <w:rPr>
                <w:rFonts w:ascii="Arial" w:cs="Arial" w:eastAsia="Arial" w:hAnsi="Arial"/>
                <w:sz w:val="14"/>
                <w:szCs w:val="14"/>
                <w:color w:val="auto"/>
                <w:w w:val="90"/>
              </w:rPr>
              <w:t>231,909</w:t>
            </w:r>
          </w:p>
        </w:tc>
        <w:tc>
          <w:tcPr>
            <w:tcW w:w="2000" w:type="dxa"/>
            <w:vAlign w:val="bottom"/>
          </w:tcPr>
          <w:p>
            <w:pPr>
              <w:jc w:val="center"/>
              <w:ind w:left="1188"/>
              <w:spacing w:after="0"/>
              <w:rPr>
                <w:sz w:val="20"/>
                <w:szCs w:val="20"/>
                <w:color w:val="auto"/>
              </w:rPr>
            </w:pPr>
            <w:r>
              <w:rPr>
                <w:rFonts w:ascii="Arial" w:cs="Arial" w:eastAsia="Arial" w:hAnsi="Arial"/>
                <w:sz w:val="14"/>
                <w:szCs w:val="14"/>
                <w:color w:val="auto"/>
                <w:w w:val="90"/>
              </w:rPr>
              <w:t>184,482</w:t>
            </w:r>
          </w:p>
        </w:tc>
      </w:tr>
      <w:tr>
        <w:trPr>
          <w:trHeight w:val="351"/>
        </w:trPr>
        <w:tc>
          <w:tcPr>
            <w:tcW w:w="2940" w:type="dxa"/>
            <w:vAlign w:val="bottom"/>
          </w:tcPr>
          <w:p>
            <w:pPr>
              <w:spacing w:after="0"/>
              <w:rPr>
                <w:sz w:val="20"/>
                <w:szCs w:val="20"/>
                <w:color w:val="auto"/>
              </w:rPr>
            </w:pPr>
            <w:r>
              <w:rPr>
                <w:rFonts w:ascii="Arial" w:cs="Arial" w:eastAsia="Arial" w:hAnsi="Arial"/>
                <w:sz w:val="14"/>
                <w:szCs w:val="14"/>
                <w:color w:val="auto"/>
              </w:rPr>
              <w:t>Working Capital</w:t>
            </w:r>
          </w:p>
        </w:tc>
        <w:tc>
          <w:tcPr>
            <w:tcW w:w="5460" w:type="dxa"/>
            <w:vAlign w:val="bottom"/>
          </w:tcPr>
          <w:p>
            <w:pPr>
              <w:jc w:val="center"/>
              <w:ind w:left="2128"/>
              <w:spacing w:after="0"/>
              <w:rPr>
                <w:sz w:val="20"/>
                <w:szCs w:val="20"/>
                <w:color w:val="auto"/>
              </w:rPr>
            </w:pPr>
            <w:r>
              <w:rPr>
                <w:rFonts w:ascii="Arial" w:cs="Arial" w:eastAsia="Arial" w:hAnsi="Arial"/>
                <w:sz w:val="14"/>
                <w:szCs w:val="14"/>
                <w:color w:val="auto"/>
                <w:w w:val="90"/>
              </w:rPr>
              <w:t>295,511</w:t>
            </w:r>
          </w:p>
        </w:tc>
        <w:tc>
          <w:tcPr>
            <w:tcW w:w="2000" w:type="dxa"/>
            <w:vAlign w:val="bottom"/>
          </w:tcPr>
          <w:p>
            <w:pPr>
              <w:jc w:val="center"/>
              <w:ind w:left="1188"/>
              <w:spacing w:after="0"/>
              <w:rPr>
                <w:sz w:val="20"/>
                <w:szCs w:val="20"/>
                <w:color w:val="auto"/>
              </w:rPr>
            </w:pPr>
            <w:r>
              <w:rPr>
                <w:rFonts w:ascii="Arial" w:cs="Arial" w:eastAsia="Arial" w:hAnsi="Arial"/>
                <w:sz w:val="14"/>
                <w:szCs w:val="14"/>
                <w:color w:val="auto"/>
                <w:w w:val="90"/>
              </w:rPr>
              <w:t>405,923</w:t>
            </w:r>
          </w:p>
        </w:tc>
      </w:tr>
      <w:tr>
        <w:trPr>
          <w:trHeight w:val="351"/>
        </w:trPr>
        <w:tc>
          <w:tcPr>
            <w:tcW w:w="2940" w:type="dxa"/>
            <w:vAlign w:val="bottom"/>
          </w:tcPr>
          <w:p>
            <w:pPr>
              <w:spacing w:after="0"/>
              <w:rPr>
                <w:sz w:val="20"/>
                <w:szCs w:val="20"/>
                <w:color w:val="auto"/>
              </w:rPr>
            </w:pPr>
            <w:r>
              <w:rPr>
                <w:rFonts w:ascii="Arial" w:cs="Arial" w:eastAsia="Arial" w:hAnsi="Arial"/>
                <w:sz w:val="14"/>
                <w:szCs w:val="14"/>
                <w:color w:val="auto"/>
              </w:rPr>
              <w:t>Total Assets</w:t>
            </w:r>
          </w:p>
        </w:tc>
        <w:tc>
          <w:tcPr>
            <w:tcW w:w="5460" w:type="dxa"/>
            <w:vAlign w:val="bottom"/>
          </w:tcPr>
          <w:p>
            <w:pPr>
              <w:jc w:val="center"/>
              <w:ind w:left="2128"/>
              <w:spacing w:after="0"/>
              <w:rPr>
                <w:sz w:val="20"/>
                <w:szCs w:val="20"/>
                <w:color w:val="auto"/>
              </w:rPr>
            </w:pPr>
            <w:r>
              <w:rPr>
                <w:rFonts w:ascii="Arial" w:cs="Arial" w:eastAsia="Arial" w:hAnsi="Arial"/>
                <w:sz w:val="14"/>
                <w:szCs w:val="14"/>
                <w:color w:val="auto"/>
                <w:w w:val="93"/>
              </w:rPr>
              <w:t>1,525,740</w:t>
            </w:r>
          </w:p>
        </w:tc>
        <w:tc>
          <w:tcPr>
            <w:tcW w:w="2000" w:type="dxa"/>
            <w:vAlign w:val="bottom"/>
          </w:tcPr>
          <w:p>
            <w:pPr>
              <w:jc w:val="center"/>
              <w:ind w:left="1188"/>
              <w:spacing w:after="0"/>
              <w:rPr>
                <w:sz w:val="20"/>
                <w:szCs w:val="20"/>
                <w:color w:val="auto"/>
              </w:rPr>
            </w:pPr>
            <w:r>
              <w:rPr>
                <w:rFonts w:ascii="Arial" w:cs="Arial" w:eastAsia="Arial" w:hAnsi="Arial"/>
                <w:sz w:val="14"/>
                <w:szCs w:val="14"/>
                <w:color w:val="auto"/>
                <w:w w:val="93"/>
              </w:rPr>
              <w:t>1,484,541</w:t>
            </w:r>
          </w:p>
        </w:tc>
      </w:tr>
      <w:tr>
        <w:trPr>
          <w:trHeight w:val="351"/>
        </w:trPr>
        <w:tc>
          <w:tcPr>
            <w:tcW w:w="2940" w:type="dxa"/>
            <w:vAlign w:val="bottom"/>
          </w:tcPr>
          <w:p>
            <w:pPr>
              <w:spacing w:after="0"/>
              <w:rPr>
                <w:sz w:val="20"/>
                <w:szCs w:val="20"/>
                <w:color w:val="auto"/>
              </w:rPr>
            </w:pPr>
            <w:r>
              <w:rPr>
                <w:rFonts w:ascii="Arial" w:cs="Arial" w:eastAsia="Arial" w:hAnsi="Arial"/>
                <w:sz w:val="14"/>
                <w:szCs w:val="14"/>
                <w:color w:val="auto"/>
              </w:rPr>
              <w:t>Shareholder's Equity</w:t>
            </w:r>
          </w:p>
        </w:tc>
        <w:tc>
          <w:tcPr>
            <w:tcW w:w="5460" w:type="dxa"/>
            <w:vAlign w:val="bottom"/>
          </w:tcPr>
          <w:p>
            <w:pPr>
              <w:jc w:val="center"/>
              <w:ind w:left="2128"/>
              <w:spacing w:after="0"/>
              <w:rPr>
                <w:sz w:val="20"/>
                <w:szCs w:val="20"/>
                <w:color w:val="auto"/>
              </w:rPr>
            </w:pPr>
            <w:r>
              <w:rPr>
                <w:rFonts w:ascii="Arial" w:cs="Arial" w:eastAsia="Arial" w:hAnsi="Arial"/>
                <w:sz w:val="14"/>
                <w:szCs w:val="14"/>
                <w:color w:val="auto"/>
                <w:w w:val="90"/>
              </w:rPr>
              <w:t>998,333</w:t>
            </w:r>
          </w:p>
        </w:tc>
        <w:tc>
          <w:tcPr>
            <w:tcW w:w="2000" w:type="dxa"/>
            <w:vAlign w:val="bottom"/>
          </w:tcPr>
          <w:p>
            <w:pPr>
              <w:jc w:val="center"/>
              <w:ind w:left="1188"/>
              <w:spacing w:after="0"/>
              <w:rPr>
                <w:sz w:val="20"/>
                <w:szCs w:val="20"/>
                <w:color w:val="auto"/>
              </w:rPr>
            </w:pPr>
            <w:r>
              <w:rPr>
                <w:rFonts w:ascii="Arial" w:cs="Arial" w:eastAsia="Arial" w:hAnsi="Arial"/>
                <w:sz w:val="14"/>
                <w:szCs w:val="14"/>
                <w:color w:val="auto"/>
                <w:w w:val="90"/>
              </w:rPr>
              <w:t>960,785</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+ 353 1 291 2000</w:t>
      </w:r>
    </w:p>
    <w:p>
      <w:pPr>
        <w:spacing w:after="0" w:line="231" w:lineRule="auto"/>
        <w:rPr>
          <w:sz w:val="20"/>
          <w:szCs w:val="20"/>
          <w:color w:val="auto"/>
        </w:rPr>
      </w:pPr>
      <w:r>
        <w:rPr>
          <w:rFonts w:ascii="Arial" w:cs="Arial" w:eastAsia="Arial" w:hAnsi="Arial"/>
          <w:sz w:val="22"/>
          <w:szCs w:val="22"/>
          <w:color w:val="auto"/>
        </w:rPr>
        <w:t>CFO</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Simon Holmes, +3531 291 2000</w:t>
      </w:r>
    </w:p>
    <w:p>
      <w:pPr>
        <w:spacing w:after="0" w:line="231" w:lineRule="auto"/>
        <w:rPr>
          <w:sz w:val="20"/>
          <w:szCs w:val="20"/>
          <w:color w:val="auto"/>
        </w:rPr>
      </w:pPr>
      <w:r>
        <w:rPr>
          <w:rFonts w:ascii="Arial" w:cs="Arial" w:eastAsia="Arial" w:hAnsi="Arial"/>
          <w:sz w:val="22"/>
          <w:szCs w:val="22"/>
          <w:color w:val="auto"/>
        </w:rPr>
        <w:t>EVP IR &amp; Corporate Development</w:t>
      </w: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0400"/>
      </w:cols>
      <w:pgMar w:left="240" w:top="306"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2019-12-06T19:34:49Z</dcterms:created>
  <dcterms:modified xsi:type="dcterms:W3CDTF">2019-12-06T19:34:49Z</dcterms:modified>
</cp:coreProperties>
</file>