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5)*</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ICON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G4705A100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December 31,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4"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660" w:right="9140" w:hanging="4"/>
        <w:spacing w:after="0" w:line="504" w:lineRule="auto"/>
        <w:tabs>
          <w:tab w:leader="none" w:pos="106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ind w:left="660"/>
        <w:spacing w:after="0"/>
        <w:rPr>
          <w:rFonts w:ascii="Arial" w:cs="Arial" w:eastAsia="Arial" w:hAnsi="Arial"/>
          <w:sz w:val="19"/>
          <w:szCs w:val="19"/>
          <w:color w:val="auto"/>
        </w:rPr>
      </w:pPr>
      <w:r>
        <w:rPr>
          <w:rFonts w:ascii="Arial" w:cs="Arial" w:eastAsia="Arial" w:hAnsi="Arial"/>
          <w:sz w:val="22"/>
          <w:szCs w:val="22"/>
          <w:color w:val="auto"/>
        </w:rPr>
        <w:t>[_]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1"/>
        </w:trPr>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40" w:type="dxa"/>
            <w:vAlign w:val="bottom"/>
          </w:tcPr>
          <w:p>
            <w:pPr>
              <w:jc w:val="center"/>
              <w:ind w:right="4472"/>
              <w:spacing w:after="0"/>
              <w:rPr>
                <w:sz w:val="20"/>
                <w:szCs w:val="20"/>
                <w:color w:val="auto"/>
              </w:rPr>
            </w:pPr>
            <w:r>
              <w:rPr>
                <w:rFonts w:ascii="Arial" w:cs="Arial" w:eastAsia="Arial" w:hAnsi="Arial"/>
                <w:sz w:val="22"/>
                <w:szCs w:val="22"/>
                <w:b w:val="1"/>
                <w:bCs w:val="1"/>
                <w:color w:val="auto"/>
                <w:w w:val="96"/>
              </w:rPr>
              <w:t>SCHEDULE 13G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6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CUSIP No.</w:t>
            </w:r>
          </w:p>
        </w:tc>
        <w:tc>
          <w:tcPr>
            <w:tcW w:w="15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G4705A100</w:t>
            </w:r>
          </w:p>
        </w:tc>
        <w:tc>
          <w:tcPr>
            <w:tcW w:w="1920" w:type="dxa"/>
            <w:vAlign w:val="bottom"/>
            <w:tcBorders>
              <w:bottom w:val="single" w:sz="8" w:color="auto"/>
              <w:right w:val="single" w:sz="8" w:color="auto"/>
            </w:tcBorders>
          </w:tcPr>
          <w:p>
            <w:pPr>
              <w:spacing w:after="0"/>
              <w:rPr>
                <w:sz w:val="18"/>
                <w:szCs w:val="18"/>
                <w:color w:val="auto"/>
              </w:rPr>
            </w:pPr>
          </w:p>
        </w:tc>
        <w:tc>
          <w:tcPr>
            <w:tcW w:w="6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00" w:type="dxa"/>
            <w:vAlign w:val="bottom"/>
            <w:tcBorders>
              <w:bottom w:val="single" w:sz="8" w:color="auto"/>
            </w:tcBorders>
          </w:tcPr>
          <w:p>
            <w:pPr>
              <w:spacing w:after="0"/>
              <w:rPr>
                <w:sz w:val="20"/>
                <w:szCs w:val="20"/>
                <w:color w:val="auto"/>
              </w:rPr>
            </w:pPr>
          </w:p>
        </w:tc>
        <w:tc>
          <w:tcPr>
            <w:tcW w:w="10320" w:type="dxa"/>
            <w:vAlign w:val="bottom"/>
            <w:tcBorders>
              <w:bottom w:val="single" w:sz="8" w:color="auto"/>
            </w:tcBorders>
            <w:gridSpan w:val="6"/>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w:t>
            </w:r>
          </w:p>
        </w:tc>
        <w:tc>
          <w:tcPr>
            <w:tcW w:w="1032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Names of Reporting Persons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00" w:type="dxa"/>
            <w:vAlign w:val="bottom"/>
            <w:tcBorders>
              <w:left w:val="single" w:sz="8" w:color="auto"/>
              <w:right w:val="single" w:sz="8" w:color="auto"/>
            </w:tcBorders>
          </w:tcPr>
          <w:p>
            <w:pPr>
              <w:spacing w:after="0"/>
              <w:rPr>
                <w:sz w:val="24"/>
                <w:szCs w:val="24"/>
                <w:color w:val="auto"/>
              </w:rPr>
            </w:pPr>
          </w:p>
        </w:tc>
        <w:tc>
          <w:tcPr>
            <w:tcW w:w="1032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WCM Investment Management, LLC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10320" w:type="dxa"/>
            <w:vAlign w:val="bottom"/>
            <w:tcBorders>
              <w:bottom w:val="single" w:sz="8" w:color="auto"/>
              <w:right w:val="single" w:sz="8" w:color="auto"/>
            </w:tcBorders>
            <w:gridSpan w:val="6"/>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2</w:t>
            </w:r>
          </w:p>
        </w:tc>
        <w:tc>
          <w:tcPr>
            <w:tcW w:w="1032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110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(b)</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68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3</w:t>
            </w:r>
          </w:p>
        </w:tc>
        <w:tc>
          <w:tcPr>
            <w:tcW w:w="1560" w:type="dxa"/>
            <w:vAlign w:val="bottom"/>
            <w:gridSpan w:val="4"/>
          </w:tcPr>
          <w:p>
            <w:pPr>
              <w:ind w:left="80"/>
              <w:spacing w:after="0"/>
              <w:rPr>
                <w:sz w:val="20"/>
                <w:szCs w:val="20"/>
                <w:color w:val="auto"/>
              </w:rPr>
            </w:pPr>
            <w:r>
              <w:rPr>
                <w:rFonts w:ascii="Arial" w:cs="Arial" w:eastAsia="Arial" w:hAnsi="Arial"/>
                <w:sz w:val="18"/>
                <w:szCs w:val="18"/>
                <w:b w:val="1"/>
                <w:bCs w:val="1"/>
                <w:color w:val="auto"/>
              </w:rPr>
              <w:t>Sec Use Only</w:t>
            </w:r>
          </w:p>
        </w:tc>
        <w:tc>
          <w:tcPr>
            <w:tcW w:w="1920" w:type="dxa"/>
            <w:vAlign w:val="bottom"/>
          </w:tcPr>
          <w:p>
            <w:pPr>
              <w:spacing w:after="0"/>
              <w:rPr>
                <w:sz w:val="19"/>
                <w:szCs w:val="19"/>
                <w:color w:val="auto"/>
              </w:rPr>
            </w:pPr>
          </w:p>
        </w:tc>
        <w:tc>
          <w:tcPr>
            <w:tcW w:w="68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6"/>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0320" w:type="dxa"/>
            <w:vAlign w:val="bottom"/>
            <w:tcBorders>
              <w:bottom w:val="single" w:sz="8" w:color="auto"/>
              <w:right w:val="single" w:sz="8" w:color="auto"/>
            </w:tcBorders>
            <w:gridSpan w:val="6"/>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4</w:t>
            </w:r>
          </w:p>
        </w:tc>
        <w:tc>
          <w:tcPr>
            <w:tcW w:w="1032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Citizenship or Place of Organization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00" w:type="dxa"/>
            <w:vAlign w:val="bottom"/>
            <w:tcBorders>
              <w:left w:val="single" w:sz="8" w:color="auto"/>
              <w:right w:val="single" w:sz="8" w:color="auto"/>
            </w:tcBorders>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7"/>
              </w:rPr>
              <w:t>Delaware</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760" w:type="dxa"/>
            <w:vAlign w:val="bottom"/>
            <w:tcBorders>
              <w:bottom w:val="single" w:sz="8" w:color="auto"/>
              <w:right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5</w:t>
            </w:r>
          </w:p>
        </w:tc>
        <w:tc>
          <w:tcPr>
            <w:tcW w:w="876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Sole Voting Power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740" w:type="dxa"/>
            <w:vAlign w:val="bottom"/>
            <w:tcBorders>
              <w:left w:val="single" w:sz="8" w:color="auto"/>
            </w:tcBorders>
            <w:gridSpan w:val="2"/>
            <w:vMerge w:val="restart"/>
          </w:tcPr>
          <w:p>
            <w:pPr>
              <w:jc w:val="center"/>
              <w:ind w:left="21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920" w:type="dxa"/>
            <w:vAlign w:val="bottom"/>
          </w:tcPr>
          <w:p>
            <w:pPr>
              <w:ind w:left="280"/>
              <w:spacing w:after="0"/>
              <w:rPr>
                <w:sz w:val="20"/>
                <w:szCs w:val="20"/>
                <w:color w:val="auto"/>
              </w:rPr>
            </w:pPr>
            <w:r>
              <w:rPr>
                <w:rFonts w:ascii="Arial" w:cs="Arial" w:eastAsia="Arial" w:hAnsi="Arial"/>
                <w:sz w:val="18"/>
                <w:szCs w:val="18"/>
                <w:color w:val="auto"/>
              </w:rPr>
              <w:t>3,654,988</w:t>
            </w:r>
          </w:p>
        </w:tc>
        <w:tc>
          <w:tcPr>
            <w:tcW w:w="68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40" w:type="dxa"/>
            <w:vAlign w:val="bottom"/>
            <w:tcBorders>
              <w:left w:val="single" w:sz="8" w:color="auto"/>
            </w:tcBorders>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4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1740" w:type="dxa"/>
            <w:vAlign w:val="bottom"/>
            <w:tcBorders>
              <w:left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6</w:t>
            </w:r>
          </w:p>
        </w:tc>
        <w:tc>
          <w:tcPr>
            <w:tcW w:w="876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Shared Voting Power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tcBorders>
            <w:gridSpan w:val="2"/>
          </w:tcPr>
          <w:p>
            <w:pPr>
              <w:jc w:val="center"/>
              <w:ind w:left="230"/>
              <w:spacing w:after="0"/>
              <w:rPr>
                <w:sz w:val="20"/>
                <w:szCs w:val="20"/>
                <w:color w:val="auto"/>
              </w:rPr>
            </w:pPr>
            <w:r>
              <w:rPr>
                <w:rFonts w:ascii="Arial" w:cs="Arial" w:eastAsia="Arial" w:hAnsi="Arial"/>
                <w:sz w:val="18"/>
                <w:szCs w:val="18"/>
                <w:b w:val="1"/>
                <w:bCs w:val="1"/>
                <w:color w:val="auto"/>
                <w:w w:val="89"/>
              </w:rPr>
              <w:t>Beneficially</w:t>
            </w:r>
          </w:p>
        </w:tc>
        <w:tc>
          <w:tcPr>
            <w:tcW w:w="2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92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68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40" w:type="dxa"/>
            <w:vAlign w:val="bottom"/>
            <w:tcBorders>
              <w:left w:val="single" w:sz="8" w:color="auto"/>
            </w:tcBorders>
            <w:gridSpan w:val="2"/>
          </w:tcPr>
          <w:p>
            <w:pPr>
              <w:jc w:val="center"/>
              <w:ind w:left="230"/>
              <w:spacing w:after="0"/>
              <w:rPr>
                <w:sz w:val="20"/>
                <w:szCs w:val="20"/>
                <w:color w:val="auto"/>
              </w:rPr>
            </w:pPr>
            <w:r>
              <w:rPr>
                <w:rFonts w:ascii="Arial" w:cs="Arial" w:eastAsia="Arial" w:hAnsi="Arial"/>
                <w:sz w:val="18"/>
                <w:szCs w:val="18"/>
                <w:b w:val="1"/>
                <w:bCs w:val="1"/>
                <w:color w:val="auto"/>
                <w:w w:val="90"/>
              </w:rPr>
              <w:t>Owned by Each</w:t>
            </w:r>
          </w:p>
        </w:tc>
        <w:tc>
          <w:tcPr>
            <w:tcW w:w="2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684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tcBorders>
            <w:gridSpan w:val="2"/>
          </w:tcPr>
          <w:p>
            <w:pPr>
              <w:jc w:val="center"/>
              <w:ind w:left="210"/>
              <w:spacing w:after="0" w:line="205" w:lineRule="exact"/>
              <w:rPr>
                <w:sz w:val="20"/>
                <w:szCs w:val="20"/>
                <w:color w:val="auto"/>
              </w:rPr>
            </w:pPr>
            <w:r>
              <w:rPr>
                <w:rFonts w:ascii="Arial" w:cs="Arial" w:eastAsia="Arial" w:hAnsi="Arial"/>
                <w:sz w:val="18"/>
                <w:szCs w:val="18"/>
                <w:b w:val="1"/>
                <w:bCs w:val="1"/>
                <w:color w:val="auto"/>
                <w:w w:val="90"/>
              </w:rPr>
              <w:t>Reporting Person</w:t>
            </w:r>
          </w:p>
        </w:tc>
        <w:tc>
          <w:tcPr>
            <w:tcW w:w="2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jc w:val="right"/>
              <w:ind w:right="310"/>
              <w:spacing w:after="0" w:line="205" w:lineRule="exact"/>
              <w:rPr>
                <w:sz w:val="20"/>
                <w:szCs w:val="20"/>
                <w:color w:val="auto"/>
              </w:rPr>
            </w:pPr>
            <w:r>
              <w:rPr>
                <w:rFonts w:ascii="Arial" w:cs="Arial" w:eastAsia="Arial" w:hAnsi="Arial"/>
                <w:sz w:val="18"/>
                <w:szCs w:val="18"/>
                <w:b w:val="1"/>
                <w:bCs w:val="1"/>
                <w:color w:val="auto"/>
              </w:rPr>
              <w:t>7</w:t>
            </w:r>
          </w:p>
        </w:tc>
        <w:tc>
          <w:tcPr>
            <w:tcW w:w="8760" w:type="dxa"/>
            <w:vAlign w:val="bottom"/>
            <w:tcBorders>
              <w:right w:val="single" w:sz="8" w:color="auto"/>
            </w:tcBorders>
            <w:gridSpan w:val="2"/>
          </w:tcPr>
          <w:p>
            <w:pPr>
              <w:ind w:left="280"/>
              <w:spacing w:after="0" w:line="205" w:lineRule="exact"/>
              <w:rPr>
                <w:sz w:val="20"/>
                <w:szCs w:val="20"/>
                <w:color w:val="auto"/>
              </w:rPr>
            </w:pPr>
            <w:r>
              <w:rPr>
                <w:rFonts w:ascii="Arial" w:cs="Arial" w:eastAsia="Arial" w:hAnsi="Arial"/>
                <w:sz w:val="18"/>
                <w:szCs w:val="18"/>
                <w:b w:val="1"/>
                <w:bCs w:val="1"/>
                <w:color w:val="auto"/>
              </w:rPr>
              <w:t>Sole Dispositive Power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tcBorders>
              <w:left w:val="single" w:sz="8" w:color="auto"/>
            </w:tcBorders>
            <w:gridSpan w:val="2"/>
          </w:tcPr>
          <w:p>
            <w:pPr>
              <w:jc w:val="center"/>
              <w:ind w:left="270"/>
              <w:spacing w:after="0"/>
              <w:rPr>
                <w:sz w:val="20"/>
                <w:szCs w:val="20"/>
                <w:color w:val="auto"/>
              </w:rPr>
            </w:pPr>
            <w:r>
              <w:rPr>
                <w:rFonts w:ascii="Arial" w:cs="Arial" w:eastAsia="Arial" w:hAnsi="Arial"/>
                <w:sz w:val="18"/>
                <w:szCs w:val="18"/>
                <w:b w:val="1"/>
                <w:bCs w:val="1"/>
                <w:color w:val="auto"/>
              </w:rPr>
              <w:t>With:</w:t>
            </w:r>
          </w:p>
        </w:tc>
        <w:tc>
          <w:tcPr>
            <w:tcW w:w="2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920" w:type="dxa"/>
            <w:vAlign w:val="bottom"/>
            <w:vMerge w:val="restart"/>
          </w:tcPr>
          <w:p>
            <w:pPr>
              <w:ind w:left="280"/>
              <w:spacing w:after="0"/>
              <w:rPr>
                <w:sz w:val="20"/>
                <w:szCs w:val="20"/>
                <w:color w:val="auto"/>
              </w:rPr>
            </w:pPr>
            <w:r>
              <w:rPr>
                <w:rFonts w:ascii="Arial" w:cs="Arial" w:eastAsia="Arial" w:hAnsi="Arial"/>
                <w:sz w:val="18"/>
                <w:szCs w:val="18"/>
                <w:color w:val="auto"/>
              </w:rPr>
              <w:t>3,654,988</w:t>
            </w:r>
          </w:p>
        </w:tc>
        <w:tc>
          <w:tcPr>
            <w:tcW w:w="68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0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920" w:type="dxa"/>
            <w:vAlign w:val="bottom"/>
            <w:vMerge w:val="continue"/>
          </w:tcPr>
          <w:p>
            <w:pPr>
              <w:spacing w:after="0"/>
              <w:rPr>
                <w:sz w:val="17"/>
                <w:szCs w:val="17"/>
                <w:color w:val="auto"/>
              </w:rPr>
            </w:pPr>
          </w:p>
        </w:tc>
        <w:tc>
          <w:tcPr>
            <w:tcW w:w="68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0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vMerge w:val="restart"/>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760" w:type="dxa"/>
            <w:vAlign w:val="bottom"/>
            <w:tcBorders>
              <w:bottom w:val="single" w:sz="8" w:color="auto"/>
              <w:right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right w:val="single" w:sz="8" w:color="auto"/>
            </w:tcBorders>
            <w:vMerge w:val="continue"/>
          </w:tcPr>
          <w:p>
            <w:pPr>
              <w:spacing w:after="0"/>
              <w:rPr>
                <w:sz w:val="19"/>
                <w:szCs w:val="19"/>
                <w:color w:val="auto"/>
              </w:rPr>
            </w:pPr>
          </w:p>
        </w:tc>
        <w:tc>
          <w:tcPr>
            <w:tcW w:w="56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8</w:t>
            </w:r>
          </w:p>
        </w:tc>
        <w:tc>
          <w:tcPr>
            <w:tcW w:w="876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Shared Dispositive Power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00" w:type="dxa"/>
            <w:vAlign w:val="bottom"/>
            <w:tcBorders>
              <w:lef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920" w:type="dxa"/>
            <w:vAlign w:val="bottom"/>
          </w:tcPr>
          <w:p>
            <w:pPr>
              <w:ind w:left="280"/>
              <w:spacing w:after="0"/>
              <w:rPr>
                <w:sz w:val="20"/>
                <w:szCs w:val="20"/>
                <w:color w:val="auto"/>
              </w:rPr>
            </w:pPr>
            <w:r>
              <w:rPr>
                <w:rFonts w:ascii="Arial" w:cs="Arial" w:eastAsia="Arial" w:hAnsi="Arial"/>
                <w:sz w:val="18"/>
                <w:szCs w:val="18"/>
                <w:color w:val="auto"/>
              </w:rPr>
              <w:t>0</w:t>
            </w:r>
          </w:p>
        </w:tc>
        <w:tc>
          <w:tcPr>
            <w:tcW w:w="68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00" w:type="dxa"/>
            <w:vAlign w:val="bottom"/>
            <w:tcBorders>
              <w:left w:val="single" w:sz="8" w:color="auto"/>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gridSpan w:val="3"/>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760" w:type="dxa"/>
            <w:vAlign w:val="bottom"/>
            <w:tcBorders>
              <w:bottom w:val="single" w:sz="8" w:color="auto"/>
              <w:right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9</w:t>
            </w:r>
          </w:p>
        </w:tc>
        <w:tc>
          <w:tcPr>
            <w:tcW w:w="1560" w:type="dxa"/>
            <w:vAlign w:val="bottom"/>
            <w:gridSpan w:val="4"/>
          </w:tcPr>
          <w:p>
            <w:pPr>
              <w:ind w:left="80"/>
              <w:spacing w:after="0"/>
              <w:rPr>
                <w:sz w:val="20"/>
                <w:szCs w:val="20"/>
                <w:color w:val="auto"/>
              </w:rPr>
            </w:pPr>
            <w:r>
              <w:rPr>
                <w:rFonts w:ascii="Arial" w:cs="Arial" w:eastAsia="Arial" w:hAnsi="Arial"/>
                <w:sz w:val="18"/>
                <w:szCs w:val="18"/>
                <w:b w:val="1"/>
                <w:bCs w:val="1"/>
                <w:color w:val="auto"/>
                <w:w w:val="88"/>
              </w:rPr>
              <w:t>Aggregate Amount</w:t>
            </w:r>
          </w:p>
        </w:tc>
        <w:tc>
          <w:tcPr>
            <w:tcW w:w="87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Beneficially Owned by Each Reporting Person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00" w:type="dxa"/>
            <w:vAlign w:val="bottom"/>
            <w:tcBorders>
              <w:left w:val="single" w:sz="8" w:color="auto"/>
              <w:right w:val="single" w:sz="8" w:color="auto"/>
            </w:tcBorders>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2"/>
              </w:rPr>
              <w:t>3,654,988</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760" w:type="dxa"/>
            <w:vAlign w:val="bottom"/>
            <w:tcBorders>
              <w:bottom w:val="single" w:sz="8" w:color="auto"/>
              <w:right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10</w:t>
            </w:r>
          </w:p>
        </w:tc>
        <w:tc>
          <w:tcPr>
            <w:tcW w:w="1032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0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760" w:type="dxa"/>
            <w:vAlign w:val="bottom"/>
            <w:tcBorders>
              <w:bottom w:val="single" w:sz="8" w:color="auto"/>
              <w:right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11</w:t>
            </w:r>
          </w:p>
        </w:tc>
        <w:tc>
          <w:tcPr>
            <w:tcW w:w="1032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0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6.81%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760" w:type="dxa"/>
            <w:vAlign w:val="bottom"/>
            <w:tcBorders>
              <w:bottom w:val="single" w:sz="8" w:color="auto"/>
              <w:right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12</w:t>
            </w:r>
          </w:p>
        </w:tc>
        <w:tc>
          <w:tcPr>
            <w:tcW w:w="1032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Type of Reporting Person (See Instructions)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0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IA</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4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6"/>
        </w:trPr>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40" w:type="dxa"/>
            <w:vAlign w:val="bottom"/>
          </w:tcPr>
          <w:p>
            <w:pPr>
              <w:jc w:val="center"/>
              <w:ind w:right="4472"/>
              <w:spacing w:after="0"/>
              <w:rPr>
                <w:sz w:val="20"/>
                <w:szCs w:val="20"/>
                <w:color w:val="auto"/>
              </w:rPr>
            </w:pPr>
            <w:r>
              <w:rPr>
                <w:rFonts w:ascii="Arial" w:cs="Arial" w:eastAsia="Arial" w:hAnsi="Arial"/>
                <w:sz w:val="22"/>
                <w:szCs w:val="22"/>
                <w:color w:val="auto"/>
                <w:w w:val="87"/>
              </w:rPr>
              <w:t>Page 2 of 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100" w:type="dxa"/>
            <w:vAlign w:val="bottom"/>
            <w:tcBorders>
              <w:left w:val="single" w:sz="8" w:color="auto"/>
              <w:right w:val="single" w:sz="8" w:color="auto"/>
            </w:tcBorders>
            <w:shd w:val="clear" w:color="auto" w:fill="000000"/>
          </w:tcPr>
          <w:p>
            <w:pPr>
              <w:spacing w:after="0"/>
              <w:rPr>
                <w:sz w:val="6"/>
                <w:szCs w:val="6"/>
                <w:color w:val="auto"/>
              </w:rPr>
            </w:pPr>
          </w:p>
        </w:tc>
        <w:tc>
          <w:tcPr>
            <w:tcW w:w="64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60" w:type="dxa"/>
            <w:vAlign w:val="bottom"/>
            <w:tcBorders>
              <w:right w:val="single" w:sz="8" w:color="auto"/>
            </w:tcBorders>
            <w:shd w:val="clear" w:color="auto" w:fill="000000"/>
          </w:tcPr>
          <w:p>
            <w:pPr>
              <w:spacing w:after="0"/>
              <w:rPr>
                <w:sz w:val="6"/>
                <w:szCs w:val="6"/>
                <w:color w:val="auto"/>
              </w:rPr>
            </w:pPr>
          </w:p>
        </w:tc>
        <w:tc>
          <w:tcPr>
            <w:tcW w:w="560" w:type="dxa"/>
            <w:vAlign w:val="bottom"/>
            <w:tcBorders>
              <w:right w:val="single" w:sz="8" w:color="auto"/>
            </w:tcBorders>
            <w:shd w:val="clear" w:color="auto" w:fill="000000"/>
          </w:tcPr>
          <w:p>
            <w:pPr>
              <w:spacing w:after="0"/>
              <w:rPr>
                <w:sz w:val="6"/>
                <w:szCs w:val="6"/>
                <w:color w:val="auto"/>
              </w:rPr>
            </w:pPr>
          </w:p>
        </w:tc>
        <w:tc>
          <w:tcPr>
            <w:tcW w:w="1920" w:type="dxa"/>
            <w:vAlign w:val="bottom"/>
            <w:tcBorders>
              <w:right w:val="single" w:sz="8" w:color="auto"/>
            </w:tcBorders>
            <w:shd w:val="clear" w:color="auto" w:fill="000000"/>
          </w:tcPr>
          <w:p>
            <w:pPr>
              <w:spacing w:after="0"/>
              <w:rPr>
                <w:sz w:val="6"/>
                <w:szCs w:val="6"/>
                <w:color w:val="auto"/>
              </w:rPr>
            </w:pPr>
          </w:p>
        </w:tc>
        <w:tc>
          <w:tcPr>
            <w:tcW w:w="684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1" w:right="1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07" w:lineRule="exact"/>
        <w:rPr>
          <w:sz w:val="20"/>
          <w:szCs w:val="20"/>
          <w:color w:val="auto"/>
        </w:rPr>
      </w:pPr>
    </w:p>
    <w:p>
      <w:pPr>
        <w:ind w:left="680" w:hanging="672"/>
        <w:spacing w:after="0"/>
        <w:tabs>
          <w:tab w:leader="none" w:pos="6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 ICON PLC</w:t>
      </w:r>
    </w:p>
    <w:p>
      <w:pPr>
        <w:spacing w:after="0" w:line="206" w:lineRule="exact"/>
        <w:rPr>
          <w:rFonts w:ascii="Arial" w:cs="Arial" w:eastAsia="Arial" w:hAnsi="Arial"/>
          <w:sz w:val="22"/>
          <w:szCs w:val="22"/>
          <w:b w:val="1"/>
          <w:bCs w:val="1"/>
          <w:color w:val="auto"/>
        </w:rPr>
      </w:pPr>
    </w:p>
    <w:p>
      <w:pPr>
        <w:ind w:firstLine="8"/>
        <w:spacing w:after="0" w:line="256" w:lineRule="auto"/>
        <w:tabs>
          <w:tab w:leader="none" w:pos="67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 SOUTH COUNTY BUSINESS PARK, LEOPARDSTOWN DUBLIN 18 IRELAND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80" w:hanging="672"/>
        <w:spacing w:after="0"/>
        <w:tabs>
          <w:tab w:leader="none" w:pos="6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 WCM Investment Management, LLC</w:t>
      </w:r>
    </w:p>
    <w:p>
      <w:pPr>
        <w:spacing w:after="0" w:line="206" w:lineRule="exact"/>
        <w:rPr>
          <w:rFonts w:ascii="Arial" w:cs="Arial" w:eastAsia="Arial" w:hAnsi="Arial"/>
          <w:sz w:val="22"/>
          <w:szCs w:val="22"/>
          <w:b w:val="1"/>
          <w:bCs w:val="1"/>
          <w:color w:val="auto"/>
        </w:rPr>
      </w:pPr>
    </w:p>
    <w:p>
      <w:pPr>
        <w:ind w:left="680" w:hanging="672"/>
        <w:spacing w:after="0"/>
        <w:tabs>
          <w:tab w:leader="none" w:pos="6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Address of Principal Business Office or, if None, Residence: 281 Brooks Street, Laguna Beach, California 92651</w:t>
      </w:r>
    </w:p>
    <w:p>
      <w:pPr>
        <w:spacing w:after="0" w:line="240" w:lineRule="exact"/>
        <w:rPr>
          <w:rFonts w:ascii="Arial" w:cs="Arial" w:eastAsia="Arial" w:hAnsi="Arial"/>
          <w:sz w:val="19"/>
          <w:szCs w:val="19"/>
          <w:b w:val="1"/>
          <w:bCs w:val="1"/>
          <w:color w:val="auto"/>
        </w:rPr>
      </w:pPr>
    </w:p>
    <w:p>
      <w:pPr>
        <w:ind w:left="680" w:hanging="672"/>
        <w:spacing w:after="0"/>
        <w:tabs>
          <w:tab w:leader="none" w:pos="6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Delaware</w:t>
      </w:r>
    </w:p>
    <w:p>
      <w:pPr>
        <w:spacing w:after="0" w:line="206" w:lineRule="exact"/>
        <w:rPr>
          <w:rFonts w:ascii="Arial" w:cs="Arial" w:eastAsia="Arial" w:hAnsi="Arial"/>
          <w:sz w:val="22"/>
          <w:szCs w:val="22"/>
          <w:b w:val="1"/>
          <w:bCs w:val="1"/>
          <w:color w:val="auto"/>
        </w:rPr>
      </w:pPr>
    </w:p>
    <w:p>
      <w:pPr>
        <w:ind w:left="680" w:hanging="672"/>
        <w:spacing w:after="0"/>
        <w:tabs>
          <w:tab w:leader="none" w:pos="6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Title and Class of Securities: Common</w:t>
      </w:r>
    </w:p>
    <w:p>
      <w:pPr>
        <w:spacing w:after="0" w:line="206" w:lineRule="exact"/>
        <w:rPr>
          <w:rFonts w:ascii="Arial" w:cs="Arial" w:eastAsia="Arial" w:hAnsi="Arial"/>
          <w:sz w:val="22"/>
          <w:szCs w:val="22"/>
          <w:b w:val="1"/>
          <w:bCs w:val="1"/>
          <w:color w:val="auto"/>
        </w:rPr>
      </w:pPr>
    </w:p>
    <w:p>
      <w:pPr>
        <w:ind w:left="680" w:hanging="672"/>
        <w:spacing w:after="0"/>
        <w:tabs>
          <w:tab w:leader="none" w:pos="6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CUSIP No.:   G4705A100</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 240.13d-1(b) or 240.13d-2(b) or (c), check whether the person filing is a:</w:t>
      </w:r>
    </w:p>
    <w:p>
      <w:pPr>
        <w:spacing w:after="0" w:line="212" w:lineRule="exact"/>
        <w:rPr>
          <w:sz w:val="20"/>
          <w:szCs w:val="20"/>
          <w:color w:val="auto"/>
        </w:rPr>
      </w:pPr>
    </w:p>
    <w:p>
      <w:pPr>
        <w:ind w:left="1360" w:hanging="668"/>
        <w:spacing w:after="0"/>
        <w:tabs>
          <w:tab w:leader="none" w:pos="1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Broker or dealer registered under Section 15 of the Act;</w:t>
      </w:r>
    </w:p>
    <w:p>
      <w:pPr>
        <w:spacing w:after="0" w:line="206" w:lineRule="exact"/>
        <w:rPr>
          <w:rFonts w:ascii="Arial" w:cs="Arial" w:eastAsia="Arial" w:hAnsi="Arial"/>
          <w:sz w:val="22"/>
          <w:szCs w:val="22"/>
          <w:color w:val="auto"/>
        </w:rPr>
      </w:pPr>
    </w:p>
    <w:p>
      <w:pPr>
        <w:ind w:left="1360" w:hanging="668"/>
        <w:spacing w:after="0"/>
        <w:tabs>
          <w:tab w:leader="none" w:pos="1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Bank as defined in Section 3(a)(6) of the Act;</w:t>
      </w:r>
    </w:p>
    <w:p>
      <w:pPr>
        <w:spacing w:after="0" w:line="206" w:lineRule="exact"/>
        <w:rPr>
          <w:rFonts w:ascii="Arial" w:cs="Arial" w:eastAsia="Arial" w:hAnsi="Arial"/>
          <w:sz w:val="22"/>
          <w:szCs w:val="22"/>
          <w:color w:val="auto"/>
        </w:rPr>
      </w:pPr>
    </w:p>
    <w:p>
      <w:pPr>
        <w:ind w:left="1360" w:hanging="668"/>
        <w:spacing w:after="0"/>
        <w:tabs>
          <w:tab w:leader="none" w:pos="1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Insurance company as defined in Section 3(a)(19) of the Act;</w:t>
      </w:r>
    </w:p>
    <w:p>
      <w:pPr>
        <w:spacing w:after="0" w:line="206" w:lineRule="exact"/>
        <w:rPr>
          <w:rFonts w:ascii="Arial" w:cs="Arial" w:eastAsia="Arial" w:hAnsi="Arial"/>
          <w:sz w:val="22"/>
          <w:szCs w:val="22"/>
          <w:color w:val="auto"/>
        </w:rPr>
      </w:pPr>
    </w:p>
    <w:p>
      <w:pPr>
        <w:ind w:left="1360" w:hanging="668"/>
        <w:spacing w:after="0"/>
        <w:tabs>
          <w:tab w:leader="none" w:pos="1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Investment company registered under Section 8 of the Investment Company Act of 1940;</w:t>
      </w:r>
    </w:p>
    <w:p>
      <w:pPr>
        <w:spacing w:after="0" w:line="206" w:lineRule="exact"/>
        <w:rPr>
          <w:rFonts w:ascii="Arial" w:cs="Arial" w:eastAsia="Arial" w:hAnsi="Arial"/>
          <w:sz w:val="22"/>
          <w:szCs w:val="22"/>
          <w:color w:val="auto"/>
        </w:rPr>
      </w:pPr>
    </w:p>
    <w:p>
      <w:pPr>
        <w:ind w:left="1360" w:hanging="668"/>
        <w:spacing w:after="0"/>
        <w:tabs>
          <w:tab w:leader="none" w:pos="1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13d-1(b)(1)(ii)(E);</w:t>
      </w:r>
    </w:p>
    <w:p>
      <w:pPr>
        <w:spacing w:after="0" w:line="206" w:lineRule="exact"/>
        <w:rPr>
          <w:rFonts w:ascii="Arial" w:cs="Arial" w:eastAsia="Arial" w:hAnsi="Arial"/>
          <w:sz w:val="22"/>
          <w:szCs w:val="22"/>
          <w:color w:val="auto"/>
        </w:rPr>
      </w:pPr>
    </w:p>
    <w:p>
      <w:pPr>
        <w:ind w:left="1360" w:hanging="668"/>
        <w:spacing w:after="0"/>
        <w:tabs>
          <w:tab w:leader="none" w:pos="1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employee benefit plan or endowment fund in accordance with Rule 13d-1(b)(1)(ii)(F);</w:t>
      </w:r>
    </w:p>
    <w:p>
      <w:pPr>
        <w:spacing w:after="0" w:line="206" w:lineRule="exact"/>
        <w:rPr>
          <w:rFonts w:ascii="Arial" w:cs="Arial" w:eastAsia="Arial" w:hAnsi="Arial"/>
          <w:sz w:val="22"/>
          <w:szCs w:val="22"/>
          <w:color w:val="auto"/>
        </w:rPr>
      </w:pPr>
    </w:p>
    <w:p>
      <w:pPr>
        <w:ind w:left="1360" w:hanging="668"/>
        <w:spacing w:after="0"/>
        <w:tabs>
          <w:tab w:leader="none" w:pos="1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parent holding company or control person in accordance with Rule 13d-1(b)(1)(ii)(G);</w:t>
      </w:r>
    </w:p>
    <w:p>
      <w:pPr>
        <w:spacing w:after="0" w:line="206" w:lineRule="exact"/>
        <w:rPr>
          <w:rFonts w:ascii="Arial" w:cs="Arial" w:eastAsia="Arial" w:hAnsi="Arial"/>
          <w:sz w:val="22"/>
          <w:szCs w:val="22"/>
          <w:color w:val="auto"/>
        </w:rPr>
      </w:pPr>
    </w:p>
    <w:p>
      <w:pPr>
        <w:ind w:left="1360" w:hanging="668"/>
        <w:spacing w:after="0"/>
        <w:tabs>
          <w:tab w:leader="none" w:pos="1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savings associations as defined in Section 3(b) of the Federal Deposit Insurance Act (12 U.S.C. 1813);</w:t>
      </w:r>
    </w:p>
    <w:p>
      <w:pPr>
        <w:spacing w:after="0" w:line="206" w:lineRule="exact"/>
        <w:rPr>
          <w:rFonts w:ascii="Arial" w:cs="Arial" w:eastAsia="Arial" w:hAnsi="Arial"/>
          <w:sz w:val="22"/>
          <w:szCs w:val="22"/>
          <w:color w:val="auto"/>
        </w:rPr>
      </w:pPr>
    </w:p>
    <w:p>
      <w:pPr>
        <w:ind w:left="1960" w:hanging="1268"/>
        <w:spacing w:after="0" w:line="251" w:lineRule="auto"/>
        <w:tabs>
          <w:tab w:leader="none" w:pos="1365" w:val="left"/>
        </w:tabs>
        <w:numPr>
          <w:ilvl w:val="0"/>
          <w:numId w:val="4"/>
        </w:numPr>
        <w:rPr>
          <w:rFonts w:ascii="Arial" w:cs="Arial" w:eastAsia="Arial" w:hAnsi="Arial"/>
          <w:sz w:val="22"/>
          <w:szCs w:val="22"/>
          <w:color w:val="auto"/>
        </w:rPr>
      </w:pPr>
      <w:r>
        <w:rPr>
          <w:rFonts w:ascii="Arial" w:cs="Arial" w:eastAsia="Arial" w:hAnsi="Arial"/>
          <w:sz w:val="22"/>
          <w:szCs w:val="22"/>
          <w:color w:val="auto"/>
        </w:rPr>
        <w:t>[_]A church plan that is excluded from the definition of an investment company under section 3(c)(14) of the Investment Company Act of 1940;</w:t>
      </w:r>
    </w:p>
    <w:p>
      <w:pPr>
        <w:spacing w:after="0" w:line="173" w:lineRule="exact"/>
        <w:rPr>
          <w:rFonts w:ascii="Arial" w:cs="Arial" w:eastAsia="Arial" w:hAnsi="Arial"/>
          <w:sz w:val="22"/>
          <w:szCs w:val="22"/>
          <w:color w:val="auto"/>
        </w:rPr>
      </w:pPr>
    </w:p>
    <w:p>
      <w:pPr>
        <w:ind w:left="1360" w:hanging="668"/>
        <w:spacing w:after="0"/>
        <w:tabs>
          <w:tab w:leader="none" w:pos="1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non-U.S. institution in accordance with Rule 240.13d-1(b)(1)(ii)(J);</w:t>
      </w:r>
    </w:p>
    <w:p>
      <w:pPr>
        <w:spacing w:after="0" w:line="206" w:lineRule="exact"/>
        <w:rPr>
          <w:rFonts w:ascii="Arial" w:cs="Arial" w:eastAsia="Arial" w:hAnsi="Arial"/>
          <w:sz w:val="22"/>
          <w:szCs w:val="22"/>
          <w:color w:val="auto"/>
        </w:rPr>
      </w:pPr>
    </w:p>
    <w:p>
      <w:pPr>
        <w:ind w:left="1960" w:hanging="1268"/>
        <w:spacing w:after="0" w:line="251" w:lineRule="auto"/>
        <w:tabs>
          <w:tab w:leader="none" w:pos="1369" w:val="left"/>
        </w:tabs>
        <w:numPr>
          <w:ilvl w:val="0"/>
          <w:numId w:val="4"/>
        </w:numPr>
        <w:rPr>
          <w:rFonts w:ascii="Arial" w:cs="Arial" w:eastAsia="Arial" w:hAnsi="Arial"/>
          <w:sz w:val="22"/>
          <w:szCs w:val="22"/>
          <w:color w:val="auto"/>
        </w:rPr>
      </w:pPr>
      <w:r>
        <w:rPr>
          <w:rFonts w:ascii="Arial" w:cs="Arial" w:eastAsia="Arial" w:hAnsi="Arial"/>
          <w:sz w:val="22"/>
          <w:szCs w:val="22"/>
          <w:color w:val="auto"/>
        </w:rPr>
        <w:t>[_]Group, in accordance with Rule 240.13d-1(b)(1)(ii)(K). If filing as a non-U.S. institution in accordance with Rule 240.13d-1(b)(1)(ii)(J), please specify the type of institution: ____</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ind w:left="640" w:hanging="632"/>
        <w:spacing w:after="0"/>
        <w:tabs>
          <w:tab w:leader="none" w:pos="64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Amount Beneficially Owned:  </w:t>
      </w:r>
      <w:r>
        <w:rPr>
          <w:rFonts w:ascii="Arial" w:cs="Arial" w:eastAsia="Arial" w:hAnsi="Arial"/>
          <w:sz w:val="22"/>
          <w:szCs w:val="22"/>
          <w:color w:val="auto"/>
        </w:rPr>
        <w:t>3,654,988</w:t>
      </w:r>
    </w:p>
    <w:p>
      <w:pPr>
        <w:spacing w:after="0" w:line="206" w:lineRule="exact"/>
        <w:rPr>
          <w:rFonts w:ascii="Arial" w:cs="Arial" w:eastAsia="Arial" w:hAnsi="Arial"/>
          <w:sz w:val="22"/>
          <w:szCs w:val="22"/>
          <w:b w:val="1"/>
          <w:bCs w:val="1"/>
          <w:color w:val="auto"/>
        </w:rPr>
      </w:pPr>
    </w:p>
    <w:p>
      <w:pPr>
        <w:ind w:left="620" w:hanging="612"/>
        <w:spacing w:after="0"/>
        <w:tabs>
          <w:tab w:leader="none" w:pos="62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Percent of Class: </w:t>
      </w:r>
      <w:r>
        <w:rPr>
          <w:rFonts w:ascii="Arial" w:cs="Arial" w:eastAsia="Arial" w:hAnsi="Arial"/>
          <w:sz w:val="22"/>
          <w:szCs w:val="22"/>
          <w:color w:val="auto"/>
        </w:rPr>
        <w:t>6.81%</w:t>
      </w:r>
    </w:p>
    <w:p>
      <w:pPr>
        <w:spacing w:after="0" w:line="206" w:lineRule="exact"/>
        <w:rPr>
          <w:rFonts w:ascii="Arial" w:cs="Arial" w:eastAsia="Arial" w:hAnsi="Arial"/>
          <w:sz w:val="22"/>
          <w:szCs w:val="22"/>
          <w:b w:val="1"/>
          <w:bCs w:val="1"/>
          <w:color w:val="auto"/>
        </w:rPr>
      </w:pPr>
    </w:p>
    <w:p>
      <w:pPr>
        <w:ind w:left="620" w:hanging="612"/>
        <w:spacing w:after="0"/>
        <w:tabs>
          <w:tab w:leader="none" w:pos="62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Number of shares as to which such person has:</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1"/>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Sole power to vote or to direct the vote: </w:t>
      </w:r>
      <w:r>
        <w:rPr>
          <w:rFonts w:ascii="Arial" w:cs="Arial" w:eastAsia="Arial" w:hAnsi="Arial"/>
          <w:sz w:val="22"/>
          <w:szCs w:val="22"/>
          <w:color w:val="auto"/>
        </w:rPr>
        <w:t>3,654,988</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1"/>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Shared power to vote or to direct the vote: </w:t>
      </w:r>
      <w:r>
        <w:rPr>
          <w:rFonts w:ascii="Arial" w:cs="Arial" w:eastAsia="Arial" w:hAnsi="Arial"/>
          <w:sz w:val="22"/>
          <w:szCs w:val="22"/>
          <w:color w:val="auto"/>
        </w:rPr>
        <w:t>0</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1"/>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Sole power to dispose or to direct the disposition of: </w:t>
      </w:r>
      <w:r>
        <w:rPr>
          <w:rFonts w:ascii="Arial" w:cs="Arial" w:eastAsia="Arial" w:hAnsi="Arial"/>
          <w:sz w:val="22"/>
          <w:szCs w:val="22"/>
          <w:color w:val="auto"/>
        </w:rPr>
        <w:t>3,654,988</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1"/>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Shared power to dispose or to direct the disposition of: </w:t>
      </w:r>
      <w:r>
        <w:rPr>
          <w:rFonts w:ascii="Arial" w:cs="Arial" w:eastAsia="Arial" w:hAnsi="Arial"/>
          <w:sz w:val="22"/>
          <w:szCs w:val="22"/>
          <w:color w:val="auto"/>
        </w:rPr>
        <w:t>0</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left="660"/>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06" w:lineRule="exact"/>
        <w:rPr>
          <w:sz w:val="20"/>
          <w:szCs w:val="20"/>
          <w:color w:val="auto"/>
        </w:rPr>
      </w:pPr>
    </w:p>
    <w:p>
      <w:pPr>
        <w:ind w:left="940" w:hanging="935"/>
        <w:spacing w:after="0" w:line="256" w:lineRule="auto"/>
        <w:tabs>
          <w:tab w:leader="none" w:pos="92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 or control person.</w:t>
      </w:r>
    </w:p>
    <w:p>
      <w:pPr>
        <w:spacing w:after="0" w:line="163"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5,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Signature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Name/Title David A. Brewer, SVP/Chief Compliance Officer</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2020-02-05T12:28:18Z</dcterms:created>
  <dcterms:modified xsi:type="dcterms:W3CDTF">2020-02-05T12:28:18Z</dcterms:modified>
</cp:coreProperties>
</file>