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2014</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30, 2014 -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460"/>
          </w:cols>
          <w:pgMar w:left="240" w:top="364" w:right="11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30, 2014</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DUBLIN--(BUSINESS WIRE)--July 30, 2014--</w:t>
      </w:r>
      <w:r>
        <w:rPr>
          <w:rFonts w:ascii="Arial" w:cs="Arial" w:eastAsia="Arial" w:hAnsi="Arial"/>
          <w:sz w:val="22"/>
          <w:szCs w:val="22"/>
          <w:b w:val="1"/>
          <w:bCs w:val="1"/>
          <w:color w:val="auto"/>
        </w:rPr>
        <w:t>ICON plc, (NASDAQ:ICLR</w:t>
      </w:r>
      <w:r>
        <w:rPr>
          <w:rFonts w:ascii="Arial" w:cs="Arial" w:eastAsia="Arial" w:hAnsi="Arial"/>
          <w:sz w:val="22"/>
          <w:szCs w:val="22"/>
          <w:color w:val="auto"/>
        </w:rPr>
        <w:t>), a global provider of outsourced development services to the pharmaceutical, biotechnology and medical device industries, today announced that all resolutions at the Annual General Meeting of the Company (AGM) held on July 29, 2014 (which resolutions had all been recommended by the Board) were all duly passed by shareholders. These resolutions were set out in the Notice of the AGM sent to shareholders dated June 19, 2014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resolutions were all passed and the final results of proxy voting were: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RESOLUTION NUMBER</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rPr>
              <w:t>RESOLUTION</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TOTAL NUMBER OF VOTES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VOTE FOR</w:t>
            </w:r>
          </w:p>
        </w:tc>
        <w:tc>
          <w:tcPr>
            <w:tcW w:w="1280" w:type="dxa"/>
            <w:vAlign w:val="bottom"/>
          </w:tcPr>
          <w:p>
            <w:pPr>
              <w:ind w:left="80"/>
              <w:spacing w:after="0"/>
              <w:rPr>
                <w:sz w:val="20"/>
                <w:szCs w:val="20"/>
                <w:color w:val="auto"/>
              </w:rPr>
            </w:pPr>
            <w:r>
              <w:rPr>
                <w:rFonts w:ascii="Arial" w:cs="Arial" w:eastAsia="Arial" w:hAnsi="Arial"/>
                <w:sz w:val="14"/>
                <w:szCs w:val="14"/>
                <w:b w:val="1"/>
                <w:bCs w:val="1"/>
                <w:color w:val="auto"/>
              </w:rPr>
              <w:t>VOTE AGAINST</w:t>
            </w:r>
          </w:p>
        </w:tc>
        <w:tc>
          <w:tcPr>
            <w:tcW w:w="1400" w:type="dxa"/>
            <w:vAlign w:val="bottom"/>
          </w:tcPr>
          <w:p>
            <w:pPr>
              <w:ind w:left="100"/>
              <w:spacing w:after="0"/>
              <w:rPr>
                <w:sz w:val="20"/>
                <w:szCs w:val="20"/>
                <w:color w:val="auto"/>
              </w:rPr>
            </w:pPr>
            <w:r>
              <w:rPr>
                <w:rFonts w:ascii="Arial" w:cs="Arial" w:eastAsia="Arial" w:hAnsi="Arial"/>
                <w:sz w:val="14"/>
                <w:szCs w:val="14"/>
                <w:b w:val="1"/>
                <w:bCs w:val="1"/>
                <w:color w:val="auto"/>
              </w:rPr>
              <w:t>VOTE WITHHELD</w:t>
            </w:r>
          </w:p>
        </w:tc>
        <w:tc>
          <w:tcPr>
            <w:tcW w:w="0" w:type="dxa"/>
            <w:vAlign w:val="bottom"/>
          </w:tcPr>
          <w:p>
            <w:pPr>
              <w:spacing w:after="0"/>
              <w:rPr>
                <w:sz w:val="1"/>
                <w:szCs w:val="1"/>
                <w:color w:val="auto"/>
              </w:rPr>
            </w:pPr>
          </w:p>
        </w:tc>
      </w:tr>
      <w:tr>
        <w:trPr>
          <w:trHeight w:val="93"/>
        </w:trPr>
        <w:tc>
          <w:tcPr>
            <w:tcW w:w="176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1.1</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To re-elect Dr. John Climax</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37,696,147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61,342</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135,120</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To re-elect Prof. Dermot Kelleher</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30,919,648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6,821,493</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151,468</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1.3</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To re-elect Ms. Mary Pendergast</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37,742,171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15,568</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134,870</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1.4</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To re-elect Dr. Hugh Brady</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37,744,531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12,859</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135,219</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2</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To receive accounts and reports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37,792,507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19,961</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3"/>
              </w:rPr>
              <w:t>80,141</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3</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authorise the fixing of the auditors’ remuneration</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36,078,675</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1,730,318</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3"/>
              </w:rPr>
              <w:t>83,616</w:t>
            </w:r>
          </w:p>
        </w:tc>
        <w:tc>
          <w:tcPr>
            <w:tcW w:w="0" w:type="dxa"/>
            <w:vAlign w:val="bottom"/>
          </w:tcPr>
          <w:p>
            <w:pPr>
              <w:spacing w:after="0"/>
              <w:rPr>
                <w:sz w:val="1"/>
                <w:szCs w:val="1"/>
                <w:color w:val="auto"/>
              </w:rPr>
            </w:pPr>
          </w:p>
        </w:tc>
      </w:tr>
      <w:tr>
        <w:trPr>
          <w:trHeight w:val="190"/>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authorise the Company to make market purchases of shares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37,082,797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11,549</w:t>
            </w:r>
          </w:p>
        </w:tc>
        <w:tc>
          <w:tcPr>
            <w:tcW w:w="14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4"/>
              </w:rPr>
              <w:t>798,263</w:t>
            </w:r>
          </w:p>
        </w:tc>
        <w:tc>
          <w:tcPr>
            <w:tcW w:w="0" w:type="dxa"/>
            <w:vAlign w:val="bottom"/>
          </w:tcPr>
          <w:p>
            <w:pPr>
              <w:spacing w:after="0"/>
              <w:rPr>
                <w:sz w:val="1"/>
                <w:szCs w:val="1"/>
                <w:color w:val="auto"/>
              </w:rPr>
            </w:pPr>
          </w:p>
        </w:tc>
      </w:tr>
      <w:tr>
        <w:trPr>
          <w:trHeight w:val="143"/>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5**</w:t>
            </w:r>
          </w:p>
        </w:tc>
        <w:tc>
          <w:tcPr>
            <w:tcW w:w="3840" w:type="dxa"/>
            <w:vAlign w:val="bottom"/>
          </w:tcPr>
          <w:p>
            <w:pPr>
              <w:jc w:val="center"/>
              <w:spacing w:after="0" w:line="143" w:lineRule="exact"/>
              <w:rPr>
                <w:sz w:val="20"/>
                <w:szCs w:val="20"/>
                <w:color w:val="auto"/>
              </w:rPr>
            </w:pPr>
            <w:r>
              <w:rPr>
                <w:rFonts w:ascii="Arial" w:cs="Arial" w:eastAsia="Arial" w:hAnsi="Arial"/>
                <w:sz w:val="14"/>
                <w:szCs w:val="14"/>
                <w:color w:val="auto"/>
                <w:w w:val="91"/>
              </w:rPr>
              <w:t>To authorise the price range at which the Company can reissue</w:t>
            </w:r>
          </w:p>
        </w:tc>
        <w:tc>
          <w:tcPr>
            <w:tcW w:w="2120" w:type="dxa"/>
            <w:vAlign w:val="bottom"/>
            <w:vMerge w:val="restart"/>
          </w:tcPr>
          <w:p>
            <w:pPr>
              <w:jc w:val="center"/>
              <w:spacing w:after="0"/>
              <w:rPr>
                <w:sz w:val="20"/>
                <w:szCs w:val="20"/>
                <w:color w:val="auto"/>
              </w:rPr>
            </w:pPr>
            <w:r>
              <w:rPr>
                <w:rFonts w:ascii="Arial" w:cs="Arial" w:eastAsia="Arial" w:hAnsi="Arial"/>
                <w:sz w:val="14"/>
                <w:szCs w:val="14"/>
                <w:color w:val="auto"/>
                <w:w w:val="94"/>
              </w:rPr>
              <w:t>37,892,609</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94"/>
              </w:rPr>
              <w:t>37,726,183</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3"/>
              </w:rPr>
              <w:t>27,040</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color w:val="auto"/>
                <w:w w:val="94"/>
              </w:rPr>
              <w:t>139,386</w:t>
            </w:r>
          </w:p>
        </w:tc>
        <w:tc>
          <w:tcPr>
            <w:tcW w:w="0" w:type="dxa"/>
            <w:vAlign w:val="bottom"/>
          </w:tcPr>
          <w:p>
            <w:pPr>
              <w:spacing w:after="0"/>
              <w:rPr>
                <w:sz w:val="1"/>
                <w:szCs w:val="1"/>
                <w:color w:val="auto"/>
              </w:rPr>
            </w:pPr>
          </w:p>
        </w:tc>
      </w:tr>
      <w:tr>
        <w:trPr>
          <w:trHeight w:val="101"/>
        </w:trPr>
        <w:tc>
          <w:tcPr>
            <w:tcW w:w="1760" w:type="dxa"/>
            <w:vAlign w:val="bottom"/>
            <w:vMerge w:val="continue"/>
          </w:tcPr>
          <w:p>
            <w:pPr>
              <w:spacing w:after="0"/>
              <w:rPr>
                <w:sz w:val="8"/>
                <w:szCs w:val="8"/>
                <w:color w:val="auto"/>
              </w:rPr>
            </w:pPr>
          </w:p>
        </w:tc>
        <w:tc>
          <w:tcPr>
            <w:tcW w:w="3840" w:type="dxa"/>
            <w:vAlign w:val="bottom"/>
            <w:vMerge w:val="restart"/>
          </w:tcPr>
          <w:p>
            <w:pPr>
              <w:jc w:val="center"/>
              <w:spacing w:after="0"/>
              <w:rPr>
                <w:sz w:val="20"/>
                <w:szCs w:val="20"/>
                <w:color w:val="auto"/>
              </w:rPr>
            </w:pPr>
            <w:r>
              <w:rPr>
                <w:rFonts w:ascii="Arial" w:cs="Arial" w:eastAsia="Arial" w:hAnsi="Arial"/>
                <w:sz w:val="14"/>
                <w:szCs w:val="14"/>
                <w:color w:val="auto"/>
                <w:w w:val="89"/>
              </w:rPr>
              <w:t>shares it holds as treasury shares</w:t>
            </w:r>
          </w:p>
        </w:tc>
        <w:tc>
          <w:tcPr>
            <w:tcW w:w="21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vMerge w:val="continue"/>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may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83 locations in 38 countries and has approximately 11,000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w:t>
      </w:r>
    </w:p>
    <w:p>
      <w:pPr>
        <w:ind w:right="91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 EVP Investor Relations and Corporate Development</w:t>
      </w:r>
    </w:p>
    <w:p>
      <w:pPr>
        <w:ind w:left="180" w:hanging="172"/>
        <w:spacing w:after="0" w:line="230" w:lineRule="auto"/>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0860"/>
      </w:cols>
      <w:pgMar w:left="240" w:top="11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2019-12-06T19:11:49Z</dcterms:created>
  <dcterms:modified xsi:type="dcterms:W3CDTF">2019-12-06T19:11:49Z</dcterms:modified>
</cp:coreProperties>
</file>