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9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FORM 6-K</w:t>
      </w:r>
    </w:p>
    <w:p>
      <w:pPr>
        <w:spacing w:after="0" w:line="20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Pursuant to Rule 13a-16 under</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37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For the month of June 2025</w:t>
      </w:r>
    </w:p>
    <w:p>
      <w:pPr>
        <w:spacing w:after="0" w:line="3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333-08704</w:t>
      </w:r>
    </w:p>
    <w:p>
      <w:pPr>
        <w:spacing w:after="0" w:line="2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37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2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37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South County Business Park, Leopardstown, Dublin 18, D18 X5R3, Ireland</w:t>
      </w:r>
    </w:p>
    <w:p>
      <w:pPr>
        <w:spacing w:after="0" w:line="2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23" w:lineRule="exact"/>
        <w:rPr>
          <w:sz w:val="24"/>
          <w:szCs w:val="24"/>
          <w:color w:val="auto"/>
        </w:rPr>
      </w:pPr>
    </w:p>
    <w:p>
      <w:pPr>
        <w:ind w:left="2980"/>
        <w:spacing w:after="0"/>
        <w:tabs>
          <w:tab w:leader="none" w:pos="5120" w:val="left"/>
        </w:tabs>
        <w:rPr>
          <w:sz w:val="20"/>
          <w:szCs w:val="20"/>
          <w:color w:val="auto"/>
        </w:rPr>
      </w:pPr>
      <w:r>
        <w:rPr>
          <w:rFonts w:ascii="Times New Roman" w:cs="Times New Roman" w:eastAsia="Times New Roman" w:hAnsi="Times New Roman"/>
          <w:sz w:val="14"/>
          <w:szCs w:val="14"/>
          <w:color w:val="auto"/>
        </w:rPr>
        <w:t>Form 20-F___</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3"/>
          <w:szCs w:val="13"/>
          <w:color w:val="auto"/>
        </w:rPr>
        <w:t>Form 40-F______</w:t>
      </w:r>
    </w:p>
    <w:p>
      <w:pPr>
        <w:sectPr>
          <w:pgSz w:w="11900" w:h="16838" w:orient="portrait"/>
          <w:cols w:equalWidth="0" w:num="1">
            <w:col w:w="9379"/>
          </w:cols>
          <w:pgMar w:left="1080" w:top="81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EXHIBIT LIST</w:t>
            </w:r>
          </w:p>
        </w:tc>
      </w:tr>
      <w:tr>
        <w:trPr>
          <w:trHeight w:val="192"/>
        </w:trPr>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106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3960" w:type="dxa"/>
            <w:vAlign w:val="bottom"/>
            <w:gridSpan w:val="7"/>
          </w:tcPr>
          <w:p>
            <w:pPr>
              <w:spacing w:after="0"/>
              <w:rPr>
                <w:sz w:val="16"/>
                <w:szCs w:val="16"/>
                <w:color w:val="auto"/>
              </w:rPr>
            </w:pPr>
          </w:p>
        </w:tc>
      </w:tr>
      <w:tr>
        <w:trPr>
          <w:trHeight w:val="362"/>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ICON plc Shareholders Letter and Notice of Annual General Meeting</w:t>
            </w:r>
          </w:p>
        </w:tc>
        <w:tc>
          <w:tcPr>
            <w:tcW w:w="680" w:type="dxa"/>
            <w:vAlign w:val="bottom"/>
          </w:tcPr>
          <w:p>
            <w:pPr>
              <w:spacing w:after="0"/>
              <w:rPr>
                <w:sz w:val="24"/>
                <w:szCs w:val="24"/>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Proxy Voting Card</w:t>
            </w:r>
          </w:p>
        </w:tc>
        <w:tc>
          <w:tcPr>
            <w:tcW w:w="3560" w:type="dxa"/>
            <w:vAlign w:val="bottom"/>
            <w:gridSpan w:val="6"/>
          </w:tcPr>
          <w:p>
            <w:pPr>
              <w:spacing w:after="0"/>
              <w:rPr>
                <w:sz w:val="19"/>
                <w:szCs w:val="19"/>
                <w:color w:val="auto"/>
              </w:rPr>
            </w:pPr>
          </w:p>
        </w:tc>
      </w:tr>
      <w:tr>
        <w:trPr>
          <w:trHeight w:val="22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ICON plc Consolidated IFRS Financial Statements</w:t>
            </w:r>
          </w:p>
        </w:tc>
      </w:tr>
      <w:tr>
        <w:trPr>
          <w:trHeight w:val="224"/>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ICON plc Annual Report (IFRS)</w:t>
            </w:r>
          </w:p>
        </w:tc>
        <w:tc>
          <w:tcPr>
            <w:tcW w:w="1740" w:type="dxa"/>
            <w:vAlign w:val="bottom"/>
            <w:gridSpan w:val="3"/>
          </w:tcPr>
          <w:p>
            <w:pPr>
              <w:spacing w:after="0"/>
              <w:rPr>
                <w:sz w:val="19"/>
                <w:szCs w:val="19"/>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5</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ICON plc Annual Report (Form 20-F)</w:t>
            </w:r>
          </w:p>
        </w:tc>
        <w:tc>
          <w:tcPr>
            <w:tcW w:w="2460" w:type="dxa"/>
            <w:vAlign w:val="bottom"/>
            <w:gridSpan w:val="4"/>
          </w:tcPr>
          <w:p>
            <w:pPr>
              <w:spacing w:after="0"/>
              <w:rPr>
                <w:sz w:val="19"/>
                <w:szCs w:val="19"/>
                <w:color w:val="auto"/>
              </w:rPr>
            </w:pPr>
          </w:p>
        </w:tc>
      </w:tr>
    </w:tbl>
    <w:p>
      <w:pPr>
        <w:sectPr>
          <w:pgSz w:w="11900" w:h="16838" w:orient="portrait"/>
          <w:cols w:equalWidth="0" w:num="1">
            <w:col w:w="10139"/>
          </w:cols>
          <w:pgMar w:left="320" w:top="912" w:right="1440"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ICON plc</w:t>
            </w:r>
          </w:p>
        </w:tc>
      </w:tr>
      <w:tr>
        <w:trPr>
          <w:trHeight w:val="351"/>
        </w:trPr>
        <w:tc>
          <w:tcPr>
            <w:tcW w:w="4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/s/ Nigel Clerkin</w:t>
            </w:r>
          </w:p>
        </w:tc>
        <w:tc>
          <w:tcPr>
            <w:tcW w:w="380" w:type="dxa"/>
            <w:vAlign w:val="bottom"/>
          </w:tcPr>
          <w:p>
            <w:pPr>
              <w:spacing w:after="0"/>
              <w:rPr>
                <w:sz w:val="24"/>
                <w:szCs w:val="24"/>
                <w:color w:val="auto"/>
              </w:rPr>
            </w:pP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11, 2025</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Nigel Clerkin</w:t>
            </w:r>
          </w:p>
        </w:tc>
      </w:tr>
      <w:tr>
        <w:trPr>
          <w:trHeight w:val="184"/>
        </w:trPr>
        <w:tc>
          <w:tcPr>
            <w:tcW w:w="4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Financial Officer</w:t>
            </w:r>
          </w:p>
        </w:tc>
      </w:tr>
    </w:tbl>
    <w:p>
      <w:pPr>
        <w:sectPr>
          <w:pgSz w:w="11900" w:h="16838" w:orient="portrait"/>
          <w:cols w:equalWidth="0" w:num="1">
            <w:col w:w="10380"/>
          </w:cols>
          <w:pgMar w:left="300" w:top="728"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22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729615</wp:posOffset>
            </wp:positionV>
            <wp:extent cx="2748915" cy="748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891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THIS DOCUMENT IS IMPORTANT AND REQUIRES YOUR IMMEDIATE ATTENTION.</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2017 (as amended) or the Investment Intermediaries Act, 1995 (as amended)</w:t>
      </w:r>
      <w:r>
        <w:rPr>
          <w:rFonts w:ascii="Times New Roman" w:cs="Times New Roman" w:eastAsia="Times New Roman" w:hAnsi="Times New Roman"/>
          <w:sz w:val="16"/>
          <w:szCs w:val="16"/>
          <w:b w:val="1"/>
          <w:bCs w:val="1"/>
          <w:color w:val="auto"/>
        </w:rPr>
        <w:t>.</w:t>
      </w:r>
    </w:p>
    <w:p>
      <w:pPr>
        <w:spacing w:after="0" w:line="14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ectPr>
          <w:pgSz w:w="11900" w:h="16838" w:orient="portrait"/>
          <w:cols w:equalWidth="0" w:num="1">
            <w:col w:w="11280"/>
          </w:cols>
          <w:pgMar w:left="300" w:top="10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11 June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All ICON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Shareholder</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The Annual General Meeting of ICON plc will be held at 9.00am (Dublin time) on 22 July 2025 at ICON’s global headquarters in South County Business Park, Leopardstown, Dublin 18, Ireland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this letter is to outline the background to and summarise the resolutions to be proposed at the AGM. Please refer to the form of proxy for the AGM (which is separately enclosed) and the notes on pages 8 to 10 for details on how to vote your shares and return your form of proxy. Your attention is also drawn to the notice of the AGM on pages 5 to 7 which sets out the matters to be considered at the AGM.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Re-election of Directors (ordinary resolutions 1.1 to 1.8)</w:t>
      </w:r>
    </w:p>
    <w:p>
      <w:pPr>
        <w:spacing w:after="0" w:line="2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 accordance with our Constitution (by-laws), one third of the members of the Board who are subject to retirement by rotation are required to retire from office and may stand for re-election at the AGM. Notwithstanding the Company’s Constitution, the Board’s current policy (in place since July 2022 and reflected in the Company’s Corporate Governance Guidelines) is that all Directors shall retire from office and seek re-election by the shareholders at the AGM annually. Accordingly, the following Directors (being all of the current Directors on the Board) will stand for re-election:</w:t>
      </w:r>
    </w:p>
    <w:p>
      <w:pPr>
        <w:spacing w:after="0" w:line="150"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Ciaran Murray – non-executive Director and Chair</w:t>
      </w:r>
    </w:p>
    <w:p>
      <w:pPr>
        <w:spacing w:after="0" w:line="16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Steve Cutler – Chief Executive Officer and Director</w:t>
      </w:r>
    </w:p>
    <w:p>
      <w:pPr>
        <w:spacing w:after="0" w:line="16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Rónán Murphy – Lead Independent Director and non-executive Director</w:t>
      </w:r>
    </w:p>
    <w:p>
      <w:pPr>
        <w:spacing w:after="0" w:line="155"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John Climax – founder &amp; non-executive Director</w:t>
      </w:r>
    </w:p>
    <w:p>
      <w:pPr>
        <w:spacing w:after="0" w:line="16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Julie O’Neill – non-executive Director</w:t>
      </w:r>
    </w:p>
    <w:p>
      <w:pPr>
        <w:spacing w:after="0" w:line="16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Eugene McCague – non-executive Director</w:t>
      </w:r>
    </w:p>
    <w:p>
      <w:pPr>
        <w:spacing w:after="0" w:line="155"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Linda Grais – non-executive Director</w:t>
      </w:r>
    </w:p>
    <w:p>
      <w:pPr>
        <w:spacing w:after="0" w:line="16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Anne Whitaker – non-executive Director</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Mr. Ciaran Murray, Mr. Rónán Murphy, Dr. John Climax, Ms. Julie O’Neill, Mr. Eugene McCague, Dr. Linda Grais and Ms. Anne Whitaker are each “independent” non-executive Directors (as that term is defined under the published listing requirements of Nasdaq). Dr. Steve Cutler, ICON’s Chief Executive Officer, is an executive officer.</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Each of the Directors standing for re-election has demonstrated the necessary commitment to the role of Director and provides valuable skills, knowledge and experience and makes important contributions to the Board. Further information on the experience, qualifications and industry knowledge of the current Directors is available from the Annual Report and/or Form 20-F at https://investor.iconplc.com/financials-filings/annual-reports and the details of current committee composition is set out on our website at https://investor.iconplc.com/corporate-governance/committee-composition.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t>ICON’s 2024 Accounts (ordinary resolution 2)</w:t>
      </w:r>
    </w:p>
    <w:p>
      <w:pPr>
        <w:spacing w:after="0" w:line="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This resolution is to review the Company's affairs and consider ICON’s 2024 accounts which have been audited by KPMG, ICON’s independent auditors for the financial year ended 31 December 2024, and the report of the Directors and the auditors thereon.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Appointment and remuneration of Auditors (ordinary resolution 3)</w:t>
      </w:r>
    </w:p>
    <w:p>
      <w:pPr>
        <w:spacing w:after="0" w:line="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This resolution ratifies the appointment of Ernst &amp; Young (“</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16"/>
          <w:szCs w:val="16"/>
          <w:color w:val="auto"/>
        </w:rPr>
        <w:t>”) as the auditors of the Company and authorises the Board, acting through its Audit Committee, to fix their remuneration. Following a competitive tender process, the appointment of EY as the Company’s auditors was approved for the financial year ending 31 December 2025, subject to a confirmatory vote at the AGM. EY replaced KPMG as the Company’s auditors.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20% of share capital (ordinary resolution 4)</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This resolution authorises the Directors to issue shares until the earlier of the next Annual General Meeting of the Company or 21 January 2027 up to an aggregate of 20% of the share capital of the Company without further shareholder approval.</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10% of share capital without offering to existing shareholders, with an additional 10% for funding capital investment or acquisitions (special resolution 5 and special resolution 6)</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Resolution 5 authorises the Directors to issue shares for cash, subject to resolution 4, until the earlier of the next Annual General Meeting of the Company or 21 January 2027 up to an aggregate of 10% of the share capital of the Company without having to offer the shares to existing shareholders on a pro rata basis. Resolution 6 authorises the Directors to issue an additional 10%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 resolution authorising the issuance of shares for cash without such offer round is a requirement of Irish law and there is no such requirement under the applicable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rules and Nasdaq rules. As above, this year the authorities under these resolutions expire on the earlier of the next Annual General Meeting of the Company or 21 January 2027.</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caps on resolutions 4, 5 and 6 provide our shareholders with anti-dilution protection equivalent to protections provided to the shareholders of many other Nasdaq-listed companies. Every year since the Company was listed (apart from 2014 as resolutions with 5 year authority were passed in 2013), the Directors have put resolutions to authorise the issuance of shares and to disapply offer round to the shareholders and each such resolution has been passed.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buy back shares up to 10% of share capital (ordinary resolution 7)</w:t>
      </w:r>
    </w:p>
    <w:p>
      <w:pPr>
        <w:spacing w:after="0" w:line="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This resolution authorises the Company and its subsidiaries to purchase in the market (buy-back) up to 10% of the outstanding share capital of the Company. It is important both for the Company and shareholders that both the Company and its subsidiaries have flexibility to implement a buy-back (without having to seek further shareholder approval) if the market conditions favour a buy-back. It should also be noted that while the applicable SEC rules and Nasdaq rules do not require shareholder approval prior to a share buy-back,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21 January 2027.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reissue shares held as treasury shares (special resolution 8)</w:t>
      </w:r>
    </w:p>
    <w:p>
      <w:pPr>
        <w:spacing w:after="0" w:line="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1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There is no resolution dealing with executive compensation as ICON, being a foreign private issuer, is not obliged to provide a “say on pay” shareholder resolution on executive compensation. Details of ICON’s executive officers' compensation for 2024 are available in the Annual Report and Form 20-F for 2024 which are available at https://investor.iconplc.com/financials-filings/annual-reports.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Approval of Resolutions</w:t>
      </w:r>
    </w:p>
    <w:p>
      <w:pPr>
        <w:spacing w:after="0" w:line="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Resolutions 1.1 to 1.8, 2, 3, 4 and 7 are ordinary resolutions which require approval of a simple majority of the votes cast in person or by proxy and resolutions 5, 6 and 8 are special resolutions which require approval of 75% of the votes cast in person or by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Board believes that the resolutions to be proposed at the AGM are in the best interests of the Company and its shareholders. Accordingly, your Directors unanimously</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recommend that you vote in favour of all resolutions as they intend to do in respect of the shares held by them. On 23 May 2025, the Directors held 377,167 ordinary shares representing approximately 0.47%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9525</wp:posOffset>
            </wp:positionV>
            <wp:extent cx="1226185" cy="417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6185"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Ciaran Murray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7"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2894965</wp:posOffset>
            </wp:positionH>
            <wp:positionV relativeFrom="page">
              <wp:posOffset>735965</wp:posOffset>
            </wp:positionV>
            <wp:extent cx="17653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5300" cy="4718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County Business Park,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Leopardstown,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Dublin 18, Ireland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+353-1-291-2000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22 JULY 2025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ICON plc:</w:t>
      </w:r>
    </w:p>
    <w:p>
      <w:pPr>
        <w:spacing w:after="0" w:line="1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is hereby given that the Annual General Meeting of the Company will be held at ICON’s global headquarters in South County Business Park, Leopardstown, Dublin 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Ireland on 22 July 2025 at 9.00am (Dublin time)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resolutions:</w:t>
      </w:r>
    </w:p>
    <w:p>
      <w:pPr>
        <w:spacing w:after="0" w:line="187" w:lineRule="exact"/>
        <w:rPr>
          <w:sz w:val="20"/>
          <w:szCs w:val="20"/>
          <w:color w:val="auto"/>
        </w:rPr>
      </w:pPr>
    </w:p>
    <w:p>
      <w:pPr>
        <w:ind w:left="520" w:hanging="515"/>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by separate resolutions, the following individuals who retire as Directors and, being eligible, offer themselves for re-election:</w:t>
      </w:r>
    </w:p>
    <w:p>
      <w:pPr>
        <w:spacing w:after="0" w:line="197"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Mr. Ciaran Murray</w:t>
      </w:r>
    </w:p>
    <w:p>
      <w:pPr>
        <w:spacing w:after="0" w:line="18"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Dr. Steve Cutler</w:t>
      </w:r>
    </w:p>
    <w:p>
      <w:pPr>
        <w:spacing w:after="0" w:line="2"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Mr. Rónán Murphy</w:t>
      </w:r>
    </w:p>
    <w:p>
      <w:pPr>
        <w:ind w:left="520"/>
        <w:spacing w:after="0" w:line="22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Dr. John Climax</w:t>
      </w:r>
    </w:p>
    <w:p>
      <w:pPr>
        <w:ind w:left="520"/>
        <w:spacing w:after="0" w:line="2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Ms. Julie O’Neill</w:t>
      </w:r>
    </w:p>
    <w:p>
      <w:pPr>
        <w:ind w:left="520"/>
        <w:spacing w:after="0" w:line="2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Mr. Eugene McCague</w:t>
      </w:r>
    </w:p>
    <w:p>
      <w:pPr>
        <w:ind w:left="520"/>
        <w:spacing w:after="0" w:line="1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  Dr. Linda Grais</w:t>
      </w: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Ms. Anne Whitaker</w:t>
      </w:r>
    </w:p>
    <w:p>
      <w:pPr>
        <w:spacing w:after="0" w:line="158"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review the Company's affairs and consider the accounts for the year ended 31 December 2024 and the reports of the Directors and auditors thereon.</w:t>
      </w:r>
    </w:p>
    <w:p>
      <w:pPr>
        <w:spacing w:after="0" w:line="206" w:lineRule="exact"/>
        <w:rPr>
          <w:rFonts w:ascii="Times New Roman" w:cs="Times New Roman" w:eastAsia="Times New Roman" w:hAnsi="Times New Roman"/>
          <w:sz w:val="16"/>
          <w:szCs w:val="16"/>
          <w:color w:val="auto"/>
        </w:rPr>
      </w:pPr>
    </w:p>
    <w:p>
      <w:pPr>
        <w:ind w:left="500" w:hanging="495"/>
        <w:spacing w:after="0" w:line="247"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ratify the appointment of Ernst &amp; Young (“</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16"/>
          <w:szCs w:val="16"/>
          <w:color w:val="auto"/>
        </w:rPr>
        <w:t>”) as auditors of the Company for the financial year ending 31 December 2025 and to authorise the Board, acting through its Audit Committee, to fix the remuneration of the auditors.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87" w:lineRule="exact"/>
        <w:rPr>
          <w:sz w:val="20"/>
          <w:szCs w:val="20"/>
          <w:color w:val="auto"/>
        </w:rPr>
      </w:pPr>
    </w:p>
    <w:p>
      <w:pPr>
        <w:jc w:val="both"/>
        <w:ind w:left="500" w:hanging="495"/>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€953,805.54 representing approximately 20% of the aggregate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440" w:right="319" w:bottom="1440" w:gutter="0" w:footer="0" w:header="0"/>
        </w:sectPr>
      </w:pPr>
    </w:p>
    <w:bookmarkStart w:id="8" w:name="page9"/>
    <w:bookmarkEnd w:id="8"/>
    <w:p>
      <w:pPr>
        <w:jc w:val="both"/>
        <w:ind w:left="500"/>
        <w:spacing w:after="0" w:line="235" w:lineRule="auto"/>
        <w:rPr>
          <w:sz w:val="20"/>
          <w:szCs w:val="20"/>
          <w:color w:val="auto"/>
        </w:rPr>
      </w:pPr>
      <w:r>
        <w:rPr>
          <w:rFonts w:ascii="Times New Roman" w:cs="Times New Roman" w:eastAsia="Times New Roman" w:hAnsi="Times New Roman"/>
          <w:sz w:val="16"/>
          <w:szCs w:val="16"/>
          <w:color w:val="auto"/>
        </w:rPr>
        <w:t>nominal value of the issued ordinary share capital of the Company as at 9 June 2025 and the authority conferred by this resolution shall expire on the earlier of the date of the next Annual General Meeting of the Company or 21 January 2027,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resolutions:</w:t>
      </w:r>
    </w:p>
    <w:p>
      <w:pPr>
        <w:spacing w:after="0" w:line="198" w:lineRule="exact"/>
        <w:rPr>
          <w:sz w:val="20"/>
          <w:szCs w:val="20"/>
          <w:color w:val="auto"/>
        </w:rPr>
      </w:pPr>
    </w:p>
    <w:p>
      <w:pPr>
        <w:jc w:val="both"/>
        <w:ind w:left="500" w:hanging="495"/>
        <w:spacing w:after="0" w:line="23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€476,902.77 representing approximately 10% of the aggregate nominal value of the issued ordinary share capital of the Company as at 9 June 2025 and the authority conferred by this resolution shall expire on the earlier of the date of the next Annual General Meeting of the Company or 21 January 2027,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71" w:lineRule="exact"/>
        <w:rPr>
          <w:rFonts w:ascii="Times New Roman" w:cs="Times New Roman" w:eastAsia="Times New Roman" w:hAnsi="Times New Roman"/>
          <w:sz w:val="16"/>
          <w:szCs w:val="16"/>
          <w:color w:val="auto"/>
        </w:rPr>
      </w:pPr>
    </w:p>
    <w:p>
      <w:pPr>
        <w:jc w:val="both"/>
        <w:ind w:left="500" w:hanging="495"/>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58" w:lineRule="exact"/>
        <w:rPr>
          <w:rFonts w:ascii="Times New Roman" w:cs="Times New Roman" w:eastAsia="Times New Roman" w:hAnsi="Times New Roman"/>
          <w:sz w:val="16"/>
          <w:szCs w:val="16"/>
          <w:color w:val="auto"/>
        </w:rPr>
      </w:pPr>
    </w:p>
    <w:p>
      <w:pPr>
        <w:ind w:left="1020" w:hanging="506"/>
        <w:spacing w:after="0" w:line="273" w:lineRule="auto"/>
        <w:tabs>
          <w:tab w:leader="none" w:pos="1018"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43" w:lineRule="exact"/>
        <w:rPr>
          <w:rFonts w:ascii="Times New Roman" w:cs="Times New Roman" w:eastAsia="Times New Roman" w:hAnsi="Times New Roman"/>
          <w:sz w:val="16"/>
          <w:szCs w:val="16"/>
          <w:color w:val="auto"/>
        </w:rPr>
      </w:pPr>
    </w:p>
    <w:p>
      <w:pPr>
        <w:jc w:val="both"/>
        <w:ind w:left="1020" w:hanging="506"/>
        <w:spacing w:after="0" w:line="254" w:lineRule="auto"/>
        <w:tabs>
          <w:tab w:leader="none" w:pos="1019"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nominal value of all equity securities allotted pursuant to this authority together with the nominal value of all treasury shares (as defined in Section 106 of the Companies Act 2014) reissued pursuant to Resolution 9 not exceed €476,902.77 representing approximately 10% of the nominal value of the issued share capital as at 9 June 2025.</w:t>
      </w:r>
    </w:p>
    <w:p>
      <w:pPr>
        <w:spacing w:after="0" w:line="167" w:lineRule="exact"/>
        <w:rPr>
          <w:sz w:val="20"/>
          <w:szCs w:val="20"/>
          <w:color w:val="auto"/>
        </w:rPr>
      </w:pPr>
    </w:p>
    <w:p>
      <w:pPr>
        <w:jc w:val="both"/>
        <w:ind w:left="500" w:firstLine="11"/>
        <w:spacing w:after="0" w:line="244" w:lineRule="auto"/>
        <w:rPr>
          <w:sz w:val="20"/>
          <w:szCs w:val="20"/>
          <w:color w:val="auto"/>
        </w:rPr>
      </w:pPr>
      <w:r>
        <w:rPr>
          <w:rFonts w:ascii="Times New Roman" w:cs="Times New Roman" w:eastAsia="Times New Roman" w:hAnsi="Times New Roman"/>
          <w:sz w:val="16"/>
          <w:szCs w:val="16"/>
          <w:color w:val="auto"/>
        </w:rPr>
        <w:t>The authority conferred by this resolution shall expire on the earlier of the date of the next Annual General Meeting of the Company or 21 January 2027,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98" w:lineRule="exact"/>
        <w:rPr>
          <w:sz w:val="20"/>
          <w:szCs w:val="20"/>
          <w:color w:val="auto"/>
        </w:rPr>
      </w:pPr>
    </w:p>
    <w:p>
      <w:pPr>
        <w:jc w:val="both"/>
        <w:ind w:left="500" w:hanging="495"/>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9" w:right="31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6"/>
          <w:szCs w:val="16"/>
          <w:color w:val="auto"/>
        </w:rPr>
        <w:t>determine in accordance with and subject to the provisions of the Companies Act 2014 and the following restrictions and provisions:</w:t>
      </w:r>
    </w:p>
    <w:p>
      <w:pPr>
        <w:spacing w:after="0" w:line="177" w:lineRule="exact"/>
        <w:rPr>
          <w:sz w:val="20"/>
          <w:szCs w:val="20"/>
          <w:color w:val="auto"/>
        </w:rPr>
      </w:pPr>
    </w:p>
    <w:p>
      <w:pPr>
        <w:ind w:left="1020" w:hanging="506"/>
        <w:spacing w:after="0" w:line="273" w:lineRule="auto"/>
        <w:tabs>
          <w:tab w:leader="none" w:pos="101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5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(exclusive of expenses) which may be paid for any such share shall be an amount equal to the nominal value thereof; and</w:t>
      </w:r>
    </w:p>
    <w:p>
      <w:pPr>
        <w:spacing w:after="0" w:line="187" w:lineRule="exact"/>
        <w:rPr>
          <w:rFonts w:ascii="Times New Roman" w:cs="Times New Roman" w:eastAsia="Times New Roman" w:hAnsi="Times New Roman"/>
          <w:sz w:val="16"/>
          <w:szCs w:val="16"/>
          <w:color w:val="auto"/>
        </w:rPr>
      </w:pPr>
    </w:p>
    <w:p>
      <w:pPr>
        <w:jc w:val="both"/>
        <w:ind w:left="1020" w:hanging="506"/>
        <w:spacing w:after="0" w:line="254"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(exclusive of expenses) to be paid for any ordinary share shall be an amount equal to 115% of the NASDAQ Official Closing Price (the “</w:t>
      </w:r>
      <w:r>
        <w:rPr>
          <w:rFonts w:ascii="Times New Roman" w:cs="Times New Roman" w:eastAsia="Times New Roman" w:hAnsi="Times New Roman"/>
          <w:sz w:val="16"/>
          <w:szCs w:val="16"/>
          <w:b w:val="1"/>
          <w:bCs w:val="1"/>
          <w:color w:val="auto"/>
        </w:rPr>
        <w:t>NOCP</w:t>
      </w:r>
      <w:r>
        <w:rPr>
          <w:rFonts w:ascii="Times New Roman" w:cs="Times New Roman" w:eastAsia="Times New Roman" w:hAnsi="Times New Roman"/>
          <w:sz w:val="16"/>
          <w:szCs w:val="16"/>
          <w:color w:val="auto"/>
        </w:rPr>
        <w:t>”) (as reported by NASDAQ) of the Company’s ordinary shares on the trading day preceding the day on which the relevant shares are purchased by the Company.</w:t>
      </w:r>
    </w:p>
    <w:p>
      <w:pPr>
        <w:spacing w:after="0" w:line="169" w:lineRule="exact"/>
        <w:rPr>
          <w:sz w:val="20"/>
          <w:szCs w:val="20"/>
          <w:color w:val="auto"/>
        </w:rPr>
      </w:pPr>
    </w:p>
    <w:p>
      <w:pPr>
        <w:jc w:val="both"/>
        <w:ind w:left="500"/>
        <w:spacing w:after="0" w:line="235" w:lineRule="auto"/>
        <w:rPr>
          <w:sz w:val="20"/>
          <w:szCs w:val="20"/>
          <w:color w:val="auto"/>
        </w:rPr>
      </w:pPr>
      <w:r>
        <w:rPr>
          <w:rFonts w:ascii="Times New Roman" w:cs="Times New Roman" w:eastAsia="Times New Roman" w:hAnsi="Times New Roman"/>
          <w:sz w:val="16"/>
          <w:szCs w:val="16"/>
          <w:color w:val="auto"/>
        </w:rPr>
        <w:t>The authority hereby conferred shall expire on the earlier of the date of the next Annual General Meeting of the Company or 21 January 2027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w:t>
      </w:r>
    </w:p>
    <w:p>
      <w:pPr>
        <w:spacing w:after="0" w:line="187" w:lineRule="exact"/>
        <w:rPr>
          <w:sz w:val="20"/>
          <w:szCs w:val="20"/>
          <w:color w:val="auto"/>
        </w:rPr>
      </w:pPr>
    </w:p>
    <w:p>
      <w:pPr>
        <w:ind w:left="280" w:hanging="275"/>
        <w:spacing w:after="0"/>
        <w:tabs>
          <w:tab w:leader="none" w:pos="2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reissue price range at which any treasury shares held by the Company may be reissued off-market shall be as follows:</w:t>
      </w:r>
    </w:p>
    <w:p>
      <w:pPr>
        <w:spacing w:after="0" w:line="197" w:lineRule="exact"/>
        <w:rPr>
          <w:rFonts w:ascii="Times New Roman" w:cs="Times New Roman" w:eastAsia="Times New Roman" w:hAnsi="Times New Roman"/>
          <w:sz w:val="16"/>
          <w:szCs w:val="16"/>
          <w:color w:val="auto"/>
        </w:rPr>
      </w:pPr>
    </w:p>
    <w:p>
      <w:pPr>
        <w:ind w:left="820" w:hanging="306"/>
        <w:spacing w:after="0"/>
        <w:tabs>
          <w:tab w:leader="none" w:pos="8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at which such treasury share may be reissued off-market shall be an amount equal to 120% of the “market price”;</w:t>
      </w:r>
    </w:p>
    <w:p>
      <w:pPr>
        <w:spacing w:after="0" w:line="187" w:lineRule="exact"/>
        <w:rPr>
          <w:rFonts w:ascii="Times New Roman" w:cs="Times New Roman" w:eastAsia="Times New Roman" w:hAnsi="Times New Roman"/>
          <w:sz w:val="16"/>
          <w:szCs w:val="16"/>
          <w:color w:val="auto"/>
        </w:rPr>
      </w:pPr>
    </w:p>
    <w:p>
      <w:pPr>
        <w:ind w:left="1020" w:hanging="506"/>
        <w:spacing w:after="0" w:line="273" w:lineRule="auto"/>
        <w:tabs>
          <w:tab w:leader="none" w:pos="86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54" w:lineRule="exact"/>
        <w:rPr>
          <w:rFonts w:ascii="Times New Roman" w:cs="Times New Roman" w:eastAsia="Times New Roman" w:hAnsi="Times New Roman"/>
          <w:sz w:val="16"/>
          <w:szCs w:val="16"/>
          <w:color w:val="auto"/>
        </w:rPr>
      </w:pPr>
    </w:p>
    <w:p>
      <w:pPr>
        <w:ind w:left="900" w:hanging="386"/>
        <w:spacing w:after="0"/>
        <w:tabs>
          <w:tab w:leader="none" w:pos="9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resolution, the “market price” shall mean the average closing price per ordinary share of the Company, as reported by NASDAQ, for the thirty</w:t>
      </w:r>
    </w:p>
    <w:p>
      <w:pPr>
        <w:spacing w:after="0" w:line="37"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days immediately preceding the proposed date of reissuance.</w:t>
      </w:r>
    </w:p>
    <w:p>
      <w:pPr>
        <w:spacing w:after="0" w:line="180" w:lineRule="exact"/>
        <w:rPr>
          <w:sz w:val="20"/>
          <w:szCs w:val="20"/>
          <w:color w:val="auto"/>
        </w:rPr>
      </w:pPr>
    </w:p>
    <w:p>
      <w:pPr>
        <w:ind w:left="520"/>
        <w:spacing w:after="0" w:line="259" w:lineRule="auto"/>
        <w:rPr>
          <w:sz w:val="20"/>
          <w:szCs w:val="20"/>
          <w:color w:val="auto"/>
        </w:rPr>
      </w:pPr>
      <w:r>
        <w:rPr>
          <w:rFonts w:ascii="Times New Roman" w:cs="Times New Roman" w:eastAsia="Times New Roman" w:hAnsi="Times New Roman"/>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5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3810</wp:posOffset>
            </wp:positionV>
            <wp:extent cx="902970" cy="343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2970" cy="3435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Diarmaid Cunningham</w:t>
      </w:r>
    </w:p>
    <w:p>
      <w:pPr>
        <w:spacing w:after="0" w:line="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Company Secretary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Dublin, Ireland</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Dated: 11 June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98"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and Documentation</w:t>
      </w:r>
    </w:p>
    <w:p>
      <w:pPr>
        <w:spacing w:after="0" w:line="16" w:lineRule="exact"/>
        <w:rPr>
          <w:sz w:val="20"/>
          <w:szCs w:val="20"/>
          <w:color w:val="auto"/>
        </w:rPr>
      </w:pPr>
    </w:p>
    <w:p>
      <w:pPr>
        <w:ind w:left="500" w:firstLine="8"/>
        <w:spacing w:after="0" w:line="249" w:lineRule="auto"/>
        <w:rPr>
          <w:sz w:val="20"/>
          <w:szCs w:val="20"/>
          <w:color w:val="auto"/>
        </w:rPr>
      </w:pPr>
      <w:r>
        <w:rPr>
          <w:rFonts w:ascii="Times New Roman" w:cs="Times New Roman" w:eastAsia="Times New Roman" w:hAnsi="Times New Roman"/>
          <w:sz w:val="16"/>
          <w:szCs w:val="16"/>
          <w:color w:val="auto"/>
        </w:rPr>
        <w:t>Information regarding the Annual General Meeting is available on the Company’s website www.iconplc.com and from www.proxyvote.com. If you require a paper copy of the Form 20-F or IFRS Annual Report, please contact Investor Relations at 1-888-381-7923 or IR@iconplc.com.</w:t>
      </w:r>
    </w:p>
    <w:p>
      <w:pPr>
        <w:spacing w:after="0" w:line="161"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eligible to vote and how?</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record date for the Annual General Meeting is 23 May 2025.</w:t>
      </w:r>
    </w:p>
    <w:p>
      <w:pPr>
        <w:spacing w:after="0" w:line="186" w:lineRule="exact"/>
        <w:rPr>
          <w:sz w:val="20"/>
          <w:szCs w:val="20"/>
          <w:color w:val="auto"/>
        </w:rPr>
      </w:pPr>
    </w:p>
    <w:p>
      <w:pPr>
        <w:jc w:val="both"/>
        <w:ind w:left="500"/>
        <w:spacing w:after="0" w:line="247" w:lineRule="auto"/>
        <w:rPr>
          <w:sz w:val="20"/>
          <w:szCs w:val="20"/>
          <w:color w:val="auto"/>
        </w:rPr>
      </w:pPr>
      <w:r>
        <w:rPr>
          <w:rFonts w:ascii="Times New Roman" w:cs="Times New Roman" w:eastAsia="Times New Roman" w:hAnsi="Times New Roman"/>
          <w:sz w:val="16"/>
          <w:szCs w:val="16"/>
          <w:color w:val="auto"/>
        </w:rPr>
        <w:t>If your shares are registered in your name, you are a shareholder of record. Shareholders of record who are entered in the Register of Members of the Company on 23 May 2025 shall be entitled to attend, speak, ask questions, vote, demand a poll, and/or join in the demand for a poll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76"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6"/>
          <w:szCs w:val="16"/>
          <w:color w:val="auto"/>
        </w:rPr>
        <w:t>For those shareholders whose shares are not held in their name, but rather in an account at a brokerage firm, bank, dealer or other similar organisation, who in turn hold through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then their entitlement to vote is determined as at 23 May 2025.</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Depending on whether your shares are registered in your name or whether your shares are held in a “street name” the arrangements are as follows: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Shareholder of Record: Shares Registered in Your Name</w:t>
      </w:r>
    </w:p>
    <w:p>
      <w:pPr>
        <w:spacing w:after="0" w:line="16" w:lineRule="exact"/>
        <w:rPr>
          <w:sz w:val="20"/>
          <w:szCs w:val="20"/>
          <w:color w:val="auto"/>
        </w:rPr>
      </w:pPr>
    </w:p>
    <w:p>
      <w:pPr>
        <w:jc w:val="both"/>
        <w:ind w:left="500"/>
        <w:spacing w:after="0" w:line="243" w:lineRule="auto"/>
        <w:rPr>
          <w:sz w:val="20"/>
          <w:szCs w:val="20"/>
          <w:color w:val="auto"/>
        </w:rPr>
      </w:pPr>
      <w:r>
        <w:rPr>
          <w:rFonts w:ascii="Times New Roman" w:cs="Times New Roman" w:eastAsia="Times New Roman" w:hAnsi="Times New Roman"/>
          <w:sz w:val="16"/>
          <w:szCs w:val="16"/>
          <w:color w:val="auto"/>
        </w:rPr>
        <w:t>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180" w:lineRule="exact"/>
        <w:rPr>
          <w:sz w:val="20"/>
          <w:szCs w:val="20"/>
          <w:color w:val="auto"/>
        </w:rPr>
      </w:pPr>
    </w:p>
    <w:p>
      <w:pPr>
        <w:jc w:val="both"/>
        <w:ind w:left="500"/>
        <w:spacing w:after="0" w:line="231" w:lineRule="auto"/>
        <w:rPr>
          <w:sz w:val="20"/>
          <w:szCs w:val="20"/>
          <w:color w:val="auto"/>
        </w:rPr>
      </w:pPr>
      <w:r>
        <w:rPr>
          <w:rFonts w:ascii="Times New Roman" w:cs="Times New Roman" w:eastAsia="Times New Roman" w:hAnsi="Times New Roman"/>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 11.59pm ET on 21 July 2025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3" w:lineRule="exact"/>
        <w:rPr>
          <w:sz w:val="20"/>
          <w:szCs w:val="20"/>
          <w:color w:val="auto"/>
        </w:rPr>
      </w:pPr>
    </w:p>
    <w:p>
      <w:pPr>
        <w:jc w:val="both"/>
        <w:ind w:left="500"/>
        <w:spacing w:after="0" w:line="229" w:lineRule="auto"/>
        <w:rPr>
          <w:sz w:val="20"/>
          <w:szCs w:val="20"/>
          <w:color w:val="auto"/>
        </w:rPr>
      </w:pPr>
      <w:r>
        <w:rPr>
          <w:rFonts w:ascii="Times New Roman" w:cs="Times New Roman" w:eastAsia="Times New Roman" w:hAnsi="Times New Roman"/>
          <w:sz w:val="16"/>
          <w:szCs w:val="16"/>
          <w:color w:val="auto"/>
        </w:rPr>
        <w:t>Alternatively, provided it is received by 11.59pm ET on 20 July 2025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by telephone or electronically, subject to the applicable terms and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7" w:right="319" w:bottom="1440" w:gutter="0" w:footer="0" w:header="0"/>
        </w:sectPr>
      </w:pPr>
    </w:p>
    <w:bookmarkStart w:id="11" w:name="page12"/>
    <w:bookmarkEnd w:id="11"/>
    <w:p>
      <w:pPr>
        <w:jc w:val="both"/>
        <w:ind w:left="500"/>
        <w:spacing w:after="0" w:line="315" w:lineRule="auto"/>
        <w:rPr>
          <w:sz w:val="20"/>
          <w:szCs w:val="20"/>
          <w:color w:val="auto"/>
        </w:rPr>
      </w:pPr>
      <w:r>
        <w:rPr>
          <w:rFonts w:ascii="Times New Roman" w:cs="Times New Roman" w:eastAsia="Times New Roman" w:hAnsi="Times New Roman"/>
          <w:sz w:val="14"/>
          <w:szCs w:val="14"/>
          <w:color w:val="auto"/>
        </w:rPr>
        <w:t>conditions, using the phone number on the Form of Proxy and following the instructions provided or via the Internet by accessing Broadridge’s website www.proxyvote.com and following the instructions on the website. The information you need to appoint your proxy by telephone or electronically is included at the top of your Form of Proxy.</w:t>
      </w:r>
    </w:p>
    <w:p>
      <w:pPr>
        <w:spacing w:after="0" w:line="119"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16" w:lineRule="exact"/>
        <w:rPr>
          <w:sz w:val="20"/>
          <w:szCs w:val="20"/>
          <w:color w:val="auto"/>
        </w:rPr>
      </w:pPr>
    </w:p>
    <w:p>
      <w:pPr>
        <w:jc w:val="both"/>
        <w:ind w:left="500"/>
        <w:spacing w:after="0" w:line="263" w:lineRule="auto"/>
        <w:rPr>
          <w:sz w:val="20"/>
          <w:szCs w:val="20"/>
          <w:color w:val="auto"/>
        </w:rPr>
      </w:pPr>
      <w:r>
        <w:rPr>
          <w:rFonts w:ascii="Times New Roman" w:cs="Times New Roman" w:eastAsia="Times New Roman" w:hAnsi="Times New Roman"/>
          <w:sz w:val="14"/>
          <w:szCs w:val="14"/>
          <w:color w:val="auto"/>
        </w:rPr>
        <w:t xml:space="preserve">If, as at 23 May 2025, your shares were not held in your name, but rather in an account at a brokerage firm, bank, dealer or other similar organisation, who in turn hold through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4"/>
          <w:szCs w:val="14"/>
          <w:b w:val="1"/>
          <w:bCs w:val="1"/>
          <w:color w:val="auto"/>
        </w:rPr>
        <w:t>You will need to carefully follow the instructions from your broker, bank or other agent or contact your broker, bank or other agent if you</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have any queries.</w:t>
      </w:r>
    </w:p>
    <w:p>
      <w:pPr>
        <w:spacing w:after="0" w:line="31"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6"/>
          <w:szCs w:val="16"/>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42"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6"/>
          <w:szCs w:val="16"/>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 card provided by your broker, bank or other agent to ensure that your vote is counted.</w:t>
      </w:r>
    </w:p>
    <w:p>
      <w:pPr>
        <w:spacing w:after="0" w:line="167"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you have?</w:t>
      </w:r>
    </w:p>
    <w:p>
      <w:pPr>
        <w:spacing w:after="0" w:line="16" w:lineRule="exact"/>
        <w:rPr>
          <w:sz w:val="20"/>
          <w:szCs w:val="20"/>
          <w:color w:val="auto"/>
        </w:rPr>
      </w:pPr>
    </w:p>
    <w:p>
      <w:pPr>
        <w:jc w:val="both"/>
        <w:ind w:left="500"/>
        <w:spacing w:after="0" w:line="285" w:lineRule="auto"/>
        <w:rPr>
          <w:sz w:val="20"/>
          <w:szCs w:val="20"/>
          <w:color w:val="auto"/>
        </w:rPr>
      </w:pPr>
      <w:r>
        <w:rPr>
          <w:rFonts w:ascii="Times New Roman" w:cs="Times New Roman" w:eastAsia="Times New Roman" w:hAnsi="Times New Roman"/>
          <w:sz w:val="14"/>
          <w:szCs w:val="14"/>
          <w:color w:val="auto"/>
        </w:rPr>
        <w:t>The total number of issued ordinary shares on the record date, 23 May 2025, was 79,476,896.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 In accordance with the Company’s Constitution, no business shall be transacted at any AGM unless a quorum of shareholders of record is present at the time when the meeting proceeds to business. Except as provided in relation to an adjourned meeting, three shareholders of record, present in person or by proxy, entitled to vote upon business to be transacted, shall be a quorum</w:t>
      </w:r>
    </w:p>
    <w:p>
      <w:pPr>
        <w:spacing w:after="0" w:line="14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Broker Voting</w:t>
      </w:r>
    </w:p>
    <w:p>
      <w:pPr>
        <w:spacing w:after="0" w:line="16" w:lineRule="exact"/>
        <w:rPr>
          <w:sz w:val="20"/>
          <w:szCs w:val="20"/>
          <w:color w:val="auto"/>
        </w:rPr>
      </w:pPr>
    </w:p>
    <w:p>
      <w:pPr>
        <w:jc w:val="both"/>
        <w:ind w:left="520"/>
        <w:spacing w:after="0" w:line="232" w:lineRule="auto"/>
        <w:rPr>
          <w:sz w:val="20"/>
          <w:szCs w:val="20"/>
          <w:color w:val="auto"/>
        </w:rPr>
      </w:pPr>
      <w:r>
        <w:rPr>
          <w:rFonts w:ascii="Times New Roman" w:cs="Times New Roman" w:eastAsia="Times New Roman" w:hAnsi="Times New Roman"/>
          <w:sz w:val="16"/>
          <w:szCs w:val="16"/>
          <w:color w:val="auto"/>
        </w:rPr>
        <w:t xml:space="preserve">If your shares are held by a broker on your behalf (that is, in “street name”), and you do not instruct the broker as to how to vote these shares, the broker may not exercise discretion to vote for or against any proposals considered to be non-routine under applicable rules. This would be a “broker non-vote” and these shares will not be counted as having been voted on such proposals. </w:t>
      </w:r>
      <w:r>
        <w:rPr>
          <w:rFonts w:ascii="Times New Roman" w:cs="Times New Roman" w:eastAsia="Times New Roman" w:hAnsi="Times New Roman"/>
          <w:sz w:val="16"/>
          <w:szCs w:val="16"/>
          <w:b w:val="1"/>
          <w:bCs w:val="1"/>
          <w:color w:val="auto"/>
        </w:rPr>
        <w:t>Please instruct your bank or broker so your vote can be counted on all proposals.</w:t>
      </w:r>
    </w:p>
    <w:p>
      <w:pPr>
        <w:spacing w:after="0" w:line="168" w:lineRule="exact"/>
        <w:rPr>
          <w:sz w:val="20"/>
          <w:szCs w:val="20"/>
          <w:color w:val="auto"/>
        </w:rPr>
      </w:pPr>
    </w:p>
    <w:p>
      <w:pPr>
        <w:ind w:left="500" w:right="7140" w:hanging="495"/>
        <w:spacing w:after="0" w:line="286" w:lineRule="auto"/>
        <w:tabs>
          <w:tab w:leader="none" w:pos="271"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Can I change my vote after submitting my proxy? </w:t>
      </w:r>
      <w:r>
        <w:rPr>
          <w:rFonts w:ascii="Times New Roman" w:cs="Times New Roman" w:eastAsia="Times New Roman" w:hAnsi="Times New Roman"/>
          <w:sz w:val="14"/>
          <w:szCs w:val="14"/>
          <w:b w:val="1"/>
          <w:bCs w:val="1"/>
          <w:i w:val="1"/>
          <w:iCs w:val="1"/>
          <w:color w:val="auto"/>
        </w:rPr>
        <w:t>Shareholder of Record: Shares Registered in Your Name</w:t>
      </w:r>
    </w:p>
    <w:p>
      <w:pPr>
        <w:spacing w:after="0" w:line="1" w:lineRule="exact"/>
        <w:rPr>
          <w:rFonts w:ascii="Times New Roman" w:cs="Times New Roman" w:eastAsia="Times New Roman" w:hAnsi="Times New Roman"/>
          <w:sz w:val="14"/>
          <w:szCs w:val="14"/>
          <w:b w:val="1"/>
          <w:bCs w:val="1"/>
          <w:color w:val="auto"/>
        </w:rPr>
      </w:pPr>
    </w:p>
    <w:p>
      <w:pPr>
        <w:ind w:left="500"/>
        <w:spacing w:after="0" w:line="24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Yes. You can revoke your proxy at any time before the commencement of the Annual General Meeting. If you are the record holder of your shares, you may revoke your proxy in any one of three ways: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139" w:right="319" w:bottom="1440" w:gutter="0" w:footer="0" w:header="0"/>
        </w:sectPr>
      </w:pPr>
    </w:p>
    <w:bookmarkStart w:id="12" w:name="page13"/>
    <w:bookmarkEnd w:id="12"/>
    <w:p>
      <w:pPr>
        <w:ind w:left="1020" w:hanging="261"/>
        <w:spacing w:after="0" w:line="273" w:lineRule="auto"/>
        <w:tabs>
          <w:tab w:leader="none" w:pos="10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another properly completed proxy with a later date. Your revised proxy must be received before the commencement of the Annual General Meeting at 09.00am Dublin time on 22 July 2025 or if the Annual General Meeting is adjourned, before the commencement of the adjourned meeting;</w:t>
      </w:r>
    </w:p>
    <w:p>
      <w:pPr>
        <w:spacing w:after="0" w:line="143" w:lineRule="exact"/>
        <w:rPr>
          <w:rFonts w:ascii="Times New Roman" w:cs="Times New Roman" w:eastAsia="Times New Roman" w:hAnsi="Times New Roman"/>
          <w:sz w:val="16"/>
          <w:szCs w:val="16"/>
          <w:color w:val="auto"/>
        </w:rPr>
      </w:pPr>
    </w:p>
    <w:p>
      <w:pPr>
        <w:jc w:val="both"/>
        <w:ind w:left="1020" w:hanging="261"/>
        <w:spacing w:after="0" w:line="252" w:lineRule="auto"/>
        <w:tabs>
          <w:tab w:leader="none" w:pos="10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send a written notice that you are revoking your proxy to Erina Fox, Deputy Company Secretary, ICON plc at the registered office of the Company (being South County Business Park, Leopardstown, Dublin 18, Ireland) or by email to IR@iconplc.com. Your notice must be received before the commencement of the Annual General Meeting at 09.00am Dublin time on 22 July 2025 or if the Annual General Meeting is adjourned, before the commencement of the adjourned meeting; or</w:t>
      </w:r>
    </w:p>
    <w:p>
      <w:pPr>
        <w:spacing w:after="0" w:line="171" w:lineRule="exact"/>
        <w:rPr>
          <w:rFonts w:ascii="Times New Roman" w:cs="Times New Roman" w:eastAsia="Times New Roman" w:hAnsi="Times New Roman"/>
          <w:sz w:val="16"/>
          <w:szCs w:val="16"/>
          <w:color w:val="auto"/>
        </w:rPr>
      </w:pPr>
    </w:p>
    <w:p>
      <w:pPr>
        <w:ind w:left="1000" w:hanging="241"/>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attend the Annual General Meeting and vote in person.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21" w:lineRule="exact"/>
        <w:rPr>
          <w:sz w:val="20"/>
          <w:szCs w:val="20"/>
          <w:color w:val="auto"/>
        </w:rPr>
      </w:pPr>
    </w:p>
    <w:p>
      <w:pPr>
        <w:ind w:left="520"/>
        <w:spacing w:after="0" w:line="244" w:lineRule="auto"/>
        <w:rPr>
          <w:sz w:val="20"/>
          <w:szCs w:val="20"/>
          <w:color w:val="auto"/>
        </w:rPr>
      </w:pPr>
      <w:r>
        <w:rPr>
          <w:rFonts w:ascii="Times New Roman" w:cs="Times New Roman" w:eastAsia="Times New Roman" w:hAnsi="Times New Roman"/>
          <w:sz w:val="16"/>
          <w:szCs w:val="16"/>
          <w:color w:val="auto"/>
        </w:rPr>
        <w:t>If your shares are held by your broker, bank or other agent, you should follow the instructions provided by them. Please contact your broker, bank or other agent if you have any queries.</w:t>
      </w:r>
    </w:p>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What does it mean if I receive more than one set of materials?</w:t>
      </w:r>
    </w:p>
    <w:p>
      <w:pPr>
        <w:spacing w:after="0" w:line="21" w:lineRule="exact"/>
        <w:rPr>
          <w:sz w:val="20"/>
          <w:szCs w:val="20"/>
          <w:color w:val="auto"/>
        </w:rPr>
      </w:pPr>
    </w:p>
    <w:p>
      <w:pPr>
        <w:ind w:left="520"/>
        <w:spacing w:after="0" w:line="244" w:lineRule="auto"/>
        <w:rPr>
          <w:sz w:val="20"/>
          <w:szCs w:val="20"/>
          <w:color w:val="auto"/>
        </w:rPr>
      </w:pPr>
      <w:r>
        <w:rPr>
          <w:rFonts w:ascii="Times New Roman" w:cs="Times New Roman" w:eastAsia="Times New Roman" w:hAnsi="Times New Roman"/>
          <w:sz w:val="16"/>
          <w:szCs w:val="16"/>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2025</w:t>
      </w:r>
    </w:p>
    <w:p>
      <w:pPr>
        <w:sectPr>
          <w:pgSz w:w="11900" w:h="16838" w:orient="portrait"/>
          <w:cols w:equalWidth="0" w:num="1">
            <w:col w:w="11280"/>
          </w:cols>
          <w:pgMar w:left="300" w:top="1203"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2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822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2024</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Registered number: 145835</w:t>
      </w:r>
    </w:p>
    <w:p>
      <w:pPr>
        <w:sectPr>
          <w:pgSz w:w="11900" w:h="16838" w:orient="portrait"/>
          <w:cols w:equalWidth="0" w:num="1">
            <w:col w:w="10140"/>
          </w:cols>
          <w:pgMar w:left="1440" w:top="144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28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sz w:val="20"/>
                <w:szCs w:val="20"/>
                <w:color w:val="auto"/>
              </w:rPr>
            </w:pPr>
            <w:r>
              <w:rPr>
                <w:rFonts w:ascii="Arial" w:cs="Arial" w:eastAsia="Arial" w:hAnsi="Arial"/>
                <w:sz w:val="13"/>
                <w:szCs w:val="13"/>
                <w:color w:val="0000FF"/>
              </w:rPr>
              <w:t>29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sz w:val="20"/>
                <w:szCs w:val="20"/>
                <w:color w:val="auto"/>
              </w:rPr>
            </w:pPr>
            <w:r>
              <w:rPr>
                <w:rFonts w:ascii="Arial" w:cs="Arial" w:eastAsia="Arial" w:hAnsi="Arial"/>
                <w:sz w:val="13"/>
                <w:szCs w:val="13"/>
                <w:color w:val="0000FF"/>
              </w:rPr>
              <w:t>36</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sz w:val="20"/>
                <w:szCs w:val="20"/>
                <w:color w:val="auto"/>
              </w:rPr>
            </w:pPr>
            <w:r>
              <w:rPr>
                <w:rFonts w:ascii="Arial" w:cs="Arial" w:eastAsia="Arial" w:hAnsi="Arial"/>
                <w:sz w:val="13"/>
                <w:szCs w:val="13"/>
                <w:color w:val="0000FF"/>
              </w:rPr>
              <w:t>37</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39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sz w:val="20"/>
                <w:szCs w:val="20"/>
                <w:color w:val="auto"/>
              </w:rPr>
            </w:pPr>
            <w:r>
              <w:rPr>
                <w:rFonts w:ascii="Arial" w:cs="Arial" w:eastAsia="Arial" w:hAnsi="Arial"/>
                <w:sz w:val="13"/>
                <w:szCs w:val="13"/>
                <w:color w:val="0000FF"/>
              </w:rPr>
              <w:t>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42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128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129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131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Polices (Unaudited)</w:t>
            </w:r>
          </w:p>
        </w:tc>
        <w:tc>
          <w:tcPr>
            <w:tcW w:w="2900" w:type="dxa"/>
            <w:vAlign w:val="bottom"/>
          </w:tcPr>
          <w:p>
            <w:pPr>
              <w:jc w:val="right"/>
              <w:spacing w:after="0"/>
              <w:rPr>
                <w:sz w:val="20"/>
                <w:szCs w:val="20"/>
                <w:color w:val="auto"/>
              </w:rPr>
            </w:pPr>
            <w:r>
              <w:rPr>
                <w:rFonts w:ascii="Arial" w:cs="Arial" w:eastAsia="Arial" w:hAnsi="Arial"/>
                <w:sz w:val="13"/>
                <w:szCs w:val="13"/>
                <w:color w:val="0000FF"/>
              </w:rPr>
              <w:t>139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sz w:val="20"/>
                <w:szCs w:val="20"/>
                <w:color w:val="auto"/>
              </w:rPr>
            </w:pPr>
            <w:r>
              <w:rPr>
                <w:rFonts w:ascii="Arial" w:cs="Arial" w:eastAsia="Arial" w:hAnsi="Arial"/>
                <w:sz w:val="13"/>
                <w:szCs w:val="13"/>
                <w:color w:val="0000FF"/>
              </w:rPr>
              <w:t>143</w:t>
            </w:r>
          </w:p>
        </w:tc>
      </w:tr>
      <w:tr>
        <w:trPr>
          <w:trHeight w:val="584"/>
        </w:trPr>
        <w:tc>
          <w:tcPr>
            <w:tcW w:w="8340" w:type="dxa"/>
            <w:vAlign w:val="bottom"/>
          </w:tcPr>
          <w:p>
            <w:pPr>
              <w:ind w:left="5580"/>
              <w:spacing w:after="0"/>
              <w:rPr>
                <w:sz w:val="20"/>
                <w:szCs w:val="20"/>
                <w:color w:val="auto"/>
              </w:rPr>
            </w:pPr>
            <w:r>
              <w:rPr>
                <w:rFonts w:ascii="Arial" w:cs="Arial" w:eastAsia="Arial" w:hAnsi="Arial"/>
                <w:sz w:val="13"/>
                <w:szCs w:val="13"/>
                <w:color w:val="auto"/>
              </w:rPr>
              <w:t>1</w:t>
            </w:r>
          </w:p>
        </w:tc>
        <w:tc>
          <w:tcPr>
            <w:tcW w:w="2900" w:type="dxa"/>
            <w:vAlign w:val="bottom"/>
          </w:tcPr>
          <w:p>
            <w:pPr>
              <w:spacing w:after="0"/>
              <w:rPr>
                <w:sz w:val="24"/>
                <w:szCs w:val="24"/>
                <w:color w:val="auto"/>
              </w:rPr>
            </w:pPr>
          </w:p>
        </w:tc>
      </w:tr>
    </w:tbl>
    <w:p>
      <w:pPr>
        <w:sectPr>
          <w:pgSz w:w="11900" w:h="16838" w:orient="portrait"/>
          <w:cols w:equalWidth="0" w:num="1">
            <w:col w:w="11260"/>
          </w:cols>
          <w:pgMar w:left="300" w:top="88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8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Linda Grais (American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Anne Whitaker (American – Non-Executive)</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06"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 Dublin Landings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3"/>
          <w:szCs w:val="13"/>
          <w:color w:val="auto"/>
        </w:rPr>
        <w:t>White &amp; Case LLP</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1221 Avenue of the Americas</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10020-1095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889"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Park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383 Madison Avenue</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10179</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889"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2024.</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2024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139 to 142 of this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public limited company (“ICON plc”) is a contract research organisation (“CRO”), founded in Dublin, Ireland in 1990. For over thirty years we have grown significantly to become a global provider of outsourced development and services to pharmaceutical, biotechnology, medical device and government and public health organisations. Our mission is to improve the lives of patients by accelerating the development of our customers’ drugs and devices through innovative solutions.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ICON is a global provider of outsourced development and commercialisation services to pharmaceutical, biotechnology, medical device, and government and public health organisations. We offer a full range of clinical, consulting and commercial services that range from clinical development strategy, planning and trial design, to full study execution, and post-market commercialisation. ICON provides its services across a range of clinical outsourcing operating models including strategic partnerships, preferred provider, full-service delivery to functional service provision and stand-alone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104775</wp:posOffset>
            </wp:positionV>
            <wp:extent cx="4608195" cy="2202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0819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889"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specialise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continue to invest in technology and data analytics capabilities.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maintains a sustained focus on research and development. We continue to enhance our portfolio of data solutions and decentralised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At 31 December 2024, we employed approximately 41,900 employees in 106 locations in 55 countries. During the year ended 31 December 2024, we derived approximately 36.0%, 52.6% and 11.4% of our revenue in the United States, Europe and Rest of World, respectively.</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have achieved strong growth since our foundation in 1990, as a global provider of outsourced development and commercialisation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recognised as one of the world's leading CROs through a number of high-profile industry awards (see www.iconplc.com/awards).</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 We believe innovation in the biopharma sector has been fuelled by recent advances in technology, improving scientific profiles of drug targets, and increasing the pipeline of quality assets that can be investigated for further development. This provides biopharma companies an opportunity to strengthen their development pipeline with promising drug candidates, particularly those that are facing challenging patent expiries to their current marketed products.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believe regulatory and reimbursement pressures will increase the emphasis on late stage (post marketing) research, while increasing requirements to demonstrate the economic value of new treatments.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outsourced development partners.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expect that continued outsourcing will be a core strategy of clients in the near and mid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clinical development models. More recently we have seen the increasing adoption of this reduced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0" w:lineRule="exact"/>
        <w:rPr>
          <w:sz w:val="20"/>
          <w:szCs w:val="20"/>
          <w:color w:val="auto"/>
        </w:rPr>
      </w:pPr>
    </w:p>
    <w:p>
      <w:pPr>
        <w:spacing w:after="0" w:line="32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889"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106045</wp:posOffset>
            </wp:positionV>
            <wp:extent cx="4608195" cy="2284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228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Access &amp; Engagement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Accellacare is ICON's global clinical research network offering customers a wide range of stand-alone and integrated solutions at site or in patients' homes as part of decentralised trials. Our patient centric approach accelerates study start-up and increases patient recruitment and retention for the pharmaceutical, biotechnology and medical device industries.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and retention. Accellacare In-Home Services has experience in more than 500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Accellacare Site Network encompasses 21 owned/embedded sites across the US, UK and Spain as well as a number of collaboration agreements with other sites. Accellacare offers a quality focused clinical research infrastructure delivering value and benefits to sponsors. Accellacare supports customers with faster start-up and the time from site selection to site initiation visit when compared to other sites. Furthermore, Accellacare achieves on average more patients per site when compared to other sites.</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889"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2024, Accellacare Site Network further optimised its site partnerships and focused on enhancing capabilities within its US locations with a continued focus on Central nervous system (CNS) capabilities. This included onboarding two new CNS specialist sites in California.</w:t>
      </w:r>
    </w:p>
    <w:p>
      <w:pPr>
        <w:spacing w:after="0" w:line="167"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In 2024, the Elite Sites, ICON's dedicated program for top-tier site networks, was designed to offer an infrastructure for those networks who have set themselves apart. These networks have been selected for their high-performance quality, consistency with faster start-up, and ability to meet or exceed recruitment commitments. With the use of ICON’s Elite Site program, the aim is for clients to increase reliability with delivery, reduce site or country footprint, shorten overall study timelines and ultimately get drugs to market faster. ICON Elite Sites have been selected to align with a few key therapeutic areas – Oncology, Neurosciences, and Gastrointestinal/ Non-alcoholic steatohepatitis (NASH) in which these networks have shown the ability to be true differentiators for our clients and study teams. The ICON Elite Sites program has a global reach, including 3 networks presently, and will continue to expand to best support our clients.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ICON's site networks enhance our ability to enrol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visualisation and tools necessary for optimum site identification based on ICON and industry data of capability, experience and performance. Scoring on enrolment performance, speed of start-up and quality supports better site selection.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 and employer of choice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is an award-winning workplace that enables our employees to make a difference to patients’ lives by being part of a world-class clinical research organisation that helps deliver new medicines &amp; medical devices that are benefiting patients worldwide.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global team of over 41,900 is united in purpose, working together in an inclusive environment to help solve some of the world’s most complex healthcare challenges. We value integrity, inclusion, collaboration and agility, which together form our ‘Own it’ culture that fosters innovative ideas and a vibrant workplace.</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success depends on the knowledge, skills and calibre of our people. That’s why we are committed to developing a continuous learning culture – one where we challenge employees with engaging work and where every experience adds to their professional development.</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Through our industry leading learning management system, internally developed professional development programs and partnerships with leading academic institutions, employees are encouraged to broaden their scientific, technical and business knowledge.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Employees also have access to tools that will help them develop the skills to support their career aspirations. With a strong emphasis on personal and professional development, ICON equips employees with the skills, knowledge and expertise to navigate and succeed in a dynamic work environment. At ICON, we provide growth opportunities for every stage of an employee’s career, empowering them to progress and reach new heights.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offer competitive total rewards packages that are designed with employee health, wealth and well-being in mind. Fair and equitable pay is core to our reward ethos, and we celebrate and reward high performance. Our benefits are focused on well-being and work-life balance for employees and their family.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From training and development programs to mentorship and coaching, we're committed to helping our employees reach their full potential.</w:t>
      </w:r>
    </w:p>
    <w:p>
      <w:pPr>
        <w:spacing w:after="0" w:line="3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88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Enduring customer partnerships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54"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1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(Accellacare), and consider our expertise and offering in this area as one of our strategic pillars.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Healthcare intelligence and applied innovation</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ICON’s proprietary One Search tool helps to efficiently and effectively identify optimum trial sites. It synthesises multiple data sources, applying AI machine learning and rich data visualisation for optimum site identification, resulting in improved study start-up and site cycle times, significant reductions in the percentage of low performing sites and increasing the percentage of studies meeting planned First Patient In (FPI).</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behaviour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ICON Patient Engagement Platform was developed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889"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establishes connection with the site and the patient can then choose to contact the site or ask to be contacted for pre-screening.</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quality and delivery</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principal activity of the Company is to act as a holding Company. The Company also operates branch offices: ICON Poland in Warsaw, ICON Latvia in Riga and ICON Lithuania in Vilnius. These branches provide contract research services to the pharmaceutical industry.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activity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Recent investments, which continue to strengthen our service offerings to meet the needs of our customers include: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On 19 August 2024, the Company acquired the KCR S.A Group ("KCR"), a CRO offering full service and functional services partnership ("FSP") clinical trial services.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On 9 January 2024, the Company acquired HumanFirst, Inc. ("HumanFirst"), a life sciences technology company.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 October 2023, the Company acquired 100% of the equity of BioTel Research, LLC which comprised the business formerly known as Philips Pharma Solutions, a leading provider of medical imaging and cardiac safety monitoring services.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20 April 2023, the Company completed the purchase of the majority investor's 51% voting share capital of Oncacare Limited (such that Oncacare and its subsidiaries became wholly-owned subsidiaries of the ICON Group), a global network of oncology research sites that provide a unique patient recruitment and delivery solution for the clinical research industry.</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ICON, merged with and into PRA Health Sciences, Inc., the parent of PRA Health Sciences ("the Acquisition" and "the Merger").</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With approximately 41,900 employees across the globe,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889"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598805</wp:posOffset>
            </wp:positionV>
            <wp:extent cx="5881370" cy="3267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1370" cy="326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2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159"/>
          </w:cols>
          <w:pgMar w:left="300" w:top="889"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results for the financial year and state of affairs of the Group are set out in the Consolidated Statement of Profit and Loss, the Consolidated Statement of Comprehensive Income, the Consolidated Statement of Financial Position, the Consolidated Statement of Changes in Equity and the Consolidated Statement of Cash Flows on pages 36 to 41 respectively. The Directors do not propose the payment of a dividend for the year ended 31 December 2024.</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comparable period, being the key performance indicators used by management. The trends illustrated in the following table may not be indicative of future results.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w w:val="99"/>
              </w:rPr>
              <w:t>31 December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Percentage</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80" w:type="dxa"/>
            <w:vAlign w:val="bottom"/>
            <w:vMerge w:val="continue"/>
            <w:shd w:val="clear" w:color="auto" w:fill="CCEEFF"/>
          </w:tcPr>
          <w:p>
            <w:pPr>
              <w:spacing w:after="0" w:line="20" w:lineRule="exact"/>
              <w:rPr>
                <w:sz w:val="1"/>
                <w:szCs w:val="1"/>
                <w:color w:val="auto"/>
              </w:rPr>
            </w:pPr>
          </w:p>
        </w:tc>
        <w:tc>
          <w:tcPr>
            <w:tcW w:w="1180" w:type="dxa"/>
            <w:vAlign w:val="bottom"/>
            <w:vMerge w:val="continue"/>
            <w:shd w:val="clear" w:color="auto" w:fill="CCEEFF"/>
          </w:tcPr>
          <w:p>
            <w:pPr>
              <w:spacing w:after="0" w:line="20" w:lineRule="exact"/>
              <w:rPr>
                <w:sz w:val="1"/>
                <w:szCs w:val="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increase/decrease</w:t>
            </w: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2024</w:t>
            </w:r>
          </w:p>
        </w:tc>
        <w:tc>
          <w:tcPr>
            <w:tcW w:w="11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2023</w:t>
            </w: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3"/>
                <w:szCs w:val="13"/>
                <w:b w:val="1"/>
                <w:bCs w:val="1"/>
                <w:color w:val="auto"/>
              </w:rPr>
              <w:t>As a percentage of revenue</w:t>
            </w: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106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100.0 %</w:t>
            </w:r>
          </w:p>
        </w:tc>
        <w:tc>
          <w:tcPr>
            <w:tcW w:w="11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100 %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96"/>
              </w:rPr>
              <w:t>Costs and expenses</w:t>
            </w:r>
          </w:p>
        </w:tc>
        <w:tc>
          <w:tcPr>
            <w:tcW w:w="4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 costs excluding exceptional items</w:t>
            </w:r>
          </w:p>
        </w:tc>
        <w:tc>
          <w:tcPr>
            <w:tcW w:w="106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70.6 %</w:t>
            </w:r>
          </w:p>
        </w:tc>
        <w:tc>
          <w:tcPr>
            <w:tcW w:w="11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70.4 %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0" w:type="dxa"/>
            <w:vAlign w:val="bottom"/>
            <w:gridSpan w:val="2"/>
          </w:tcPr>
          <w:p>
            <w:pPr>
              <w:spacing w:after="0"/>
              <w:rPr>
                <w:sz w:val="20"/>
                <w:szCs w:val="20"/>
                <w:color w:val="auto"/>
              </w:rPr>
            </w:pPr>
            <w:r>
              <w:rPr>
                <w:rFonts w:ascii="Arial" w:cs="Arial" w:eastAsia="Arial" w:hAnsi="Arial"/>
                <w:sz w:val="13"/>
                <w:szCs w:val="13"/>
                <w:color w:val="auto"/>
              </w:rPr>
              <w:t>Other operating expenses excluding exceptional items</w:t>
            </w:r>
          </w:p>
        </w:tc>
        <w:tc>
          <w:tcPr>
            <w:tcW w:w="1060" w:type="dxa"/>
            <w:vAlign w:val="bottom"/>
          </w:tcPr>
          <w:p>
            <w:pPr>
              <w:spacing w:after="0"/>
              <w:rPr>
                <w:sz w:val="14"/>
                <w:szCs w:val="14"/>
                <w:color w:val="auto"/>
              </w:rPr>
            </w:pPr>
          </w:p>
        </w:tc>
        <w:tc>
          <w:tcPr>
            <w:tcW w:w="1880" w:type="dxa"/>
            <w:vAlign w:val="bottom"/>
          </w:tcPr>
          <w:p>
            <w:pPr>
              <w:jc w:val="right"/>
              <w:ind w:right="796"/>
              <w:spacing w:after="0"/>
              <w:rPr>
                <w:sz w:val="20"/>
                <w:szCs w:val="20"/>
                <w:color w:val="auto"/>
              </w:rPr>
            </w:pPr>
            <w:r>
              <w:rPr>
                <w:rFonts w:ascii="Arial" w:cs="Arial" w:eastAsia="Arial" w:hAnsi="Arial"/>
                <w:sz w:val="13"/>
                <w:szCs w:val="13"/>
                <w:b w:val="1"/>
                <w:bCs w:val="1"/>
                <w:color w:val="auto"/>
              </w:rPr>
              <w:t>14.6 %</w:t>
            </w:r>
          </w:p>
        </w:tc>
        <w:tc>
          <w:tcPr>
            <w:tcW w:w="1180" w:type="dxa"/>
            <w:vAlign w:val="bottom"/>
          </w:tcPr>
          <w:p>
            <w:pPr>
              <w:jc w:val="right"/>
              <w:ind w:right="316"/>
              <w:spacing w:after="0"/>
              <w:rPr>
                <w:sz w:val="20"/>
                <w:szCs w:val="20"/>
                <w:color w:val="auto"/>
              </w:rPr>
            </w:pPr>
            <w:r>
              <w:rPr>
                <w:rFonts w:ascii="Arial" w:cs="Arial" w:eastAsia="Arial" w:hAnsi="Arial"/>
                <w:sz w:val="13"/>
                <w:szCs w:val="13"/>
                <w:color w:val="auto"/>
              </w:rPr>
              <w:t>16.6 %</w:t>
            </w:r>
          </w:p>
        </w:tc>
        <w:tc>
          <w:tcPr>
            <w:tcW w:w="13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profit excluding exceptional items</w:t>
            </w:r>
          </w:p>
        </w:tc>
        <w:tc>
          <w:tcPr>
            <w:tcW w:w="106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14.8 %</w:t>
            </w:r>
          </w:p>
        </w:tc>
        <w:tc>
          <w:tcPr>
            <w:tcW w:w="11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13.0 %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0" w:type="dxa"/>
            <w:vAlign w:val="bottom"/>
            <w:gridSpan w:val="2"/>
          </w:tcPr>
          <w:p>
            <w:pPr>
              <w:spacing w:after="0"/>
              <w:rPr>
                <w:sz w:val="20"/>
                <w:szCs w:val="20"/>
                <w:color w:val="auto"/>
              </w:rPr>
            </w:pPr>
            <w:r>
              <w:rPr>
                <w:rFonts w:ascii="Arial" w:cs="Arial" w:eastAsia="Arial" w:hAnsi="Arial"/>
                <w:sz w:val="13"/>
                <w:szCs w:val="13"/>
                <w:color w:val="auto"/>
              </w:rPr>
              <w:t>Transaction and integration related expenses</w:t>
            </w:r>
          </w:p>
        </w:tc>
        <w:tc>
          <w:tcPr>
            <w:tcW w:w="1060" w:type="dxa"/>
            <w:vAlign w:val="bottom"/>
          </w:tcPr>
          <w:p>
            <w:pPr>
              <w:spacing w:after="0"/>
              <w:rPr>
                <w:sz w:val="14"/>
                <w:szCs w:val="14"/>
                <w:color w:val="auto"/>
              </w:rPr>
            </w:pPr>
          </w:p>
        </w:tc>
        <w:tc>
          <w:tcPr>
            <w:tcW w:w="1880" w:type="dxa"/>
            <w:vAlign w:val="bottom"/>
          </w:tcPr>
          <w:p>
            <w:pPr>
              <w:jc w:val="right"/>
              <w:ind w:right="796"/>
              <w:spacing w:after="0"/>
              <w:rPr>
                <w:sz w:val="20"/>
                <w:szCs w:val="20"/>
                <w:color w:val="auto"/>
              </w:rPr>
            </w:pPr>
            <w:r>
              <w:rPr>
                <w:rFonts w:ascii="Arial" w:cs="Arial" w:eastAsia="Arial" w:hAnsi="Arial"/>
                <w:sz w:val="13"/>
                <w:szCs w:val="13"/>
                <w:b w:val="1"/>
                <w:bCs w:val="1"/>
                <w:color w:val="auto"/>
              </w:rPr>
              <w:t>0.4 %</w:t>
            </w:r>
          </w:p>
        </w:tc>
        <w:tc>
          <w:tcPr>
            <w:tcW w:w="1180" w:type="dxa"/>
            <w:vAlign w:val="bottom"/>
          </w:tcPr>
          <w:p>
            <w:pPr>
              <w:jc w:val="right"/>
              <w:ind w:right="316"/>
              <w:spacing w:after="0"/>
              <w:rPr>
                <w:sz w:val="20"/>
                <w:szCs w:val="20"/>
                <w:color w:val="auto"/>
              </w:rPr>
            </w:pPr>
            <w:r>
              <w:rPr>
                <w:rFonts w:ascii="Arial" w:cs="Arial" w:eastAsia="Arial" w:hAnsi="Arial"/>
                <w:sz w:val="13"/>
                <w:szCs w:val="13"/>
                <w:color w:val="auto"/>
              </w:rPr>
              <w:t>0.5 %</w:t>
            </w:r>
          </w:p>
        </w:tc>
        <w:tc>
          <w:tcPr>
            <w:tcW w:w="132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expenses</w:t>
            </w:r>
          </w:p>
        </w:tc>
        <w:tc>
          <w:tcPr>
            <w:tcW w:w="106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1.1 %</w:t>
            </w:r>
          </w:p>
        </w:tc>
        <w:tc>
          <w:tcPr>
            <w:tcW w:w="11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0.6 %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103.0 %</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Operating profit including exceptional items</w:t>
            </w: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13.3 %</w:t>
            </w: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11.9 %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3"/>
                <w:szCs w:val="13"/>
                <w:b w:val="1"/>
                <w:bCs w:val="1"/>
                <w:color w:val="auto"/>
                <w:w w:val="98"/>
              </w:rPr>
              <w:t>Twelve months ended 31 December 2024 compared to twelve months ended 31 December 2023</w:t>
            </w: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Revenue</w:t>
            </w: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4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31 December</w:t>
            </w:r>
          </w:p>
        </w:tc>
        <w:tc>
          <w:tcPr>
            <w:tcW w:w="1880" w:type="dxa"/>
            <w:vAlign w:val="bottom"/>
            <w:shd w:val="clear" w:color="auto" w:fill="CCEEFF"/>
          </w:tcPr>
          <w:p>
            <w:pPr>
              <w:jc w:val="right"/>
              <w:ind w:right="516"/>
              <w:spacing w:after="0" w:line="128" w:lineRule="exact"/>
              <w:rPr>
                <w:sz w:val="20"/>
                <w:szCs w:val="20"/>
                <w:color w:val="auto"/>
              </w:rPr>
            </w:pPr>
            <w:r>
              <w:rPr>
                <w:rFonts w:ascii="Arial" w:cs="Arial" w:eastAsia="Arial" w:hAnsi="Arial"/>
                <w:sz w:val="13"/>
                <w:szCs w:val="13"/>
                <w:color w:val="auto"/>
              </w:rPr>
              <w:t>31 December</w:t>
            </w:r>
          </w:p>
        </w:tc>
        <w:tc>
          <w:tcPr>
            <w:tcW w:w="1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6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2024</w:t>
            </w: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2023</w:t>
            </w:r>
          </w:p>
        </w:tc>
        <w:tc>
          <w:tcPr>
            <w:tcW w:w="1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880" w:type="dxa"/>
            <w:vAlign w:val="bottom"/>
          </w:tcPr>
          <w:p>
            <w:pPr>
              <w:jc w:val="right"/>
              <w:ind w:right="516"/>
              <w:spacing w:after="0"/>
              <w:rPr>
                <w:sz w:val="20"/>
                <w:szCs w:val="20"/>
                <w:color w:val="auto"/>
              </w:rPr>
            </w:pPr>
            <w:r>
              <w:rPr>
                <w:rFonts w:ascii="Arial" w:cs="Arial" w:eastAsia="Arial" w:hAnsi="Arial"/>
                <w:sz w:val="13"/>
                <w:szCs w:val="13"/>
                <w:color w:val="auto"/>
              </w:rPr>
              <w:t>$’000</w:t>
            </w:r>
          </w:p>
        </w:tc>
        <w:tc>
          <w:tcPr>
            <w:tcW w:w="1180" w:type="dxa"/>
            <w:vAlign w:val="bottom"/>
          </w:tcPr>
          <w:p>
            <w:pPr>
              <w:jc w:val="right"/>
              <w:ind w:right="216"/>
              <w:spacing w:after="0"/>
              <w:rPr>
                <w:sz w:val="20"/>
                <w:szCs w:val="20"/>
                <w:color w:val="auto"/>
              </w:rPr>
            </w:pPr>
            <w:r>
              <w:rPr>
                <w:rFonts w:ascii="Arial" w:cs="Arial" w:eastAsia="Arial" w:hAnsi="Arial"/>
                <w:sz w:val="13"/>
                <w:szCs w:val="13"/>
                <w:color w:val="auto"/>
              </w:rPr>
              <w:t>$’000</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5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8,281,676</w:t>
            </w: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8,120,176</w:t>
            </w:r>
          </w:p>
        </w:tc>
        <w:tc>
          <w:tcPr>
            <w:tcW w:w="11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161,500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Revenue for the year ended 31 December 2024 increased by $161.5 million, or 2.0%, to $8,281.7 million from $8,120.2 million for the year ended 31 December 2023. The increase in revenues in the year ended 31 December 2024 is due to the Company's acquisitions and organic growth.</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 ended 31 December 2024 we derived approximately 36.0%, 52.6% and 11.4% of our revenue in the United States, Europe and Rest of World, respectively. Revenues from our top five customers amounted to $2,071.4 million in the year ended 31 December 2024 compared to $2,174.8 million in the year ended 31 December 2023 or 25.0% and 26.8% respectively. New customer accounts are continually added across the full portfolio of large pharma customer, mid-tier pharma customers and biotech customers.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Revenue in Ireland increased by $415.9 million in the year ended 31 December 2024, to $2,793.0 million, compared to $2,377.1 million for the year ended 31 December 2023. Revenue in Ireland during the year ended 31 December 2024 increased by 17.5% compared to an overall increase in Group revenue of 2.0%. Revenue in Ireland is principally a function of our global contracting model (see </w:t>
      </w:r>
      <w:r>
        <w:rPr>
          <w:rFonts w:ascii="Arial" w:cs="Arial" w:eastAsia="Arial" w:hAnsi="Arial"/>
          <w:sz w:val="13"/>
          <w:szCs w:val="13"/>
          <w:i w:val="1"/>
          <w:iCs w:val="1"/>
          <w:color w:val="auto"/>
        </w:rPr>
        <w:t>note 2 - Segmental information)</w:t>
      </w:r>
      <w:r>
        <w:rPr>
          <w:rFonts w:ascii="Arial" w:cs="Arial" w:eastAsia="Arial" w:hAnsi="Arial"/>
          <w:sz w:val="13"/>
          <w:szCs w:val="13"/>
          <w:color w:val="auto"/>
        </w:rPr>
        <w:t>.</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Revenue in the Rest of Europe decreased by $14.1 million or 0.9%, to $1,560.7 million, compared to $1,574.8 million for the year ended 31 December 2023. Revenue in the U.S. decreased by $298.5 million or 9.1%, to $2,985.3 million, compared to $3,283.8 million for the year ended 31 December 2023. Revenue in our Rest of World (‘Other’) region increased by $58.1 million or 6.6%, to $942.6 million compared to $884.5 million for the year ended 31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88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shd w:val="clear" w:color="auto" w:fill="CCEEFF"/>
          </w:tcPr>
          <w:p>
            <w:pPr>
              <w:spacing w:after="0"/>
              <w:rPr>
                <w:sz w:val="13"/>
                <w:szCs w:val="13"/>
                <w:color w:val="auto"/>
              </w:rPr>
            </w:pPr>
          </w:p>
        </w:tc>
        <w:tc>
          <w:tcPr>
            <w:tcW w:w="37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31 December</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3300" w:type="dxa"/>
            <w:vAlign w:val="bottom"/>
            <w:tcBorders>
              <w:bottom w:val="single" w:sz="8" w:color="auto"/>
            </w:tcBorders>
            <w:shd w:val="clear" w:color="auto" w:fill="CCEEFF"/>
          </w:tcPr>
          <w:p>
            <w:pPr>
              <w:spacing w:after="0"/>
              <w:rPr>
                <w:sz w:val="14"/>
                <w:szCs w:val="14"/>
                <w:color w:val="auto"/>
              </w:rPr>
            </w:pPr>
          </w:p>
        </w:tc>
        <w:tc>
          <w:tcPr>
            <w:tcW w:w="37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2024</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2023</w:t>
            </w: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376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376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5,845,022</w:t>
            </w:r>
          </w:p>
        </w:tc>
        <w:tc>
          <w:tcPr>
            <w:tcW w:w="16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5,719,025</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125,997</w:t>
            </w:r>
          </w:p>
        </w:tc>
        <w:tc>
          <w:tcPr>
            <w:tcW w:w="0" w:type="dxa"/>
            <w:vAlign w:val="bottom"/>
          </w:tcPr>
          <w:p>
            <w:pPr>
              <w:spacing w:after="0"/>
              <w:rPr>
                <w:sz w:val="1"/>
                <w:szCs w:val="1"/>
                <w:color w:val="auto"/>
              </w:rPr>
            </w:pPr>
          </w:p>
        </w:tc>
      </w:tr>
      <w:tr>
        <w:trPr>
          <w:trHeight w:val="17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of revenue</w:t>
            </w:r>
          </w:p>
        </w:tc>
        <w:tc>
          <w:tcPr>
            <w:tcW w:w="37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70.6 %</w:t>
            </w: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70.4 %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Direct costs for the year ended 31 December 2024 increased by $126.0 million or 2.2%, to $5,845.0 million from $5,719.0 million for the year ended 31 December 2023. Direct costs consist primarily of investigator and other reimbursable costs, compensation, associated fringe benefits and share-based compensation expense for project-related employees and other direct project driven costs. The increase in direct costs arose due to an increase in third party investigator/other reimbursable costs and laboratories partially offset by decreases in personnel related costs, travel and other direct project driven costs. As a percentage of revenue, direct costs have increased to 70.6% compared to 70.4% for the year ended 31 December 2023.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 December</w:t>
            </w:r>
          </w:p>
        </w:tc>
        <w:tc>
          <w:tcPr>
            <w:tcW w:w="18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31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2024</w:t>
            </w:r>
          </w:p>
        </w:tc>
        <w:tc>
          <w:tcPr>
            <w:tcW w:w="18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2023</w:t>
            </w: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60" w:type="dxa"/>
            <w:vAlign w:val="bottom"/>
          </w:tcPr>
          <w:p>
            <w:pPr>
              <w:ind w:left="20"/>
              <w:spacing w:after="0"/>
              <w:rPr>
                <w:sz w:val="20"/>
                <w:szCs w:val="20"/>
                <w:color w:val="auto"/>
              </w:rPr>
            </w:pPr>
            <w:r>
              <w:rPr>
                <w:rFonts w:ascii="Arial" w:cs="Arial" w:eastAsia="Arial" w:hAnsi="Arial"/>
                <w:sz w:val="13"/>
                <w:szCs w:val="13"/>
                <w:color w:val="auto"/>
              </w:rPr>
              <w:t>Other operating expenses excluding exceptional items ($'000)</w:t>
            </w:r>
          </w:p>
        </w:tc>
        <w:tc>
          <w:tcPr>
            <w:tcW w:w="2980" w:type="dxa"/>
            <w:vAlign w:val="bottom"/>
          </w:tcPr>
          <w:p>
            <w:pPr>
              <w:jc w:val="right"/>
              <w:ind w:right="616"/>
              <w:spacing w:after="0"/>
              <w:rPr>
                <w:sz w:val="20"/>
                <w:szCs w:val="20"/>
                <w:color w:val="auto"/>
              </w:rPr>
            </w:pPr>
            <w:r>
              <w:rPr>
                <w:rFonts w:ascii="Arial" w:cs="Arial" w:eastAsia="Arial" w:hAnsi="Arial"/>
                <w:sz w:val="13"/>
                <w:szCs w:val="13"/>
                <w:b w:val="1"/>
                <w:bCs w:val="1"/>
                <w:color w:val="auto"/>
              </w:rPr>
              <w:t>1,212,972</w:t>
            </w:r>
          </w:p>
        </w:tc>
        <w:tc>
          <w:tcPr>
            <w:tcW w:w="1860" w:type="dxa"/>
            <w:vAlign w:val="bottom"/>
          </w:tcPr>
          <w:p>
            <w:pPr>
              <w:jc w:val="right"/>
              <w:ind w:right="656"/>
              <w:spacing w:after="0"/>
              <w:rPr>
                <w:sz w:val="20"/>
                <w:szCs w:val="20"/>
                <w:color w:val="auto"/>
              </w:rPr>
            </w:pPr>
            <w:r>
              <w:rPr>
                <w:rFonts w:ascii="Arial" w:cs="Arial" w:eastAsia="Arial" w:hAnsi="Arial"/>
                <w:sz w:val="13"/>
                <w:szCs w:val="13"/>
                <w:color w:val="auto"/>
              </w:rPr>
              <w:t>1,347,694</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(134,722)</w:t>
            </w: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9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14.6 %</w:t>
            </w:r>
          </w:p>
        </w:tc>
        <w:tc>
          <w:tcPr>
            <w:tcW w:w="18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16.6 %</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Other operating expenses including exceptional items ($'000)</w:t>
            </w:r>
          </w:p>
        </w:tc>
        <w:tc>
          <w:tcPr>
            <w:tcW w:w="2980" w:type="dxa"/>
            <w:vAlign w:val="bottom"/>
          </w:tcPr>
          <w:p>
            <w:pPr>
              <w:jc w:val="right"/>
              <w:ind w:right="616"/>
              <w:spacing w:after="0"/>
              <w:rPr>
                <w:sz w:val="20"/>
                <w:szCs w:val="20"/>
                <w:color w:val="auto"/>
              </w:rPr>
            </w:pPr>
            <w:r>
              <w:rPr>
                <w:rFonts w:ascii="Arial" w:cs="Arial" w:eastAsia="Arial" w:hAnsi="Arial"/>
                <w:sz w:val="13"/>
                <w:szCs w:val="13"/>
                <w:b w:val="1"/>
                <w:bCs w:val="1"/>
                <w:color w:val="auto"/>
              </w:rPr>
              <w:t>1,334,669</w:t>
            </w:r>
          </w:p>
        </w:tc>
        <w:tc>
          <w:tcPr>
            <w:tcW w:w="1860" w:type="dxa"/>
            <w:vAlign w:val="bottom"/>
          </w:tcPr>
          <w:p>
            <w:pPr>
              <w:jc w:val="right"/>
              <w:ind w:right="656"/>
              <w:spacing w:after="0"/>
              <w:rPr>
                <w:sz w:val="20"/>
                <w:szCs w:val="20"/>
                <w:color w:val="auto"/>
              </w:rPr>
            </w:pPr>
            <w:r>
              <w:rPr>
                <w:rFonts w:ascii="Arial" w:cs="Arial" w:eastAsia="Arial" w:hAnsi="Arial"/>
                <w:sz w:val="13"/>
                <w:szCs w:val="13"/>
                <w:color w:val="auto"/>
              </w:rPr>
              <w:t>1,437,260</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(102,591)</w:t>
            </w:r>
          </w:p>
        </w:tc>
        <w:tc>
          <w:tcPr>
            <w:tcW w:w="0" w:type="dxa"/>
            <w:vAlign w:val="bottom"/>
          </w:tcPr>
          <w:p>
            <w:pPr>
              <w:spacing w:after="0"/>
              <w:rPr>
                <w:sz w:val="1"/>
                <w:szCs w:val="1"/>
                <w:color w:val="auto"/>
              </w:rPr>
            </w:pPr>
          </w:p>
        </w:tc>
      </w:tr>
      <w:tr>
        <w:trPr>
          <w:trHeight w:val="17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9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16.1 %</w:t>
            </w:r>
          </w:p>
        </w:tc>
        <w:tc>
          <w:tcPr>
            <w:tcW w:w="18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17.7 %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Other operating expenses (excluding exceptional items) for the year ended 31 December 2024 decreased by $134.7 million, or 10.0%, to $1,213.0 million compared to $1,347.7 million for the year ended 31 December 2023. Other operating expenses comprise primarily of compensation, related fringe benefits and routine share based compensation expense for non-project-related employees, recruitment expenditures, professional service costs, advertising costs, costs related to facilities and information systems, depreciation and amortisation. As a percentage of revenue, other operating expenses (excluding exceptional items) decreased to 14.6% of revenue, compared to 16.6% of revenue for the year ended 31 December 2023. The decrease in costs for the year ended 31 December 2024 primarily reflects decreases in personnel costs, facilities costs, amortisation, and favourable foreign exchange movements ($31.0 million) offset by increases in general overhead, professional fees, marketing costs and depreciation.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 - Restructuring, transaction and integration-related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shd w:val="clear" w:color="auto" w:fill="CCEEFF"/>
          </w:tcPr>
          <w:p>
            <w:pPr>
              <w:spacing w:after="0"/>
              <w:rPr>
                <w:sz w:val="12"/>
                <w:szCs w:val="12"/>
                <w:color w:val="auto"/>
              </w:rPr>
            </w:pP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 December</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31 December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2024</w:t>
            </w: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2023</w:t>
            </w: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Arial" w:cs="Arial" w:eastAsia="Arial" w:hAnsi="Arial"/>
                <w:sz w:val="13"/>
                <w:szCs w:val="13"/>
                <w:color w:val="auto"/>
              </w:rPr>
              <w:t>Transaction and integration related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29,574</w:t>
            </w:r>
          </w:p>
        </w:tc>
        <w:tc>
          <w:tcPr>
            <w:tcW w:w="1840" w:type="dxa"/>
            <w:vAlign w:val="bottom"/>
          </w:tcPr>
          <w:p>
            <w:pPr>
              <w:jc w:val="right"/>
              <w:ind w:right="636"/>
              <w:spacing w:after="0"/>
              <w:rPr>
                <w:sz w:val="20"/>
                <w:szCs w:val="20"/>
                <w:color w:val="auto"/>
              </w:rPr>
            </w:pPr>
            <w:r>
              <w:rPr>
                <w:rFonts w:ascii="Arial" w:cs="Arial" w:eastAsia="Arial" w:hAnsi="Arial"/>
                <w:sz w:val="13"/>
                <w:szCs w:val="13"/>
                <w:color w:val="auto"/>
              </w:rPr>
              <w:t>44,176</w:t>
            </w:r>
          </w:p>
        </w:tc>
        <w:tc>
          <w:tcPr>
            <w:tcW w:w="1160" w:type="dxa"/>
            <w:vAlign w:val="bottom"/>
          </w:tcPr>
          <w:p>
            <w:pPr>
              <w:jc w:val="right"/>
              <w:ind w:right="56"/>
              <w:spacing w:after="0"/>
              <w:rPr>
                <w:sz w:val="20"/>
                <w:szCs w:val="20"/>
                <w:color w:val="auto"/>
              </w:rPr>
            </w:pPr>
            <w:r>
              <w:rPr>
                <w:rFonts w:ascii="Arial" w:cs="Arial" w:eastAsia="Arial" w:hAnsi="Arial"/>
                <w:sz w:val="13"/>
                <w:szCs w:val="13"/>
                <w:color w:val="auto"/>
              </w:rPr>
              <w:t>(14,602)</w:t>
            </w: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0.4 %</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0.5 %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70"/>
        </w:trPr>
        <w:tc>
          <w:tcPr>
            <w:tcW w:w="4660" w:type="dxa"/>
            <w:vAlign w:val="bottom"/>
          </w:tcPr>
          <w:p>
            <w:pPr>
              <w:ind w:left="20"/>
              <w:spacing w:after="0"/>
              <w:rPr>
                <w:sz w:val="20"/>
                <w:szCs w:val="20"/>
                <w:color w:val="auto"/>
              </w:rPr>
            </w:pPr>
            <w:r>
              <w:rPr>
                <w:rFonts w:ascii="Arial" w:cs="Arial" w:eastAsia="Arial" w:hAnsi="Arial"/>
                <w:sz w:val="13"/>
                <w:szCs w:val="13"/>
                <w:color w:val="auto"/>
              </w:rPr>
              <w:t>Restructuring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92,123</w:t>
            </w:r>
          </w:p>
        </w:tc>
        <w:tc>
          <w:tcPr>
            <w:tcW w:w="1840" w:type="dxa"/>
            <w:vAlign w:val="bottom"/>
          </w:tcPr>
          <w:p>
            <w:pPr>
              <w:jc w:val="right"/>
              <w:ind w:right="636"/>
              <w:spacing w:after="0"/>
              <w:rPr>
                <w:sz w:val="20"/>
                <w:szCs w:val="20"/>
                <w:color w:val="auto"/>
              </w:rPr>
            </w:pPr>
            <w:r>
              <w:rPr>
                <w:rFonts w:ascii="Arial" w:cs="Arial" w:eastAsia="Arial" w:hAnsi="Arial"/>
                <w:sz w:val="13"/>
                <w:szCs w:val="13"/>
                <w:color w:val="auto"/>
              </w:rPr>
              <w:t>45,390</w:t>
            </w: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46,733</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1.1 %</w:t>
            </w: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0.6 %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ended 31 December 2024, the Group incurred $121.7 million for restructuring, transaction and integration-related expenses. The charge includes transaction and integration costs of $29.6 million associated with ongoing integration activities related to our recent acquisitions. Such costs include professional fees, legal costs and related integration costs offset by the remeasurement of liability-classified contingent consideration.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has also undertaken a restructuring program aimed at realigning its workforce as well as reviewing its global office footprint and optimising its locations to best fit the requirements of the Group. This program has resulted in a charge of $92.1 million in the year ended 31 December 2024. In the year ended 31 December 2023, a restructuring charge of $45.4 million was recognised. The restructuring plan reflects a workforce reduction of $74.5 million (31 December 2023: $34.1 million) and an office consolidation program to optimise the Company's office footprint of $17.6 million (31 December 2023: $11.3 million).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expect to incur some additional expenses associated with the Merger; however, the timing and the amount of these expenses depends on various factors including the execution of integration activities.</w:t>
      </w: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889"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3"/>
                <w:szCs w:val="13"/>
                <w:color w:val="auto"/>
              </w:rPr>
            </w:pPr>
          </w:p>
        </w:tc>
        <w:tc>
          <w:tcPr>
            <w:tcW w:w="3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9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31 December</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32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2024</w:t>
            </w:r>
          </w:p>
        </w:tc>
        <w:tc>
          <w:tcPr>
            <w:tcW w:w="19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2023</w:t>
            </w: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rPr>
                <w:sz w:val="20"/>
                <w:szCs w:val="20"/>
                <w:color w:val="auto"/>
              </w:rPr>
            </w:pPr>
            <w:r>
              <w:rPr>
                <w:rFonts w:ascii="Arial" w:cs="Arial" w:eastAsia="Arial" w:hAnsi="Arial"/>
                <w:sz w:val="13"/>
                <w:szCs w:val="13"/>
                <w:color w:val="auto"/>
              </w:rPr>
              <w:t>Operating profit excluding exceptional items ($'000)</w:t>
            </w:r>
          </w:p>
        </w:tc>
        <w:tc>
          <w:tcPr>
            <w:tcW w:w="3280" w:type="dxa"/>
            <w:vAlign w:val="bottom"/>
          </w:tcPr>
          <w:p>
            <w:pPr>
              <w:jc w:val="right"/>
              <w:ind w:right="596"/>
              <w:spacing w:after="0"/>
              <w:rPr>
                <w:sz w:val="20"/>
                <w:szCs w:val="20"/>
                <w:color w:val="auto"/>
              </w:rPr>
            </w:pPr>
            <w:r>
              <w:rPr>
                <w:rFonts w:ascii="Arial" w:cs="Arial" w:eastAsia="Arial" w:hAnsi="Arial"/>
                <w:sz w:val="13"/>
                <w:szCs w:val="13"/>
                <w:b w:val="1"/>
                <w:bCs w:val="1"/>
                <w:color w:val="auto"/>
              </w:rPr>
              <w:t>1,223,682</w:t>
            </w:r>
          </w:p>
        </w:tc>
        <w:tc>
          <w:tcPr>
            <w:tcW w:w="1900" w:type="dxa"/>
            <w:vAlign w:val="bottom"/>
          </w:tcPr>
          <w:p>
            <w:pPr>
              <w:jc w:val="right"/>
              <w:ind w:right="696"/>
              <w:spacing w:after="0"/>
              <w:rPr>
                <w:sz w:val="20"/>
                <w:szCs w:val="20"/>
                <w:color w:val="auto"/>
              </w:rPr>
            </w:pPr>
            <w:r>
              <w:rPr>
                <w:rFonts w:ascii="Arial" w:cs="Arial" w:eastAsia="Arial" w:hAnsi="Arial"/>
                <w:sz w:val="13"/>
                <w:szCs w:val="13"/>
                <w:color w:val="auto"/>
              </w:rPr>
              <w:t>1,053,457</w:t>
            </w: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170,225</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14.8 %</w:t>
            </w:r>
          </w:p>
        </w:tc>
        <w:tc>
          <w:tcPr>
            <w:tcW w:w="19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13.0 %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Operating profit including exceptional items ($'000)</w:t>
            </w:r>
          </w:p>
        </w:tc>
        <w:tc>
          <w:tcPr>
            <w:tcW w:w="3280" w:type="dxa"/>
            <w:vAlign w:val="bottom"/>
          </w:tcPr>
          <w:p>
            <w:pPr>
              <w:jc w:val="right"/>
              <w:ind w:right="596"/>
              <w:spacing w:after="0"/>
              <w:rPr>
                <w:sz w:val="20"/>
                <w:szCs w:val="20"/>
                <w:color w:val="auto"/>
              </w:rPr>
            </w:pPr>
            <w:r>
              <w:rPr>
                <w:rFonts w:ascii="Arial" w:cs="Arial" w:eastAsia="Arial" w:hAnsi="Arial"/>
                <w:sz w:val="13"/>
                <w:szCs w:val="13"/>
                <w:b w:val="1"/>
                <w:bCs w:val="1"/>
                <w:color w:val="auto"/>
              </w:rPr>
              <w:t>1,101,985</w:t>
            </w:r>
          </w:p>
        </w:tc>
        <w:tc>
          <w:tcPr>
            <w:tcW w:w="1900" w:type="dxa"/>
            <w:vAlign w:val="bottom"/>
          </w:tcPr>
          <w:p>
            <w:pPr>
              <w:jc w:val="right"/>
              <w:ind w:right="696"/>
              <w:spacing w:after="0"/>
              <w:rPr>
                <w:sz w:val="20"/>
                <w:szCs w:val="20"/>
                <w:color w:val="auto"/>
              </w:rPr>
            </w:pPr>
            <w:r>
              <w:rPr>
                <w:rFonts w:ascii="Arial" w:cs="Arial" w:eastAsia="Arial" w:hAnsi="Arial"/>
                <w:sz w:val="13"/>
                <w:szCs w:val="13"/>
                <w:color w:val="auto"/>
              </w:rPr>
              <w:t>963,891</w:t>
            </w: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138,094</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2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13.3 %</w:t>
            </w:r>
          </w:p>
        </w:tc>
        <w:tc>
          <w:tcPr>
            <w:tcW w:w="19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11.9 %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Operating profit (excluding exceptional items) increased by $170.2 million, or 16.2%, to $1,223.7 million ($1,102.0 million including exceptional items) for the year ended 31 December 2024 from $1,053.5 million for the year ended 31 December 2023 ($963.9 million including exceptional items). As a percentage of revenue, operating profit (excluding exceptional items) increased to 14.8% (13.3% including exceptional items) of revenues for the year ended 31 December 2024 compared to 13.0% of revenues for the year ended 31 December 2023 (11.9% including exceptional items).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Finance income and costs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20" w:type="dxa"/>
            <w:vAlign w:val="bottom"/>
            <w:shd w:val="clear" w:color="auto" w:fill="CCEEFF"/>
          </w:tcPr>
          <w:p>
            <w:pPr>
              <w:spacing w:after="0"/>
              <w:rPr>
                <w:sz w:val="13"/>
                <w:szCs w:val="13"/>
                <w:color w:val="auto"/>
              </w:rPr>
            </w:pPr>
          </w:p>
        </w:tc>
        <w:tc>
          <w:tcPr>
            <w:tcW w:w="28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 December</w:t>
            </w:r>
          </w:p>
        </w:tc>
        <w:tc>
          <w:tcPr>
            <w:tcW w:w="15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auto"/>
            </w:tcBorders>
            <w:shd w:val="clear" w:color="auto" w:fill="CCEEFF"/>
          </w:tcPr>
          <w:p>
            <w:pPr>
              <w:spacing w:after="0"/>
              <w:rPr>
                <w:sz w:val="14"/>
                <w:szCs w:val="14"/>
                <w:color w:val="auto"/>
              </w:rPr>
            </w:pPr>
          </w:p>
        </w:tc>
        <w:tc>
          <w:tcPr>
            <w:tcW w:w="2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2023</w:t>
            </w:r>
          </w:p>
        </w:tc>
        <w:tc>
          <w:tcPr>
            <w:tcW w:w="15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28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456"/>
              <w:spacing w:after="0"/>
              <w:rPr>
                <w:sz w:val="20"/>
                <w:szCs w:val="20"/>
                <w:color w:val="auto"/>
              </w:rPr>
            </w:pPr>
            <w:r>
              <w:rPr>
                <w:rFonts w:ascii="Arial" w:cs="Arial" w:eastAsia="Arial" w:hAnsi="Arial"/>
                <w:sz w:val="13"/>
                <w:szCs w:val="13"/>
                <w:color w:val="auto"/>
              </w:rPr>
              <w:t>$’000</w:t>
            </w:r>
          </w:p>
        </w:tc>
        <w:tc>
          <w:tcPr>
            <w:tcW w:w="1540" w:type="dxa"/>
            <w:vAlign w:val="bottom"/>
          </w:tcPr>
          <w:p>
            <w:pPr>
              <w:jc w:val="right"/>
              <w:ind w:right="516"/>
              <w:spacing w:after="0"/>
              <w:rPr>
                <w:sz w:val="20"/>
                <w:szCs w:val="20"/>
                <w:color w:val="auto"/>
              </w:rPr>
            </w:pPr>
            <w:r>
              <w:rPr>
                <w:rFonts w:ascii="Arial" w:cs="Arial" w:eastAsia="Arial" w:hAnsi="Arial"/>
                <w:sz w:val="13"/>
                <w:szCs w:val="13"/>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Finance income</w:t>
            </w:r>
          </w:p>
        </w:tc>
        <w:tc>
          <w:tcPr>
            <w:tcW w:w="28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8,609</w:t>
            </w:r>
          </w:p>
        </w:tc>
        <w:tc>
          <w:tcPr>
            <w:tcW w:w="1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5,014</w:t>
            </w:r>
          </w:p>
        </w:tc>
        <w:tc>
          <w:tcPr>
            <w:tcW w:w="15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3,595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71.7 %</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Finance costs excluding exceptional items</w:t>
            </w:r>
          </w:p>
        </w:tc>
        <w:tc>
          <w:tcPr>
            <w:tcW w:w="28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(242,616)</w:t>
            </w:r>
          </w:p>
        </w:tc>
        <w:tc>
          <w:tcPr>
            <w:tcW w:w="16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(340,871)</w:t>
            </w: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98,255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Finance costs for the period decreased to $242.6 million for the year ended 31 December 2024 from $340.9 million for the year ended 31 December 2023. The decrease in the period reflects significant repayments of the Company's loan facilities in 2023 and 2024, the repricing of the senior secured term loan facility and senior secured revolving credit facility in March 2024, the impact of reduced interest rates on the New Notes issued in May 2024 and the closure of the 2022 Swap and 2022 Caps (see </w:t>
      </w:r>
      <w:r>
        <w:rPr>
          <w:rFonts w:ascii="Arial" w:cs="Arial" w:eastAsia="Arial" w:hAnsi="Arial"/>
          <w:sz w:val="13"/>
          <w:szCs w:val="13"/>
          <w:i w:val="1"/>
          <w:iCs w:val="1"/>
          <w:color w:val="auto"/>
        </w:rPr>
        <w:t>note 21 - Bank credit lines and loan facilities).</w:t>
      </w:r>
      <w:r>
        <w:rPr>
          <w:rFonts w:ascii="Arial" w:cs="Arial" w:eastAsia="Arial" w:hAnsi="Arial"/>
          <w:sz w:val="13"/>
          <w:szCs w:val="13"/>
          <w:color w:val="auto"/>
        </w:rPr>
        <w:t xml:space="preserve"> Finance income for the year increased to $8.6 million for the year ended 31 December 2024 from $5.0 million for the year ended 31 December 2023.</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500" w:type="dxa"/>
            <w:vAlign w:val="bottom"/>
            <w:shd w:val="clear" w:color="auto" w:fill="CCEEFF"/>
          </w:tcPr>
          <w:p>
            <w:pPr>
              <w:spacing w:after="0"/>
              <w:rPr>
                <w:sz w:val="13"/>
                <w:szCs w:val="13"/>
                <w:color w:val="auto"/>
              </w:rPr>
            </w:pPr>
          </w:p>
        </w:tc>
        <w:tc>
          <w:tcPr>
            <w:tcW w:w="2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6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 December</w:t>
            </w:r>
          </w:p>
        </w:tc>
        <w:tc>
          <w:tcPr>
            <w:tcW w:w="14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500" w:type="dxa"/>
            <w:vAlign w:val="bottom"/>
            <w:tcBorders>
              <w:bottom w:val="single" w:sz="8" w:color="auto"/>
            </w:tcBorders>
            <w:shd w:val="clear" w:color="auto" w:fill="CCEEFF"/>
          </w:tcPr>
          <w:p>
            <w:pPr>
              <w:spacing w:after="0"/>
              <w:rPr>
                <w:sz w:val="14"/>
                <w:szCs w:val="14"/>
                <w:color w:val="auto"/>
              </w:rPr>
            </w:pPr>
          </w:p>
        </w:tc>
        <w:tc>
          <w:tcPr>
            <w:tcW w:w="2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2023</w:t>
            </w:r>
          </w:p>
        </w:tc>
        <w:tc>
          <w:tcPr>
            <w:tcW w:w="14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rPr>
                <w:sz w:val="20"/>
                <w:szCs w:val="20"/>
                <w:color w:val="auto"/>
              </w:rPr>
            </w:pPr>
            <w:r>
              <w:rPr>
                <w:rFonts w:ascii="Arial" w:cs="Arial" w:eastAsia="Arial" w:hAnsi="Arial"/>
                <w:sz w:val="13"/>
                <w:szCs w:val="13"/>
                <w:color w:val="auto"/>
              </w:rPr>
              <w:t>Income tax expense excluding exceptional items ($'000)</w:t>
            </w:r>
          </w:p>
        </w:tc>
        <w:tc>
          <w:tcPr>
            <w:tcW w:w="2520" w:type="dxa"/>
            <w:vAlign w:val="bottom"/>
          </w:tcPr>
          <w:p>
            <w:pPr>
              <w:jc w:val="right"/>
              <w:ind w:right="496"/>
              <w:spacing w:after="0"/>
              <w:rPr>
                <w:sz w:val="20"/>
                <w:szCs w:val="20"/>
                <w:color w:val="auto"/>
              </w:rPr>
            </w:pPr>
            <w:r>
              <w:rPr>
                <w:rFonts w:ascii="Arial" w:cs="Arial" w:eastAsia="Arial" w:hAnsi="Arial"/>
                <w:sz w:val="13"/>
                <w:szCs w:val="13"/>
                <w:b w:val="1"/>
                <w:bCs w:val="1"/>
                <w:color w:val="auto"/>
              </w:rPr>
              <w:t>109,829</w:t>
            </w:r>
          </w:p>
        </w:tc>
        <w:tc>
          <w:tcPr>
            <w:tcW w:w="1680" w:type="dxa"/>
            <w:vAlign w:val="bottom"/>
          </w:tcPr>
          <w:p>
            <w:pPr>
              <w:jc w:val="right"/>
              <w:ind w:right="596"/>
              <w:spacing w:after="0"/>
              <w:rPr>
                <w:sz w:val="20"/>
                <w:szCs w:val="20"/>
                <w:color w:val="auto"/>
              </w:rPr>
            </w:pPr>
            <w:r>
              <w:rPr>
                <w:rFonts w:ascii="Arial" w:cs="Arial" w:eastAsia="Arial" w:hAnsi="Arial"/>
                <w:sz w:val="13"/>
                <w:szCs w:val="13"/>
                <w:color w:val="auto"/>
              </w:rPr>
              <w:t>32,830</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76,999</w:t>
            </w:r>
          </w:p>
        </w:tc>
        <w:tc>
          <w:tcPr>
            <w:tcW w:w="1060" w:type="dxa"/>
            <w:vAlign w:val="bottom"/>
          </w:tcPr>
          <w:p>
            <w:pPr>
              <w:jc w:val="right"/>
              <w:spacing w:after="0"/>
              <w:rPr>
                <w:sz w:val="20"/>
                <w:szCs w:val="20"/>
                <w:color w:val="auto"/>
              </w:rPr>
            </w:pPr>
            <w:r>
              <w:rPr>
                <w:rFonts w:ascii="Arial" w:cs="Arial" w:eastAsia="Arial" w:hAnsi="Arial"/>
                <w:sz w:val="13"/>
                <w:szCs w:val="13"/>
                <w:color w:val="auto"/>
              </w:rPr>
              <w:t>234.5 %</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 (%)</w:t>
            </w:r>
          </w:p>
        </w:tc>
        <w:tc>
          <w:tcPr>
            <w:tcW w:w="2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11.1 %</w:t>
            </w:r>
          </w:p>
        </w:tc>
        <w:tc>
          <w:tcPr>
            <w:tcW w:w="16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4.6 %</w:t>
            </w:r>
          </w:p>
        </w:tc>
        <w:tc>
          <w:tcPr>
            <w:tcW w:w="1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color w:val="auto"/>
              </w:rPr>
              <w:t>Income tax expense including exceptional items ($'000)</w:t>
            </w:r>
          </w:p>
        </w:tc>
        <w:tc>
          <w:tcPr>
            <w:tcW w:w="2520" w:type="dxa"/>
            <w:vAlign w:val="bottom"/>
          </w:tcPr>
          <w:p>
            <w:pPr>
              <w:jc w:val="right"/>
              <w:ind w:right="496"/>
              <w:spacing w:after="0"/>
              <w:rPr>
                <w:sz w:val="20"/>
                <w:szCs w:val="20"/>
                <w:color w:val="auto"/>
              </w:rPr>
            </w:pPr>
            <w:r>
              <w:rPr>
                <w:rFonts w:ascii="Arial" w:cs="Arial" w:eastAsia="Arial" w:hAnsi="Arial"/>
                <w:sz w:val="13"/>
                <w:szCs w:val="13"/>
                <w:b w:val="1"/>
                <w:bCs w:val="1"/>
                <w:color w:val="auto"/>
              </w:rPr>
              <w:t>88,553</w:t>
            </w:r>
          </w:p>
        </w:tc>
        <w:tc>
          <w:tcPr>
            <w:tcW w:w="1680" w:type="dxa"/>
            <w:vAlign w:val="bottom"/>
          </w:tcPr>
          <w:p>
            <w:pPr>
              <w:jc w:val="right"/>
              <w:ind w:right="596"/>
              <w:spacing w:after="0"/>
              <w:rPr>
                <w:sz w:val="20"/>
                <w:szCs w:val="20"/>
                <w:color w:val="auto"/>
              </w:rPr>
            </w:pPr>
            <w:r>
              <w:rPr>
                <w:rFonts w:ascii="Arial" w:cs="Arial" w:eastAsia="Arial" w:hAnsi="Arial"/>
                <w:sz w:val="13"/>
                <w:szCs w:val="13"/>
                <w:color w:val="auto"/>
              </w:rPr>
              <w:t>18,627</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69,926</w:t>
            </w:r>
          </w:p>
        </w:tc>
        <w:tc>
          <w:tcPr>
            <w:tcW w:w="1060" w:type="dxa"/>
            <w:vAlign w:val="bottom"/>
          </w:tcPr>
          <w:p>
            <w:pPr>
              <w:jc w:val="right"/>
              <w:spacing w:after="0"/>
              <w:rPr>
                <w:sz w:val="20"/>
                <w:szCs w:val="20"/>
                <w:color w:val="auto"/>
              </w:rPr>
            </w:pPr>
            <w:r>
              <w:rPr>
                <w:rFonts w:ascii="Arial" w:cs="Arial" w:eastAsia="Arial" w:hAnsi="Arial"/>
                <w:sz w:val="13"/>
                <w:szCs w:val="13"/>
                <w:color w:val="auto"/>
              </w:rPr>
              <w:t>375.4 %</w:t>
            </w:r>
          </w:p>
        </w:tc>
        <w:tc>
          <w:tcPr>
            <w:tcW w:w="0" w:type="dxa"/>
            <w:vAlign w:val="bottom"/>
          </w:tcPr>
          <w:p>
            <w:pPr>
              <w:spacing w:after="0"/>
              <w:rPr>
                <w:sz w:val="1"/>
                <w:szCs w:val="1"/>
                <w:color w:val="auto"/>
              </w:rPr>
            </w:pPr>
          </w:p>
        </w:tc>
      </w:tr>
      <w:tr>
        <w:trPr>
          <w:trHeight w:val="17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Effective income tax rate (%)</w:t>
            </w:r>
          </w:p>
        </w:tc>
        <w:tc>
          <w:tcPr>
            <w:tcW w:w="2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10.2 %</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3.0 %</w:t>
            </w:r>
          </w:p>
        </w:tc>
        <w:tc>
          <w:tcPr>
            <w:tcW w:w="14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Income tax expense (including exceptional items) for the period increased to $88.6 million for the year ended 31 December 2024 from $18.6 million for the year ended 31 December 2023. The Group’s effective tax rate (including exceptional items) for the year ended 31 December 2024 was 10.2% (11.1% excluding the effect of exceptional items) compared with 3.0% (4.6% excluding the effect of exceptional items) for the year ended 31 December 2023; primarily due to changes in various tax laws and the level of deferred tax benefit associated with the amortisation of intangible assets. With the exception of the foregoing, the Group's effective tax rate remains principally a function of the distribution of pre-tax profits amongst the territories in which it operates.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190"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Under Irish Company Law (Section 327 the Companies Act), the Directors are required to give a description of the principal risks and uncertainties which it faced at 31 December 2024. Details of the principal risks and uncertainties facing the Group are set out in Appendix A of this annual report and form an integral part of the 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developments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Please see note 29. Subsequent events for details of events in the period from year-end to the approval of the financial statements.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Global Tariffs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 April 2025, the U.S. government announced additional tariffs on certain goods imported to the United States of America. On 9 April 2025, the U.S. government announced reduced tariffs for a 90 day period. We continue to consider the impact of these developments on our business and our industry, and the actions we can take to minimise their impact.</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These developments present recessionary global risks and create economic uncertainty. Further escalation of economic uncertainty, which could lead to global recession, could have a material adverse effect on our revenue, operations and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to ensure the minimisation of financial risk at reasonable cost. The Group’s financial instruments comprise cash and cash equivalents, current asset investments, lease obligations and negotiated debt facilities. The main purpose of these financial instruments is to fund the working capital requirements of the Group, the cost of new acquisitions and ensure continued growth. The Group also occasionally uses derivative financial instruments to reduce exposure to fluctuations in foreign exchange rates. The principal financial risk facing the Group is foreign exchange risk and interest rate risk (although interest rate risk has reduced during the year: at 31 December 2024, 73% of the Group's outstanding debt was at a fixed interest rate (31 December 2023: 13%). Other financial risks include credit risk and liquidity risk. Further details are set out in note 24 to the Consolidated Financial Statements and note 10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ICON, merged with and into PRA Health Sciences, Inc., the parent of PRA Health Sciences ("the Acquisition" and "the Merger"). In conjunction with the completion of the merger,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the Company, issued $500 million in aggregate principal amount of 2.875% senior secured notes in a private offering (the "2026 Notes"). On 2 May 2023, the Company agreed with its lenders to increase the aggregate principal amount of the senior secured revolving loan facility from $300 million to $500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 senior secured term loan facility and senior secured revolving credit facility</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14 March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889"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utilisation fee increased by 15 basis points, dependent on amount utilised.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 repayment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2024, the Company made mandatory and voluntary principal repayments of $2,304.8 million (31 December 2023: mandatory and voluntary principal repayments of $950.0 million) of the senior secured term loan facility. The voluntary repayments made during the year ended 31 December 2024 resulted in an accelerated charge associated with previously capitalised fees of $16.9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 addition, during the year ended 31 December 2024, the Company drew $318.0 million (31 December 2023: $370.0 million) of the senior secured revolving loan facility and repaid $373.0 million</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(31 December 2023: $315.0 million). At 31 December 2024, $nil was drawn under the senior secured revolving loan facility (31 December 2023: $55.0 million). Refer to note 13. Bank credit lines, loan facilities and notes for further details on the Company's Senior Secured Credit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contractual liabilities for lease arrangements of $176.9 million which will be predominantly settled over the next five year period through cash payments.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Details of subsequent events are set out in note 29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Company Secretary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and its committees as of 31 December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798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3"/>
                <w:szCs w:val="13"/>
                <w:b w:val="1"/>
                <w:bCs w:val="1"/>
                <w:color w:val="auto"/>
              </w:rPr>
              <w:t>Position</w:t>
            </w: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7980" w:type="dxa"/>
            <w:vAlign w:val="bottom"/>
          </w:tcPr>
          <w:p>
            <w:pPr>
              <w:ind w:left="1820"/>
              <w:spacing w:after="0"/>
              <w:rPr>
                <w:sz w:val="20"/>
                <w:szCs w:val="20"/>
                <w:color w:val="auto"/>
              </w:rPr>
            </w:pPr>
            <w:r>
              <w:rPr>
                <w:rFonts w:ascii="Arial" w:cs="Arial" w:eastAsia="Arial" w:hAnsi="Arial"/>
                <w:sz w:val="13"/>
                <w:szCs w:val="13"/>
                <w:color w:val="auto"/>
              </w:rPr>
              <w:t>Chair and Director</w:t>
            </w: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 (1)(5)</w:t>
            </w:r>
          </w:p>
        </w:tc>
        <w:tc>
          <w:tcPr>
            <w:tcW w:w="798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Chief Executive Officer and Director</w:t>
            </w: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Rónán Murphy (2)(3)(5)</w:t>
            </w:r>
          </w:p>
        </w:tc>
        <w:tc>
          <w:tcPr>
            <w:tcW w:w="7980" w:type="dxa"/>
            <w:vAlign w:val="bottom"/>
          </w:tcPr>
          <w:p>
            <w:pPr>
              <w:ind w:left="1820"/>
              <w:spacing w:after="0"/>
              <w:rPr>
                <w:sz w:val="20"/>
                <w:szCs w:val="20"/>
                <w:color w:val="auto"/>
              </w:rPr>
            </w:pPr>
            <w:r>
              <w:rPr>
                <w:rFonts w:ascii="Arial" w:cs="Arial" w:eastAsia="Arial" w:hAnsi="Arial"/>
                <w:sz w:val="13"/>
                <w:szCs w:val="13"/>
                <w:color w:val="auto"/>
              </w:rPr>
              <w:t>Lead Independent Director</w:t>
            </w: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798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Director</w:t>
            </w:r>
          </w:p>
        </w:tc>
      </w:tr>
      <w:tr>
        <w:trPr>
          <w:trHeight w:val="169"/>
        </w:trPr>
        <w:tc>
          <w:tcPr>
            <w:tcW w:w="3280" w:type="dxa"/>
            <w:vAlign w:val="bottom"/>
          </w:tcPr>
          <w:p>
            <w:pPr>
              <w:ind w:left="20"/>
              <w:spacing w:after="0"/>
              <w:rPr>
                <w:sz w:val="20"/>
                <w:szCs w:val="20"/>
                <w:color w:val="auto"/>
              </w:rPr>
            </w:pPr>
            <w:r>
              <w:rPr>
                <w:rFonts w:ascii="Arial" w:cs="Arial" w:eastAsia="Arial" w:hAnsi="Arial"/>
                <w:sz w:val="13"/>
                <w:szCs w:val="13"/>
                <w:color w:val="auto"/>
              </w:rPr>
              <w:t>Eugene McCague (3)(4)</w:t>
            </w:r>
          </w:p>
        </w:tc>
        <w:tc>
          <w:tcPr>
            <w:tcW w:w="7980" w:type="dxa"/>
            <w:vAlign w:val="bottom"/>
          </w:tcPr>
          <w:p>
            <w:pPr>
              <w:ind w:left="1820"/>
              <w:spacing w:after="0"/>
              <w:rPr>
                <w:sz w:val="20"/>
                <w:szCs w:val="20"/>
                <w:color w:val="auto"/>
              </w:rPr>
            </w:pPr>
            <w:r>
              <w:rPr>
                <w:rFonts w:ascii="Arial" w:cs="Arial" w:eastAsia="Arial" w:hAnsi="Arial"/>
                <w:sz w:val="13"/>
                <w:szCs w:val="13"/>
                <w:color w:val="auto"/>
              </w:rPr>
              <w:t>Director</w:t>
            </w: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Julie O'Neill (2)(3)</w:t>
            </w:r>
          </w:p>
        </w:tc>
        <w:tc>
          <w:tcPr>
            <w:tcW w:w="798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Director</w:t>
            </w:r>
          </w:p>
        </w:tc>
      </w:tr>
      <w:tr>
        <w:trPr>
          <w:trHeight w:val="190"/>
        </w:trPr>
        <w:tc>
          <w:tcPr>
            <w:tcW w:w="3280" w:type="dxa"/>
            <w:vAlign w:val="bottom"/>
          </w:tcPr>
          <w:p>
            <w:pPr>
              <w:ind w:left="20"/>
              <w:spacing w:after="0"/>
              <w:rPr>
                <w:sz w:val="20"/>
                <w:szCs w:val="20"/>
                <w:color w:val="auto"/>
              </w:rPr>
            </w:pPr>
            <w:r>
              <w:rPr>
                <w:rFonts w:ascii="Arial" w:cs="Arial" w:eastAsia="Arial" w:hAnsi="Arial"/>
                <w:sz w:val="13"/>
                <w:szCs w:val="13"/>
                <w:color w:val="auto"/>
              </w:rPr>
              <w:t>Dr. Linda Grais (2)(4)</w:t>
            </w:r>
          </w:p>
        </w:tc>
        <w:tc>
          <w:tcPr>
            <w:tcW w:w="7980" w:type="dxa"/>
            <w:vAlign w:val="bottom"/>
          </w:tcPr>
          <w:p>
            <w:pPr>
              <w:ind w:left="1820"/>
              <w:spacing w:after="0"/>
              <w:rPr>
                <w:sz w:val="20"/>
                <w:szCs w:val="20"/>
                <w:color w:val="auto"/>
              </w:rPr>
            </w:pPr>
            <w:r>
              <w:rPr>
                <w:rFonts w:ascii="Arial" w:cs="Arial" w:eastAsia="Arial" w:hAnsi="Arial"/>
                <w:sz w:val="13"/>
                <w:szCs w:val="13"/>
                <w:color w:val="auto"/>
              </w:rPr>
              <w:t>Director</w:t>
            </w: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Anne Whitaker (4)</w:t>
            </w:r>
          </w:p>
        </w:tc>
        <w:tc>
          <w:tcPr>
            <w:tcW w:w="798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Director</w:t>
            </w:r>
          </w:p>
        </w:tc>
      </w:tr>
      <w:tr>
        <w:trPr>
          <w:trHeight w:val="167"/>
        </w:trPr>
        <w:tc>
          <w:tcPr>
            <w:tcW w:w="3280" w:type="dxa"/>
            <w:vAlign w:val="bottom"/>
          </w:tcPr>
          <w:p>
            <w:pPr>
              <w:ind w:left="20"/>
              <w:spacing w:after="0"/>
              <w:rPr>
                <w:sz w:val="20"/>
                <w:szCs w:val="20"/>
                <w:color w:val="auto"/>
              </w:rPr>
            </w:pPr>
            <w:r>
              <w:rPr>
                <w:rFonts w:ascii="Arial" w:cs="Arial" w:eastAsia="Arial" w:hAnsi="Arial"/>
                <w:sz w:val="13"/>
                <w:szCs w:val="13"/>
                <w:color w:val="auto"/>
              </w:rPr>
              <w:t>Diarmaid Cunningham (5)</w:t>
            </w:r>
          </w:p>
        </w:tc>
        <w:tc>
          <w:tcPr>
            <w:tcW w:w="7980" w:type="dxa"/>
            <w:vAlign w:val="bottom"/>
          </w:tcPr>
          <w:p>
            <w:pPr>
              <w:ind w:left="1820"/>
              <w:spacing w:after="0"/>
              <w:rPr>
                <w:sz w:val="20"/>
                <w:szCs w:val="20"/>
                <w:color w:val="auto"/>
              </w:rPr>
            </w:pPr>
            <w:r>
              <w:rPr>
                <w:rFonts w:ascii="Arial" w:cs="Arial" w:eastAsia="Arial" w:hAnsi="Arial"/>
                <w:sz w:val="13"/>
                <w:szCs w:val="13"/>
                <w:color w:val="auto"/>
              </w:rPr>
              <w:t>Company Secretary</w:t>
            </w:r>
          </w:p>
        </w:tc>
      </w:tr>
    </w:tbl>
    <w:p>
      <w:pPr>
        <w:spacing w:after="0" w:line="204" w:lineRule="exact"/>
        <w:rPr>
          <w:sz w:val="20"/>
          <w:szCs w:val="20"/>
          <w:color w:val="auto"/>
        </w:rPr>
      </w:pP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Named Executive Officer of the Company.</w:t>
      </w:r>
    </w:p>
    <w:p>
      <w:pPr>
        <w:spacing w:after="0" w:line="11" w:lineRule="exact"/>
        <w:rPr>
          <w:rFonts w:ascii="Arial" w:cs="Arial" w:eastAsia="Arial" w:hAnsi="Arial"/>
          <w:sz w:val="13"/>
          <w:szCs w:val="13"/>
          <w:color w:val="auto"/>
        </w:rPr>
      </w:pPr>
    </w:p>
    <w:p>
      <w:pPr>
        <w:ind w:left="1020" w:hanging="506"/>
        <w:spacing w:after="0" w:line="221" w:lineRule="auto"/>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Compensation and Organisation Committee.</w:t>
      </w: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Audit Committee.</w:t>
      </w:r>
    </w:p>
    <w:p>
      <w:pPr>
        <w:ind w:left="1020" w:hanging="506"/>
        <w:spacing w:after="0" w:line="221" w:lineRule="auto"/>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Nominating, Sustainability and Governance Committee.</w:t>
      </w: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Execution Committee.</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 and interests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Details required by Companies Act, section 329, of Directors’ interests in the Group’s shares are set out in note 10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Details of the Directors’ remuneration are set out in note 6 and note 10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889"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Subject to the provisions of the Companies Act,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20 February 2024, the Company's Board of Directors authorised a new buyback program of up to $500.0 million of the outstanding ordinary shares of the Company. On 22 October 2024, the Company's Board of Directors authorised an additional buyback program of up to $250.0 million of the outstanding ordinary shares of the Company. During the year ended 31 December 2024, 2,179,699 ordinary shares were redeemed by the Company for a total consideration of $500.0 million.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During March 2025, 1,360,537 ordinary shares were redeemed by the Company under this buyback programme for a total consideration of $250 million.</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resolution was passed at the Company’s Annual General Meeting (“AGM”) on 23 July 2024, which renewed the authorisation for the Directors to purchase (buyback) up to 10% of the outstanding shares in the Company. All ordinary shares that were repurchased under the buyback program were cancelled in accordance with the constitution of the Company and the nominal value of these shares transferred to other undenominated capital as required by Irish Company law.</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2024.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rPr>
          <w:sz w:val="20"/>
          <w:szCs w:val="20"/>
          <w:color w:val="auto"/>
        </w:rPr>
      </w:pPr>
      <w:r>
        <w:rPr>
          <w:rFonts w:ascii="Arial" w:cs="Arial" w:eastAsia="Arial" w:hAnsi="Arial"/>
          <w:sz w:val="13"/>
          <w:szCs w:val="13"/>
          <w:color w:val="auto"/>
        </w:rPr>
        <w:t>A certain number of the Group’s customer contracts allow the customer to terminate the contract in the event of a change in control of the Company.</w:t>
      </w:r>
    </w:p>
    <w:p>
      <w:pPr>
        <w:jc w:val="both"/>
        <w:spacing w:after="0" w:line="247" w:lineRule="auto"/>
        <w:rPr>
          <w:sz w:val="20"/>
          <w:szCs w:val="20"/>
          <w:color w:val="auto"/>
        </w:rPr>
      </w:pPr>
      <w:r>
        <w:rPr>
          <w:rFonts w:ascii="Arial" w:cs="Arial" w:eastAsia="Arial" w:hAnsi="Arial"/>
          <w:sz w:val="13"/>
          <w:szCs w:val="13"/>
          <w:color w:val="auto"/>
        </w:rPr>
        <w:t>The Senior Secured Credit Facilities, details of which are set out in note 21 to the Consolidated Financial Statements, provides that, upon the occurrence of a change of control, the obligations thereunder may be accelerated.</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The New Notes, details of which are set out in note 21 to the Consolidated Financial Statements, provides that, unless the Issuer has previously or concurrently delivered a redemption notice with respect to all the outstanding notes within 30 days following such Change of Control Triggering Event, the Issuer will make an offer to purchase all of the notes on the terms set forth in the indenture.</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190" w:lineRule="exact"/>
        <w:rPr>
          <w:sz w:val="20"/>
          <w:szCs w:val="20"/>
          <w:color w:val="auto"/>
        </w:rPr>
      </w:pPr>
    </w:p>
    <w:p>
      <w:pPr>
        <w:ind w:left="520" w:hanging="260"/>
        <w:spacing w:after="0" w:line="283"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w:t>
      </w: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889"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spacing w:after="0" w:line="266" w:lineRule="auto"/>
        <w:rPr>
          <w:sz w:val="20"/>
          <w:szCs w:val="20"/>
          <w:color w:val="auto"/>
        </w:rPr>
      </w:pPr>
      <w:r>
        <w:rPr>
          <w:rFonts w:ascii="Arial" w:cs="Arial" w:eastAsia="Arial" w:hAnsi="Arial"/>
          <w:sz w:val="13"/>
          <w:szCs w:val="13"/>
          <w:color w:val="auto"/>
        </w:rPr>
        <w:t>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57" w:lineRule="exact"/>
        <w:rPr>
          <w:sz w:val="20"/>
          <w:szCs w:val="20"/>
          <w:color w:val="auto"/>
        </w:rPr>
      </w:pPr>
    </w:p>
    <w:p>
      <w:pPr>
        <w:jc w:val="both"/>
        <w:ind w:left="520" w:hanging="260"/>
        <w:spacing w:after="0" w:line="25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63" w:lineRule="exact"/>
        <w:rPr>
          <w:rFonts w:ascii="Arial" w:cs="Arial" w:eastAsia="Arial" w:hAnsi="Arial"/>
          <w:sz w:val="13"/>
          <w:szCs w:val="13"/>
          <w:color w:val="auto"/>
        </w:rPr>
      </w:pPr>
    </w:p>
    <w:p>
      <w:pPr>
        <w:jc w:val="both"/>
        <w:ind w:left="520" w:hanging="260"/>
        <w:spacing w:after="0" w:line="259"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Charter was updated in February 2024 to include specific responsibilities in respect to the oversight and monitoring of the external reporting on environmental, social and governance (ESG) matters included in the financial statements and data quality related to such reporting in coordination with the Nominating, Sustainability and Governance Committee. The Audit Committee is currently comprised of three independent Directors: Mr. Rónán Murphy (Chairperson), Mr. Eugene McCague and Ms. Julie O'Neill.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2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4"/>
        </w:trPr>
        <w:tc>
          <w:tcPr>
            <w:tcW w:w="862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2024:</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8"/>
        </w:trPr>
        <w:tc>
          <w:tcPr>
            <w:tcW w:w="8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7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15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WCM Investment Management</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7.8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6,334,890</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Ninety One UK Limited</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2,946,953</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MFS Investment Management</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3.6</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2,887,678</w:t>
            </w:r>
          </w:p>
        </w:tc>
      </w:tr>
      <w:tr>
        <w:trPr>
          <w:trHeight w:val="162"/>
        </w:trPr>
        <w:tc>
          <w:tcPr>
            <w:tcW w:w="8620" w:type="dxa"/>
            <w:vAlign w:val="bottom"/>
            <w:tcBorders>
              <w:bottom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935,499</w:t>
            </w:r>
          </w:p>
        </w:tc>
      </w:tr>
    </w:tbl>
    <w:p>
      <w:pPr>
        <w:spacing w:after="0" w:line="255" w:lineRule="exact"/>
        <w:rPr>
          <w:sz w:val="20"/>
          <w:szCs w:val="20"/>
          <w:color w:val="auto"/>
        </w:rPr>
      </w:pPr>
    </w:p>
    <w:p>
      <w:pPr>
        <w:jc w:val="both"/>
        <w:ind w:left="260" w:hanging="255"/>
        <w:spacing w:after="0" w:line="251" w:lineRule="auto"/>
        <w:tabs>
          <w:tab w:leader="none" w:pos="255"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Includes 298,120 ordinary shares issuable upon the exercise of stock options granted by the Company, 45,458 RSUs awarded by the Company to Directors, officers and other key employees and 85,062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detailed breakdown of the Directors' interest is included in </w:t>
      </w:r>
      <w:r>
        <w:rPr>
          <w:rFonts w:ascii="Arial" w:cs="Arial" w:eastAsia="Arial" w:hAnsi="Arial"/>
          <w:sz w:val="13"/>
          <w:szCs w:val="13"/>
          <w:i w:val="1"/>
          <w:iCs w:val="1"/>
          <w:color w:val="auto"/>
        </w:rPr>
        <w:t>Note 10 Payroll and related benefits.</w:t>
      </w:r>
    </w:p>
    <w:p>
      <w:pPr>
        <w:spacing w:after="0" w:line="200" w:lineRule="exact"/>
        <w:rPr>
          <w:sz w:val="20"/>
          <w:szCs w:val="20"/>
          <w:color w:val="auto"/>
        </w:rPr>
      </w:pPr>
    </w:p>
    <w:p>
      <w:pPr>
        <w:spacing w:after="0" w:line="36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889"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30 Subsidiary undertakings</w:t>
      </w:r>
      <w:r>
        <w:rPr>
          <w:rFonts w:ascii="Arial" w:cs="Arial" w:eastAsia="Arial" w:hAnsi="Arial"/>
          <w:sz w:val="13"/>
          <w:szCs w:val="13"/>
          <w:color w:val="auto"/>
        </w:rPr>
        <w:t xml:space="preserve">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time period that the Directors have considered in evaluating the appropriateness of the going concern basis in preparing the 31 December 2024 Consolidated Financial Statements is a period of at least twelve months from the date of approval of these financial statements (the "period of assessment").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Group has considerable financial resources and a large number of customers across different geographic areas. Having assessed the relevant business risks (see Appendix A) the Directors believe that the Group is well placed to manage these risks successfully and they have a reasonable expectation that ICON plc, and the Group as a whole, has adequate financial and other resources to continue in operational existence for the period of assessment with no material uncertainties. For this reason, the Group continues to adopt the going concern basis in preparing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South County Business Park, Leopardstown, Dublin 18.</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200" w:lineRule="exact"/>
        <w:rPr>
          <w:sz w:val="20"/>
          <w:szCs w:val="20"/>
          <w:color w:val="auto"/>
        </w:rPr>
      </w:pP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889"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and care about the success of our people, and we care about doing the right thing.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organisation by every measure.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core values underpin our mission and drive a culture and mind-set of ownership at ICON. "Own it at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Our values also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w:t>
      </w:r>
    </w:p>
    <w:p>
      <w:pPr>
        <w:spacing w:after="0" w:line="230" w:lineRule="auto"/>
        <w:rPr>
          <w:sz w:val="20"/>
          <w:szCs w:val="20"/>
          <w:color w:val="auto"/>
        </w:rPr>
      </w:pPr>
      <w:r>
        <w:rPr>
          <w:rFonts w:ascii="Arial" w:cs="Arial" w:eastAsia="Arial" w:hAnsi="Arial"/>
          <w:sz w:val="13"/>
          <w:szCs w:val="13"/>
          <w:color w:val="auto"/>
        </w:rPr>
        <w:t>training.</w:t>
      </w:r>
    </w:p>
    <w:p>
      <w:pPr>
        <w:jc w:val="both"/>
        <w:spacing w:after="0" w:line="232" w:lineRule="auto"/>
        <w:rPr>
          <w:sz w:val="20"/>
          <w:szCs w:val="20"/>
          <w:color w:val="auto"/>
        </w:rPr>
      </w:pPr>
      <w:r>
        <w:rPr>
          <w:rFonts w:ascii="Arial" w:cs="Arial" w:eastAsia="Arial" w:hAnsi="Arial"/>
          <w:sz w:val="13"/>
          <w:szCs w:val="13"/>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initiatives into one program. ICON’s Environment, Social, and Governance Committee (“ESG Committee”) brings together all these initiatives and efforts under one umbrella to ensure consistency, enhance monitoring, reveal areas for development and facilitate reporting to the Board.</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Nominating, Sustainability, and Governance Committee of the ICON plc Board has oversight responsibilities in respect to ESG-related strategies and initiatives. The Chief Administrative Officer and General Counsel (“CAO”) chairs the ESG Committee and reports on ESG matters to the Nominating, Sustainability and Governance Committee quarterly and reports to the Board at least annually whilst also providing periodic ESG updates to the executive leadership team. ICON’s ESG program office reports to the CAO and delivers centralised reporting and tracking of ESG initiatives. The Audit Committee has oversight responsibilities in respect to ESG-related reporting in the ICON financial statements. The Chief Financial Officer (“CFO”) reports to the Audit Committee on ESG-related reporting matters.</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Nominating, Sustainability and Governance Committee of the Company in:</w:t>
      </w:r>
    </w:p>
    <w:p>
      <w:pPr>
        <w:spacing w:after="0" w:line="185"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communicating these strategies, initiatives, and their results.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committed to building and developing our ESG strategies and reporting. In 2020 we launched our ESG page on the ICON website and have an internal ICON Cares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labour, environment, and anti-corruption. In our 2023 ESG report, released in 2024, we reported under the Global Reporting Initiative (GRI, 2021) standards, the Task Force on Climate-Related Financial Disclosures (“TCFD”) and the Sustainability Accounting Standards Board (“SASB”) index. Our report summarises our current policies, priorities, commitments, achievements, and progress in respect to ESG matters. During 2025, ICON received a silver medal from EcoVadis and increased our score from 70/100 in 2024 to 72/100 in 2025, in recognition of our environment, social and governance efforts throughout ICON.</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global landscape in respect to regulatory and legislative requirements relating to ESG reporting and disclosure requirements is rapidly evolving, and we are monitoring potential requirements so that we are positioned to adhere to any</w:t>
      </w:r>
    </w:p>
    <w:p>
      <w:pPr>
        <w:spacing w:after="0" w:line="33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889"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additional requirements in due course. This includes mandatory reporting under the Corporate Sustainability Reporting Disclosure (“CSRD”).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Building a sustainable future – our commitment to the United Nations Sustainable Development Goals</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research, our work with customers and patients and our on-the-ground efforts to meet the needs across our communities align with the SDGs. We focus these efforts on a subset of themes where we have identified the greatest opportunity to effect change:</w:t>
      </w:r>
    </w:p>
    <w:p>
      <w:pPr>
        <w:spacing w:after="0" w:line="157"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3 – Good health and well-being</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9 – Industry, innovation and infrastructure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10 – Reduced inequalities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12 – Responsible consumption and production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13 – Climate action</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17 – Partnerships for the goals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on the ways ICON contributes to these SDGs and their targets are set out in our ICON Cares Report.</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Matters: Conducting business sustainably</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recognise the impact of our operations as a CRO on the environment, addressing greenhouse gas (“GHG”) emissions, energy use, waste generation and procurement-related activities. Our employees, directors, officers, contractors, temporary workers, and suppliers are expected to support our sustainability objectives. Similarly, ICON endeavours to support our customers sustainability objectives.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Global Environmental Management Policy and Environmental Management Plan are part of our ICON Cares program for managing environmental sustainability initiatives. The implementation of the policy and plan is led by our facilities team, reporting to our CAO. The CAO is responsible for reporting on the ICON Cares program and environmental initiatives and progress to the ICON executive leadership team and Nominating, Sustainability and Governance Committee and the Board.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ICON set environmental goals around the use of renewable energy and carbon emissions in 2019 and we are working towards achieving these goals which are as follows:</w:t>
      </w:r>
    </w:p>
    <w:p>
      <w:pPr>
        <w:spacing w:after="0" w:line="179"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100% renewable electricity by 2025.</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20% reduction in kilowatt hours (“kWh”) of electricity by 2030.</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October 2024, the Science Based Target initiative (“SBTi”) validated ICON’s near- and long-term science-based emissions reduction targets. The SBTi has also verified ICON’s net-zero science-based target (“SBT”) by 2050. The SBTi is a corporate climate action organisation that enables companies and financial institutions worldwide to play their part in combating the climate crisis. ICON’s SBTi validated targets: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Near-term targets:</w:t>
      </w:r>
    </w:p>
    <w:p>
      <w:pPr>
        <w:spacing w:after="0" w:line="190"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Reduce absolute scope 1 and 2 GHG emissions 61.2% by FY2028 from a FY2019 base year.</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Reduce absolute scope 3 GHG emissions 20.0% by FY2028 from a FY2022 base year.</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Long-term targets:</w:t>
      </w:r>
    </w:p>
    <w:p>
      <w:pPr>
        <w:spacing w:after="0" w:line="190"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Reduce absolute scope 1 and 2 GHG emissions 90.0% by FY2050 from a FY2019 base year.</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Reduce absolute scope 3 GHG emissions 90.0% by FY2050 from a FY2022 base year.</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Net-zero target:</w:t>
      </w:r>
    </w:p>
    <w:p>
      <w:pPr>
        <w:spacing w:after="0" w:line="179"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Reach net-zero greenhouse gas emissions across the value chain by FY2050.</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have programs in place to manage and minimise climate impacts of business activities. To continue to improve processes and reduce our environmental impact, we track, calculate, and report our Scope 1, Scope 2 and Scope 3 GHG footprint. We apply the GHG Protocol Corporate Standard, which is the global corporate accounting and reporting standard</w:t>
      </w: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80"/>
          </w:cols>
          <w:pgMar w:left="300" w:top="889"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calculating carbon emissions. In Quarter One 2025, external verification of our 2024 Scope 1 and 2 GHG emissions data will be conducted. During 2024, we uploaded our 2022 and 2023 Scope 3 emissions into a software platform and have collected our full Scope 3 GHG emissions for 2024 utilising the platform. We are currently analysing the Scope 3 data with a view to annual public reporting in due course.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respect to ICON’s carbon emissions for the year ended 2023, ICON’s combined Scope 1 and 2 GHG emissions have decreased since 2018. We recognise that although the combined Scopes 1 and 2 emissions have fallen year-on-year, ICON’s Scope 1 emissions have increased slightly each year up to the year ended 2023. To reach our net-zero goal, our decarbonisation strategy is currently focused on reducing Scope 2 emissions, the largest contributor to our Scope 1 and 2 footprint. Following on from our Scope 2 emissions reduction efforts, we plan to launch efforts that target our Scope 1 emissions in the coming years.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2020, following pandemic-related closures and a reduction in business travel, our Scope 3, business travel GHG emissions declined significantly. Since 2021 up to the year ended 2023, as more normal business travel operations resumed, we have seen an overall increase in our total GHG emissions driven by an increase in business travel (Scope 3).</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Although emissions have increased, up to the year ended 2023, we remain below our 2018 pre-COVID overall GHG emissions and are committed to continue our work towards reducing emissions. Additionally, our emissions intensity has decreased substantially as our business has grown. Since 2018, up to the year ended 2023, our emissions intensity per million in revenue and our emissions intensity per FTE employee has decreased.</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participates in CDP (formerly the Carbon Disclosure Project) on an annual basis. CDP is a globally recognised organisation that allows companies to measure and manage their environmental impacts. We received a B- score from CDP for 2024 on our 2023 Climate Change response.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focused on reducing energy use and increasing renewable energy use across our global operations as specific environmental goals; in 2023, 81.54% of our electricity consumed came from renewable sources (through a combination of switching direct tariffs and purchases through renewable energy credits (“RECs”)). Waste reduction is embedded into our environmental policies and practices and is one of the objectives of ICON’s Environmental Management Policy.</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 leases most of our offices and facilities, and therefore we work closely with our landlords and leasing agents to implement measures to ensure we operate in an environmentally sustainable manner. In 2024, we continued with our real estate harmonisation efforts and aligning ourselves to new working styles &amp; business needs. This resulted in downsizing or closing 16 locations and relocating 4 locations to new buildings, all of which are BREEAM or LEED certified, overall helping to reduce our environmental footprint. Experts from our real estate team factor environmental considerations into decisions around new office locations or building improvements. We’ve also implemented a series of measures globally to reduce the local footprint of our offices while promoting comfort and efficiency. These include:</w:t>
      </w:r>
    </w:p>
    <w:p>
      <w:pPr>
        <w:spacing w:after="0" w:line="164"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Installing energy-efficient LED lighting.</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Using motion detectors.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Purchasing recycled office supplies.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Reducing paper consumption by promoting paperless office processes and defaulting double-sided output.</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Building recycling areas into business centers and kitchens/canteens.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Planting green spaces to improve internal air quality.</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Selecting building materials and vendors for their low environmental impact.</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As part of our onboarding process, we require our suppliers to abide by our Global Supplier Code of Conduct which outlines our expectations around conducting business in a sustainable manner. The code requires suppliers to comply with all applicable environmental laws and regulations and to have systems in place with regards to waste management and sustainable use of resources.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80"/>
          </w:cols>
          <w:pgMar w:left="300" w:top="889"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and Employee matters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dedicated to making a positive impact on the communities where we work and live. Our community efforts are aligned with a broader vision for social impact and we are committed to furthering the United Nations Sustainable Development Goals (“SDGs”).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Since 2012, ICON’s annual employee-nominated charity donation program has supported over 100 charities worldwide, donating $10,000 to each organisation. These charities address a range of critical issues, such as fostering a more inclusive society, improving child welfare, and supporting patients battling chronic diseases. The chosen organisations reflect ICON’s corporate mission, align with our ICON Cares program. In 2024, through ICON’s Charity Matching Program, which bolsters our colleagues’ fundraising efforts and fosters partnership across and within teams, 46 organisations were supported. This program aligns with the ICON Cares social pillar, as well as our company values of integrity, collaboration, agility and inclusion.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190" w:lineRule="exact"/>
        <w:rPr>
          <w:sz w:val="20"/>
          <w:szCs w:val="20"/>
          <w:color w:val="auto"/>
        </w:rPr>
      </w:pPr>
    </w:p>
    <w:p>
      <w:pPr>
        <w:ind w:left="1020" w:hanging="506"/>
        <w:spacing w:after="0"/>
        <w:tabs>
          <w:tab w:leader="none" w:pos="10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Supporting education and building closer ties between industry and academia; and</w:t>
      </w:r>
    </w:p>
    <w:p>
      <w:pPr>
        <w:spacing w:after="0" w:line="11" w:lineRule="exact"/>
        <w:rPr>
          <w:rFonts w:ascii="Arial" w:cs="Arial" w:eastAsia="Arial" w:hAnsi="Arial"/>
          <w:sz w:val="13"/>
          <w:szCs w:val="13"/>
          <w:color w:val="auto"/>
        </w:rPr>
      </w:pPr>
    </w:p>
    <w:p>
      <w:pPr>
        <w:ind w:left="1020" w:hanging="506"/>
        <w:spacing w:after="0"/>
        <w:tabs>
          <w:tab w:leader="none" w:pos="10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Supporting education and building closer ties between industry and academia</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 core area of community support includes building ties between industry and academia to inspire the next generation of leaders in business and science. Our existing partnerships continued with the following organisations:</w:t>
      </w:r>
    </w:p>
    <w:p>
      <w:pPr>
        <w:spacing w:after="0" w:line="146" w:lineRule="exact"/>
        <w:rPr>
          <w:sz w:val="20"/>
          <w:szCs w:val="20"/>
          <w:color w:val="auto"/>
        </w:rPr>
      </w:pPr>
    </w:p>
    <w:p>
      <w:pPr>
        <w:jc w:val="both"/>
        <w:ind w:firstLine="514"/>
        <w:spacing w:after="0" w:line="261" w:lineRule="auto"/>
        <w:tabs>
          <w:tab w:leader="none" w:pos="1010"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 xml:space="preserve">The ICON-McKeon Research Fellowship in Motor Neuron Disease (“MND”) </w:t>
      </w:r>
      <w:r>
        <w:rPr>
          <w:rFonts w:ascii="Arial" w:cs="Arial" w:eastAsia="Arial" w:hAnsi="Arial"/>
          <w:sz w:val="13"/>
          <w:szCs w:val="13"/>
          <w:color w:val="auto"/>
        </w:rPr>
        <w:t>in honour of Mr. Declan McKeon, former Board member, acting Chairman, Lead Independent Director</w:t>
      </w:r>
      <w:r>
        <w:rPr>
          <w:rFonts w:ascii="Arial" w:cs="Arial" w:eastAsia="Arial" w:hAnsi="Arial"/>
          <w:sz w:val="13"/>
          <w:szCs w:val="13"/>
          <w:b w:val="1"/>
          <w:bCs w:val="1"/>
          <w:color w:val="auto"/>
        </w:rPr>
        <w:t xml:space="preserve"> </w:t>
      </w:r>
      <w:r>
        <w:rPr>
          <w:rFonts w:ascii="Arial" w:cs="Arial" w:eastAsia="Arial" w:hAnsi="Arial"/>
          <w:sz w:val="13"/>
          <w:szCs w:val="13"/>
          <w:color w:val="auto"/>
        </w:rPr>
        <w:t>and Chair of the ICON Audit committee. The ICON-McKeon Research Fellow in MND carries out research in the areas of machine-learning and artificial intelligence to derive insights from multimodal clinical, imaging neuro-electric signalling, in the context of the neurodegenerative disease of ALS.</w:t>
      </w:r>
    </w:p>
    <w:p>
      <w:pPr>
        <w:spacing w:after="0" w:line="159" w:lineRule="exact"/>
        <w:rPr>
          <w:rFonts w:ascii="Arial" w:cs="Arial" w:eastAsia="Arial" w:hAnsi="Arial"/>
          <w:sz w:val="13"/>
          <w:szCs w:val="13"/>
          <w:color w:val="auto"/>
        </w:rPr>
      </w:pPr>
    </w:p>
    <w:p>
      <w:pPr>
        <w:jc w:val="both"/>
        <w:ind w:firstLine="514"/>
        <w:spacing w:after="0" w:line="250" w:lineRule="auto"/>
        <w:tabs>
          <w:tab w:leader="none" w:pos="1010"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Partnership with Trinity Centre for People with Intellectual Disabilities (“TCPID”</w:t>
      </w:r>
      <w:r>
        <w:rPr>
          <w:rFonts w:ascii="Arial" w:cs="Arial" w:eastAsia="Arial" w:hAnsi="Arial"/>
          <w:sz w:val="13"/>
          <w:szCs w:val="13"/>
          <w:color w:val="auto"/>
        </w:rPr>
        <w:t>) - TCPID situated within the School of Education, Trinity College Dublin, aims to promote the</w:t>
      </w:r>
      <w:r>
        <w:rPr>
          <w:rFonts w:ascii="Arial" w:cs="Arial" w:eastAsia="Arial" w:hAnsi="Arial"/>
          <w:sz w:val="13"/>
          <w:szCs w:val="13"/>
          <w:b w:val="1"/>
          <w:bCs w:val="1"/>
          <w:color w:val="auto"/>
        </w:rPr>
        <w:t xml:space="preserve"> </w:t>
      </w:r>
      <w:r>
        <w:rPr>
          <w:rFonts w:ascii="Arial" w:cs="Arial" w:eastAsia="Arial" w:hAnsi="Arial"/>
          <w:sz w:val="13"/>
          <w:szCs w:val="13"/>
          <w:color w:val="auto"/>
        </w:rPr>
        <w:t>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2024, we were delighted to offer a permanent position to our first graduate of TCPID and we created a 6-month internship for an additional graduate. We also continued to host a student visit from TCPID students to our global headquarters in Dublin, where they enjoyed learning about the different phases of a clinical trial and also experienced a working laboratory during a tour of the facility.</w:t>
      </w:r>
    </w:p>
    <w:p>
      <w:pPr>
        <w:spacing w:after="0" w:line="169" w:lineRule="exact"/>
        <w:rPr>
          <w:rFonts w:ascii="Arial" w:cs="Arial" w:eastAsia="Arial" w:hAnsi="Arial"/>
          <w:sz w:val="13"/>
          <w:szCs w:val="13"/>
          <w:color w:val="auto"/>
        </w:rPr>
      </w:pPr>
    </w:p>
    <w:p>
      <w:pPr>
        <w:jc w:val="both"/>
        <w:ind w:firstLine="514"/>
        <w:spacing w:after="0" w:line="259" w:lineRule="auto"/>
        <w:tabs>
          <w:tab w:leader="none" w:pos="1010"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Partnership with Junior Achievement to inspire schoolchildren</w:t>
      </w:r>
      <w:r>
        <w:rPr>
          <w:rFonts w:ascii="Arial" w:cs="Arial" w:eastAsia="Arial" w:hAnsi="Arial"/>
          <w:sz w:val="13"/>
          <w:szCs w:val="13"/>
          <w:color w:val="auto"/>
        </w:rPr>
        <w:t>. Junior Achievement encourages young people to remain in education and teaches them the skills they need to</w:t>
      </w:r>
      <w:r>
        <w:rPr>
          <w:rFonts w:ascii="Arial" w:cs="Arial" w:eastAsia="Arial" w:hAnsi="Arial"/>
          <w:sz w:val="13"/>
          <w:szCs w:val="13"/>
          <w:b w:val="1"/>
          <w:bCs w:val="1"/>
          <w:color w:val="auto"/>
        </w:rPr>
        <w:t xml:space="preserve"> </w:t>
      </w:r>
      <w:r>
        <w:rPr>
          <w:rFonts w:ascii="Arial" w:cs="Arial" w:eastAsia="Arial" w:hAnsi="Arial"/>
          <w:sz w:val="13"/>
          <w:szCs w:val="13"/>
          <w:color w:val="auto"/>
        </w:rPr>
        <w:t>succeed in a changing world. ICON volunteers take time out of their working day to deliver Junior Achievement programs, teaching primary and secondary-level students valuable business, STEM (Science, Technology, Engineering &amp; Mathematics) and entrepreneurship skills that will serve them throughout their professional lives. Our strong partnership with JA Ireland has been in place since 2018 and we were delighted to extend our Junior Achievement partnership to India and Spain in 2024 and to relaunch the program in the UK.</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Improving the welfare of people in the communities in which we live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November 2024, 380 ICON colleagues from across the globe united in person and virtually to take part in Run in the Dark for the fifth consecutive year. Team ICON raised $10,000 to support Mark Pollock's Collaborative Cures foundation whose mission is to bring people together to cure paralysis in our lifetime. A team of over 125 ICON cyclists from 24 countries also participated in our eighth annual ICON cycle challenge, which covered a minimum of 389km from Bratislava, Slovakia to Budapest, Hungary, across 3 days and which raised over €13,000 through JustGiving donations and the ICON Cares Charity matching program for My Name’5 Doddie Foundation, a charity in support of accelerating the development of new treatments for motor neuron disease (“MND”) and, ultimately, finding a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889"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People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people are core to our ability to deliver our services and drive better patient outcomes. Through industry-leading talent management practices, a sincere attention to our employees’ needs, well-being and health and safety, we continue to power the potential of together.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 the core of our strategy is our people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Learning and development of our staff is a key focus for us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support employees at every stage of their career journeys, training and development programs are aimed at advancing scientific, technical, and business knowledge as well as behavioural competencies. Programs include Corporate and Functional Onboarding for all ICON employees tailored CRA academies; Data Management and Biostats &amp; Programming Academies; a Commercial Skills Academy; a range of project management curricula, therapeutic-focused programs, and People Leader development programs.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focused on retaining the best talent by ensuring employees are aware of what career opportunities exist at ICON. We have invested in our career platforms to ensure employees understand the career opportunities that are available across the organisation, providing them with a platform in our HR system to share and capture their skills, interests and career aspirations which enables People Leaders and employees to have better conversations on careers as part of our performance management process. This allows us to get a better understanding of the skills that exist today across the organisation, within service lines and teams so we can better serve our customers.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People Leader development program focuses on providing our People Leaders with the relevant skills to effectively manage themselves, their team and their business, including leveraging psychometrics to raise awareness of their behavioural preferences and the preference of others. ICON also invests in Harvard Manage Mentor, an online learning platform providing People Leaders with access to learning available at any time with topics ranging from change management, retaining employees and developing employees.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provide our people with a personalised and flexible learning experience, delivered through a combination of in-person and technology-driven programs that suit their learning styles and can flex to suit their schedules. Through our industry leading Career 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customised leadership development programs for global employees.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an organisation we are keen to hear directly from our employees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attract and retain the best talent, we must listen and respond to employees’ needs. This extends to every aspect of our work, from recruitment and onboarding, to training, engagement, enablement, and reward. We pursue best-in-class approaches to building employee engagement and these include, among others:</w:t>
      </w:r>
    </w:p>
    <w:p>
      <w:pPr>
        <w:spacing w:after="0" w:line="146" w:lineRule="exact"/>
        <w:rPr>
          <w:sz w:val="20"/>
          <w:szCs w:val="20"/>
          <w:color w:val="auto"/>
        </w:rPr>
      </w:pPr>
    </w:p>
    <w:p>
      <w:pPr>
        <w:ind w:left="520" w:hanging="260"/>
        <w:spacing w:after="0" w:line="283"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889"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Pulse check surveys, which are smaller-scale studies designed to measure employee sentiment on specific topics and initiatives.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Fostering an environment of inclusion and belonging where everyone is valued.</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Stay interviews to help managers understand why staff stay and to uncover what might put them at risk of departing.</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Skip-level meetings to develop trust and rapport between senior leaders and employees.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Our global Employee Assistance Program (“EAP”) ensures that all employees, and their families, have access to professional mental health, financial and relationship support on a confidential basis.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Employees can also access a wide range of tools, information and support services online in local languages.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employment practices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committed to being a workplace where all employees are included and feel a sense of belonging. As a global, values-driven organisation, we acknowledge and celebrate our differences. Respecting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recognise the critical importance of ensuring all types of patients who will eventually receive therapies are represented on clinical trials, as well as offering clinical trials as a care option for those who may not otherwise have access to medical treatment.</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 strong focus on talent management, succession planning and talent development to ensure we work towards building strong talent pipelines with the best candidate appointed, based on a fair and unbiased selection process where merit, experience and performance form the basis for hiring and promotion decisions.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Establishing a truly inclusive workplace requires offering fair pay. Using best-in-class methodology, we regularly review salary ranges to establish fair pay among employees regardless of gender, race or ethnicity. We also consider legitimate business factors that explain differences, such as performance, tenure and experience. ICON has made and will continue to make significant investments in organisational design structures, tools and education that uphold and support our pay principles.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committed to ensuring fair employment practices. For every jurisdiction in which we operate, we act in compliance with relevant laws relating to labour rights and labour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w:t>
      </w:r>
      <w:r>
        <w:rPr>
          <w:rFonts w:ascii="Arial" w:cs="Arial" w:eastAsia="Arial" w:hAnsi="Arial"/>
          <w:sz w:val="16"/>
          <w:szCs w:val="16"/>
          <w:color w:val="auto"/>
        </w:rPr>
        <w:t>.</w:t>
      </w:r>
    </w:p>
    <w:p>
      <w:pPr>
        <w:spacing w:after="0" w:line="3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889"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ICON is committed to human rights and in 2021, ICON became a participant in the UN Global Compact (“UNGC”), signalling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labour, slavery, and human trafficking is defined clearly in these policies, which are available to employees, suppliers, customers, and the public.</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opposed to forced labour, slavery, and human trafficking. We will not knowingly support or conduct business with any organisation involved in such activities. We do not employ anyone below the minimum employment age in the jurisdictions in which we operate.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Global Supplier Code of Conduct incorporates the Pharmaceutical Supply Chain Initiative (“PSCI”) principles for responsible supply chain management, including for labour.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labour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Ethics and Compliance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behaviour. This Code addresses the core values expected of our people in our internal interactions with each other as well as in external dealings with patients, customers, healthcare professionals, regulators, investors, vendors and other third parties.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Ethics and Compliance program is designed to protect the interests of the company and its shareholders by preventing, detecting, investigating and responding to potential misconduct and violations.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Ethics &amp; Compliance team (“E&amp;C”) provides day-to-day independent oversight for the program. The team works collaboratively with risk and compliance functions and leadership across the business to align on and optimise its reach and impact. The program is overseen by the CAO, who, reports on the program to ICON’s executive leadership team, the Nominating, Sustainability and Governance Committee and the Board. The program supports all functional areas globally and is dedicated to the implementation of standardised global policies, procedures, training, guidance, communications, monitoring, investigations, issue management, assessing compliance-related risk and mitigations, and reporting to ensure the overall compliance program is effectively functioning. Where appropriate, the program also implements regional and/or country specific policies, procedure, training and guidance.</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uses Ethics Line, a system for employees and third parties to confidentially report ethics and compliance questions, as well as concerns, and to track reports through follow-up and resolution. An independent company administers this hotline, which is available all hours of every day and can accommodate calls in over 75 languages. These tools also provide visibility into our risks while highlighting opportunities to address them. ICON’s Ethics and Compliance program will continue to grow and evolve in response to changes in our business and in the global business climate.</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All personnel are required to receive ethics and compliance training during initial onboarding and complete annual refresher sessions. Training modules explain the channels available for reporting suspected unethical or illegal practices. The training supports our values and our ways of working and incorporates the key principles of our policies and codes and includes interactive scenarios where applicable.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w:t>
      </w:r>
    </w:p>
    <w:p>
      <w:pPr>
        <w:spacing w:after="0" w:line="200" w:lineRule="exact"/>
        <w:rPr>
          <w:sz w:val="20"/>
          <w:szCs w:val="20"/>
          <w:color w:val="auto"/>
        </w:rPr>
      </w:pP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80"/>
          </w:cols>
          <w:pgMar w:left="300" w:top="889"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is guided by the foundational principle that we do not tolerate bribery or any other form of corruption or fraud. Our anti-bribery and anti-corruption (“ABAC”) program is a core element of our Ethics and Compliance program. ICON and all ICON directors, employees, consultants, agents and all third parties acting on ICON's behalf must act in compliance with international laws and regulations relating to bribery, corruption, and illicit payments, including but not limited to the US Foreign Corrupt Practices Act and the UK Bribery Act 2010.</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ICON's internal audit teams conduct ABAC program audits. Internal Audit focuses on testing for compliance and design effectiveness of the overall ABAC program. Internal Audit incorporates an assessment of ABAC measures in audits, as appropriate. In this approach, bribery and corruption risks are incorporated into the risk assessment and scoping process of each audit. For further details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on risks relating to Anti-bribery and Corruption refer to Appendix A</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Privacy and Information Security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Data privacy and information security are fundamental to our business and key to retaining customers, building investors’ trust, protecting data subjects who entrust their personal information to us, and complying with global and regional regulations. We recognise and respect that our customers, employees, participants, and all those who do business with us expect that we will protect their personal information in accordance with our legal obligations and policy commitments. ICON´s commitment to privacy and information security is demonstrated through the implementation of robust privacy and information security programs.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ICON’s Global Data Protection program is overseen by the CAO. This program governs ICON’s and its employees’ obligations concerning the processing of personal data. The program consists of a Global Data Protection Officer (“DPO”), a team of privacy lawyers and specialists and corporate policies and procedures regulating how we address our data protection obligations in the countries we operate in, including our obligations under the EU General Data Protection Regulation (“GDPR”) e.g. fulfilment of data subject rights, data protection impact assessments, our obligations to maintain records of processing activities (“ROPAs”) and management of personal data incidents and breaches in accordance with data protection laws. ICON´s Global Data Protection program supports compliance with fundamental data protection principles including transparency, data minimisation, accountability and security. ICON has embedded privacy by design considerations in product and process development and implements a robust set of technical and organisational measures to protect personal information processed by ICON.</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ICON’s Personal Data Incident and Breach Response Policy and Process governs the management of personal data incidents and breaches within ICON. The policy requires incidents to be reported to ICON’s DPO and Privacy Team, who manage them in collaboration with relevant internal stakeholders (e.g., IT Security, Quality &amp; Compliance), to ensure we comply with our legal and contractual obligations, including our reporting obligations. ICON’s data protection policies and procedures are independently audited as part of ICON maintaining an ISO 27701 certification that it initially achieved in 2023.</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programs and provide direct support in response to priorities dictated by ICON’s Privacy and Security Council (chaired by ICON’s DPO and the Vice President of Cyber &amp; Information Security).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w:t>
      </w:r>
      <w:r>
        <w:rPr>
          <w:rFonts w:ascii="Arial" w:cs="Arial" w:eastAsia="Arial" w:hAnsi="Arial"/>
          <w:sz w:val="16"/>
          <w:szCs w:val="16"/>
          <w:color w:val="auto"/>
        </w:rPr>
        <w:t>.</w:t>
      </w:r>
    </w:p>
    <w:p>
      <w:pPr>
        <w:spacing w:after="0" w:line="200" w:lineRule="exact"/>
        <w:rPr>
          <w:sz w:val="20"/>
          <w:szCs w:val="20"/>
          <w:color w:val="auto"/>
        </w:rPr>
      </w:pP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80"/>
          </w:cols>
          <w:pgMar w:left="300" w:top="889"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Sustainable procurement</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maintains policies and processes to support responsible, sustainable, and ethical business practices. Our goal is to source from suppliers whose values align with our own, and who are socially and environmentally responsible and conscious. In 2024 we launched a Sustainable Procurement Policy that outlines our expectations for suppliers relating to sustainability. This policy applies to all suppliers and aims to ensure ICON maintains a responsible and sustainable supply chain.</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14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As part of our onboarding process, we require our suppliers to abide by our Global Supplier Code of Conduct which incorporates the Pharmaceutical Supply Chain Initiative (“PSCI”) principles for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Responsible Supply Chain Management and sets out our standards and expectations regarding:</w:t>
      </w:r>
    </w:p>
    <w:p>
      <w:pPr>
        <w:spacing w:after="0" w:line="189"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Ethics and compliance</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Labor and human rights</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Health and safety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Environmental stewardship</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further support the development of our sustainable procurement program, ICON has engaged with EcoVadis, CDP and Supplier IO to help assess our key suppliers and gather data around sustainability maturity and GHG emissions. This data allows us to factor sustainability related factors into our supplier selection activities and embed sustainability into our procurement practices.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sustainable procurement refer to Appendix 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in accordance with Section 225(2) of the Companies Act, acknowledge that they are responsible for securing the Company’s compliance with its relevant obligations as defined within the Companies Act, (hereinafter called the relevant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201"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While there has been no change yet in our auditor, in 2023, the Audit Committee of the Company engaged in a competitive audit tender process for the position of statutory auditor. Based on the results of this process, the Audit Committee is recommending that Ernst &amp; Young be appointed as statutory auditors and independent registered public accounting firm to the Company in respect of the financial year ending 31 December 2025. Ernst &amp; Young's appointment will be subject to the passing of an ordinary resolution confirming the appointment at the Company's 2025 Annual General Meeting.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80"/>
          </w:cols>
          <w:pgMar w:left="300" w:top="889"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KPMG, our current auditor, is expected to resign shortly after completing the audit of these Company's financial statements for the year ended 31 December 2024.</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two years ended 31 December 2024 and 31 December 2023 and any subsequent interim period there were no disagreements with KPMG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340" w:type="dxa"/>
            <w:vAlign w:val="bottom"/>
          </w:tcPr>
          <w:p>
            <w:pPr>
              <w:spacing w:after="0"/>
              <w:rPr>
                <w:sz w:val="20"/>
                <w:szCs w:val="20"/>
                <w:color w:val="auto"/>
              </w:rPr>
            </w:pPr>
            <w:r>
              <w:rPr>
                <w:rFonts w:ascii="Arial" w:cs="Arial" w:eastAsia="Arial" w:hAnsi="Arial"/>
                <w:sz w:val="13"/>
                <w:szCs w:val="13"/>
                <w:color w:val="auto"/>
              </w:rPr>
              <w:t>Steve Cutler</w:t>
            </w:r>
          </w:p>
        </w:tc>
        <w:tc>
          <w:tcPr>
            <w:tcW w:w="2680" w:type="dxa"/>
            <w:vAlign w:val="bottom"/>
          </w:tcPr>
          <w:p>
            <w:pPr>
              <w:ind w:left="1060"/>
              <w:spacing w:after="0"/>
              <w:rPr>
                <w:sz w:val="20"/>
                <w:szCs w:val="20"/>
                <w:color w:val="auto"/>
              </w:rPr>
            </w:pPr>
            <w:r>
              <w:rPr>
                <w:rFonts w:ascii="Arial" w:cs="Arial" w:eastAsia="Arial" w:hAnsi="Arial"/>
                <w:sz w:val="13"/>
                <w:szCs w:val="13"/>
                <w:color w:val="auto"/>
              </w:rPr>
              <w:t>Rónán Murphy</w:t>
            </w:r>
          </w:p>
        </w:tc>
        <w:tc>
          <w:tcPr>
            <w:tcW w:w="6220" w:type="dxa"/>
            <w:vAlign w:val="bottom"/>
          </w:tcPr>
          <w:p>
            <w:pPr>
              <w:jc w:val="right"/>
              <w:spacing w:after="0"/>
              <w:rPr>
                <w:sz w:val="20"/>
                <w:szCs w:val="20"/>
                <w:color w:val="auto"/>
              </w:rPr>
            </w:pPr>
            <w:r>
              <w:rPr>
                <w:rFonts w:ascii="Arial" w:cs="Arial" w:eastAsia="Arial" w:hAnsi="Arial"/>
                <w:sz w:val="13"/>
                <w:szCs w:val="13"/>
                <w:color w:val="auto"/>
              </w:rPr>
              <w:t>29 April 2025</w:t>
            </w:r>
          </w:p>
        </w:tc>
      </w:tr>
      <w:tr>
        <w:trPr>
          <w:trHeight w:val="180"/>
        </w:trPr>
        <w:tc>
          <w:tcPr>
            <w:tcW w:w="234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2680" w:type="dxa"/>
            <w:vAlign w:val="bottom"/>
          </w:tcPr>
          <w:p>
            <w:pPr>
              <w:ind w:left="1060"/>
              <w:spacing w:after="0"/>
              <w:rPr>
                <w:sz w:val="20"/>
                <w:szCs w:val="20"/>
                <w:color w:val="auto"/>
              </w:rPr>
            </w:pPr>
            <w:r>
              <w:rPr>
                <w:rFonts w:ascii="Arial" w:cs="Arial" w:eastAsia="Arial" w:hAnsi="Arial"/>
                <w:sz w:val="13"/>
                <w:szCs w:val="13"/>
                <w:i w:val="1"/>
                <w:iCs w:val="1"/>
                <w:color w:val="auto"/>
              </w:rPr>
              <w:t>Director</w:t>
            </w:r>
          </w:p>
        </w:tc>
        <w:tc>
          <w:tcPr>
            <w:tcW w:w="6220" w:type="dxa"/>
            <w:vAlign w:val="bottom"/>
          </w:tcPr>
          <w:p>
            <w:pPr>
              <w:spacing w:after="0"/>
              <w:rPr>
                <w:sz w:val="15"/>
                <w:szCs w:val="15"/>
                <w:color w:val="auto"/>
              </w:rPr>
            </w:pPr>
          </w:p>
        </w:tc>
      </w:tr>
      <w:tr>
        <w:trPr>
          <w:trHeight w:val="605"/>
        </w:trPr>
        <w:tc>
          <w:tcPr>
            <w:tcW w:w="2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20" w:type="dxa"/>
            <w:vAlign w:val="bottom"/>
          </w:tcPr>
          <w:p>
            <w:pPr>
              <w:jc w:val="right"/>
              <w:ind w:right="5236"/>
              <w:spacing w:after="0"/>
              <w:rPr>
                <w:sz w:val="20"/>
                <w:szCs w:val="20"/>
                <w:color w:val="auto"/>
              </w:rPr>
            </w:pPr>
            <w:r>
              <w:rPr>
                <w:rFonts w:ascii="Arial" w:cs="Arial" w:eastAsia="Arial" w:hAnsi="Arial"/>
                <w:sz w:val="13"/>
                <w:szCs w:val="13"/>
                <w:color w:val="auto"/>
              </w:rPr>
              <w:t>27</w:t>
            </w:r>
          </w:p>
        </w:tc>
      </w:tr>
    </w:tbl>
    <w:p>
      <w:pPr>
        <w:sectPr>
          <w:pgSz w:w="11900" w:h="16838" w:orient="portrait"/>
          <w:cols w:equalWidth="0" w:num="1">
            <w:col w:w="11280"/>
          </w:cols>
          <w:pgMar w:left="300" w:top="88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financial statements in accordance with applicable law and regulations.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Company law requires the directors to prepare Group and Company financial statements for each financial year. Under that law, the directors are required to prepare the Group financial statements in accordance with IFRS as adopted by the European Union. The directors have elected to prepare the Company financial statements in accordance with FRS 101 Reduced Disclosure Framework and applicable law.</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In preparing the Group and Company financial statements, the directors are required to:</w:t>
      </w:r>
    </w:p>
    <w:p>
      <w:pPr>
        <w:spacing w:after="0" w:line="126"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the profit and loss of the Group and which enable them to ensure that the financial statements comply with the provision of the Companies Act 2014. The directors are also responsible for taking all reasonable steps to ensure such records are kept by its subsidiaries which enable them to ensure that the financial statements of the Group comply with the provisions of the Companies Act 2014. They are responsible for such internal controls as they determine is necessary to enable the preparation of financial statements that are free from material misstatement, whether due to fraud or error, and have a general responsibility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 2014.</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Group’s and Company’s website www.iconplc.com. Legislation in the Republic of Ireland concerning the preparation and dissemination of financial statements may differ from legislation in other jurisdictions.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8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spacing w:after="0" w:line="264"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280"/>
          </w:cols>
          <w:pgMar w:left="300" w:top="889" w:right="31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1522730" cy="720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22730" cy="72072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 Report to the Members of ICON plc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audit of the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have audited the financial statements of ICON plc (‘the Company’) and its consolidated undertakings (together, “the Group”) for the year ended 31 December 2024, set out on pages 36 to 138, which comprise the Consolidated Statement of Profit and Loss, Consolidated Statement of Comprehensive Income, Consolidated Statement of Financial Position, Consolidated Statement of Changes in Equity, Consolidated Statement of Cash Flows, Company Statement of Financial Position, Company Statement of Changes in Equity, and related notes, including the material accounting policies set out in note 1 of the consolidated financial statements.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The financial reporting framework that has been applied in the preparation of the Group financial statements is Irish Law and International Financial Reporting Standards (IFRS) as adopted by the European Union and, as regards the Company financial statements, Irish Law and FRS 101 Reduced Disclosure Framework issued in the United Kingdom by the Financial Reporting Council.</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370" w:lineRule="exact"/>
        <w:rPr>
          <w:sz w:val="20"/>
          <w:szCs w:val="20"/>
          <w:color w:val="auto"/>
        </w:rPr>
      </w:pPr>
    </w:p>
    <w:p>
      <w:pPr>
        <w:ind w:left="520" w:hanging="260"/>
        <w:spacing w:after="0" w:line="249"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financial statements give a true and fair view of the assets, liabilities and financial position of the Group and the Company as at 31 December 2024 and of the Group’s profit for the year then ended;</w:t>
      </w:r>
    </w:p>
    <w:p>
      <w:pPr>
        <w:spacing w:after="0" w:line="156"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Group financial statements have been properly prepared in accordance with IFRS as adopted by the European Union; and</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the Company financial statements have been properly prepared in accordance with FRS 101 </w:t>
      </w:r>
      <w:r>
        <w:rPr>
          <w:rFonts w:ascii="Arial" w:cs="Arial" w:eastAsia="Arial" w:hAnsi="Arial"/>
          <w:sz w:val="13"/>
          <w:szCs w:val="13"/>
          <w:i w:val="1"/>
          <w:iCs w:val="1"/>
          <w:color w:val="auto"/>
        </w:rPr>
        <w:t>Reduced Disclosure Framework</w:t>
      </w:r>
      <w:r>
        <w:rPr>
          <w:rFonts w:ascii="Arial" w:cs="Arial" w:eastAsia="Arial" w:hAnsi="Arial"/>
          <w:sz w:val="13"/>
          <w:szCs w:val="13"/>
          <w:color w:val="auto"/>
        </w:rPr>
        <w:t xml:space="preserve"> issued by the UK’s Financial Reporting Council; and</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Company in accordance</w:t>
      </w:r>
    </w:p>
    <w:p>
      <w:pPr>
        <w:spacing w:after="0" w:line="226" w:lineRule="auto"/>
        <w:rPr>
          <w:sz w:val="20"/>
          <w:szCs w:val="20"/>
          <w:color w:val="auto"/>
        </w:rPr>
      </w:pPr>
      <w:r>
        <w:rPr>
          <w:rFonts w:ascii="Arial" w:cs="Arial" w:eastAsia="Arial" w:hAnsi="Arial"/>
          <w:sz w:val="13"/>
          <w:szCs w:val="13"/>
          <w:color w:val="auto"/>
        </w:rPr>
        <w:t>with ethical requirements that are relevant to our audit of financial statements in Ireland, including the Ethical Standard issued by the Irish Auditing and Accounting Supervisory Authority (IAASA), as applied to listed entities.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80"/>
          </w:cols>
          <w:pgMar w:left="300" w:top="1440" w:right="3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Conclusions relating to going concern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entity’s ability to continue to adopt the going concern basis of accounting included:</w:t>
      </w:r>
    </w:p>
    <w:p>
      <w:pPr>
        <w:spacing w:after="0" w:line="157"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considered liquidity and available financial resources to maintain operations;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recalculated the financial and liquidity metrics noted in the assessment with reference to the primary financial statements;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evaluated ICON’s probable financial obligations, being expected debt payments and commitments over the next twelve months; and</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considered ongoing legal matters</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Group’s or the Company’s ability to continue as a going concern for a period of at least twelve months from the date when the financial statements are authorised for issue.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Our responsibilities and the responsibilities of the directors with respect to going concern are described in the relevant sections of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Detecting irregularities including fraud</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identified the areas of laws and regulations that could reasonably be expected to have a material effect on the financial statements and risks of material misstatement due to fraud, using our understanding of the entity's industry, regulatory environment and other external factors and inquiry with the directors. In addition, our risk assessment procedures included:</w:t>
      </w:r>
    </w:p>
    <w:p>
      <w:pPr>
        <w:spacing w:after="0" w:line="348" w:lineRule="exact"/>
        <w:rPr>
          <w:sz w:val="20"/>
          <w:szCs w:val="20"/>
          <w:color w:val="auto"/>
        </w:rPr>
      </w:pPr>
    </w:p>
    <w:p>
      <w:pPr>
        <w:ind w:left="520" w:hanging="260"/>
        <w:spacing w:after="0" w:line="249"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Inquiring with the directors as to the Group’s policies and procedures regarding compliance with laws and regulations, identifying, evaluating and accounting for litigation and claims, as well as whether they have knowledge of non-compliance or instances of litigation or claims.</w:t>
      </w:r>
    </w:p>
    <w:p>
      <w:pPr>
        <w:spacing w:after="0" w:line="167"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Inquiring of directors as to the Group’s policies and procedures to prevent and detect fraud, as well as whether they have knowledge of any actual, suspected or alleged fraud.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Inquiring of directors, regarding their assessment of the risk that the financial statements may be materially misstated due to irregularities, including fraud.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Inspecting the Group’s legal correspondence.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Reading Board and audit committee meeting minutes.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Performing planning analytical procedures to identify any usual or unexpected relationships.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discussed identified laws and regulations, fraud risk factors and the need to remain alert among the audit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80"/>
          </w:cols>
          <w:pgMar w:left="300" w:top="1440" w:right="3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Detecting irregularities including fraud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Firstly, the Group is subject to laws and regulations that directly affect the financial statements including companies and financial reporting legislation. We assessed the extent of compliance with these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laws and regulations as part of our procedures on the related financial statement items, including assessing the financial statement disclosures and agreeing them to supporting documentation when necessary.</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Secondly, the Group is subject to many other laws and regulations where the consequences of non-compliance could have a material effect on amounts or disclosures in the financial statements, for instance through the imposition of fines or litigation. We identified the following areas as those most likely to have such an effect: health and safety, anti-bribery, employment law, environmental law, regulatory capital and liquidity.</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Auditing standards limit the required audit procedures to identify non-compliance with these non-direct laws and regulations to inquiry of the directors and inspection of regulatory and legal correspondence, if any. These limited procedures did not identify actual or suspected non-compliance.</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We assessed events or conditions that could indicate an incentive or pressure to commit fraud or provide an opportunity to commit fraud. As required by auditing standards, we performed procedures to address the risk of management override of controls and the risk of fraudulent revenue recognition. We identified a fraud risk in relation to the Group and Component clinical trial service revenue, being the contract realisable value.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Further detail in respect of the clinical trial service revenue is set out in the key audit matter disclosures of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response to the fraud risks, we also performed procedures including:</w:t>
      </w:r>
    </w:p>
    <w:p>
      <w:pPr>
        <w:spacing w:after="0" w:line="205"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3"/>
          <w:szCs w:val="13"/>
          <w:color w:val="auto"/>
        </w:rPr>
        <w:t>Identifying journal entries to test based on risk criteria and comparing the identified entries to supporting documentation.</w:t>
      </w:r>
    </w:p>
    <w:p>
      <w:pPr>
        <w:spacing w:after="0" w:line="182" w:lineRule="exact"/>
        <w:rPr>
          <w:rFonts w:ascii="Arial" w:cs="Arial" w:eastAsia="Arial" w:hAnsi="Arial"/>
          <w:sz w:val="16"/>
          <w:szCs w:val="16"/>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3"/>
          <w:szCs w:val="13"/>
          <w:color w:val="auto"/>
        </w:rPr>
        <w:t>Assessing significant accounting estimates for bias.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3"/>
          <w:szCs w:val="13"/>
          <w:color w:val="auto"/>
        </w:rPr>
        <w:t>Assessing the disclosures in the financial statements.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the Group is regulated, our assessment of risks involved obtaining an understanding of the legal and regulatory framework that the Group operates and gaining an understanding of the control environment including the entity’s procedures for complying with regulatory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Owing to the inherent limitations of an audit, there is an unavoidable risk that we may not have detected some material misstatements in the financial statements, even though we have properly</w:t>
      </w:r>
    </w:p>
    <w:p>
      <w:pPr>
        <w:spacing w:after="0" w:line="226" w:lineRule="auto"/>
        <w:rPr>
          <w:sz w:val="20"/>
          <w:szCs w:val="20"/>
          <w:color w:val="auto"/>
        </w:rPr>
      </w:pPr>
      <w:r>
        <w:rPr>
          <w:rFonts w:ascii="Arial" w:cs="Arial" w:eastAsia="Arial" w:hAnsi="Arial"/>
          <w:sz w:val="13"/>
          <w:szCs w:val="13"/>
          <w:color w:val="auto"/>
        </w:rPr>
        <w:t>planned and performed our audit in accordance with auditing standards. For example, the further removed non-compliance with laws and regulations (irregularities) is from the events and transactions reflected in the financial statements, the less likely the inherently limited procedures required by auditing standards would identify it.</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addition, as with any audit, there remains a higher risk of non-detection of irregularities, as these may involve collusion, forgery, intentional omissions, misrepresentations, or the override of internal controls. We are not responsible for preventing non-compliance and cannot be expected to detect non-compliance with all laws and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Key audit matters: our assessment of risks of material misstatement</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engagement team. These matters were addressed in the context of our audit of the financial statements as a whole, and in forming our opinion thereon, and we do not provide a separate opinion on these matters.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matters were as follows (unchanged from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80"/>
          </w:cols>
          <w:pgMar w:left="300" w:top="1440" w:right="31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Key audit matters: our assessment of risks of material misstatement </w:t>
      </w:r>
      <w:r>
        <w:rPr>
          <w:rFonts w:ascii="Arial" w:cs="Arial" w:eastAsia="Arial" w:hAnsi="Arial"/>
          <w:sz w:val="13"/>
          <w:szCs w:val="13"/>
          <w:i w:val="1"/>
          <w:i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Group key audit matters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Revenue recognition for certain clinical trial service contracts included in the total of $815 million (2023: $982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Refer to note 1 on page 43 (accounting policy) and note 3 on page </w:t>
      </w:r>
      <w:r>
        <w:rPr>
          <w:rFonts w:ascii="Arial" w:cs="Arial" w:eastAsia="Arial" w:hAnsi="Arial"/>
          <w:sz w:val="13"/>
          <w:szCs w:val="13"/>
          <w:i w:val="1"/>
          <w:iCs w:val="1"/>
          <w:color w:val="auto"/>
        </w:rPr>
        <w:t>59 (financial disclosures)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The key audit matter</w:t>
            </w:r>
          </w:p>
        </w:tc>
        <w:tc>
          <w:tcPr>
            <w:tcW w:w="74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48"/>
        </w:trPr>
        <w:tc>
          <w:tcPr>
            <w:tcW w:w="33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As discussed in Note 3 to the consolidated financial</w:t>
            </w:r>
          </w:p>
        </w:tc>
        <w:tc>
          <w:tcPr>
            <w:tcW w:w="7460" w:type="dxa"/>
            <w:vAlign w:val="bottom"/>
            <w:tcBorders>
              <w:right w:val="single" w:sz="8" w:color="auto"/>
            </w:tcBorders>
            <w:gridSpan w:val="2"/>
          </w:tcPr>
          <w:p>
            <w:pPr>
              <w:ind w:left="20"/>
              <w:spacing w:after="0" w:line="148" w:lineRule="exact"/>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statements, the Company recognised revenue of</w:t>
            </w:r>
          </w:p>
        </w:tc>
        <w:tc>
          <w:tcPr>
            <w:tcW w:w="180" w:type="dxa"/>
            <w:vAlign w:val="bottom"/>
          </w:tcPr>
          <w:p>
            <w:pPr>
              <w:spacing w:after="0"/>
              <w:rPr>
                <w:sz w:val="12"/>
                <w:szCs w:val="12"/>
                <w:color w:val="auto"/>
              </w:rPr>
            </w:pPr>
          </w:p>
        </w:tc>
        <w:tc>
          <w:tcPr>
            <w:tcW w:w="7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US$8,282 million for the year ended 31 December 2024,</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We evaluated the design and tested the operating effectiveness of certain internal controls related to the revenue process,</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a portion of which relates to clinical trial service revenue.</w:t>
            </w:r>
          </w:p>
        </w:tc>
        <w:tc>
          <w:tcPr>
            <w:tcW w:w="180" w:type="dxa"/>
            <w:vAlign w:val="bottom"/>
          </w:tcPr>
          <w:p>
            <w:pPr>
              <w:spacing w:after="0"/>
              <w:rPr>
                <w:sz w:val="11"/>
                <w:szCs w:val="11"/>
                <w:color w:val="auto"/>
              </w:rPr>
            </w:pPr>
          </w:p>
        </w:tc>
        <w:tc>
          <w:tcPr>
            <w:tcW w:w="7280" w:type="dxa"/>
            <w:vAlign w:val="bottom"/>
            <w:tcBorders>
              <w:right w:val="single" w:sz="8" w:color="auto"/>
            </w:tcBorders>
          </w:tcPr>
          <w:p>
            <w:pPr>
              <w:ind w:left="120"/>
              <w:spacing w:after="0" w:line="128" w:lineRule="exact"/>
              <w:rPr>
                <w:sz w:val="20"/>
                <w:szCs w:val="20"/>
                <w:color w:val="auto"/>
              </w:rPr>
            </w:pPr>
            <w:r>
              <w:rPr>
                <w:rFonts w:ascii="Arial" w:cs="Arial" w:eastAsia="Arial" w:hAnsi="Arial"/>
                <w:sz w:val="13"/>
                <w:szCs w:val="13"/>
                <w:color w:val="auto"/>
              </w:rPr>
              <w:t>including controls over total forecast project costs and estimated realisable contract values.</w:t>
            </w: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As discussed in Note 1 to the consolidated financial</w:t>
            </w:r>
          </w:p>
        </w:tc>
        <w:tc>
          <w:tcPr>
            <w:tcW w:w="18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statements, clinical trial service revenue is recognised</w:t>
            </w: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9"/>
              </w:rPr>
              <w:t>We tested the total forecast project costs and the realisable contract values for a selection of clinical trial service contracts, by</w:t>
            </w:r>
          </w:p>
        </w:tc>
        <w:tc>
          <w:tcPr>
            <w:tcW w:w="0" w:type="dxa"/>
            <w:vAlign w:val="bottom"/>
          </w:tcPr>
          <w:p>
            <w:pPr>
              <w:spacing w:after="0"/>
              <w:rPr>
                <w:sz w:val="1"/>
                <w:szCs w:val="1"/>
                <w:color w:val="auto"/>
              </w:rPr>
            </w:pPr>
          </w:p>
        </w:tc>
      </w:tr>
      <w:tr>
        <w:trPr>
          <w:trHeight w:val="3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over time, using an input measure, being total project</w:t>
            </w:r>
          </w:p>
        </w:tc>
        <w:tc>
          <w:tcPr>
            <w:tcW w:w="180" w:type="dxa"/>
            <w:vAlign w:val="bottom"/>
            <w:vMerge w:val="continue"/>
          </w:tcPr>
          <w:p>
            <w:pPr>
              <w:spacing w:after="0"/>
              <w:rPr>
                <w:sz w:val="2"/>
                <w:szCs w:val="2"/>
                <w:color w:val="auto"/>
              </w:rPr>
            </w:pPr>
          </w:p>
        </w:tc>
        <w:tc>
          <w:tcPr>
            <w:tcW w:w="72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tcBorders>
              <w:left w:val="single" w:sz="8" w:color="auto"/>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7280" w:type="dxa"/>
            <w:vAlign w:val="bottom"/>
            <w:tcBorders>
              <w:right w:val="single" w:sz="8" w:color="auto"/>
            </w:tcBorders>
          </w:tcPr>
          <w:p>
            <w:pPr>
              <w:ind w:left="120"/>
              <w:spacing w:after="0" w:line="128" w:lineRule="exact"/>
              <w:rPr>
                <w:sz w:val="20"/>
                <w:szCs w:val="20"/>
                <w:color w:val="auto"/>
              </w:rPr>
            </w:pPr>
            <w:r>
              <w:rPr>
                <w:rFonts w:ascii="Arial" w:cs="Arial" w:eastAsia="Arial" w:hAnsi="Arial"/>
                <w:sz w:val="13"/>
                <w:szCs w:val="13"/>
                <w:color w:val="auto"/>
              </w:rPr>
              <w:t>evaluating:</w:t>
            </w: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costs (inclusive of third-party costs, principally pass-</w:t>
            </w:r>
          </w:p>
        </w:tc>
        <w:tc>
          <w:tcPr>
            <w:tcW w:w="180" w:type="dxa"/>
            <w:vAlign w:val="bottom"/>
          </w:tcPr>
          <w:p>
            <w:pPr>
              <w:spacing w:after="0"/>
              <w:rPr>
                <w:sz w:val="12"/>
                <w:szCs w:val="12"/>
                <w:color w:val="auto"/>
              </w:rPr>
            </w:pPr>
          </w:p>
        </w:tc>
        <w:tc>
          <w:tcPr>
            <w:tcW w:w="7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through/ reimbursable expenses) incurred at each</w:t>
            </w:r>
          </w:p>
        </w:tc>
        <w:tc>
          <w:tcPr>
            <w:tcW w:w="180" w:type="dxa"/>
            <w:vAlign w:val="bottom"/>
          </w:tcPr>
          <w:p>
            <w:pPr>
              <w:spacing w:after="0"/>
              <w:rPr>
                <w:sz w:val="11"/>
                <w:szCs w:val="11"/>
                <w:color w:val="auto"/>
              </w:rPr>
            </w:pPr>
          </w:p>
        </w:tc>
        <w:tc>
          <w:tcPr>
            <w:tcW w:w="7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   direct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reporting period as a percentage of forecasted total</w:t>
            </w:r>
          </w:p>
        </w:tc>
        <w:tc>
          <w:tcPr>
            <w:tcW w:w="180" w:type="dxa"/>
            <w:vAlign w:val="bottom"/>
          </w:tcPr>
          <w:p>
            <w:pPr>
              <w:spacing w:after="0"/>
              <w:rPr>
                <w:sz w:val="3"/>
                <w:szCs w:val="3"/>
                <w:color w:val="auto"/>
              </w:rPr>
            </w:pPr>
          </w:p>
        </w:tc>
        <w:tc>
          <w:tcPr>
            <w:tcW w:w="72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728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completeness of the direct costs by comparing the amounts to source data</w:t>
            </w:r>
          </w:p>
        </w:tc>
        <w:tc>
          <w:tcPr>
            <w:tcW w:w="0" w:type="dxa"/>
            <w:vAlign w:val="bottom"/>
          </w:tcPr>
          <w:p>
            <w:pPr>
              <w:spacing w:after="0"/>
              <w:rPr>
                <w:sz w:val="1"/>
                <w:szCs w:val="1"/>
                <w:color w:val="auto"/>
              </w:rPr>
            </w:pPr>
          </w:p>
        </w:tc>
      </w:tr>
      <w:tr>
        <w:trPr>
          <w:trHeight w:val="61"/>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w w:val="99"/>
              </w:rPr>
              <w:t>project costs, to measure progress towards satisfying the</w:t>
            </w:r>
          </w:p>
        </w:tc>
        <w:tc>
          <w:tcPr>
            <w:tcW w:w="180" w:type="dxa"/>
            <w:vAlign w:val="bottom"/>
          </w:tcPr>
          <w:p>
            <w:pPr>
              <w:spacing w:after="0"/>
              <w:rPr>
                <w:sz w:val="5"/>
                <w:szCs w:val="5"/>
                <w:color w:val="auto"/>
              </w:rPr>
            </w:pPr>
          </w:p>
        </w:tc>
        <w:tc>
          <w:tcPr>
            <w:tcW w:w="72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340" w:type="dxa"/>
            <w:vAlign w:val="bottom"/>
            <w:tcBorders>
              <w:left w:val="single" w:sz="8" w:color="auto"/>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7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Company’s performance obligation. The transaction price</w:t>
            </w:r>
          </w:p>
        </w:tc>
        <w:tc>
          <w:tcPr>
            <w:tcW w:w="180" w:type="dxa"/>
            <w:vAlign w:val="bottom"/>
          </w:tcPr>
          <w:p>
            <w:pPr>
              <w:spacing w:after="0"/>
              <w:rPr>
                <w:sz w:val="12"/>
                <w:szCs w:val="12"/>
                <w:color w:val="auto"/>
              </w:rPr>
            </w:pPr>
          </w:p>
        </w:tc>
        <w:tc>
          <w:tcPr>
            <w:tcW w:w="7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   third-party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is based on the contract or latest change order value,</w:t>
            </w:r>
          </w:p>
        </w:tc>
        <w:tc>
          <w:tcPr>
            <w:tcW w:w="180" w:type="dxa"/>
            <w:vAlign w:val="bottom"/>
          </w:tcPr>
          <w:p>
            <w:pPr>
              <w:spacing w:after="0"/>
              <w:rPr>
                <w:sz w:val="3"/>
                <w:szCs w:val="3"/>
                <w:color w:val="auto"/>
              </w:rPr>
            </w:pPr>
          </w:p>
        </w:tc>
        <w:tc>
          <w:tcPr>
            <w:tcW w:w="72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728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completeness of the third-party costs incurred by comparing the costs to invoices received</w:t>
            </w:r>
          </w:p>
        </w:tc>
        <w:tc>
          <w:tcPr>
            <w:tcW w:w="0" w:type="dxa"/>
            <w:vAlign w:val="bottom"/>
          </w:tcPr>
          <w:p>
            <w:pPr>
              <w:spacing w:after="0"/>
              <w:rPr>
                <w:sz w:val="1"/>
                <w:szCs w:val="1"/>
                <w:color w:val="auto"/>
              </w:rPr>
            </w:pPr>
          </w:p>
        </w:tc>
      </w:tr>
      <w:tr>
        <w:trPr>
          <w:trHeight w:val="61"/>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w w:val="98"/>
              </w:rPr>
              <w:t>adjusted to reflect the estimated realisable contract value.</w:t>
            </w:r>
          </w:p>
        </w:tc>
        <w:tc>
          <w:tcPr>
            <w:tcW w:w="180" w:type="dxa"/>
            <w:vAlign w:val="bottom"/>
          </w:tcPr>
          <w:p>
            <w:pPr>
              <w:spacing w:after="0"/>
              <w:rPr>
                <w:sz w:val="5"/>
                <w:szCs w:val="5"/>
                <w:color w:val="auto"/>
              </w:rPr>
            </w:pPr>
          </w:p>
        </w:tc>
        <w:tc>
          <w:tcPr>
            <w:tcW w:w="72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7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We identified the evaluation of revenue recognition for a</w:t>
            </w:r>
          </w:p>
        </w:tc>
        <w:tc>
          <w:tcPr>
            <w:tcW w:w="180" w:type="dxa"/>
            <w:vAlign w:val="bottom"/>
          </w:tcPr>
          <w:p>
            <w:pPr>
              <w:spacing w:after="0"/>
              <w:rPr>
                <w:sz w:val="14"/>
                <w:szCs w:val="14"/>
                <w:color w:val="auto"/>
              </w:rPr>
            </w:pPr>
          </w:p>
        </w:tc>
        <w:tc>
          <w:tcPr>
            <w:tcW w:w="72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   findings-from interviews with operational personnel of the Company to assess progress to date, the estimate of remaining</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728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color w:val="auto"/>
              </w:rPr>
              <w:t>costs to be incurred and factors impacting the amount of time and costs to complete the selected contracts, including an</w:t>
            </w:r>
          </w:p>
        </w:tc>
        <w:tc>
          <w:tcPr>
            <w:tcW w:w="0" w:type="dxa"/>
            <w:vAlign w:val="bottom"/>
          </w:tcPr>
          <w:p>
            <w:pPr>
              <w:spacing w:after="0"/>
              <w:rPr>
                <w:sz w:val="1"/>
                <w:szCs w:val="1"/>
                <w:color w:val="auto"/>
              </w:rPr>
            </w:pPr>
          </w:p>
        </w:tc>
      </w:tr>
      <w:tr>
        <w:trPr>
          <w:trHeight w:val="15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subset of clinical trial service revenue as a key audit</w:t>
            </w:r>
          </w:p>
        </w:tc>
        <w:tc>
          <w:tcPr>
            <w:tcW w:w="180" w:type="dxa"/>
            <w:vAlign w:val="bottom"/>
          </w:tcPr>
          <w:p>
            <w:pPr>
              <w:spacing w:after="0"/>
              <w:rPr>
                <w:sz w:val="13"/>
                <w:szCs w:val="13"/>
                <w:color w:val="auto"/>
              </w:rPr>
            </w:pPr>
          </w:p>
        </w:tc>
        <w:tc>
          <w:tcPr>
            <w:tcW w:w="728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understanding of the nature and complexity of the work to be performed</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matter. Complex and subjective auditor judgment was</w:t>
            </w:r>
          </w:p>
        </w:tc>
        <w:tc>
          <w:tcPr>
            <w:tcW w:w="180" w:type="dxa"/>
            <w:vAlign w:val="bottom"/>
          </w:tcPr>
          <w:p>
            <w:pPr>
              <w:spacing w:after="0"/>
              <w:rPr>
                <w:sz w:val="12"/>
                <w:szCs w:val="12"/>
                <w:color w:val="auto"/>
              </w:rPr>
            </w:pPr>
          </w:p>
        </w:tc>
        <w:tc>
          <w:tcPr>
            <w:tcW w:w="7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required to evaluate the Company’s estimate of total</w:t>
            </w:r>
          </w:p>
        </w:tc>
        <w:tc>
          <w:tcPr>
            <w:tcW w:w="180" w:type="dxa"/>
            <w:vAlign w:val="bottom"/>
          </w:tcPr>
          <w:p>
            <w:pPr>
              <w:spacing w:after="0"/>
              <w:rPr>
                <w:sz w:val="11"/>
                <w:szCs w:val="11"/>
                <w:color w:val="auto"/>
              </w:rPr>
            </w:pPr>
          </w:p>
        </w:tc>
        <w:tc>
          <w:tcPr>
            <w:tcW w:w="7280" w:type="dxa"/>
            <w:vAlign w:val="bottom"/>
            <w:tcBorders>
              <w:right w:val="single" w:sz="8" w:color="auto"/>
            </w:tcBorders>
          </w:tcPr>
          <w:p>
            <w:pPr>
              <w:jc w:val="right"/>
              <w:spacing w:after="0" w:line="138" w:lineRule="exact"/>
              <w:rPr>
                <w:sz w:val="20"/>
                <w:szCs w:val="20"/>
                <w:color w:val="auto"/>
              </w:rPr>
            </w:pPr>
            <w:r>
              <w:rPr>
                <w:rFonts w:ascii="Arial" w:cs="Arial" w:eastAsia="Arial" w:hAnsi="Arial"/>
                <w:sz w:val="13"/>
                <w:szCs w:val="13"/>
                <w:color w:val="auto"/>
              </w:rPr>
              <w:t>◦   correspondence of amendments to the scope or contract value, if any, between the Company and the customer for the</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forecast project costs and the estimated realisable</w:t>
            </w:r>
          </w:p>
        </w:tc>
        <w:tc>
          <w:tcPr>
            <w:tcW w:w="180" w:type="dxa"/>
            <w:vAlign w:val="bottom"/>
          </w:tcPr>
          <w:p>
            <w:pPr>
              <w:spacing w:after="0"/>
              <w:rPr>
                <w:sz w:val="12"/>
                <w:szCs w:val="12"/>
                <w:color w:val="auto"/>
              </w:rPr>
            </w:pPr>
          </w:p>
        </w:tc>
        <w:tc>
          <w:tcPr>
            <w:tcW w:w="728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selected contracts as part of our evaluation of contract progress</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contract values.</w:t>
            </w:r>
          </w:p>
        </w:tc>
        <w:tc>
          <w:tcPr>
            <w:tcW w:w="18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4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8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3"/>
                <w:szCs w:val="13"/>
                <w:color w:val="auto"/>
              </w:rPr>
              <w:t>◦   quarterly movements in forecast project costs and project margins and investigating the reasons for those movements,</w:t>
            </w:r>
          </w:p>
        </w:tc>
        <w:tc>
          <w:tcPr>
            <w:tcW w:w="0" w:type="dxa"/>
            <w:vAlign w:val="bottom"/>
          </w:tcPr>
          <w:p>
            <w:pPr>
              <w:spacing w:after="0"/>
              <w:rPr>
                <w:sz w:val="1"/>
                <w:szCs w:val="1"/>
                <w:color w:val="auto"/>
              </w:rPr>
            </w:pPr>
          </w:p>
        </w:tc>
      </w:tr>
      <w:tr>
        <w:trPr>
          <w:trHeight w:val="191"/>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For the reasons outlined above the engagement team</w:t>
            </w:r>
          </w:p>
        </w:tc>
        <w:tc>
          <w:tcPr>
            <w:tcW w:w="180" w:type="dxa"/>
            <w:vAlign w:val="bottom"/>
          </w:tcPr>
          <w:p>
            <w:pPr>
              <w:spacing w:after="0"/>
              <w:rPr>
                <w:sz w:val="16"/>
                <w:szCs w:val="16"/>
                <w:color w:val="auto"/>
              </w:rPr>
            </w:pPr>
          </w:p>
        </w:tc>
        <w:tc>
          <w:tcPr>
            <w:tcW w:w="728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determine this matter to be a key audit matter.</w:t>
            </w:r>
          </w:p>
        </w:tc>
        <w:tc>
          <w:tcPr>
            <w:tcW w:w="180" w:type="dxa"/>
            <w:vAlign w:val="bottom"/>
          </w:tcPr>
          <w:p>
            <w:pPr>
              <w:spacing w:after="0"/>
              <w:rPr>
                <w:sz w:val="14"/>
                <w:szCs w:val="14"/>
                <w:color w:val="auto"/>
              </w:rPr>
            </w:pPr>
          </w:p>
        </w:tc>
        <w:tc>
          <w:tcPr>
            <w:tcW w:w="7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   the reasonableness of the Company’s adjustments from total contract value to arrive at realisable contract value. We</w:t>
            </w:r>
          </w:p>
        </w:tc>
        <w:tc>
          <w:tcPr>
            <w:tcW w:w="0" w:type="dxa"/>
            <w:vAlign w:val="bottom"/>
          </w:tcPr>
          <w:p>
            <w:pPr>
              <w:spacing w:after="0"/>
              <w:rPr>
                <w:sz w:val="1"/>
                <w:szCs w:val="1"/>
                <w:color w:val="auto"/>
              </w:rPr>
            </w:pPr>
          </w:p>
        </w:tc>
      </w:tr>
      <w:tr>
        <w:trPr>
          <w:trHeight w:val="87"/>
        </w:trPr>
        <w:tc>
          <w:tcPr>
            <w:tcW w:w="334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8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color w:val="auto"/>
              </w:rPr>
              <w:t>confirmed total contract value with customers and compared the assumptions used to derive the adjustments from total</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8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contract value to realisable contract value to underlying records.</w:t>
            </w:r>
          </w:p>
        </w:tc>
        <w:tc>
          <w:tcPr>
            <w:tcW w:w="0" w:type="dxa"/>
            <w:vAlign w:val="bottom"/>
          </w:tcPr>
          <w:p>
            <w:pPr>
              <w:spacing w:after="0"/>
              <w:rPr>
                <w:sz w:val="1"/>
                <w:szCs w:val="1"/>
                <w:color w:val="auto"/>
              </w:rPr>
            </w:pPr>
          </w:p>
        </w:tc>
      </w:tr>
      <w:tr>
        <w:trPr>
          <w:trHeight w:val="278"/>
        </w:trPr>
        <w:tc>
          <w:tcPr>
            <w:tcW w:w="334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 We also evaluated the Company’s methods, assumptions and data used to accurately estimate total forecast project costs and</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8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color w:val="auto"/>
                <w:w w:val="99"/>
              </w:rPr>
              <w:t>realisable contract values, by comparing historical estimates developed at contract inception to actual results for a selection of</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8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clinical trial service contracts.</w:t>
            </w:r>
          </w:p>
        </w:tc>
        <w:tc>
          <w:tcPr>
            <w:tcW w:w="0" w:type="dxa"/>
            <w:vAlign w:val="bottom"/>
          </w:tcPr>
          <w:p>
            <w:pPr>
              <w:spacing w:after="0"/>
              <w:rPr>
                <w:sz w:val="1"/>
                <w:szCs w:val="1"/>
                <w:color w:val="auto"/>
              </w:rPr>
            </w:pPr>
          </w:p>
        </w:tc>
      </w:tr>
      <w:tr>
        <w:trPr>
          <w:trHeight w:val="278"/>
        </w:trPr>
        <w:tc>
          <w:tcPr>
            <w:tcW w:w="334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Based on evidence obtained, we found that the estimates and judgements used in determining the progress towards completion</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74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and realisable contract value related to revenue recognition for clinical trial services contracts were appropriate.</w:t>
            </w:r>
          </w:p>
        </w:tc>
        <w:tc>
          <w:tcPr>
            <w:tcW w:w="0" w:type="dxa"/>
            <w:vAlign w:val="bottom"/>
          </w:tcPr>
          <w:p>
            <w:pPr>
              <w:spacing w:after="0"/>
              <w:rPr>
                <w:sz w:val="1"/>
                <w:szCs w:val="1"/>
                <w:color w:val="auto"/>
              </w:rPr>
            </w:pPr>
          </w:p>
        </w:tc>
      </w:tr>
      <w:tr>
        <w:trPr>
          <w:trHeight w:val="193"/>
        </w:trPr>
        <w:tc>
          <w:tcPr>
            <w:tcW w:w="3340" w:type="dxa"/>
            <w:vAlign w:val="bottom"/>
            <w:tcBorders>
              <w:left w:val="single" w:sz="8" w:color="auto"/>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800"/>
          </w:cols>
          <w:pgMar w:left="300" w:top="1440" w:right="7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Key audit matters: our assessment of risks of material misstatement </w:t>
      </w:r>
      <w:r>
        <w:rPr>
          <w:rFonts w:ascii="Arial" w:cs="Arial" w:eastAsia="Arial" w:hAnsi="Arial"/>
          <w:sz w:val="13"/>
          <w:szCs w:val="13"/>
          <w:i w:val="1"/>
          <w:iCs w:val="1"/>
          <w:color w:val="auto"/>
        </w:rPr>
        <w:t>(continued)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Company key audit matter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Investment in subsidiary undertakings $7,115 million (2023: $7,149 million)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Refer to note 1 on page 52 (accounting policy) and note 2 on page 132 (financial disclosures)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Borders>
              <w:right w:val="single" w:sz="8" w:color="auto"/>
            </w:tcBorders>
          </w:tcPr>
          <w:p>
            <w:pPr>
              <w:spacing w:after="0"/>
              <w:rPr>
                <w:sz w:val="16"/>
                <w:szCs w:val="16"/>
                <w:color w:val="auto"/>
              </w:rPr>
            </w:pPr>
          </w:p>
        </w:tc>
        <w:tc>
          <w:tcPr>
            <w:tcW w:w="69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The key audit matter</w:t>
            </w:r>
          </w:p>
        </w:tc>
        <w:tc>
          <w:tcPr>
            <w:tcW w:w="35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48"/>
        </w:trPr>
        <w:tc>
          <w:tcPr>
            <w:tcW w:w="8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The carrying amount of the Company’s investments in subsidiary undertakings represents 93.4% (2023: 97.8%) of the</w:t>
            </w:r>
          </w:p>
        </w:tc>
        <w:tc>
          <w:tcPr>
            <w:tcW w:w="358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67"/>
        </w:trPr>
        <w:tc>
          <w:tcPr>
            <w:tcW w:w="80" w:type="dxa"/>
            <w:vAlign w:val="bottom"/>
            <w:tcBorders>
              <w:right w:val="single" w:sz="8" w:color="auto"/>
            </w:tcBorders>
          </w:tcPr>
          <w:p>
            <w:pPr>
              <w:spacing w:after="0"/>
              <w:rPr>
                <w:sz w:val="14"/>
                <w:szCs w:val="14"/>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Company’s total assets.</w:t>
            </w:r>
          </w:p>
        </w:tc>
        <w:tc>
          <w:tcPr>
            <w:tcW w:w="24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 w:type="dxa"/>
            <w:vAlign w:val="bottom"/>
            <w:tcBorders>
              <w:right w:val="single" w:sz="8" w:color="auto"/>
            </w:tcBorders>
          </w:tcPr>
          <w:p>
            <w:pPr>
              <w:spacing w:after="0"/>
              <w:rPr>
                <w:sz w:val="11"/>
                <w:szCs w:val="11"/>
                <w:color w:val="auto"/>
              </w:rPr>
            </w:pPr>
          </w:p>
        </w:tc>
        <w:tc>
          <w:tcPr>
            <w:tcW w:w="6940" w:type="dxa"/>
            <w:vAlign w:val="bottom"/>
            <w:tcBorders>
              <w:right w:val="single" w:sz="8" w:color="auto"/>
            </w:tcBorders>
          </w:tcPr>
          <w:p>
            <w:pPr>
              <w:spacing w:after="0"/>
              <w:rPr>
                <w:sz w:val="11"/>
                <w:szCs w:val="11"/>
                <w:color w:val="auto"/>
              </w:rPr>
            </w:pPr>
          </w:p>
        </w:tc>
        <w:tc>
          <w:tcPr>
            <w:tcW w:w="240" w:type="dxa"/>
            <w:vAlign w:val="bottom"/>
          </w:tcPr>
          <w:p>
            <w:pPr>
              <w:ind w:left="60"/>
              <w:spacing w:after="0" w:line="130" w:lineRule="exact"/>
              <w:rPr>
                <w:sz w:val="20"/>
                <w:szCs w:val="20"/>
                <w:color w:val="auto"/>
              </w:rPr>
            </w:pPr>
            <w:r>
              <w:rPr>
                <w:rFonts w:ascii="Arial" w:cs="Arial" w:eastAsia="Arial" w:hAnsi="Arial"/>
                <w:sz w:val="13"/>
                <w:szCs w:val="13"/>
                <w:color w:val="auto"/>
              </w:rPr>
              <w:t>•</w:t>
            </w:r>
          </w:p>
        </w:tc>
        <w:tc>
          <w:tcPr>
            <w:tcW w:w="334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3"/>
                <w:szCs w:val="13"/>
                <w:color w:val="auto"/>
              </w:rPr>
              <w:t>We compared the carrying value of investments in the</w:t>
            </w:r>
          </w:p>
        </w:tc>
        <w:tc>
          <w:tcPr>
            <w:tcW w:w="0" w:type="dxa"/>
            <w:vAlign w:val="bottom"/>
          </w:tcPr>
          <w:p>
            <w:pPr>
              <w:spacing w:after="0"/>
              <w:rPr>
                <w:sz w:val="1"/>
                <w:szCs w:val="1"/>
                <w:color w:val="auto"/>
              </w:rPr>
            </w:pPr>
          </w:p>
        </w:tc>
      </w:tr>
      <w:tr>
        <w:trPr>
          <w:trHeight w:val="159"/>
        </w:trPr>
        <w:tc>
          <w:tcPr>
            <w:tcW w:w="8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The investment in subsidiary undertakings is carried in the Balance Sheet of the Company at cost less impairment. At 31</w:t>
            </w:r>
          </w:p>
        </w:tc>
        <w:tc>
          <w:tcPr>
            <w:tcW w:w="240" w:type="dxa"/>
            <w:vAlign w:val="bottom"/>
          </w:tcPr>
          <w:p>
            <w:pPr>
              <w:spacing w:after="0"/>
              <w:rPr>
                <w:sz w:val="13"/>
                <w:szCs w:val="13"/>
                <w:color w:val="auto"/>
              </w:rPr>
            </w:pP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Company’s Balance Sheet to the net assets of the</w:t>
            </w:r>
          </w:p>
        </w:tc>
        <w:tc>
          <w:tcPr>
            <w:tcW w:w="0" w:type="dxa"/>
            <w:vAlign w:val="bottom"/>
          </w:tcPr>
          <w:p>
            <w:pPr>
              <w:spacing w:after="0"/>
              <w:rPr>
                <w:sz w:val="1"/>
                <w:szCs w:val="1"/>
                <w:color w:val="auto"/>
              </w:rPr>
            </w:pPr>
          </w:p>
        </w:tc>
      </w:tr>
      <w:tr>
        <w:trPr>
          <w:trHeight w:val="149"/>
        </w:trPr>
        <w:tc>
          <w:tcPr>
            <w:tcW w:w="8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December 2024, the investment carrying value was $7,115 million.</w:t>
            </w:r>
          </w:p>
        </w:tc>
        <w:tc>
          <w:tcPr>
            <w:tcW w:w="240" w:type="dxa"/>
            <w:vAlign w:val="bottom"/>
          </w:tcPr>
          <w:p>
            <w:pPr>
              <w:spacing w:after="0"/>
              <w:rPr>
                <w:sz w:val="12"/>
                <w:szCs w:val="12"/>
                <w:color w:val="auto"/>
              </w:rPr>
            </w:pP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subsidiary financial statements.</w:t>
            </w:r>
          </w:p>
        </w:tc>
        <w:tc>
          <w:tcPr>
            <w:tcW w:w="0" w:type="dxa"/>
            <w:vAlign w:val="bottom"/>
          </w:tcPr>
          <w:p>
            <w:pPr>
              <w:spacing w:after="0"/>
              <w:rPr>
                <w:sz w:val="1"/>
                <w:szCs w:val="1"/>
                <w:color w:val="auto"/>
              </w:rPr>
            </w:pPr>
          </w:p>
        </w:tc>
      </w:tr>
      <w:tr>
        <w:trPr>
          <w:trHeight w:val="40"/>
        </w:trPr>
        <w:tc>
          <w:tcPr>
            <w:tcW w:w="80" w:type="dxa"/>
            <w:vAlign w:val="bottom"/>
            <w:tcBorders>
              <w:right w:val="single" w:sz="8" w:color="auto"/>
            </w:tcBorders>
          </w:tcPr>
          <w:p>
            <w:pPr>
              <w:spacing w:after="0"/>
              <w:rPr>
                <w:sz w:val="3"/>
                <w:szCs w:val="3"/>
                <w:color w:val="auto"/>
              </w:rPr>
            </w:pPr>
          </w:p>
        </w:tc>
        <w:tc>
          <w:tcPr>
            <w:tcW w:w="6940" w:type="dxa"/>
            <w:vAlign w:val="bottom"/>
            <w:tcBorders>
              <w:right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3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80" w:type="dxa"/>
            <w:vAlign w:val="bottom"/>
            <w:tcBorders>
              <w:right w:val="single" w:sz="8" w:color="auto"/>
            </w:tcBorders>
          </w:tcPr>
          <w:p>
            <w:pPr>
              <w:spacing w:after="0"/>
              <w:rPr>
                <w:sz w:val="24"/>
                <w:szCs w:val="24"/>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7"/>
              </w:rPr>
              <w:t>We do not consider there to be a significant risk of error related to the carrying value of these investments, or to be subject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We compared the carrying value of subsidiaries to the</w:t>
            </w:r>
          </w:p>
        </w:tc>
        <w:tc>
          <w:tcPr>
            <w:tcW w:w="0" w:type="dxa"/>
            <w:vAlign w:val="bottom"/>
          </w:tcPr>
          <w:p>
            <w:pPr>
              <w:spacing w:after="0"/>
              <w:rPr>
                <w:sz w:val="1"/>
                <w:szCs w:val="1"/>
                <w:color w:val="auto"/>
              </w:rPr>
            </w:pPr>
          </w:p>
        </w:tc>
      </w:tr>
      <w:tr>
        <w:trPr>
          <w:trHeight w:val="53"/>
        </w:trPr>
        <w:tc>
          <w:tcPr>
            <w:tcW w:w="80" w:type="dxa"/>
            <w:vAlign w:val="bottom"/>
            <w:tcBorders>
              <w:right w:val="single" w:sz="8" w:color="auto"/>
            </w:tcBorders>
          </w:tcPr>
          <w:p>
            <w:pPr>
              <w:spacing w:after="0"/>
              <w:rPr>
                <w:sz w:val="4"/>
                <w:szCs w:val="4"/>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to a significant level of judgements or estimation due to the Group’s market capitalisation at year end. However, due to</w:t>
            </w:r>
          </w:p>
        </w:tc>
        <w:tc>
          <w:tcPr>
            <w:tcW w:w="240" w:type="dxa"/>
            <w:vAlign w:val="bottom"/>
          </w:tcPr>
          <w:p>
            <w:pPr>
              <w:spacing w:after="0"/>
              <w:rPr>
                <w:sz w:val="4"/>
                <w:szCs w:val="4"/>
                <w:color w:val="auto"/>
              </w:rPr>
            </w:pPr>
          </w:p>
        </w:tc>
        <w:tc>
          <w:tcPr>
            <w:tcW w:w="3340" w:type="dxa"/>
            <w:vAlign w:val="bottom"/>
            <w:tcBorders>
              <w:right w:val="single" w:sz="8" w:color="auto"/>
            </w:tcBorders>
          </w:tcPr>
          <w:p>
            <w:pPr>
              <w:ind w:left="120"/>
              <w:spacing w:after="0" w:line="53" w:lineRule="exact"/>
              <w:rPr>
                <w:sz w:val="20"/>
                <w:szCs w:val="20"/>
                <w:color w:val="auto"/>
              </w:rPr>
            </w:pPr>
            <w:r>
              <w:rPr>
                <w:rFonts w:ascii="Arial" w:cs="Arial" w:eastAsia="Arial" w:hAnsi="Arial"/>
                <w:sz w:val="6"/>
                <w:szCs w:val="6"/>
                <w:color w:val="auto"/>
              </w:rPr>
              <w:t>market capitalisation of the Company at 31 December</w:t>
            </w:r>
          </w:p>
        </w:tc>
        <w:tc>
          <w:tcPr>
            <w:tcW w:w="0" w:type="dxa"/>
            <w:vAlign w:val="bottom"/>
          </w:tcPr>
          <w:p>
            <w:pPr>
              <w:spacing w:after="0"/>
              <w:rPr>
                <w:sz w:val="1"/>
                <w:szCs w:val="1"/>
                <w:color w:val="auto"/>
              </w:rPr>
            </w:pPr>
          </w:p>
        </w:tc>
      </w:tr>
      <w:tr>
        <w:trPr>
          <w:trHeight w:val="127"/>
        </w:trPr>
        <w:tc>
          <w:tcPr>
            <w:tcW w:w="80" w:type="dxa"/>
            <w:vAlign w:val="bottom"/>
            <w:tcBorders>
              <w:right w:val="single" w:sz="8" w:color="auto"/>
            </w:tcBorders>
          </w:tcPr>
          <w:p>
            <w:pPr>
              <w:spacing w:after="0"/>
              <w:rPr>
                <w:sz w:val="11"/>
                <w:szCs w:val="11"/>
                <w:color w:val="auto"/>
              </w:rPr>
            </w:pPr>
          </w:p>
        </w:tc>
        <w:tc>
          <w:tcPr>
            <w:tcW w:w="694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Borders>
              <w:right w:val="single" w:sz="8" w:color="auto"/>
            </w:tcBorders>
          </w:tcPr>
          <w:p>
            <w:pPr>
              <w:ind w:left="120"/>
              <w:spacing w:after="0" w:line="128" w:lineRule="exact"/>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27"/>
        </w:trPr>
        <w:tc>
          <w:tcPr>
            <w:tcW w:w="80" w:type="dxa"/>
            <w:vAlign w:val="bottom"/>
            <w:tcBorders>
              <w:right w:val="single" w:sz="8" w:color="auto"/>
            </w:tcBorders>
          </w:tcPr>
          <w:p>
            <w:pPr>
              <w:spacing w:after="0"/>
              <w:rPr>
                <w:sz w:val="11"/>
                <w:szCs w:val="11"/>
                <w:color w:val="auto"/>
              </w:rPr>
            </w:pPr>
          </w:p>
        </w:tc>
        <w:tc>
          <w:tcPr>
            <w:tcW w:w="694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their materiality in the context of the Company financial statements, they are considered an area of audit focus and of</w:t>
            </w:r>
          </w:p>
        </w:tc>
        <w:tc>
          <w:tcPr>
            <w:tcW w:w="240" w:type="dxa"/>
            <w:vAlign w:val="bottom"/>
          </w:tcPr>
          <w:p>
            <w:pPr>
              <w:spacing w:after="0"/>
              <w:rPr>
                <w:sz w:val="11"/>
                <w:szCs w:val="11"/>
                <w:color w:val="auto"/>
              </w:rPr>
            </w:pPr>
          </w:p>
        </w:tc>
        <w:tc>
          <w:tcPr>
            <w:tcW w:w="3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 w:type="dxa"/>
            <w:vAlign w:val="bottom"/>
            <w:tcBorders>
              <w:right w:val="single" w:sz="8" w:color="auto"/>
            </w:tcBorders>
          </w:tcPr>
          <w:p>
            <w:pPr>
              <w:spacing w:after="0"/>
              <w:rPr>
                <w:sz w:val="14"/>
                <w:szCs w:val="14"/>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significance to the audit of the Company financial statements.</w:t>
            </w:r>
          </w:p>
        </w:tc>
        <w:tc>
          <w:tcPr>
            <w:tcW w:w="35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Based  on  evidence  obtained,  we  found  management’s</w:t>
            </w:r>
          </w:p>
        </w:tc>
        <w:tc>
          <w:tcPr>
            <w:tcW w:w="0" w:type="dxa"/>
            <w:vAlign w:val="bottom"/>
          </w:tcPr>
          <w:p>
            <w:pPr>
              <w:spacing w:after="0"/>
              <w:rPr>
                <w:sz w:val="1"/>
                <w:szCs w:val="1"/>
                <w:color w:val="auto"/>
              </w:rPr>
            </w:pPr>
          </w:p>
        </w:tc>
      </w:tr>
      <w:tr>
        <w:trPr>
          <w:trHeight w:val="24"/>
        </w:trPr>
        <w:tc>
          <w:tcPr>
            <w:tcW w:w="80" w:type="dxa"/>
            <w:vAlign w:val="bottom"/>
            <w:tcBorders>
              <w:right w:val="single" w:sz="8" w:color="auto"/>
            </w:tcBorders>
          </w:tcPr>
          <w:p>
            <w:pPr>
              <w:spacing w:after="0"/>
              <w:rPr>
                <w:sz w:val="2"/>
                <w:szCs w:val="2"/>
                <w:color w:val="auto"/>
              </w:rPr>
            </w:pPr>
          </w:p>
        </w:tc>
        <w:tc>
          <w:tcPr>
            <w:tcW w:w="6940" w:type="dxa"/>
            <w:vAlign w:val="bottom"/>
            <w:tcBorders>
              <w:right w:val="single" w:sz="8" w:color="auto"/>
            </w:tcBorders>
          </w:tcPr>
          <w:p>
            <w:pPr>
              <w:spacing w:after="0"/>
              <w:rPr>
                <w:sz w:val="2"/>
                <w:szCs w:val="2"/>
                <w:color w:val="auto"/>
              </w:rPr>
            </w:pPr>
          </w:p>
        </w:tc>
        <w:tc>
          <w:tcPr>
            <w:tcW w:w="35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0" w:type="dxa"/>
            <w:vAlign w:val="bottom"/>
            <w:tcBorders>
              <w:right w:val="single" w:sz="8" w:color="auto"/>
            </w:tcBorders>
          </w:tcPr>
          <w:p>
            <w:pPr>
              <w:spacing w:after="0"/>
              <w:rPr>
                <w:sz w:val="11"/>
                <w:szCs w:val="11"/>
                <w:color w:val="auto"/>
              </w:rPr>
            </w:pPr>
          </w:p>
        </w:tc>
        <w:tc>
          <w:tcPr>
            <w:tcW w:w="694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color w:val="auto"/>
              </w:rPr>
              <w:t>assessment of the key assumptions used in assessing the</w:t>
            </w:r>
          </w:p>
        </w:tc>
        <w:tc>
          <w:tcPr>
            <w:tcW w:w="0" w:type="dxa"/>
            <w:vAlign w:val="bottom"/>
          </w:tcPr>
          <w:p>
            <w:pPr>
              <w:spacing w:after="0"/>
              <w:rPr>
                <w:sz w:val="1"/>
                <w:szCs w:val="1"/>
                <w:color w:val="auto"/>
              </w:rPr>
            </w:pPr>
          </w:p>
        </w:tc>
      </w:tr>
      <w:tr>
        <w:trPr>
          <w:trHeight w:val="148"/>
        </w:trPr>
        <w:tc>
          <w:tcPr>
            <w:tcW w:w="8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For the reasons outlined above the engagement team determine this matter to be a key audit matter.</w:t>
            </w:r>
          </w:p>
        </w:tc>
        <w:tc>
          <w:tcPr>
            <w:tcW w:w="358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3"/>
                <w:szCs w:val="13"/>
                <w:color w:val="auto"/>
                <w:w w:val="99"/>
              </w:rPr>
              <w:t>carrying value of investments in subsidiary undertakings to be</w:t>
            </w:r>
          </w:p>
        </w:tc>
        <w:tc>
          <w:tcPr>
            <w:tcW w:w="0" w:type="dxa"/>
            <w:vAlign w:val="bottom"/>
          </w:tcPr>
          <w:p>
            <w:pPr>
              <w:spacing w:after="0"/>
              <w:rPr>
                <w:sz w:val="1"/>
                <w:szCs w:val="1"/>
                <w:color w:val="auto"/>
              </w:rPr>
            </w:pPr>
          </w:p>
        </w:tc>
      </w:tr>
      <w:tr>
        <w:trPr>
          <w:trHeight w:val="167"/>
        </w:trPr>
        <w:tc>
          <w:tcPr>
            <w:tcW w:w="80" w:type="dxa"/>
            <w:vAlign w:val="bottom"/>
            <w:tcBorders>
              <w:right w:val="single" w:sz="8" w:color="auto"/>
            </w:tcBorders>
          </w:tcPr>
          <w:p>
            <w:pPr>
              <w:spacing w:after="0"/>
              <w:rPr>
                <w:sz w:val="14"/>
                <w:szCs w:val="14"/>
                <w:color w:val="auto"/>
              </w:rPr>
            </w:pPr>
          </w:p>
        </w:tc>
        <w:tc>
          <w:tcPr>
            <w:tcW w:w="6940" w:type="dxa"/>
            <w:vAlign w:val="bottom"/>
            <w:tcBorders>
              <w:right w:val="single" w:sz="8" w:color="auto"/>
            </w:tcBorders>
          </w:tcPr>
          <w:p>
            <w:pPr>
              <w:spacing w:after="0"/>
              <w:rPr>
                <w:sz w:val="14"/>
                <w:szCs w:val="14"/>
                <w:color w:val="auto"/>
              </w:rPr>
            </w:pPr>
          </w:p>
        </w:tc>
        <w:tc>
          <w:tcPr>
            <w:tcW w:w="35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appropriate.</w:t>
            </w:r>
          </w:p>
        </w:tc>
        <w:tc>
          <w:tcPr>
            <w:tcW w:w="0" w:type="dxa"/>
            <w:vAlign w:val="bottom"/>
          </w:tcPr>
          <w:p>
            <w:pPr>
              <w:spacing w:after="0"/>
              <w:rPr>
                <w:sz w:val="1"/>
                <w:szCs w:val="1"/>
                <w:color w:val="auto"/>
              </w:rPr>
            </w:pPr>
          </w:p>
        </w:tc>
      </w:tr>
      <w:tr>
        <w:trPr>
          <w:trHeight w:val="363"/>
        </w:trPr>
        <w:tc>
          <w:tcPr>
            <w:tcW w:w="80" w:type="dxa"/>
            <w:vAlign w:val="bottom"/>
            <w:tcBorders>
              <w:right w:val="single" w:sz="8" w:color="auto"/>
            </w:tcBorders>
          </w:tcPr>
          <w:p>
            <w:pPr>
              <w:spacing w:after="0"/>
              <w:rPr>
                <w:sz w:val="24"/>
                <w:szCs w:val="24"/>
                <w:color w:val="auto"/>
              </w:rPr>
            </w:pPr>
          </w:p>
        </w:tc>
        <w:tc>
          <w:tcPr>
            <w:tcW w:w="69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020" w:type="dxa"/>
            <w:vAlign w:val="bottom"/>
            <w:gridSpan w:val="2"/>
          </w:tcPr>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Materiality for the Group financial statements as a whole was set at US$35.0 million (2023: US$30.0 million), determined with reference to a benchmark of expected Group profit before tax (this estimated amount was based on earnings guidance available at the planning stage of the audit adjusted for exceptional items) (of which it represents 4.03% (2023: 4.80%). Group profit before tax is the most relevant metric to the users of the financial statements in assessing the financial performance of the Group. The stability of the business environment was the key qualitative factor in determining the percentage to be applied to the benchmark.</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With respect to the Company, we based our calculation of materiality on total assets due to its nature as a holding company. As the calculated materiality was higher than Group materiality, we restricted our materiality to US$35.0 million (2023: US$30.0 million).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Performance materiality for the Group financial statements and Company financial statements as a whole was set at US$26.25 million (2023: US$22.5 million) and US$26.25 million (2023: US$22.5</w:t>
      </w:r>
    </w:p>
    <w:p>
      <w:pPr>
        <w:spacing w:after="0"/>
        <w:rPr>
          <w:sz w:val="20"/>
          <w:szCs w:val="20"/>
          <w:color w:val="auto"/>
        </w:rPr>
      </w:pPr>
      <w:r>
        <w:rPr>
          <w:rFonts w:ascii="Arial" w:cs="Arial" w:eastAsia="Arial" w:hAnsi="Arial"/>
          <w:sz w:val="13"/>
          <w:szCs w:val="13"/>
          <w:color w:val="auto"/>
        </w:rPr>
        <w:t>million) respectively, determined with reference to benchmarks of expected Group profit before tax for the Group and total assets for the Company ((of which it represents 3.02% (2023: 3.58%) and</w:t>
      </w:r>
    </w:p>
    <w:p>
      <w:pPr>
        <w:spacing w:after="0"/>
        <w:rPr>
          <w:sz w:val="20"/>
          <w:szCs w:val="20"/>
          <w:color w:val="auto"/>
        </w:rPr>
      </w:pPr>
      <w:r>
        <w:rPr>
          <w:rFonts w:ascii="Arial" w:cs="Arial" w:eastAsia="Arial" w:hAnsi="Arial"/>
          <w:sz w:val="13"/>
          <w:szCs w:val="13"/>
          <w:color w:val="auto"/>
        </w:rPr>
        <w:t>0.15% (2023: 0.13%) respectively). We applied this percentage in our determination of performance materiality based on the level of identified control deficiencies during the prior period.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We reported to the Audit Committee any corrected or uncorrected identified misstatements exceeding US$1.75 million (2023: US$1.5 million), in addition to other identified misstatements that</w:t>
      </w:r>
    </w:p>
    <w:p>
      <w:pPr>
        <w:jc w:val="both"/>
        <w:spacing w:after="0" w:line="226" w:lineRule="auto"/>
        <w:rPr>
          <w:sz w:val="20"/>
          <w:szCs w:val="20"/>
          <w:color w:val="auto"/>
        </w:rPr>
      </w:pPr>
      <w:r>
        <w:rPr>
          <w:rFonts w:ascii="Arial" w:cs="Arial" w:eastAsia="Arial" w:hAnsi="Arial"/>
          <w:sz w:val="13"/>
          <w:szCs w:val="13"/>
          <w:color w:val="auto"/>
        </w:rPr>
        <w:t>warranted reporting on qualitative grounds. Our audit was undertaken to the materiality and performance materiality level specified above and we applied materiality to assist us determine what risks were significant risks and the procedures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1440" w:right="3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Our application of materiality and an overview of the scope of our audit </w:t>
      </w:r>
      <w:r>
        <w:rPr>
          <w:rFonts w:ascii="Arial" w:cs="Arial" w:eastAsia="Arial" w:hAnsi="Arial"/>
          <w:sz w:val="13"/>
          <w:szCs w:val="13"/>
          <w:i w:val="1"/>
          <w:iCs w:val="1"/>
          <w:color w:val="auto"/>
        </w:rPr>
        <w:t>(continued)</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year, we applied the revised group auditing standard in our audit of the consolidated financial statements. The revised standard changes how an auditor approaches the identification of components, and how the audit procedures are planned and executed across components.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particular, the definition of a component has changed, shifting the focus from how the entity prepares financial information to how we, as the group auditor, plan to perform audit procedures to address group risks of material misstatement ("RMMs").</w:t>
      </w:r>
    </w:p>
    <w:p>
      <w:pPr>
        <w:spacing w:after="0" w:line="157"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In total, we identified 4 components, having considered our evaluation of total revenues and total assets and our ability to perform audit procedures centrally. The structure of the Group’s finance function is such that the majority of transactions and balances are accounted for by the central Group finance team. We identified 1 quantitatively significant component which contained the largest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percentage of total revenue or total assets of the Group, for which we performed audit procedures. Our audit covered 88% of total Group revenue and 98% of total Group assets.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directors are responsible for the other information presented in the Annual Report together with the financial statements. The other information comprises the information included in the directors’ report, the reconciliation from IFRS to US accounting policies and appendix A.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Based solely on our work on the other information undertaken during the course of the audit we report that in those parts of the directors’ report specified for our consideration, which does not include the information required by the European Union (Disclosure of Non-Financial and Diversity Information by certain large undertakings and groups) Regulations 2017:</w:t>
      </w:r>
    </w:p>
    <w:p>
      <w:pPr>
        <w:spacing w:after="0" w:line="157"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have not identified material misstatements in the directors’ report, the reconciliation from IFRS to US accounting policies or appendix A;</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our opinion, the information given in the directors’ report, the reconciliation from IFRS to US accounting policies and appendix A is consistent with the financial statements;</w:t>
      </w:r>
    </w:p>
    <w:p>
      <w:pPr>
        <w:spacing w:after="0" w:line="19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our opinion, those parts of the directors’ report specified for our review, which does not include sustainability reporting when required by Part 28 of the Companies Act 2014, have been prepared in accordance with the Companies Act 2014.</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80"/>
          </w:cols>
          <w:pgMar w:left="300" w:top="1440" w:right="31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438150" cy="249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38150" cy="2495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Independent Auditor’s Report to the Members of ICON plc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 on the audit of the financial statements </w:t>
      </w:r>
      <w:r>
        <w:rPr>
          <w:rFonts w:ascii="Arial" w:cs="Arial" w:eastAsia="Arial" w:hAnsi="Arial"/>
          <w:sz w:val="17"/>
          <w:szCs w:val="17"/>
          <w:i w:val="1"/>
          <w:iCs w:val="1"/>
          <w:color w:val="auto"/>
        </w:rPr>
        <w:t>(continued)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w:t>
      </w:r>
    </w:p>
    <w:p>
      <w:pPr>
        <w:spacing w:after="0" w:line="184"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3"/>
          <w:szCs w:val="13"/>
          <w:color w:val="auto"/>
        </w:rPr>
        <w:t>the disclosures of directors’ remuneration and transactions required by Sections 305 to 312 of the Act are not made.</w:t>
      </w:r>
    </w:p>
    <w:p>
      <w:pPr>
        <w:spacing w:after="0" w:line="172" w:lineRule="exact"/>
        <w:rPr>
          <w:rFonts w:ascii="Arial" w:cs="Arial" w:eastAsia="Arial" w:hAnsi="Arial"/>
          <w:sz w:val="16"/>
          <w:szCs w:val="16"/>
          <w:color w:val="auto"/>
        </w:rPr>
      </w:pPr>
    </w:p>
    <w:p>
      <w:pPr>
        <w:jc w:val="both"/>
        <w:ind w:left="520" w:hanging="260"/>
        <w:spacing w:after="0" w:line="231"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Company has not provided the information required by section 5(2) to (7) of the European Union (Disclosure of Non-Financial and Diversity Information by certain large undertakings and groups) Regulations 2017 for the year ended 31 December 2023 as required by the European Union (Disclosure of Non-Financial and Diversity Information by certain large undertakings and groups) (amendment) Regulations 2018.</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 have nothing to report in this regard.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Respective responsibilities and restrictions on use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Responsibilities of directors for the financial statements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As explained more fully in their statement set out on page 28,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w:t>
      </w:r>
    </w:p>
    <w:p>
      <w:pPr>
        <w:jc w:val="both"/>
        <w:spacing w:after="0" w:line="226" w:lineRule="auto"/>
        <w:rPr>
          <w:sz w:val="20"/>
          <w:szCs w:val="20"/>
          <w:color w:val="auto"/>
        </w:rPr>
      </w:pPr>
      <w:r>
        <w:rPr>
          <w:rFonts w:ascii="Arial" w:cs="Arial" w:eastAsia="Arial" w:hAnsi="Arial"/>
          <w:sz w:val="13"/>
          <w:szCs w:val="13"/>
          <w:color w:val="auto"/>
        </w:rPr>
        <w:t>Company’s ability to continue as a going concern, disclosing, as applicable, matters related to going concern; and using the going concern basis of accounting unless they either intend to liquidate the Group or the Company or to cease operations, or have no realistic alternative but to do so.</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Our objectives are to obtain reasonable assurance about whether the financial statements as a whole are free from material misstatement, whether due to fraud or error, and to issue an auditor’s report</w:t>
      </w:r>
    </w:p>
    <w:p>
      <w:pPr>
        <w:spacing w:after="0" w:line="4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 fuller description of our responsibilities is provided on IAASA’s website at </w:t>
      </w:r>
      <w:r>
        <w:rPr>
          <w:rFonts w:ascii="Arial" w:cs="Arial" w:eastAsia="Arial" w:hAnsi="Arial"/>
          <w:sz w:val="13"/>
          <w:szCs w:val="13"/>
          <w:color w:val="0563C1"/>
        </w:rPr>
        <w:t>https://iaasa.ie/publications/description-of-the-auditors-responsibilities-for-the-audit-of-the-financial-statements/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200" w:lineRule="exact"/>
        <w:rPr>
          <w:sz w:val="20"/>
          <w:szCs w:val="20"/>
          <w:color w:val="auto"/>
        </w:rPr>
      </w:pPr>
    </w:p>
    <w:p>
      <w:pPr>
        <w:spacing w:after="0" w:line="344" w:lineRule="exact"/>
        <w:rPr>
          <w:sz w:val="20"/>
          <w:szCs w:val="20"/>
          <w:color w:val="auto"/>
        </w:rPr>
      </w:pPr>
    </w:p>
    <w:p>
      <w:pPr>
        <w:spacing w:after="0"/>
        <w:tabs>
          <w:tab w:leader="none" w:pos="2300" w:val="left"/>
        </w:tabs>
        <w:rPr>
          <w:sz w:val="20"/>
          <w:szCs w:val="20"/>
          <w:color w:val="auto"/>
        </w:rPr>
      </w:pPr>
      <w:r>
        <w:rPr>
          <w:rFonts w:ascii="Arial" w:cs="Arial" w:eastAsia="Arial" w:hAnsi="Arial"/>
          <w:sz w:val="13"/>
          <w:szCs w:val="13"/>
          <w:color w:val="auto"/>
        </w:rPr>
        <w:t>John Corrigan</w:t>
      </w:r>
      <w:r>
        <w:rPr>
          <w:sz w:val="20"/>
          <w:szCs w:val="20"/>
          <w:color w:val="auto"/>
        </w:rPr>
        <w:tab/>
      </w:r>
      <w:r>
        <w:rPr>
          <w:rFonts w:ascii="Arial" w:cs="Arial" w:eastAsia="Arial" w:hAnsi="Arial"/>
          <w:sz w:val="12"/>
          <w:szCs w:val="12"/>
          <w:color w:val="auto"/>
        </w:rPr>
        <w:t>29 April 2025</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and on behalf of</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KPMG</w:t>
      </w:r>
    </w:p>
    <w:p>
      <w:pPr>
        <w:spacing w:after="0"/>
        <w:rPr>
          <w:sz w:val="20"/>
          <w:szCs w:val="20"/>
          <w:color w:val="auto"/>
        </w:rPr>
      </w:pPr>
      <w:r>
        <w:rPr>
          <w:rFonts w:ascii="Arial" w:cs="Arial" w:eastAsia="Arial" w:hAnsi="Arial"/>
          <w:sz w:val="13"/>
          <w:szCs w:val="13"/>
          <w:b w:val="1"/>
          <w:bCs w:val="1"/>
          <w:color w:val="auto"/>
        </w:rPr>
        <w:t>Chartered Accountants, Statutory Audit Firm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Stokes Place</w:t>
      </w:r>
    </w:p>
    <w:p>
      <w:pPr>
        <w:spacing w:after="0"/>
        <w:rPr>
          <w:sz w:val="20"/>
          <w:szCs w:val="20"/>
          <w:color w:val="auto"/>
        </w:rPr>
      </w:pPr>
      <w:r>
        <w:rPr>
          <w:rFonts w:ascii="Arial" w:cs="Arial" w:eastAsia="Arial" w:hAnsi="Arial"/>
          <w:sz w:val="13"/>
          <w:szCs w:val="13"/>
          <w:i w:val="1"/>
          <w:iCs w:val="1"/>
          <w:color w:val="auto"/>
        </w:rPr>
        <w:t>St. Stephen’s Green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Dublin 2</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6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80"/>
          </w:cols>
          <w:pgMar w:left="300" w:top="1440"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Consolidated Statement of Profit and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 December 2024</w:t>
            </w:r>
          </w:p>
        </w:tc>
        <w:tc>
          <w:tcPr>
            <w:tcW w:w="1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31 December 2023</w:t>
            </w:r>
          </w:p>
        </w:tc>
        <w:tc>
          <w:tcPr>
            <w:tcW w:w="10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Pre-exceptional</w:t>
            </w:r>
          </w:p>
        </w:tc>
        <w:tc>
          <w:tcPr>
            <w:tcW w:w="13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Exceptional</w:t>
            </w:r>
          </w:p>
        </w:tc>
        <w:tc>
          <w:tcPr>
            <w:tcW w:w="158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Pre-exceptional</w:t>
            </w:r>
          </w:p>
        </w:tc>
        <w:tc>
          <w:tcPr>
            <w:tcW w:w="1660" w:type="dxa"/>
            <w:vAlign w:val="bottom"/>
          </w:tcPr>
          <w:p>
            <w:pPr>
              <w:jc w:val="right"/>
              <w:ind w:right="336"/>
              <w:spacing w:after="0" w:line="118" w:lineRule="exact"/>
              <w:rPr>
                <w:sz w:val="20"/>
                <w:szCs w:val="20"/>
                <w:color w:val="auto"/>
              </w:rPr>
            </w:pPr>
            <w:r>
              <w:rPr>
                <w:rFonts w:ascii="Arial" w:cs="Arial" w:eastAsia="Arial" w:hAnsi="Arial"/>
                <w:sz w:val="13"/>
                <w:szCs w:val="13"/>
                <w:color w:val="auto"/>
              </w:rPr>
              <w:t>Exceptional</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(Note 9)</w:t>
            </w:r>
          </w:p>
        </w:tc>
        <w:tc>
          <w:tcPr>
            <w:tcW w:w="15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(Note 9)</w:t>
            </w: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i w:val="1"/>
                <w:iCs w:val="1"/>
                <w:color w:val="auto"/>
              </w:rPr>
              <w:t>Note</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i w:val="1"/>
                <w:iCs w:val="1"/>
                <w:color w:val="auto"/>
              </w:rPr>
              <w:t>3</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8,281,676</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8,281,676</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8,120,176</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8,120,176</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(5,845,022)</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(5,845,022)</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(5,719,025)</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(5,719,025)</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(1,212,972)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(121,697)</w:t>
            </w:r>
          </w:p>
        </w:tc>
        <w:tc>
          <w:tcPr>
            <w:tcW w:w="1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(1,334,669)</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(1,347,694)</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(89,566)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(1,437,260)</w:t>
            </w:r>
          </w:p>
        </w:tc>
        <w:tc>
          <w:tcPr>
            <w:tcW w:w="0" w:type="dxa"/>
            <w:vAlign w:val="bottom"/>
          </w:tcPr>
          <w:p>
            <w:pPr>
              <w:spacing w:after="0"/>
              <w:rPr>
                <w:sz w:val="1"/>
                <w:szCs w:val="1"/>
                <w:color w:val="auto"/>
              </w:rPr>
            </w:pPr>
          </w:p>
        </w:tc>
      </w:tr>
      <w:tr>
        <w:trPr>
          <w:trHeight w:val="16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6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1,223,682</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(121,697)</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1,101,985</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1,053,457</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(89,566)</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963,891</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equity method investment losses</w:t>
            </w: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(383)</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Arial" w:cs="Arial" w:eastAsia="Arial" w:hAnsi="Arial"/>
                <w:sz w:val="13"/>
                <w:szCs w:val="13"/>
                <w:color w:val="auto"/>
              </w:rPr>
              <w:t>Finance income</w:t>
            </w:r>
          </w:p>
        </w:tc>
        <w:tc>
          <w:tcPr>
            <w:tcW w:w="680" w:type="dxa"/>
            <w:vAlign w:val="bottom"/>
          </w:tcPr>
          <w:p>
            <w:pPr>
              <w:jc w:val="right"/>
              <w:ind w:right="136"/>
              <w:spacing w:after="0"/>
              <w:rPr>
                <w:sz w:val="20"/>
                <w:szCs w:val="20"/>
                <w:color w:val="auto"/>
              </w:rPr>
            </w:pPr>
            <w:r>
              <w:rPr>
                <w:rFonts w:ascii="Arial" w:cs="Arial" w:eastAsia="Arial" w:hAnsi="Arial"/>
                <w:sz w:val="13"/>
                <w:szCs w:val="13"/>
                <w:i w:val="1"/>
                <w:iCs w:val="1"/>
                <w:color w:val="auto"/>
              </w:rPr>
              <w:t>4</w:t>
            </w:r>
          </w:p>
        </w:tc>
        <w:tc>
          <w:tcPr>
            <w:tcW w:w="1240" w:type="dxa"/>
            <w:vAlign w:val="bottom"/>
          </w:tcPr>
          <w:p>
            <w:pPr>
              <w:jc w:val="right"/>
              <w:ind w:right="56"/>
              <w:spacing w:after="0"/>
              <w:rPr>
                <w:sz w:val="20"/>
                <w:szCs w:val="20"/>
                <w:color w:val="auto"/>
              </w:rPr>
            </w:pPr>
            <w:r>
              <w:rPr>
                <w:rFonts w:ascii="Arial" w:cs="Arial" w:eastAsia="Arial" w:hAnsi="Arial"/>
                <w:sz w:val="13"/>
                <w:szCs w:val="13"/>
                <w:b w:val="1"/>
                <w:bCs w:val="1"/>
                <w:color w:val="auto"/>
              </w:rPr>
              <w:t>8,609</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Pr>
          <w:p>
            <w:pPr>
              <w:jc w:val="right"/>
              <w:ind w:right="216"/>
              <w:spacing w:after="0"/>
              <w:rPr>
                <w:sz w:val="20"/>
                <w:szCs w:val="20"/>
                <w:color w:val="auto"/>
              </w:rPr>
            </w:pPr>
            <w:r>
              <w:rPr>
                <w:rFonts w:ascii="Arial" w:cs="Arial" w:eastAsia="Arial" w:hAnsi="Arial"/>
                <w:sz w:val="13"/>
                <w:szCs w:val="13"/>
                <w:b w:val="1"/>
                <w:bCs w:val="1"/>
                <w:color w:val="auto"/>
              </w:rPr>
              <w:t>8,609</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5,014</w:t>
            </w:r>
          </w:p>
        </w:tc>
        <w:tc>
          <w:tcPr>
            <w:tcW w:w="166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5,014</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Finance costs</w:t>
            </w:r>
          </w:p>
        </w:tc>
        <w:tc>
          <w:tcPr>
            <w:tcW w:w="6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5</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(242,616)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(242,616)</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(340,871)</w:t>
            </w:r>
          </w:p>
        </w:tc>
        <w:tc>
          <w:tcPr>
            <w:tcW w:w="1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(340,871)</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6</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989,675</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(121,697)</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867,978</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717,217</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(89,566)</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627,651</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7</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(109,829)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21,276</w:t>
            </w:r>
          </w:p>
        </w:tc>
        <w:tc>
          <w:tcPr>
            <w:tcW w:w="1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(88,553)</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(32,830)</w:t>
            </w:r>
          </w:p>
        </w:tc>
        <w:tc>
          <w:tcPr>
            <w:tcW w:w="1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14,203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(18,627)</w:t>
            </w:r>
          </w:p>
        </w:tc>
        <w:tc>
          <w:tcPr>
            <w:tcW w:w="0" w:type="dxa"/>
            <w:vAlign w:val="bottom"/>
          </w:tcPr>
          <w:p>
            <w:pPr>
              <w:spacing w:after="0"/>
              <w:rPr>
                <w:sz w:val="1"/>
                <w:szCs w:val="1"/>
                <w:color w:val="auto"/>
              </w:rPr>
            </w:pPr>
          </w:p>
        </w:tc>
      </w:tr>
      <w:tr>
        <w:trPr>
          <w:trHeight w:val="182"/>
        </w:trPr>
        <w:tc>
          <w:tcPr>
            <w:tcW w:w="2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879,846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(100,421)</w:t>
            </w: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779,425</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684,387</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(75,363)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609,024</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Arial" w:cs="Arial" w:eastAsia="Arial" w:hAnsi="Arial"/>
                <w:sz w:val="13"/>
                <w:szCs w:val="13"/>
                <w:b w:val="1"/>
                <w:bCs w:val="1"/>
                <w:color w:val="auto"/>
              </w:rPr>
              <w:t>Earnings per share</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8</w:t>
            </w:r>
          </w:p>
        </w:tc>
        <w:tc>
          <w:tcPr>
            <w:tcW w:w="1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9.45</w:t>
            </w:r>
          </w:p>
        </w:tc>
        <w:tc>
          <w:tcPr>
            <w:tcW w:w="1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8</w:t>
            </w:r>
          </w:p>
        </w:tc>
        <w:tc>
          <w:tcPr>
            <w:tcW w:w="1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9.38</w:t>
            </w: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408"/>
        </w:trPr>
        <w:tc>
          <w:tcPr>
            <w:tcW w:w="25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25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6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Arial" w:cs="Arial" w:eastAsia="Arial" w:hAnsi="Arial"/>
                <w:sz w:val="13"/>
                <w:szCs w:val="13"/>
                <w:color w:val="auto"/>
              </w:rPr>
              <w:t>Rónán Murphy</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680" w:type="dxa"/>
            <w:vAlign w:val="bottom"/>
          </w:tcPr>
          <w:p>
            <w:pPr>
              <w:spacing w:after="0"/>
              <w:rPr>
                <w:sz w:val="17"/>
                <w:szCs w:val="17"/>
                <w:color w:val="auto"/>
              </w:rPr>
            </w:pPr>
          </w:p>
        </w:tc>
        <w:tc>
          <w:tcPr>
            <w:tcW w:w="1240" w:type="dxa"/>
            <w:vAlign w:val="bottom"/>
          </w:tcPr>
          <w:p>
            <w:pPr>
              <w:ind w:left="180"/>
              <w:spacing w:after="0"/>
              <w:rPr>
                <w:sz w:val="20"/>
                <w:szCs w:val="20"/>
                <w:color w:val="auto"/>
              </w:rPr>
            </w:pPr>
            <w:r>
              <w:rPr>
                <w:rFonts w:ascii="Arial" w:cs="Arial" w:eastAsia="Arial" w:hAnsi="Arial"/>
                <w:sz w:val="13"/>
                <w:szCs w:val="13"/>
                <w:i w:val="1"/>
                <w:iCs w:val="1"/>
                <w:color w:val="auto"/>
              </w:rPr>
              <w:t>Director</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jc w:val="right"/>
              <w:ind w:right="1356"/>
              <w:spacing w:after="0"/>
              <w:rPr>
                <w:sz w:val="20"/>
                <w:szCs w:val="20"/>
                <w:color w:val="auto"/>
              </w:rPr>
            </w:pPr>
            <w:r>
              <w:rPr>
                <w:rFonts w:ascii="Arial" w:cs="Arial" w:eastAsia="Arial" w:hAnsi="Arial"/>
                <w:sz w:val="13"/>
                <w:szCs w:val="13"/>
                <w:color w:val="auto"/>
                <w:w w:val="96"/>
              </w:rPr>
              <w:t>36</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Consolidated Statement of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shd w:val="clear" w:color="auto" w:fill="CCEEFF"/>
          </w:tcPr>
          <w:p>
            <w:pPr>
              <w:spacing w:after="0"/>
              <w:rPr>
                <w:sz w:val="13"/>
                <w:szCs w:val="13"/>
                <w:color w:val="auto"/>
              </w:rPr>
            </w:pPr>
          </w:p>
        </w:tc>
        <w:tc>
          <w:tcPr>
            <w:tcW w:w="54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540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540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779,425</w:t>
            </w:r>
          </w:p>
        </w:tc>
        <w:tc>
          <w:tcPr>
            <w:tcW w:w="1140" w:type="dxa"/>
            <w:vAlign w:val="bottom"/>
          </w:tcPr>
          <w:p>
            <w:pPr>
              <w:jc w:val="right"/>
              <w:spacing w:after="0"/>
              <w:rPr>
                <w:sz w:val="20"/>
                <w:szCs w:val="20"/>
                <w:color w:val="auto"/>
              </w:rPr>
            </w:pPr>
            <w:r>
              <w:rPr>
                <w:rFonts w:ascii="Arial" w:cs="Arial" w:eastAsia="Arial" w:hAnsi="Arial"/>
                <w:sz w:val="13"/>
                <w:szCs w:val="13"/>
                <w:color w:val="auto"/>
              </w:rPr>
              <w:t>609,024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 / income</w:t>
            </w:r>
          </w:p>
        </w:tc>
        <w:tc>
          <w:tcPr>
            <w:tcW w:w="5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Items that will not be reclassified to profit or loss:</w:t>
            </w:r>
          </w:p>
        </w:tc>
        <w:tc>
          <w:tcPr>
            <w:tcW w:w="5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5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(6,338)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60"/>
        </w:trPr>
        <w:tc>
          <w:tcPr>
            <w:tcW w:w="324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(6,338)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202"/>
        </w:trPr>
        <w:tc>
          <w:tcPr>
            <w:tcW w:w="864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Items that are or may be reclassified subsequently to profit or loss, net of tax:</w:t>
            </w: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100"/>
              <w:spacing w:after="0"/>
              <w:rPr>
                <w:sz w:val="20"/>
                <w:szCs w:val="20"/>
                <w:color w:val="auto"/>
              </w:rPr>
            </w:pPr>
            <w:r>
              <w:rPr>
                <w:rFonts w:ascii="Arial" w:cs="Arial" w:eastAsia="Arial" w:hAnsi="Arial"/>
                <w:sz w:val="13"/>
                <w:szCs w:val="13"/>
                <w:color w:val="auto"/>
              </w:rPr>
              <w:t>Currency translation differences</w:t>
            </w:r>
          </w:p>
        </w:tc>
        <w:tc>
          <w:tcPr>
            <w:tcW w:w="5400" w:type="dxa"/>
            <w:vAlign w:val="bottom"/>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(84,927)</w:t>
            </w:r>
          </w:p>
        </w:tc>
        <w:tc>
          <w:tcPr>
            <w:tcW w:w="1140" w:type="dxa"/>
            <w:vAlign w:val="bottom"/>
          </w:tcPr>
          <w:p>
            <w:pPr>
              <w:jc w:val="right"/>
              <w:spacing w:after="0"/>
              <w:rPr>
                <w:sz w:val="20"/>
                <w:szCs w:val="20"/>
                <w:color w:val="auto"/>
              </w:rPr>
            </w:pPr>
            <w:r>
              <w:rPr>
                <w:rFonts w:ascii="Arial" w:cs="Arial" w:eastAsia="Arial" w:hAnsi="Arial"/>
                <w:sz w:val="13"/>
                <w:szCs w:val="13"/>
                <w:color w:val="auto"/>
              </w:rPr>
              <w:t>26,221</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Gain on cash flow hedge</w:t>
            </w:r>
          </w:p>
        </w:tc>
        <w:tc>
          <w:tcPr>
            <w:tcW w:w="54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4,581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(80,346)</w:t>
            </w:r>
          </w:p>
        </w:tc>
        <w:tc>
          <w:tcPr>
            <w:tcW w:w="1140" w:type="dxa"/>
            <w:vAlign w:val="bottom"/>
          </w:tcPr>
          <w:p>
            <w:pPr>
              <w:jc w:val="right"/>
              <w:spacing w:after="0"/>
              <w:rPr>
                <w:sz w:val="20"/>
                <w:szCs w:val="20"/>
                <w:color w:val="auto"/>
              </w:rPr>
            </w:pPr>
            <w:r>
              <w:rPr>
                <w:rFonts w:ascii="Arial" w:cs="Arial" w:eastAsia="Arial" w:hAnsi="Arial"/>
                <w:sz w:val="13"/>
                <w:szCs w:val="13"/>
                <w:color w:val="auto"/>
              </w:rPr>
              <w:t>27,788</w:t>
            </w:r>
          </w:p>
        </w:tc>
        <w:tc>
          <w:tcPr>
            <w:tcW w:w="0" w:type="dxa"/>
            <w:vAlign w:val="bottom"/>
          </w:tcPr>
          <w:p>
            <w:pPr>
              <w:spacing w:after="0"/>
              <w:rPr>
                <w:sz w:val="1"/>
                <w:szCs w:val="1"/>
                <w:color w:val="auto"/>
              </w:rPr>
            </w:pPr>
          </w:p>
        </w:tc>
      </w:tr>
      <w:tr>
        <w:trPr>
          <w:trHeight w:val="202"/>
        </w:trPr>
        <w:tc>
          <w:tcPr>
            <w:tcW w:w="8640" w:type="dxa"/>
            <w:vAlign w:val="bottom"/>
            <w:tcBorders>
              <w:bottom w:val="single" w:sz="8" w:color="auto"/>
            </w:tcBorders>
            <w:gridSpan w:val="2"/>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Other comprehensive (loss) / income for the year, net of tax</w:t>
            </w: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(86,684)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28,313</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auto"/>
            </w:tcBorders>
            <w:shd w:val="clear" w:color="auto" w:fill="CCEEFF"/>
          </w:tcPr>
          <w:p>
            <w:pPr>
              <w:spacing w:after="0"/>
              <w:rPr>
                <w:sz w:val="15"/>
                <w:szCs w:val="15"/>
                <w:color w:val="auto"/>
              </w:rPr>
            </w:pPr>
          </w:p>
        </w:tc>
        <w:tc>
          <w:tcPr>
            <w:tcW w:w="54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5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692,741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637,337</w:t>
            </w:r>
          </w:p>
        </w:tc>
        <w:tc>
          <w:tcPr>
            <w:tcW w:w="0" w:type="dxa"/>
            <w:vAlign w:val="bottom"/>
          </w:tcPr>
          <w:p>
            <w:pPr>
              <w:spacing w:after="0"/>
              <w:rPr>
                <w:sz w:val="1"/>
                <w:szCs w:val="1"/>
                <w:color w:val="auto"/>
              </w:rPr>
            </w:pPr>
          </w:p>
        </w:tc>
      </w:tr>
      <w:tr>
        <w:trPr>
          <w:trHeight w:val="408"/>
        </w:trPr>
        <w:tc>
          <w:tcPr>
            <w:tcW w:w="324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24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400" w:type="dxa"/>
            <w:vAlign w:val="bottom"/>
          </w:tcPr>
          <w:p>
            <w:pPr>
              <w:ind w:left="18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400" w:type="dxa"/>
            <w:vAlign w:val="bottom"/>
          </w:tcPr>
          <w:p>
            <w:pPr>
              <w:ind w:left="18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698"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Consolidated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2024</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shd w:val="clear" w:color="auto" w:fill="CCEEFF"/>
          </w:tcPr>
          <w:p>
            <w:pPr>
              <w:spacing w:after="0"/>
              <w:rPr>
                <w:sz w:val="13"/>
                <w:szCs w:val="13"/>
                <w:color w:val="auto"/>
              </w:rPr>
            </w:pPr>
          </w:p>
        </w:tc>
        <w:tc>
          <w:tcPr>
            <w:tcW w:w="556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3080" w:type="dxa"/>
            <w:vAlign w:val="bottom"/>
            <w:shd w:val="clear" w:color="auto" w:fill="CCEEFF"/>
          </w:tcPr>
          <w:p>
            <w:pPr>
              <w:spacing w:after="0"/>
              <w:rPr>
                <w:sz w:val="9"/>
                <w:szCs w:val="9"/>
                <w:color w:val="auto"/>
              </w:rPr>
            </w:pPr>
          </w:p>
        </w:tc>
        <w:tc>
          <w:tcPr>
            <w:tcW w:w="5560" w:type="dxa"/>
            <w:vAlign w:val="bottom"/>
            <w:vMerge w:val="continue"/>
            <w:shd w:val="clear" w:color="auto" w:fill="CCEEFF"/>
          </w:tcPr>
          <w:p>
            <w:pPr>
              <w:spacing w:after="0"/>
              <w:rPr>
                <w:sz w:val="9"/>
                <w:szCs w:val="9"/>
                <w:color w:val="auto"/>
              </w:rPr>
            </w:pPr>
          </w:p>
        </w:tc>
        <w:tc>
          <w:tcPr>
            <w:tcW w:w="15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60"/>
        </w:trPr>
        <w:tc>
          <w:tcPr>
            <w:tcW w:w="3080" w:type="dxa"/>
            <w:vAlign w:val="bottom"/>
            <w:tcBorders>
              <w:bottom w:val="single" w:sz="8" w:color="auto"/>
            </w:tcBorders>
            <w:shd w:val="clear" w:color="auto" w:fill="CCEEFF"/>
          </w:tcPr>
          <w:p>
            <w:pPr>
              <w:spacing w:after="0"/>
              <w:rPr>
                <w:sz w:val="5"/>
                <w:szCs w:val="5"/>
                <w:color w:val="auto"/>
              </w:rPr>
            </w:pPr>
          </w:p>
        </w:tc>
        <w:tc>
          <w:tcPr>
            <w:tcW w:w="556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12</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150,520</w:t>
            </w:r>
          </w:p>
        </w:tc>
        <w:tc>
          <w:tcPr>
            <w:tcW w:w="1140" w:type="dxa"/>
            <w:vAlign w:val="bottom"/>
          </w:tcPr>
          <w:p>
            <w:pPr>
              <w:jc w:val="right"/>
              <w:spacing w:after="0"/>
              <w:rPr>
                <w:sz w:val="20"/>
                <w:szCs w:val="20"/>
                <w:color w:val="auto"/>
              </w:rPr>
            </w:pPr>
            <w:r>
              <w:rPr>
                <w:rFonts w:ascii="Arial" w:cs="Arial" w:eastAsia="Arial" w:hAnsi="Arial"/>
                <w:sz w:val="13"/>
                <w:szCs w:val="13"/>
                <w:color w:val="auto"/>
              </w:rPr>
              <w:t>161,970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Right-of-use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143,305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137,264</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Goodwill</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9,104,218</w:t>
            </w:r>
          </w:p>
        </w:tc>
        <w:tc>
          <w:tcPr>
            <w:tcW w:w="1140" w:type="dxa"/>
            <w:vAlign w:val="bottom"/>
          </w:tcPr>
          <w:p>
            <w:pPr>
              <w:jc w:val="right"/>
              <w:spacing w:after="0"/>
              <w:rPr>
                <w:sz w:val="20"/>
                <w:szCs w:val="20"/>
                <w:color w:val="auto"/>
              </w:rPr>
            </w:pPr>
            <w:r>
              <w:rPr>
                <w:rFonts w:ascii="Arial" w:cs="Arial" w:eastAsia="Arial" w:hAnsi="Arial"/>
                <w:sz w:val="13"/>
                <w:szCs w:val="13"/>
                <w:color w:val="auto"/>
              </w:rPr>
              <w:t>9,074,884</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3,792,151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4,055,079</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Other non-current assets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72,796</w:t>
            </w:r>
          </w:p>
        </w:tc>
        <w:tc>
          <w:tcPr>
            <w:tcW w:w="1140" w:type="dxa"/>
            <w:vAlign w:val="bottom"/>
          </w:tcPr>
          <w:p>
            <w:pPr>
              <w:jc w:val="right"/>
              <w:spacing w:after="0"/>
              <w:rPr>
                <w:sz w:val="20"/>
                <w:szCs w:val="20"/>
                <w:color w:val="auto"/>
              </w:rPr>
            </w:pPr>
            <w:r>
              <w:rPr>
                <w:rFonts w:ascii="Arial" w:cs="Arial" w:eastAsia="Arial" w:hAnsi="Arial"/>
                <w:sz w:val="13"/>
                <w:szCs w:val="13"/>
                <w:color w:val="auto"/>
              </w:rPr>
              <w:t>78,470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Financial assets</w:t>
            </w:r>
          </w:p>
        </w:tc>
        <w:tc>
          <w:tcPr>
            <w:tcW w:w="556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57,948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46,804</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assets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84,801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105,229</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13,405,739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13,659,700</w:t>
            </w: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8,414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8,442</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Trade receivables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1,401,989</w:t>
            </w:r>
          </w:p>
        </w:tc>
        <w:tc>
          <w:tcPr>
            <w:tcW w:w="1140" w:type="dxa"/>
            <w:vAlign w:val="bottom"/>
          </w:tcPr>
          <w:p>
            <w:pPr>
              <w:jc w:val="right"/>
              <w:spacing w:after="0"/>
              <w:rPr>
                <w:sz w:val="20"/>
                <w:szCs w:val="20"/>
                <w:color w:val="auto"/>
              </w:rPr>
            </w:pPr>
            <w:r>
              <w:rPr>
                <w:rFonts w:ascii="Arial" w:cs="Arial" w:eastAsia="Arial" w:hAnsi="Arial"/>
                <w:sz w:val="13"/>
                <w:szCs w:val="13"/>
                <w:color w:val="auto"/>
              </w:rPr>
              <w:t>1,790,322</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Unbilled revenue (contract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1,286,274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951,936</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Other current assets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211,508</w:t>
            </w:r>
          </w:p>
        </w:tc>
        <w:tc>
          <w:tcPr>
            <w:tcW w:w="1140" w:type="dxa"/>
            <w:vAlign w:val="bottom"/>
          </w:tcPr>
          <w:p>
            <w:pPr>
              <w:jc w:val="right"/>
              <w:spacing w:after="0"/>
              <w:rPr>
                <w:sz w:val="20"/>
                <w:szCs w:val="20"/>
                <w:color w:val="auto"/>
              </w:rPr>
            </w:pPr>
            <w:r>
              <w:rPr>
                <w:rFonts w:ascii="Arial" w:cs="Arial" w:eastAsia="Arial" w:hAnsi="Arial"/>
                <w:sz w:val="13"/>
                <w:szCs w:val="13"/>
                <w:color w:val="auto"/>
              </w:rPr>
              <w:t>189,460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taxes receivable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83,523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91,254</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Current asset investments</w:t>
            </w:r>
          </w:p>
        </w:tc>
        <w:tc>
          <w:tcPr>
            <w:tcW w:w="556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19</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538,785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3,530,493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3,411,470</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16,936,232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17,071,170</w:t>
            </w: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 capital</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22</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6,586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6,699</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Share premium</w:t>
            </w:r>
          </w:p>
        </w:tc>
        <w:tc>
          <w:tcPr>
            <w:tcW w:w="5560" w:type="dxa"/>
            <w:vAlign w:val="bottom"/>
          </w:tcPr>
          <w:p>
            <w:pPr>
              <w:jc w:val="right"/>
              <w:ind w:right="296"/>
              <w:spacing w:after="0"/>
              <w:rPr>
                <w:sz w:val="20"/>
                <w:szCs w:val="20"/>
                <w:color w:val="auto"/>
              </w:rPr>
            </w:pPr>
            <w:r>
              <w:rPr>
                <w:rFonts w:ascii="Arial" w:cs="Arial" w:eastAsia="Arial" w:hAnsi="Arial"/>
                <w:sz w:val="13"/>
                <w:szCs w:val="13"/>
                <w:color w:val="auto"/>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559,804</w:t>
            </w:r>
          </w:p>
        </w:tc>
        <w:tc>
          <w:tcPr>
            <w:tcW w:w="1140" w:type="dxa"/>
            <w:vAlign w:val="bottom"/>
          </w:tcPr>
          <w:p>
            <w:pPr>
              <w:jc w:val="right"/>
              <w:spacing w:after="0"/>
              <w:rPr>
                <w:sz w:val="20"/>
                <w:szCs w:val="20"/>
                <w:color w:val="auto"/>
              </w:rPr>
            </w:pPr>
            <w:r>
              <w:rPr>
                <w:rFonts w:ascii="Arial" w:cs="Arial" w:eastAsia="Arial" w:hAnsi="Arial"/>
                <w:sz w:val="13"/>
                <w:szCs w:val="13"/>
                <w:color w:val="auto"/>
              </w:rPr>
              <w:t>523,646</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undenominated capital</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Share-based payment reserve</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331,838</w:t>
            </w:r>
          </w:p>
        </w:tc>
        <w:tc>
          <w:tcPr>
            <w:tcW w:w="1140" w:type="dxa"/>
            <w:vAlign w:val="bottom"/>
          </w:tcPr>
          <w:p>
            <w:pPr>
              <w:jc w:val="right"/>
              <w:spacing w:after="0"/>
              <w:rPr>
                <w:sz w:val="20"/>
                <w:szCs w:val="20"/>
                <w:color w:val="auto"/>
              </w:rPr>
            </w:pPr>
            <w:r>
              <w:rPr>
                <w:rFonts w:ascii="Arial" w:cs="Arial" w:eastAsia="Arial" w:hAnsi="Arial"/>
                <w:sz w:val="13"/>
                <w:szCs w:val="13"/>
                <w:color w:val="auto"/>
              </w:rPr>
              <w:t>354,183</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reserves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16,454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10,183</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Foreign currency reserve</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(233,771)</w:t>
            </w:r>
          </w:p>
        </w:tc>
        <w:tc>
          <w:tcPr>
            <w:tcW w:w="1140" w:type="dxa"/>
            <w:vAlign w:val="bottom"/>
          </w:tcPr>
          <w:p>
            <w:pPr>
              <w:jc w:val="right"/>
              <w:spacing w:after="0"/>
              <w:rPr>
                <w:sz w:val="20"/>
                <w:szCs w:val="20"/>
                <w:color w:val="auto"/>
              </w:rPr>
            </w:pPr>
            <w:r>
              <w:rPr>
                <w:rFonts w:ascii="Arial" w:cs="Arial" w:eastAsia="Arial" w:hAnsi="Arial"/>
                <w:sz w:val="13"/>
                <w:szCs w:val="13"/>
                <w:color w:val="auto"/>
              </w:rPr>
              <w:t>(148,844)</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Merger reserve</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3,244,215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2,919,591</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9,582,625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9,322,815</w:t>
            </w: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Non-current bank credit lines and loan facilities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21</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3,396,398</w:t>
            </w:r>
          </w:p>
        </w:tc>
        <w:tc>
          <w:tcPr>
            <w:tcW w:w="1140" w:type="dxa"/>
            <w:vAlign w:val="bottom"/>
          </w:tcPr>
          <w:p>
            <w:pPr>
              <w:jc w:val="right"/>
              <w:spacing w:after="0"/>
              <w:rPr>
                <w:sz w:val="20"/>
                <w:szCs w:val="20"/>
                <w:color w:val="auto"/>
              </w:rPr>
            </w:pPr>
            <w:r>
              <w:rPr>
                <w:rFonts w:ascii="Arial" w:cs="Arial" w:eastAsia="Arial" w:hAnsi="Arial"/>
                <w:sz w:val="13"/>
                <w:szCs w:val="13"/>
                <w:color w:val="auto"/>
              </w:rPr>
              <w:t>3,665,439</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lease liabilities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140,085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126,321</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Non-current other liabilities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81,116</w:t>
            </w:r>
          </w:p>
        </w:tc>
        <w:tc>
          <w:tcPr>
            <w:tcW w:w="1140" w:type="dxa"/>
            <w:vAlign w:val="bottom"/>
          </w:tcPr>
          <w:p>
            <w:pPr>
              <w:jc w:val="right"/>
              <w:spacing w:after="0"/>
              <w:rPr>
                <w:sz w:val="20"/>
                <w:szCs w:val="20"/>
                <w:color w:val="auto"/>
              </w:rPr>
            </w:pPr>
            <w:r>
              <w:rPr>
                <w:rFonts w:ascii="Arial" w:cs="Arial" w:eastAsia="Arial" w:hAnsi="Arial"/>
                <w:sz w:val="13"/>
                <w:szCs w:val="13"/>
                <w:color w:val="auto"/>
              </w:rPr>
              <w:t>43,950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provisions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9</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2,354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liabilities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811,414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898,335</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4,431,367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4,736,093</w:t>
            </w: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173,025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131,584</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Unearned revenue (contract liabilities)</w:t>
            </w:r>
          </w:p>
        </w:tc>
        <w:tc>
          <w:tcPr>
            <w:tcW w:w="5560" w:type="dxa"/>
            <w:vAlign w:val="bottom"/>
          </w:tcPr>
          <w:p>
            <w:pPr>
              <w:jc w:val="right"/>
              <w:ind w:right="336"/>
              <w:spacing w:after="0"/>
              <w:rPr>
                <w:sz w:val="20"/>
                <w:szCs w:val="20"/>
                <w:color w:val="auto"/>
              </w:rPr>
            </w:pPr>
            <w:r>
              <w:rPr>
                <w:rFonts w:ascii="Arial" w:cs="Arial" w:eastAsia="Arial" w:hAnsi="Arial"/>
                <w:sz w:val="13"/>
                <w:szCs w:val="13"/>
                <w:i w:val="1"/>
                <w:iCs w:val="1"/>
                <w:color w:val="auto"/>
              </w:rPr>
              <w:t>16</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1,614,758</w:t>
            </w:r>
          </w:p>
        </w:tc>
        <w:tc>
          <w:tcPr>
            <w:tcW w:w="1140" w:type="dxa"/>
            <w:vAlign w:val="bottom"/>
          </w:tcPr>
          <w:p>
            <w:pPr>
              <w:jc w:val="right"/>
              <w:spacing w:after="0"/>
              <w:rPr>
                <w:sz w:val="20"/>
                <w:szCs w:val="20"/>
                <w:color w:val="auto"/>
              </w:rPr>
            </w:pPr>
            <w:r>
              <w:rPr>
                <w:rFonts w:ascii="Arial" w:cs="Arial" w:eastAsia="Arial" w:hAnsi="Arial"/>
                <w:sz w:val="13"/>
                <w:szCs w:val="13"/>
                <w:color w:val="auto"/>
              </w:rPr>
              <w:t>1,654,507</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and other liabilities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894,483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910,448</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Provisions</w:t>
            </w:r>
          </w:p>
        </w:tc>
        <w:tc>
          <w:tcPr>
            <w:tcW w:w="5560" w:type="dxa"/>
            <w:vAlign w:val="bottom"/>
          </w:tcPr>
          <w:p>
            <w:pPr>
              <w:jc w:val="right"/>
              <w:ind w:right="33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29,120</w:t>
            </w:r>
          </w:p>
        </w:tc>
        <w:tc>
          <w:tcPr>
            <w:tcW w:w="1140" w:type="dxa"/>
            <w:vAlign w:val="bottom"/>
          </w:tcPr>
          <w:p>
            <w:pPr>
              <w:jc w:val="right"/>
              <w:spacing w:after="0"/>
              <w:rPr>
                <w:sz w:val="20"/>
                <w:szCs w:val="20"/>
                <w:color w:val="auto"/>
              </w:rPr>
            </w:pPr>
            <w:r>
              <w:rPr>
                <w:rFonts w:ascii="Arial" w:cs="Arial" w:eastAsia="Arial" w:hAnsi="Arial"/>
                <w:sz w:val="13"/>
                <w:szCs w:val="13"/>
                <w:color w:val="auto"/>
              </w:rPr>
              <w:t>4,951</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181,092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200,622</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Bank credit lines and loan facilities</w:t>
            </w:r>
          </w:p>
        </w:tc>
        <w:tc>
          <w:tcPr>
            <w:tcW w:w="55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i w:val="1"/>
                <w:iCs w:val="1"/>
                <w:color w:val="auto"/>
              </w:rPr>
              <w:t>21</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29,762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110,150</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2,922,240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3,012,262</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7,353,607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7,748,355</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16,936,232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17,071,170</w:t>
            </w:r>
          </w:p>
        </w:tc>
        <w:tc>
          <w:tcPr>
            <w:tcW w:w="0" w:type="dxa"/>
            <w:vAlign w:val="bottom"/>
          </w:tcPr>
          <w:p>
            <w:pPr>
              <w:spacing w:after="0"/>
              <w:rPr>
                <w:sz w:val="1"/>
                <w:szCs w:val="1"/>
                <w:color w:val="auto"/>
              </w:rPr>
            </w:pPr>
          </w:p>
        </w:tc>
      </w:tr>
      <w:tr>
        <w:trPr>
          <w:trHeight w:val="417"/>
        </w:trPr>
        <w:tc>
          <w:tcPr>
            <w:tcW w:w="308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08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34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34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3080" w:type="dxa"/>
            <w:vAlign w:val="bottom"/>
          </w:tcPr>
          <w:p>
            <w:pPr>
              <w:spacing w:after="0"/>
              <w:rPr>
                <w:sz w:val="24"/>
                <w:szCs w:val="24"/>
                <w:color w:val="auto"/>
              </w:rPr>
            </w:pPr>
          </w:p>
        </w:tc>
        <w:tc>
          <w:tcPr>
            <w:tcW w:w="5560" w:type="dxa"/>
            <w:vAlign w:val="bottom"/>
          </w:tcPr>
          <w:p>
            <w:pPr>
              <w:jc w:val="right"/>
              <w:ind w:right="2616"/>
              <w:spacing w:after="0"/>
              <w:rPr>
                <w:sz w:val="20"/>
                <w:szCs w:val="20"/>
                <w:color w:val="auto"/>
              </w:rPr>
            </w:pPr>
            <w:r>
              <w:rPr>
                <w:rFonts w:ascii="Arial" w:cs="Arial" w:eastAsia="Arial" w:hAnsi="Arial"/>
                <w:sz w:val="13"/>
                <w:szCs w:val="13"/>
                <w:color w:val="auto"/>
              </w:rPr>
              <w:t>38</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8"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Share</w:t>
            </w: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Foreign</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Retained</w:t>
            </w: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1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5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Merger Undenominated</w:t>
            </w:r>
          </w:p>
        </w:tc>
        <w:tc>
          <w:tcPr>
            <w:tcW w:w="88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Payment</w:t>
            </w:r>
          </w:p>
        </w:tc>
        <w:tc>
          <w:tcPr>
            <w:tcW w:w="760" w:type="dxa"/>
            <w:vAlign w:val="bottom"/>
            <w:vMerge w:val="continue"/>
            <w:shd w:val="clear" w:color="auto" w:fill="CCEEFF"/>
          </w:tcPr>
          <w:p>
            <w:pPr>
              <w:spacing w:after="0"/>
              <w:rPr>
                <w:sz w:val="9"/>
                <w:szCs w:val="9"/>
                <w:color w:val="auto"/>
              </w:rPr>
            </w:pPr>
          </w:p>
        </w:tc>
        <w:tc>
          <w:tcPr>
            <w:tcW w:w="76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Currency</w:t>
            </w:r>
          </w:p>
        </w:tc>
        <w:tc>
          <w:tcPr>
            <w:tcW w:w="780" w:type="dxa"/>
            <w:vAlign w:val="bottom"/>
            <w:vMerge w:val="continue"/>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Premium</w:t>
            </w: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50"/>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2024</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82,495,086</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6,699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523,646</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354,183</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10,183</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(148,844)</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2,919,591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9,322,815</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779,425</w:t>
            </w:r>
          </w:p>
        </w:tc>
        <w:tc>
          <w:tcPr>
            <w:tcW w:w="660" w:type="dxa"/>
            <w:vAlign w:val="bottom"/>
          </w:tcPr>
          <w:p>
            <w:pPr>
              <w:jc w:val="right"/>
              <w:spacing w:after="0"/>
              <w:rPr>
                <w:sz w:val="20"/>
                <w:szCs w:val="20"/>
                <w:color w:val="auto"/>
              </w:rPr>
            </w:pPr>
            <w:r>
              <w:rPr>
                <w:rFonts w:ascii="Arial" w:cs="Arial" w:eastAsia="Arial" w:hAnsi="Arial"/>
                <w:sz w:val="11"/>
                <w:szCs w:val="11"/>
                <w:color w:val="auto"/>
              </w:rPr>
              <w:t>779,425</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Loss</w:t>
            </w: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Foreign currency translation</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(84,927)</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(84,927)</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Re-measurement of defined benefit liability</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(6,338)</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(6,338)</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Gain on cash flow hedge</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4,581</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4,581</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other comprehensive loss</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4,581</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(84,927)</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(6,338)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(86,684)</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4,581</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(84,927)</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773,087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692,741</w:t>
            </w:r>
          </w:p>
        </w:tc>
        <w:tc>
          <w:tcPr>
            <w:tcW w:w="0" w:type="dxa"/>
            <w:vAlign w:val="bottom"/>
          </w:tcPr>
          <w:p>
            <w:pPr>
              <w:spacing w:after="0"/>
              <w:rPr>
                <w:sz w:val="1"/>
                <w:szCs w:val="1"/>
                <w:color w:val="auto"/>
              </w:rPr>
            </w:pPr>
          </w:p>
        </w:tc>
      </w:tr>
      <w:tr>
        <w:trPr>
          <w:trHeight w:val="153"/>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Share-based payment</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41,665</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41,665</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share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311,040</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20</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36,158</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36,178</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Transfer of exercised and expired share–based awards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(53,635)</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53,635</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Issue of restricted share units/ performance share units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130,433</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 issue costs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(22)</w:t>
            </w:r>
          </w:p>
        </w:tc>
        <w:tc>
          <w:tcPr>
            <w:tcW w:w="660" w:type="dxa"/>
            <w:vAlign w:val="bottom"/>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Repurchase of ordinary shares</w:t>
            </w: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(2,179,699)</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142</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(499,998)</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(499,998)</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 repurchase costs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(388)</w:t>
            </w:r>
          </w:p>
        </w:tc>
        <w:tc>
          <w:tcPr>
            <w:tcW w:w="660" w:type="dxa"/>
            <w:vAlign w:val="bottom"/>
          </w:tcPr>
          <w:p>
            <w:pPr>
              <w:jc w:val="right"/>
              <w:spacing w:after="0"/>
              <w:rPr>
                <w:sz w:val="20"/>
                <w:szCs w:val="20"/>
                <w:color w:val="auto"/>
              </w:rPr>
            </w:pPr>
            <w:r>
              <w:rPr>
                <w:rFonts w:ascii="Arial" w:cs="Arial" w:eastAsia="Arial" w:hAnsi="Arial"/>
                <w:sz w:val="11"/>
                <w:szCs w:val="11"/>
                <w:color w:val="auto"/>
              </w:rPr>
              <w:t>(388)</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 benefit excess on exercise of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3,596</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3,596</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Deferred tax movement on unexercised options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(13,971)</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(13,971)</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Non-distributable reserves</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1,690</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(1,690)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(1,738,226)</w:t>
            </w: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(113)</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36,158</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142</w:t>
            </w: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(22,345)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1,690</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(448,463)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(432,931)</w:t>
            </w:r>
          </w:p>
        </w:tc>
        <w:tc>
          <w:tcPr>
            <w:tcW w:w="0" w:type="dxa"/>
            <w:vAlign w:val="bottom"/>
          </w:tcPr>
          <w:p>
            <w:pPr>
              <w:spacing w:after="0"/>
              <w:rPr>
                <w:sz w:val="1"/>
                <w:szCs w:val="1"/>
                <w:color w:val="auto"/>
              </w:rPr>
            </w:pPr>
          </w:p>
        </w:tc>
      </w:tr>
      <w:tr>
        <w:trPr>
          <w:trHeight w:val="15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31 December 2024</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80,756,860</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6,586</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559,804</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1,304</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331,838</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16,454</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(233,771)</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3,244,215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9,582,625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23</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160"/>
          </w:cols>
          <w:pgMar w:left="300" w:top="698"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Share</w:t>
            </w: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Foreign</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Retained</w:t>
            </w: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1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5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Merger Undenominated</w:t>
            </w:r>
          </w:p>
        </w:tc>
        <w:tc>
          <w:tcPr>
            <w:tcW w:w="88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Payment</w:t>
            </w:r>
          </w:p>
        </w:tc>
        <w:tc>
          <w:tcPr>
            <w:tcW w:w="760" w:type="dxa"/>
            <w:vAlign w:val="bottom"/>
            <w:vMerge w:val="continue"/>
            <w:shd w:val="clear" w:color="auto" w:fill="CCEEFF"/>
          </w:tcPr>
          <w:p>
            <w:pPr>
              <w:spacing w:after="0"/>
              <w:rPr>
                <w:sz w:val="9"/>
                <w:szCs w:val="9"/>
                <w:color w:val="auto"/>
              </w:rPr>
            </w:pPr>
          </w:p>
        </w:tc>
        <w:tc>
          <w:tcPr>
            <w:tcW w:w="76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Currency</w:t>
            </w:r>
          </w:p>
        </w:tc>
        <w:tc>
          <w:tcPr>
            <w:tcW w:w="780" w:type="dxa"/>
            <w:vAlign w:val="bottom"/>
            <w:vMerge w:val="continue"/>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Premium</w:t>
            </w: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50"/>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2023</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81,723,555</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6,649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472,723</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381,098</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7,601</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(175,065)</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2,219,619</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8,569,982</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609,024</w:t>
            </w:r>
          </w:p>
        </w:tc>
        <w:tc>
          <w:tcPr>
            <w:tcW w:w="660" w:type="dxa"/>
            <w:vAlign w:val="bottom"/>
          </w:tcPr>
          <w:p>
            <w:pPr>
              <w:jc w:val="right"/>
              <w:spacing w:after="0"/>
              <w:rPr>
                <w:sz w:val="20"/>
                <w:szCs w:val="20"/>
                <w:color w:val="auto"/>
              </w:rPr>
            </w:pPr>
            <w:r>
              <w:rPr>
                <w:rFonts w:ascii="Arial" w:cs="Arial" w:eastAsia="Arial" w:hAnsi="Arial"/>
                <w:sz w:val="11"/>
                <w:szCs w:val="11"/>
                <w:color w:val="auto"/>
              </w:rPr>
              <w:t>609,024</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Income</w:t>
            </w: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Foreign currency translation</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26,221</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Re-measurement of defined benefit liability</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525</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Gain on cash flow hedge</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1,567</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other comprehensive income</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28,313</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609,549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637,337</w:t>
            </w:r>
          </w:p>
        </w:tc>
        <w:tc>
          <w:tcPr>
            <w:tcW w:w="0" w:type="dxa"/>
            <w:vAlign w:val="bottom"/>
          </w:tcPr>
          <w:p>
            <w:pPr>
              <w:spacing w:after="0"/>
              <w:rPr>
                <w:sz w:val="1"/>
                <w:szCs w:val="1"/>
                <w:color w:val="auto"/>
              </w:rPr>
            </w:pPr>
          </w:p>
        </w:tc>
      </w:tr>
      <w:tr>
        <w:trPr>
          <w:trHeight w:val="153"/>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Share-based payment</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47,171</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47,171</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share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535,705</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35</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50,923</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50,958</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Transfer of exercised and expired share–based awards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(91,454)</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91,454</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Issue of restricted share units/ performance share units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235,826</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15</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 issue costs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(16)</w:t>
            </w:r>
          </w:p>
        </w:tc>
        <w:tc>
          <w:tcPr>
            <w:tcW w:w="66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 benefit excess on exercise of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4,323</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4,323</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Deferred tax movement on unexercised options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13,045</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13,045</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Non-distributable reserves</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1,015</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(1,015)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771,531</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50</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50,923</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(26,915)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1,015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90,423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115,496</w:t>
            </w:r>
          </w:p>
        </w:tc>
        <w:tc>
          <w:tcPr>
            <w:tcW w:w="0" w:type="dxa"/>
            <w:vAlign w:val="bottom"/>
          </w:tcPr>
          <w:p>
            <w:pPr>
              <w:spacing w:after="0"/>
              <w:rPr>
                <w:sz w:val="1"/>
                <w:szCs w:val="1"/>
                <w:color w:val="auto"/>
              </w:rPr>
            </w:pPr>
          </w:p>
        </w:tc>
      </w:tr>
      <w:tr>
        <w:trPr>
          <w:trHeight w:val="15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31 December 2023</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82,495,086</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6,699</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523,646</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354,183</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10,183</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(148,844)</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2,919,591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9,322,815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23</w:t>
      </w:r>
    </w:p>
    <w:p>
      <w:pPr>
        <w:spacing w:after="0" w:line="251"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60"/>
          </w:cols>
          <w:pgMar w:left="300" w:top="889"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Consolidated Statement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shd w:val="clear" w:color="auto" w:fill="CCEEFF"/>
          </w:tcPr>
          <w:p>
            <w:pPr>
              <w:spacing w:after="0"/>
              <w:rPr>
                <w:sz w:val="13"/>
                <w:szCs w:val="13"/>
                <w:color w:val="auto"/>
              </w:rPr>
            </w:pPr>
          </w:p>
        </w:tc>
        <w:tc>
          <w:tcPr>
            <w:tcW w:w="320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i w:val="1"/>
                <w:iCs w:val="1"/>
                <w:color w:val="auto"/>
              </w:rPr>
              <w:t>Note</w:t>
            </w:r>
          </w:p>
        </w:tc>
        <w:tc>
          <w:tcPr>
            <w:tcW w:w="1500" w:type="dxa"/>
            <w:vAlign w:val="bottom"/>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5420" w:type="dxa"/>
            <w:vAlign w:val="bottom"/>
            <w:shd w:val="clear" w:color="auto" w:fill="CCEEFF"/>
          </w:tcPr>
          <w:p>
            <w:pPr>
              <w:spacing w:after="0"/>
              <w:rPr>
                <w:sz w:val="9"/>
                <w:szCs w:val="9"/>
                <w:color w:val="auto"/>
              </w:rPr>
            </w:pPr>
          </w:p>
        </w:tc>
        <w:tc>
          <w:tcPr>
            <w:tcW w:w="3200" w:type="dxa"/>
            <w:vAlign w:val="bottom"/>
            <w:vMerge w:val="continue"/>
            <w:shd w:val="clear" w:color="auto" w:fill="CCEEFF"/>
          </w:tcPr>
          <w:p>
            <w:pPr>
              <w:spacing w:after="0"/>
              <w:rPr>
                <w:sz w:val="9"/>
                <w:szCs w:val="9"/>
                <w:color w:val="auto"/>
              </w:rPr>
            </w:pPr>
          </w:p>
        </w:tc>
        <w:tc>
          <w:tcPr>
            <w:tcW w:w="1500" w:type="dxa"/>
            <w:vAlign w:val="bottom"/>
            <w:vMerge w:val="restart"/>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2024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60"/>
        </w:trPr>
        <w:tc>
          <w:tcPr>
            <w:tcW w:w="5420" w:type="dxa"/>
            <w:vAlign w:val="bottom"/>
            <w:tcBorders>
              <w:bottom w:val="single" w:sz="8" w:color="auto"/>
            </w:tcBorders>
            <w:shd w:val="clear" w:color="auto" w:fill="CCEEFF"/>
          </w:tcPr>
          <w:p>
            <w:pPr>
              <w:spacing w:after="0"/>
              <w:rPr>
                <w:sz w:val="5"/>
                <w:szCs w:val="5"/>
                <w:color w:val="auto"/>
              </w:rPr>
            </w:pPr>
          </w:p>
        </w:tc>
        <w:tc>
          <w:tcPr>
            <w:tcW w:w="320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500" w:type="dxa"/>
            <w:vAlign w:val="bottom"/>
          </w:tcPr>
          <w:p>
            <w:pPr>
              <w:jc w:val="right"/>
              <w:ind w:right="298"/>
              <w:spacing w:after="0"/>
              <w:rPr>
                <w:sz w:val="20"/>
                <w:szCs w:val="20"/>
                <w:color w:val="auto"/>
              </w:rPr>
            </w:pPr>
            <w:r>
              <w:rPr>
                <w:rFonts w:ascii="Arial" w:cs="Arial" w:eastAsia="Arial" w:hAnsi="Arial"/>
                <w:sz w:val="12"/>
                <w:szCs w:val="12"/>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Profit for the financial year</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779,425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609,024</w:t>
            </w:r>
          </w:p>
        </w:tc>
        <w:tc>
          <w:tcPr>
            <w:tcW w:w="0" w:type="dxa"/>
            <w:vAlign w:val="bottom"/>
          </w:tcPr>
          <w:p>
            <w:pPr>
              <w:spacing w:after="0"/>
              <w:rPr>
                <w:sz w:val="1"/>
                <w:szCs w:val="1"/>
                <w:color w:val="auto"/>
              </w:rPr>
            </w:pPr>
          </w:p>
        </w:tc>
      </w:tr>
      <w:tr>
        <w:trPr>
          <w:trHeight w:val="170"/>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Adjustments to reconcile net income to net cash generated from operating activities</w:t>
            </w:r>
          </w:p>
        </w:tc>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of property, plant and equipment</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12</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44,878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48,158</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Depreciation of right-of-use assets</w:t>
            </w:r>
          </w:p>
        </w:tc>
        <w:tc>
          <w:tcPr>
            <w:tcW w:w="3200" w:type="dxa"/>
            <w:vAlign w:val="bottom"/>
          </w:tcPr>
          <w:p>
            <w:pPr>
              <w:jc w:val="right"/>
              <w:ind w:right="298"/>
              <w:spacing w:after="0"/>
              <w:rPr>
                <w:sz w:val="20"/>
                <w:szCs w:val="20"/>
                <w:color w:val="auto"/>
              </w:rPr>
            </w:pPr>
            <w:r>
              <w:rPr>
                <w:rFonts w:ascii="Arial" w:cs="Arial" w:eastAsia="Arial" w:hAnsi="Arial"/>
                <w:sz w:val="12"/>
                <w:szCs w:val="12"/>
                <w:i w:val="1"/>
                <w:iCs w:val="1"/>
                <w:color w:val="auto"/>
              </w:rPr>
              <w:t>25</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41,014</w:t>
            </w:r>
          </w:p>
        </w:tc>
        <w:tc>
          <w:tcPr>
            <w:tcW w:w="1140" w:type="dxa"/>
            <w:vAlign w:val="bottom"/>
          </w:tcPr>
          <w:p>
            <w:pPr>
              <w:jc w:val="right"/>
              <w:spacing w:after="0"/>
              <w:rPr>
                <w:sz w:val="20"/>
                <w:szCs w:val="20"/>
                <w:color w:val="auto"/>
              </w:rPr>
            </w:pPr>
            <w:r>
              <w:rPr>
                <w:rFonts w:ascii="Arial" w:cs="Arial" w:eastAsia="Arial" w:hAnsi="Arial"/>
                <w:sz w:val="12"/>
                <w:szCs w:val="12"/>
                <w:color w:val="auto"/>
              </w:rPr>
              <w:t>41,982</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Impairment of long lived assets</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9</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15,731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8,686</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Amortisation of intangible assets</w:t>
            </w:r>
          </w:p>
        </w:tc>
        <w:tc>
          <w:tcPr>
            <w:tcW w:w="3200" w:type="dxa"/>
            <w:vAlign w:val="bottom"/>
          </w:tcPr>
          <w:p>
            <w:pPr>
              <w:jc w:val="right"/>
              <w:ind w:right="298"/>
              <w:spacing w:after="0"/>
              <w:rPr>
                <w:sz w:val="20"/>
                <w:szCs w:val="20"/>
                <w:color w:val="auto"/>
              </w:rPr>
            </w:pPr>
            <w:r>
              <w:rPr>
                <w:rFonts w:ascii="Arial" w:cs="Arial" w:eastAsia="Arial" w:hAnsi="Arial"/>
                <w:sz w:val="12"/>
                <w:szCs w:val="12"/>
                <w:i w:val="1"/>
                <w:iCs w:val="1"/>
                <w:color w:val="auto"/>
              </w:rPr>
              <w:t>13</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443,622</w:t>
            </w:r>
          </w:p>
        </w:tc>
        <w:tc>
          <w:tcPr>
            <w:tcW w:w="1140" w:type="dxa"/>
            <w:vAlign w:val="bottom"/>
          </w:tcPr>
          <w:p>
            <w:pPr>
              <w:jc w:val="right"/>
              <w:spacing w:after="0"/>
              <w:rPr>
                <w:sz w:val="20"/>
                <w:szCs w:val="20"/>
                <w:color w:val="auto"/>
              </w:rPr>
            </w:pPr>
            <w:r>
              <w:rPr>
                <w:rFonts w:ascii="Arial" w:cs="Arial" w:eastAsia="Arial" w:hAnsi="Arial"/>
                <w:sz w:val="12"/>
                <w:szCs w:val="12"/>
                <w:color w:val="auto"/>
              </w:rPr>
              <w:t>537,792</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equity method investments</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Share-based payment</w:t>
            </w:r>
          </w:p>
        </w:tc>
        <w:tc>
          <w:tcPr>
            <w:tcW w:w="3200" w:type="dxa"/>
            <w:vAlign w:val="bottom"/>
          </w:tcPr>
          <w:p>
            <w:pPr>
              <w:jc w:val="right"/>
              <w:ind w:right="298"/>
              <w:spacing w:after="0"/>
              <w:rPr>
                <w:sz w:val="20"/>
                <w:szCs w:val="20"/>
                <w:color w:val="auto"/>
              </w:rPr>
            </w:pPr>
            <w:r>
              <w:rPr>
                <w:rFonts w:ascii="Arial" w:cs="Arial" w:eastAsia="Arial" w:hAnsi="Arial"/>
                <w:sz w:val="12"/>
                <w:szCs w:val="12"/>
                <w:i w:val="1"/>
                <w:iCs w:val="1"/>
                <w:color w:val="auto"/>
              </w:rPr>
              <w:t>11</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46,108</w:t>
            </w:r>
          </w:p>
        </w:tc>
        <w:tc>
          <w:tcPr>
            <w:tcW w:w="1140" w:type="dxa"/>
            <w:vAlign w:val="bottom"/>
          </w:tcPr>
          <w:p>
            <w:pPr>
              <w:jc w:val="right"/>
              <w:spacing w:after="0"/>
              <w:rPr>
                <w:sz w:val="20"/>
                <w:szCs w:val="20"/>
                <w:color w:val="auto"/>
              </w:rPr>
            </w:pPr>
            <w:r>
              <w:rPr>
                <w:rFonts w:ascii="Arial" w:cs="Arial" w:eastAsia="Arial" w:hAnsi="Arial"/>
                <w:sz w:val="12"/>
                <w:szCs w:val="12"/>
                <w:color w:val="auto"/>
              </w:rPr>
              <w:t>51,380</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Acquisition-related gain</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14</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(6,160)</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Finance income</w:t>
            </w:r>
          </w:p>
        </w:tc>
        <w:tc>
          <w:tcPr>
            <w:tcW w:w="3200" w:type="dxa"/>
            <w:vAlign w:val="bottom"/>
          </w:tcPr>
          <w:p>
            <w:pPr>
              <w:jc w:val="right"/>
              <w:ind w:right="298"/>
              <w:spacing w:after="0"/>
              <w:rPr>
                <w:sz w:val="20"/>
                <w:szCs w:val="20"/>
                <w:color w:val="auto"/>
              </w:rPr>
            </w:pPr>
            <w:r>
              <w:rPr>
                <w:rFonts w:ascii="Arial" w:cs="Arial" w:eastAsia="Arial" w:hAnsi="Arial"/>
                <w:sz w:val="12"/>
                <w:szCs w:val="12"/>
                <w:i w:val="1"/>
                <w:iCs w:val="1"/>
                <w:color w:val="auto"/>
              </w:rPr>
              <w:t>4</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(8,609)</w:t>
            </w:r>
          </w:p>
        </w:tc>
        <w:tc>
          <w:tcPr>
            <w:tcW w:w="1140" w:type="dxa"/>
            <w:vAlign w:val="bottom"/>
          </w:tcPr>
          <w:p>
            <w:pPr>
              <w:jc w:val="right"/>
              <w:spacing w:after="0"/>
              <w:rPr>
                <w:sz w:val="20"/>
                <w:szCs w:val="20"/>
                <w:color w:val="auto"/>
              </w:rPr>
            </w:pPr>
            <w:r>
              <w:rPr>
                <w:rFonts w:ascii="Arial" w:cs="Arial" w:eastAsia="Arial" w:hAnsi="Arial"/>
                <w:sz w:val="12"/>
                <w:szCs w:val="12"/>
                <w:color w:val="auto"/>
              </w:rPr>
              <w:t>(5,014)</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Finance costs</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5</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242,616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340,871</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Income tax expense</w:t>
            </w:r>
          </w:p>
        </w:tc>
        <w:tc>
          <w:tcPr>
            <w:tcW w:w="3200" w:type="dxa"/>
            <w:vAlign w:val="bottom"/>
          </w:tcPr>
          <w:p>
            <w:pPr>
              <w:jc w:val="right"/>
              <w:ind w:right="298"/>
              <w:spacing w:after="0"/>
              <w:rPr>
                <w:sz w:val="20"/>
                <w:szCs w:val="20"/>
                <w:color w:val="auto"/>
              </w:rPr>
            </w:pPr>
            <w:r>
              <w:rPr>
                <w:rFonts w:ascii="Arial" w:cs="Arial" w:eastAsia="Arial" w:hAnsi="Arial"/>
                <w:sz w:val="12"/>
                <w:szCs w:val="12"/>
                <w:i w:val="1"/>
                <w:iCs w:val="1"/>
                <w:color w:val="auto"/>
              </w:rPr>
              <w:t>7</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88,553</w:t>
            </w:r>
          </w:p>
        </w:tc>
        <w:tc>
          <w:tcPr>
            <w:tcW w:w="1140" w:type="dxa"/>
            <w:vAlign w:val="bottom"/>
          </w:tcPr>
          <w:p>
            <w:pPr>
              <w:jc w:val="right"/>
              <w:spacing w:after="0"/>
              <w:rPr>
                <w:sz w:val="20"/>
                <w:szCs w:val="20"/>
                <w:color w:val="auto"/>
              </w:rPr>
            </w:pPr>
            <w:r>
              <w:rPr>
                <w:rFonts w:ascii="Arial" w:cs="Arial" w:eastAsia="Arial" w:hAnsi="Arial"/>
                <w:sz w:val="12"/>
                <w:szCs w:val="12"/>
                <w:color w:val="auto"/>
              </w:rPr>
              <w:t>18,627</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Unrealised foreign exchange movements</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6,911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19,706</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 non-cash items</w:t>
            </w:r>
          </w:p>
        </w:tc>
        <w:tc>
          <w:tcPr>
            <w:tcW w:w="3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31,900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24,651</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cash inflow before changes in working capital</w:t>
            </w:r>
          </w:p>
        </w:tc>
        <w:tc>
          <w:tcPr>
            <w:tcW w:w="3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1,732,149</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1,690,086</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Accounts receivable</w:t>
            </w:r>
          </w:p>
        </w:tc>
        <w:tc>
          <w:tcPr>
            <w:tcW w:w="320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349,309</w:t>
            </w:r>
          </w:p>
        </w:tc>
        <w:tc>
          <w:tcPr>
            <w:tcW w:w="1140" w:type="dxa"/>
            <w:vAlign w:val="bottom"/>
          </w:tcPr>
          <w:p>
            <w:pPr>
              <w:jc w:val="right"/>
              <w:spacing w:after="0"/>
              <w:rPr>
                <w:sz w:val="20"/>
                <w:szCs w:val="20"/>
                <w:color w:val="auto"/>
              </w:rPr>
            </w:pPr>
            <w:r>
              <w:rPr>
                <w:rFonts w:ascii="Arial" w:cs="Arial" w:eastAsia="Arial" w:hAnsi="Arial"/>
                <w:sz w:val="12"/>
                <w:szCs w:val="12"/>
                <w:color w:val="auto"/>
              </w:rPr>
              <w:t>(83,296)</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Unbilled revenue</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(339,921)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4,716</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Unearned revenue</w:t>
            </w:r>
          </w:p>
        </w:tc>
        <w:tc>
          <w:tcPr>
            <w:tcW w:w="320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(37,743)</w:t>
            </w:r>
          </w:p>
        </w:tc>
        <w:tc>
          <w:tcPr>
            <w:tcW w:w="1140" w:type="dxa"/>
            <w:vAlign w:val="bottom"/>
          </w:tcPr>
          <w:p>
            <w:pPr>
              <w:jc w:val="right"/>
              <w:spacing w:after="0"/>
              <w:rPr>
                <w:sz w:val="20"/>
                <w:szCs w:val="20"/>
                <w:color w:val="auto"/>
              </w:rPr>
            </w:pPr>
            <w:r>
              <w:rPr>
                <w:rFonts w:ascii="Arial" w:cs="Arial" w:eastAsia="Arial" w:hAnsi="Arial"/>
                <w:sz w:val="12"/>
                <w:szCs w:val="12"/>
                <w:color w:val="auto"/>
              </w:rPr>
              <w:t>134,566</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 net assets</w:t>
            </w:r>
          </w:p>
        </w:tc>
        <w:tc>
          <w:tcPr>
            <w:tcW w:w="3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(44,277)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(58,827)</w:t>
            </w:r>
          </w:p>
        </w:tc>
        <w:tc>
          <w:tcPr>
            <w:tcW w:w="0" w:type="dxa"/>
            <w:vAlign w:val="bottom"/>
          </w:tcPr>
          <w:p>
            <w:pPr>
              <w:spacing w:after="0"/>
              <w:rPr>
                <w:sz w:val="1"/>
                <w:szCs w:val="1"/>
                <w:color w:val="auto"/>
              </w:rPr>
            </w:pPr>
          </w:p>
        </w:tc>
      </w:tr>
      <w:tr>
        <w:trPr>
          <w:trHeight w:val="160"/>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Cash provided by operations</w:t>
            </w:r>
          </w:p>
        </w:tc>
        <w:tc>
          <w:tcPr>
            <w:tcW w:w="3200" w:type="dxa"/>
            <w:vAlign w:val="bottom"/>
          </w:tcPr>
          <w:p>
            <w:pPr>
              <w:spacing w:after="0"/>
              <w:rPr>
                <w:sz w:val="13"/>
                <w:szCs w:val="13"/>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1,659,517</w:t>
            </w:r>
          </w:p>
        </w:tc>
        <w:tc>
          <w:tcPr>
            <w:tcW w:w="1140" w:type="dxa"/>
            <w:vAlign w:val="bottom"/>
          </w:tcPr>
          <w:p>
            <w:pPr>
              <w:jc w:val="right"/>
              <w:spacing w:after="0"/>
              <w:rPr>
                <w:sz w:val="20"/>
                <w:szCs w:val="20"/>
                <w:color w:val="auto"/>
              </w:rPr>
            </w:pPr>
            <w:r>
              <w:rPr>
                <w:rFonts w:ascii="Arial" w:cs="Arial" w:eastAsia="Arial" w:hAnsi="Arial"/>
                <w:sz w:val="12"/>
                <w:szCs w:val="12"/>
                <w:color w:val="auto"/>
              </w:rPr>
              <w:t>1,687,245</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 paid</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(140,718)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(163,778)</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Interest received</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4</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8,609</w:t>
            </w:r>
          </w:p>
        </w:tc>
        <w:tc>
          <w:tcPr>
            <w:tcW w:w="1140" w:type="dxa"/>
            <w:vAlign w:val="bottom"/>
          </w:tcPr>
          <w:p>
            <w:pPr>
              <w:jc w:val="right"/>
              <w:spacing w:after="0"/>
              <w:rPr>
                <w:sz w:val="20"/>
                <w:szCs w:val="20"/>
                <w:color w:val="auto"/>
              </w:rPr>
            </w:pPr>
            <w:r>
              <w:rPr>
                <w:rFonts w:ascii="Arial" w:cs="Arial" w:eastAsia="Arial" w:hAnsi="Arial"/>
                <w:sz w:val="12"/>
                <w:szCs w:val="12"/>
                <w:color w:val="auto"/>
              </w:rPr>
              <w:t>5,014</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Interest paid</w:t>
            </w:r>
          </w:p>
        </w:tc>
        <w:tc>
          <w:tcPr>
            <w:tcW w:w="3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(196,622)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(317,975)</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inflow from operating activities</w:t>
            </w:r>
          </w:p>
        </w:tc>
        <w:tc>
          <w:tcPr>
            <w:tcW w:w="3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1,330,786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1,210,506</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3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Purchase of property, plant and equipment</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12</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(39,804)</w:t>
            </w:r>
          </w:p>
        </w:tc>
        <w:tc>
          <w:tcPr>
            <w:tcW w:w="1140" w:type="dxa"/>
            <w:vAlign w:val="bottom"/>
          </w:tcPr>
          <w:p>
            <w:pPr>
              <w:jc w:val="right"/>
              <w:spacing w:after="0"/>
              <w:rPr>
                <w:sz w:val="20"/>
                <w:szCs w:val="20"/>
                <w:color w:val="auto"/>
              </w:rPr>
            </w:pPr>
            <w:r>
              <w:rPr>
                <w:rFonts w:ascii="Arial" w:cs="Arial" w:eastAsia="Arial" w:hAnsi="Arial"/>
                <w:sz w:val="12"/>
                <w:szCs w:val="12"/>
                <w:color w:val="auto"/>
              </w:rPr>
              <w:t>(29,326)</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 of intangible assets</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13</w:t>
            </w: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(128,256)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(111,366)</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Purchase of subsidiary undertakings (net of cash acquired)</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14</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(84,159)</w:t>
            </w:r>
          </w:p>
        </w:tc>
        <w:tc>
          <w:tcPr>
            <w:tcW w:w="1140" w:type="dxa"/>
            <w:vAlign w:val="bottom"/>
          </w:tcPr>
          <w:p>
            <w:pPr>
              <w:jc w:val="right"/>
              <w:spacing w:after="0"/>
              <w:rPr>
                <w:sz w:val="20"/>
                <w:szCs w:val="20"/>
                <w:color w:val="auto"/>
              </w:rPr>
            </w:pPr>
            <w:r>
              <w:rPr>
                <w:rFonts w:ascii="Arial" w:cs="Arial" w:eastAsia="Arial" w:hAnsi="Arial"/>
                <w:sz w:val="12"/>
                <w:szCs w:val="12"/>
                <w:color w:val="auto"/>
              </w:rPr>
              <w:t>(71,766)</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Movement of available for sale investment</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Proceeds from sale of financial assets</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18</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2,690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Purchase of financial assets</w:t>
            </w:r>
          </w:p>
        </w:tc>
        <w:tc>
          <w:tcPr>
            <w:tcW w:w="32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2"/>
                <w:szCs w:val="12"/>
                <w:color w:val="auto"/>
              </w:rPr>
              <w:t>18</w:t>
            </w: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(17,261)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(13,954)</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3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(266,790)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(226,653)</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3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New Notes Issue Costs</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21</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(12,679)</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Drawdown of credit lines and loan facilities</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21</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2,317,480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370,000</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Repayment of credit lines and loan facilities</w:t>
            </w:r>
          </w:p>
        </w:tc>
        <w:tc>
          <w:tcPr>
            <w:tcW w:w="3200" w:type="dxa"/>
            <w:vAlign w:val="bottom"/>
          </w:tcPr>
          <w:p>
            <w:pPr>
              <w:jc w:val="right"/>
              <w:ind w:right="298"/>
              <w:spacing w:after="0"/>
              <w:rPr>
                <w:sz w:val="20"/>
                <w:szCs w:val="20"/>
                <w:color w:val="auto"/>
              </w:rPr>
            </w:pPr>
            <w:r>
              <w:rPr>
                <w:rFonts w:ascii="Arial" w:cs="Arial" w:eastAsia="Arial" w:hAnsi="Arial"/>
                <w:sz w:val="12"/>
                <w:szCs w:val="12"/>
                <w:color w:val="auto"/>
              </w:rPr>
              <w:t>21</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(2,677,763)</w:t>
            </w:r>
          </w:p>
        </w:tc>
        <w:tc>
          <w:tcPr>
            <w:tcW w:w="1140" w:type="dxa"/>
            <w:vAlign w:val="bottom"/>
          </w:tcPr>
          <w:p>
            <w:pPr>
              <w:jc w:val="right"/>
              <w:spacing w:after="0"/>
              <w:rPr>
                <w:sz w:val="20"/>
                <w:szCs w:val="20"/>
                <w:color w:val="auto"/>
              </w:rPr>
            </w:pPr>
            <w:r>
              <w:rPr>
                <w:rFonts w:ascii="Arial" w:cs="Arial" w:eastAsia="Arial" w:hAnsi="Arial"/>
                <w:sz w:val="12"/>
                <w:szCs w:val="12"/>
                <w:color w:val="auto"/>
              </w:rPr>
              <w:t>(1,265,000)</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Repayments of obligations under lease liabilities</w:t>
            </w:r>
          </w:p>
        </w:tc>
        <w:tc>
          <w:tcPr>
            <w:tcW w:w="320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21</w:t>
            </w: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(47,730)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(53,802)</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Tax benefit from the exercise of share options</w:t>
            </w:r>
          </w:p>
        </w:tc>
        <w:tc>
          <w:tcPr>
            <w:tcW w:w="320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3,596</w:t>
            </w:r>
          </w:p>
        </w:tc>
        <w:tc>
          <w:tcPr>
            <w:tcW w:w="1140" w:type="dxa"/>
            <w:vAlign w:val="bottom"/>
          </w:tcPr>
          <w:p>
            <w:pPr>
              <w:jc w:val="right"/>
              <w:spacing w:after="0"/>
              <w:rPr>
                <w:sz w:val="20"/>
                <w:szCs w:val="20"/>
                <w:color w:val="auto"/>
              </w:rPr>
            </w:pPr>
            <w:r>
              <w:rPr>
                <w:rFonts w:ascii="Arial" w:cs="Arial" w:eastAsia="Arial" w:hAnsi="Arial"/>
                <w:sz w:val="12"/>
                <w:szCs w:val="12"/>
                <w:color w:val="auto"/>
              </w:rPr>
              <w:t>4,323</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exercise of share options, RSUs and PSUs</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36,187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50,973</w:t>
            </w:r>
          </w:p>
        </w:tc>
        <w:tc>
          <w:tcPr>
            <w:tcW w:w="0" w:type="dxa"/>
            <w:vAlign w:val="bottom"/>
          </w:tcPr>
          <w:p>
            <w:pPr>
              <w:spacing w:after="0"/>
              <w:rPr>
                <w:sz w:val="1"/>
                <w:szCs w:val="1"/>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Share issue costs</w:t>
            </w:r>
          </w:p>
        </w:tc>
        <w:tc>
          <w:tcPr>
            <w:tcW w:w="320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(22)</w:t>
            </w:r>
          </w:p>
        </w:tc>
        <w:tc>
          <w:tcPr>
            <w:tcW w:w="114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Repurchase of ordinary shares</w:t>
            </w:r>
          </w:p>
        </w:tc>
        <w:tc>
          <w:tcPr>
            <w:tcW w:w="3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(499,998)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Share repurchase costs</w:t>
            </w:r>
          </w:p>
        </w:tc>
        <w:tc>
          <w:tcPr>
            <w:tcW w:w="3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(388)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32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(881,317)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(893,522)</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increase in cash and cash equivalents</w:t>
            </w:r>
          </w:p>
        </w:tc>
        <w:tc>
          <w:tcPr>
            <w:tcW w:w="3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182,679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90,331</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movements on cash</w:t>
            </w:r>
          </w:p>
        </w:tc>
        <w:tc>
          <w:tcPr>
            <w:tcW w:w="3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(21,996)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3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378,102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288,768</w:t>
            </w:r>
          </w:p>
        </w:tc>
        <w:tc>
          <w:tcPr>
            <w:tcW w:w="0" w:type="dxa"/>
            <w:vAlign w:val="bottom"/>
          </w:tcPr>
          <w:p>
            <w:pPr>
              <w:spacing w:after="0"/>
              <w:rPr>
                <w:sz w:val="1"/>
                <w:szCs w:val="1"/>
                <w:color w:val="auto"/>
              </w:rPr>
            </w:pPr>
          </w:p>
        </w:tc>
      </w:tr>
      <w:tr>
        <w:trPr>
          <w:trHeight w:val="162"/>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3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538,785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0" w:type="dxa"/>
            <w:vAlign w:val="bottom"/>
          </w:tcPr>
          <w:p>
            <w:pPr>
              <w:spacing w:after="0"/>
              <w:rPr>
                <w:sz w:val="1"/>
                <w:szCs w:val="1"/>
                <w:color w:val="auto"/>
              </w:rPr>
            </w:pPr>
          </w:p>
        </w:tc>
      </w:tr>
      <w:tr>
        <w:trPr>
          <w:trHeight w:val="592"/>
        </w:trPr>
        <w:tc>
          <w:tcPr>
            <w:tcW w:w="5420" w:type="dxa"/>
            <w:vAlign w:val="bottom"/>
          </w:tcPr>
          <w:p>
            <w:pPr>
              <w:spacing w:after="0"/>
              <w:rPr>
                <w:sz w:val="24"/>
                <w:szCs w:val="24"/>
                <w:color w:val="auto"/>
              </w:rPr>
            </w:pPr>
          </w:p>
        </w:tc>
        <w:tc>
          <w:tcPr>
            <w:tcW w:w="3200" w:type="dxa"/>
            <w:vAlign w:val="bottom"/>
          </w:tcPr>
          <w:p>
            <w:pPr>
              <w:jc w:val="right"/>
              <w:ind w:right="2598"/>
              <w:spacing w:after="0"/>
              <w:rPr>
                <w:sz w:val="20"/>
                <w:szCs w:val="20"/>
                <w:color w:val="auto"/>
              </w:rPr>
            </w:pPr>
            <w:r>
              <w:rPr>
                <w:rFonts w:ascii="Arial" w:cs="Arial" w:eastAsia="Arial" w:hAnsi="Arial"/>
                <w:sz w:val="13"/>
                <w:szCs w:val="13"/>
                <w:color w:val="auto"/>
              </w:rPr>
              <w:t>41</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accounting policies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2024, and with those parts of the Companies Act applicable to companies reporting under IFRS. IFRS adopted by the EU differs in certain respects from IFRS issued by the IASB. Reference to IFRS hereafter refers to IFRS adopted by the EU.</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Financial Statements are prepared under the historical cost convention, in accordance with Financial Reporting Standard 101 Reduced Disclosure Framework (‘FRS 101’) and the Companies Act 2014. The Company meets the definition of a qualifying entity under Financial Reporting Standard (FRS) 100 issued by the Financial Reporting Council (FRC). Accordingly, in the year ended 31 December 2023, the Company transitioned from reporting under International Financial Reporting Standards adopted by the European Union (IFRS) to FRS 101 Reduced Disclosure Framework as issued by the FRC. The transition was not considered to have had a material effect on the financial statements.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preparing the Company Financial Statements, the Company applies the recognition, measurement and disclosure requirements of IFRS as adopted by the EU, but makes amendments where necessary in order to comply with the Companies Act 2014 and has set out below where advantage of the FRS 101 disclosure exemptions has been taken. The Company has taken advantage of the following disclosure exemptions under FRS 101:</w:t>
      </w:r>
    </w:p>
    <w:p>
      <w:pPr>
        <w:spacing w:after="0" w:line="159" w:lineRule="exact"/>
        <w:rPr>
          <w:sz w:val="20"/>
          <w:szCs w:val="20"/>
          <w:color w:val="auto"/>
        </w:rPr>
      </w:pPr>
    </w:p>
    <w:p>
      <w:pPr>
        <w:ind w:left="540" w:hanging="280"/>
        <w:spacing w:after="0"/>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cash flow statement and related notes;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Comparative period reconciliation for share capital;</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Disclosures in respect of transactions with wholly owned subsidiaries;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Disclosures in respect of capital management;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effects of new but not yet effective IFRS; and</w:t>
      </w:r>
    </w:p>
    <w:p>
      <w:pPr>
        <w:ind w:left="500" w:hanging="240"/>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Disclosures in respect of the compensation of key management personnel.</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the consolidated financial statements of the Group are prepared in accordance with IFRS as adopted by the EU and include the equivalent disclosures, the Company has also taken the exemptions under FRS 101 available in respect of the following disclosures:</w:t>
      </w:r>
    </w:p>
    <w:p>
      <w:pPr>
        <w:spacing w:after="0" w:line="167" w:lineRule="exact"/>
        <w:rPr>
          <w:sz w:val="20"/>
          <w:szCs w:val="20"/>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Certain disclosures required by IFRS 2 Share-Based Payments;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Certain disclosures required by IFRS 13 Fair Value Measurement; and</w:t>
      </w: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disclosures required by IFRS 7 Financial Instruments: Disclosures.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accordance with Section 304(2) of the Companies Act 2014, the Company is availing of the exemption from presenting its individual income statement to the Annual General Meeting and from filing it with the Companies Registration Office. The Company’s profit for the financial year is $425.3 million (2023: $9.0 million loss).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based payments, pension plan assets, derivative financial instruments and certain financial asset investments. Other than the amended standards adopted by the Group, accounting policies are applied consistently with the prior year. Certain comparative financial information has been reclassified to reflect current period classifications.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principal accounting policies adopted in the Company Financial Statements are the same as those set out for the Group financial statements except as noted below. The accounting policies for the Group and Company Financial Statements have, unless otherwise stated, been applied consistently to all periods presented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80"/>
          </w:cols>
          <w:pgMar w:left="300" w:top="698"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standards and interpretations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became effective for the Group during the financial year but do not have a material effect on the results or financial position of the Group:</w:t>
      </w:r>
    </w:p>
    <w:p>
      <w:pPr>
        <w:spacing w:after="0" w:line="179"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IAS 1 </w:t>
      </w:r>
      <w:r>
        <w:rPr>
          <w:rFonts w:ascii="Arial" w:cs="Arial" w:eastAsia="Arial" w:hAnsi="Arial"/>
          <w:sz w:val="13"/>
          <w:szCs w:val="13"/>
          <w:i w:val="1"/>
          <w:iCs w:val="1"/>
          <w:color w:val="auto"/>
        </w:rPr>
        <w:t>Presentation of Financial Statements</w:t>
      </w:r>
      <w:r>
        <w:rPr>
          <w:rFonts w:ascii="Arial" w:cs="Arial" w:eastAsia="Arial" w:hAnsi="Arial"/>
          <w:sz w:val="13"/>
          <w:szCs w:val="13"/>
          <w:color w:val="auto"/>
        </w:rPr>
        <w:t xml:space="preserve"> - classification of liabilities as current or non-current and non-current liabilities with covenants</w:t>
      </w:r>
    </w:p>
    <w:p>
      <w:pPr>
        <w:ind w:left="500" w:hanging="240"/>
        <w:spacing w:after="0" w:line="221" w:lineRule="auto"/>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 lease liability in a sale and leaseback</w:t>
      </w: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IAS 7 </w:t>
      </w:r>
      <w:r>
        <w:rPr>
          <w:rFonts w:ascii="Arial" w:cs="Arial" w:eastAsia="Arial" w:hAnsi="Arial"/>
          <w:sz w:val="13"/>
          <w:szCs w:val="13"/>
          <w:i w:val="1"/>
          <w:iCs w:val="1"/>
          <w:color w:val="auto"/>
        </w:rPr>
        <w:t>Statement of Cashflows</w:t>
      </w:r>
      <w:r>
        <w:rPr>
          <w:rFonts w:ascii="Arial" w:cs="Arial" w:eastAsia="Arial" w:hAnsi="Arial"/>
          <w:sz w:val="13"/>
          <w:szCs w:val="13"/>
          <w:color w:val="auto"/>
        </w:rPr>
        <w:t xml:space="preserve"> and IFRS 7 </w:t>
      </w:r>
      <w:r>
        <w:rPr>
          <w:rFonts w:ascii="Arial" w:cs="Arial" w:eastAsia="Arial" w:hAnsi="Arial"/>
          <w:sz w:val="13"/>
          <w:szCs w:val="13"/>
          <w:i w:val="1"/>
          <w:iCs w:val="1"/>
          <w:color w:val="auto"/>
        </w:rPr>
        <w:t>Financial Instrument Disclosures</w:t>
      </w:r>
      <w:r>
        <w:rPr>
          <w:rFonts w:ascii="Arial" w:cs="Arial" w:eastAsia="Arial" w:hAnsi="Arial"/>
          <w:sz w:val="13"/>
          <w:szCs w:val="13"/>
          <w:color w:val="auto"/>
        </w:rPr>
        <w:t xml:space="preserve"> - supplier finance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are not yet effective for the Group and are not expected to have a material effect on the results or financial position of the Group:</w:t>
      </w:r>
    </w:p>
    <w:p>
      <w:pPr>
        <w:spacing w:after="0" w:line="180" w:lineRule="exact"/>
        <w:rPr>
          <w:sz w:val="20"/>
          <w:szCs w:val="20"/>
          <w:color w:val="auto"/>
        </w:rPr>
      </w:pPr>
    </w:p>
    <w:p>
      <w:pPr>
        <w:ind w:left="500" w:hanging="240"/>
        <w:spacing w:after="0"/>
        <w:tabs>
          <w:tab w:leader="none" w:pos="500" w:val="left"/>
        </w:tabs>
        <w:numPr>
          <w:ilvl w:val="0"/>
          <w:numId w:val="40"/>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21 - </w:t>
      </w:r>
      <w:r>
        <w:rPr>
          <w:rFonts w:ascii="Arial" w:cs="Arial" w:eastAsia="Arial" w:hAnsi="Arial"/>
          <w:sz w:val="13"/>
          <w:szCs w:val="13"/>
          <w:i w:val="1"/>
          <w:iCs w:val="1"/>
          <w:color w:val="auto"/>
        </w:rPr>
        <w:t>Lack of Exchangeability (effective date: 1 January 2025)</w:t>
      </w:r>
    </w:p>
    <w:p>
      <w:pPr>
        <w:ind w:left="500" w:hanging="240"/>
        <w:spacing w:after="0" w:line="221" w:lineRule="auto"/>
        <w:tabs>
          <w:tab w:leader="none" w:pos="50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Amendments to IFRS 7 and IFRS 9- Classification and Measurement of Financial Instruments (effective date: 1 January 2026)</w:t>
      </w:r>
    </w:p>
    <w:p>
      <w:pPr>
        <w:ind w:left="500" w:hanging="240"/>
        <w:spacing w:after="0"/>
        <w:tabs>
          <w:tab w:leader="none" w:pos="50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IFRS 18 Presentation and Disclosure in Financial Statements (effective date: 1 January 2027)</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 The application of these critical accounting policies and estimates is discussed with the Audit Committee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We earn revenues by providing a number of different services to our clients. These services, which are integral elements of the clinical development process, include clinical trials management, contract staffing, consulting and laboratory services.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realisable contract value. An assessment of the realisable contract value is judgmental in nature. The realisable value assessment is updated at each reporting period, having regard to (i) contract terms and (ii) customer experience.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is recognised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Assessment of completion requires an evaluation of labour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80"/>
          </w:cols>
          <w:pgMar w:left="300" w:top="698"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 acquired in a business combination</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intangible assets associated with a business combination and assessing the carrying value of Goodwill.</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Measurement of intangible assets involves the use of estimates for determining the fair value at the acquisition date. The determination of the fair values of assets and liabilities, as well as of the useful lives of the assets is based on 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Management utilised external valuation experts, where necessary, to ensure the valuation process was sufficiently detailed and robust to develop reliable valuations.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Goodwill is subject to impairment testing on an annual basis, or more frequently if there are indicators of impairment. These assets are allocated to groups of cash generating units (CGUs). The recoverable amount of each of the CGUs is determined based on value-in-use calculations. Goodwill acquired through business combinations has been allocated to the Group’s three CGUs.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impairment review of Goodwill requires cash flow forecasts employed for the value-in-use calculations are for a ten year period approved by management and a terminal value which is applied to the year ten cash flows. The terminal value reflects the discounted value of the cash flows beyond year ten which is based on the weighted average long-term growth rates for each CGU. 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w:t>
      </w:r>
      <w:r>
        <w:rPr>
          <w:rFonts w:ascii="Arial" w:cs="Arial" w:eastAsia="Arial" w:hAnsi="Arial"/>
          <w:sz w:val="13"/>
          <w:szCs w:val="13"/>
          <w:i w:val="1"/>
          <w:iCs w:val="1"/>
          <w:color w:val="auto"/>
        </w:rPr>
        <w:t>(</w:t>
      </w:r>
      <w:r>
        <w:rPr>
          <w:rFonts w:ascii="Arial" w:cs="Arial" w:eastAsia="Arial" w:hAnsi="Arial"/>
          <w:sz w:val="13"/>
          <w:szCs w:val="13"/>
          <w:color w:val="auto"/>
        </w:rPr>
        <w:t xml:space="preserve">see </w:t>
      </w:r>
      <w:r>
        <w:rPr>
          <w:rFonts w:ascii="Arial" w:cs="Arial" w:eastAsia="Arial" w:hAnsi="Arial"/>
          <w:sz w:val="13"/>
          <w:szCs w:val="13"/>
          <w:i w:val="1"/>
          <w:iCs w:val="1"/>
          <w:color w:val="auto"/>
        </w:rPr>
        <w:t>note 13 - Goodwill and intangible assets)</w:t>
      </w:r>
      <w:r>
        <w:rPr>
          <w:rFonts w:ascii="Arial" w:cs="Arial" w:eastAsia="Arial" w:hAnsi="Arial"/>
          <w:sz w:val="13"/>
          <w:szCs w:val="13"/>
          <w:color w:val="auto"/>
        </w:rPr>
        <w:t>. The Group’s cash flow projections are adjusted each year for actual and expected changes in performance. Management utilised external valuation experts, where necessary, to ensure the review process was sufficiently detailed and robust to develop reliable valuations.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Given the global nature of our business and the multiple taxing jurisdictions in which the Group operates, the determination of the Group’s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80"/>
          </w:cols>
          <w:pgMar w:left="300" w:top="698"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(continued)</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Recognition of deferred tax assets is based on management’s belief that it is more likely than not that the income tax benefit associated with certain temporary differences, income tax operating loss, capital loss carryforwards, and income tax credits, would be realised. The carrying amount of deferred income tax assets is reviewed at each reporting date and reduced to the extent that it is no longer probable that sufficient taxable profit would be available to allow all or part of the deferred income tax asset to be utilised. The Group accounts for the impact of GILTI (“global intangible low-taxed income”) in the period it arises and therefore have not provided for deferred taxes in respect of this item. The Group recognises the effect of income tax positions only if those positions will more likely than not be sustained. If the estimate of future taxable income or tax strategies changes at any time in the future, the Group would record an adjustment to the deferred tax asset. Recording such an adjustment could have a material effect on the Group's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80"/>
          </w:cols>
          <w:pgMar w:left="300" w:top="698"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Foreign currency translation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long-term intercompany balances in the Consolidated Financial Statements where repayment is not foreseen, are recorded in the Consolidated Statement of Profit and Loss. Translation differences on long-term intercompany balances, in the Consolidated Financial Statements, where repayment is not foreseen are recorded within other comprehensive income in the Statement of Comprehensive Income.</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2024</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2023</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Euro 1:$</w:t>
            </w:r>
          </w:p>
        </w:tc>
        <w:tc>
          <w:tcPr>
            <w:tcW w:w="18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1.0854</w:t>
            </w: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1.0795</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1.0354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1.1039</w:t>
            </w:r>
          </w:p>
        </w:tc>
      </w:tr>
      <w:tr>
        <w:trPr>
          <w:trHeight w:val="16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1.2809</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1.2382</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1.2516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1.2731</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Borders>
              <w:bottom w:val="single" w:sz="8" w:color="auto"/>
            </w:tcBorders>
            <w:shd w:val="clear" w:color="auto" w:fill="CCEEFF"/>
          </w:tcPr>
          <w:p>
            <w:pPr>
              <w:spacing w:after="0"/>
              <w:rPr>
                <w:sz w:val="14"/>
                <w:szCs w:val="14"/>
                <w:color w:val="auto"/>
              </w:rPr>
            </w:pPr>
          </w:p>
        </w:tc>
        <w:tc>
          <w:tcPr>
            <w:tcW w:w="5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91"/>
        </w:trPr>
        <w:tc>
          <w:tcPr>
            <w:tcW w:w="6220" w:type="dxa"/>
            <w:vAlign w:val="bottom"/>
          </w:tcPr>
          <w:p>
            <w:pPr>
              <w:ind w:left="20"/>
              <w:spacing w:after="0"/>
              <w:rPr>
                <w:sz w:val="20"/>
                <w:szCs w:val="20"/>
                <w:color w:val="auto"/>
              </w:rPr>
            </w:pPr>
            <w:r>
              <w:rPr>
                <w:rFonts w:ascii="Arial" w:cs="Arial" w:eastAsia="Arial" w:hAnsi="Arial"/>
                <w:sz w:val="13"/>
                <w:szCs w:val="13"/>
                <w:color w:val="auto"/>
              </w:rPr>
              <w:t>Buildings</w:t>
            </w:r>
          </w:p>
        </w:tc>
        <w:tc>
          <w:tcPr>
            <w:tcW w:w="50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200"/>
        </w:trPr>
        <w:tc>
          <w:tcPr>
            <w:tcW w:w="622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50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9"/>
        </w:trPr>
        <w:tc>
          <w:tcPr>
            <w:tcW w:w="622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5040" w:type="dxa"/>
            <w:vAlign w:val="bottom"/>
          </w:tcPr>
          <w:p>
            <w:pPr>
              <w:jc w:val="right"/>
              <w:spacing w:after="0"/>
              <w:rPr>
                <w:sz w:val="20"/>
                <w:szCs w:val="20"/>
                <w:color w:val="auto"/>
              </w:rPr>
            </w:pPr>
            <w:r>
              <w:rPr>
                <w:rFonts w:ascii="Arial" w:cs="Arial" w:eastAsia="Arial" w:hAnsi="Arial"/>
                <w:sz w:val="13"/>
                <w:szCs w:val="13"/>
                <w:color w:val="auto"/>
              </w:rPr>
              <w:t>5</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cash-generating unit exceeds its recoverable amount. Impairment losses are recognised in the Consolidated Statement of Profit and Loss.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on the Consolidated Statements of Financial Position as right-of-use (ROU) assets with corresponding lease liabilities.</w:t>
      </w: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80"/>
          </w:cols>
          <w:pgMar w:left="300" w:top="698"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Right-of-use assets and lease liabilities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finance lease charged to finance costs. As most of ICON's leases do not provide an implicit rate, the discount rate used is based on the Group's incremental borrowing rate derived from the rate of traded corporate bonds available at the commencement date adjusted for country risk, liquidity and lease term.</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80"/>
          </w:cols>
          <w:pgMar w:left="300" w:top="698"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 Impairment losses in respect of goodwill are not reversed.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59"/>
        </w:trPr>
        <w:tc>
          <w:tcPr>
            <w:tcW w:w="626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50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Order backlog</w:t>
            </w:r>
          </w:p>
        </w:tc>
        <w:tc>
          <w:tcPr>
            <w:tcW w:w="50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Tradenames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Technology asset</w:t>
            </w:r>
          </w:p>
        </w:tc>
        <w:tc>
          <w:tcPr>
            <w:tcW w:w="50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arrangements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7"/>
        </w:trPr>
        <w:tc>
          <w:tcPr>
            <w:tcW w:w="6260" w:type="dxa"/>
            <w:vAlign w:val="bottom"/>
          </w:tcPr>
          <w:p>
            <w:pPr>
              <w:ind w:left="20"/>
              <w:spacing w:after="0"/>
              <w:rPr>
                <w:sz w:val="20"/>
                <w:szCs w:val="20"/>
                <w:color w:val="auto"/>
              </w:rPr>
            </w:pPr>
            <w:r>
              <w:rPr>
                <w:rFonts w:ascii="Arial" w:cs="Arial" w:eastAsia="Arial" w:hAnsi="Arial"/>
                <w:sz w:val="13"/>
                <w:szCs w:val="13"/>
                <w:color w:val="auto"/>
              </w:rPr>
              <w:t>Patient database</w:t>
            </w:r>
          </w:p>
        </w:tc>
        <w:tc>
          <w:tcPr>
            <w:tcW w:w="500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assesses at the end of each reporting period whether there is objective evidence that an intangible asset is impaired. An intangible asset is impaired and impairment losses are incurred only if there is objective evidence of impairment as a result of one or more events that occur after the initial recognition of the intangible asset (a 'loss event') and that loss event (or events) has an impact on the estimated future cash flows of the intangible asset that can be reliably estimated.</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Impairment losses in respect of intangible assets are reversed if there has been a change in the estimates used to determine recoverable amount. Impairment losses are reversed only to the extent that the carrying amount of the intangible asset does not exceed the carrying value that would have been determined, net of amortisation, if no impairment loss had been recognised.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698"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Grants that compensate the Group for expenses incurred are recognised in the Consolidated Statement of Profit and Loss in the same periods in which the expenditure to which they relate is charged. 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and financial liabilities are recognised on the Consolidated Balance Sheet when the Group becomes party to the contractual provisions of the instrument.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are recognised and derecognised on a trade date basis, being the date the Group commits to purchase or sell the asset under a contract.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Financial assets and liabilities are offset and presented on a net basis in the Consolidated Balance Sheet, only if the Group holds an enforceable legal right of set off for such amounts and there is an intention to settle on a net basis or to realise an asset and settle the liability simultaneously. In all other instances they are presented gross in the Consolidated Balance Sheet.</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The classification depends on the entity's business model for managing financial assets and the contractual terms of the cash flows.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 There are three measurement categories into which the Group classifies its financial instruments:</w:t>
      </w:r>
    </w:p>
    <w:p>
      <w:pPr>
        <w:spacing w:after="0" w:line="157" w:lineRule="exact"/>
        <w:rPr>
          <w:sz w:val="20"/>
          <w:szCs w:val="20"/>
          <w:color w:val="auto"/>
        </w:rPr>
      </w:pPr>
    </w:p>
    <w:p>
      <w:pPr>
        <w:jc w:val="both"/>
        <w:ind w:left="520" w:hanging="260"/>
        <w:spacing w:after="0" w:line="261" w:lineRule="auto"/>
        <w:tabs>
          <w:tab w:leader="none" w:pos="51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80"/>
          </w:cols>
          <w:pgMar w:left="300" w:top="698"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201" w:lineRule="exact"/>
        <w:rPr>
          <w:sz w:val="20"/>
          <w:szCs w:val="20"/>
          <w:color w:val="auto"/>
        </w:rPr>
      </w:pPr>
    </w:p>
    <w:p>
      <w:pPr>
        <w:jc w:val="both"/>
        <w:ind w:left="520" w:hanging="260"/>
        <w:spacing w:after="0" w:line="253" w:lineRule="auto"/>
        <w:tabs>
          <w:tab w:leader="none" w:pos="5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losses.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65"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 The impairment methodology applied depends on whether there has been a significant increase in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46" w:lineRule="exact"/>
        <w:rPr>
          <w:sz w:val="20"/>
          <w:szCs w:val="20"/>
          <w:color w:val="auto"/>
        </w:rPr>
      </w:pPr>
    </w:p>
    <w:p>
      <w:pPr>
        <w:ind w:left="300" w:hanging="295"/>
        <w:spacing w:after="0"/>
        <w:tabs>
          <w:tab w:leader="none" w:pos="30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Trade receivables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Trade receivables are amounts due from customers for services performed in the ordinary course of business. Trade receivables are recognised initially at the amount of consideration that is unconditional unless they contain significant financing components. The amount of consideration that is unconditional approximates to fair value. The Group holds the trade receivables with the objective to collect the contractual cash flows and therefore measures them subsequently at amortised cost using the effective interest method.</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Where the Group enters into arrangements to sell certain trade receivables, such arrangements are accounted for in accordance with IFRS 9, Financial Instruments (“IFRS 9”). The underlying trade receivables are derecognised to the extent that substantially all of the risks and rewards of ownership of the trade receivables are transferred, under the terms of the arrangements. Cash proceeds received from such sales are included in operating cash flows.</w:t>
      </w:r>
    </w:p>
    <w:p>
      <w:pPr>
        <w:spacing w:after="0" w:line="159"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Interest bearing loans and borrowings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76" w:lineRule="exact"/>
        <w:rPr>
          <w:sz w:val="20"/>
          <w:szCs w:val="20"/>
          <w:color w:val="auto"/>
        </w:rPr>
      </w:pPr>
    </w:p>
    <w:p>
      <w:pPr>
        <w:ind w:left="300" w:hanging="295"/>
        <w:spacing w:after="0"/>
        <w:tabs>
          <w:tab w:leader="none" w:pos="30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Equity instruments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entered into subscription agreements with a number of funds. The Group subsequently measures all equity investments, including fund subscriptions, at FVPL. Changes in the fair value of equity investments and fund subscriptions measured at FVPL are recognised in the Consolidated Statement of Profit and Loss. Dividends or interest from such investments continue to be recognised in the Consolidated Statement of Profit and Loss when the Group’s right to receive payments is established.</w:t>
      </w:r>
    </w:p>
    <w:p>
      <w:pPr>
        <w:spacing w:after="0" w:line="200" w:lineRule="exact"/>
        <w:rPr>
          <w:sz w:val="20"/>
          <w:szCs w:val="20"/>
          <w:color w:val="auto"/>
        </w:rPr>
      </w:pP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80"/>
          </w:cols>
          <w:pgMar w:left="300" w:top="698"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201" w:lineRule="exact"/>
        <w:rPr>
          <w:sz w:val="20"/>
          <w:szCs w:val="20"/>
          <w:color w:val="auto"/>
        </w:rPr>
      </w:pPr>
    </w:p>
    <w:p>
      <w:pPr>
        <w:ind w:left="300" w:hanging="295"/>
        <w:spacing w:after="0"/>
        <w:tabs>
          <w:tab w:leader="none" w:pos="300" w:val="left"/>
        </w:tabs>
        <w:numPr>
          <w:ilvl w:val="0"/>
          <w:numId w:val="4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Current financial assets</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Group classifies short term investments as current financial assets. Short-term investments comprise highly liquid investments with maturities of greater than three months. Current financial assets are subsequently measured at fair value through OCI.</w:t>
      </w:r>
    </w:p>
    <w:p>
      <w:pPr>
        <w:spacing w:after="0" w:line="167" w:lineRule="exact"/>
        <w:rPr>
          <w:sz w:val="20"/>
          <w:szCs w:val="20"/>
          <w:color w:val="auto"/>
        </w:rPr>
      </w:pPr>
    </w:p>
    <w:p>
      <w:pPr>
        <w:ind w:left="280" w:hanging="275"/>
        <w:spacing w:after="0"/>
        <w:tabs>
          <w:tab w:leader="none" w:pos="28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Impairment of financial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and 24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59" w:lineRule="exact"/>
        <w:rPr>
          <w:sz w:val="20"/>
          <w:szCs w:val="20"/>
          <w:color w:val="auto"/>
        </w:rPr>
      </w:pPr>
    </w:p>
    <w:p>
      <w:pPr>
        <w:ind w:left="300" w:hanging="295"/>
        <w:spacing w:after="0"/>
        <w:tabs>
          <w:tab w:leader="none" w:pos="300"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financial instruments and hedging</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 The Group designates certain derivatives as either:</w:t>
      </w:r>
    </w:p>
    <w:p>
      <w:pPr>
        <w:spacing w:after="0" w:line="176"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w:t>
      </w:r>
      <w:r>
        <w:rPr>
          <w:rFonts w:ascii="Arial" w:cs="Arial" w:eastAsia="Arial" w:hAnsi="Arial"/>
          <w:sz w:val="13"/>
          <w:szCs w:val="13"/>
          <w:i w:val="1"/>
          <w:iCs w:val="1"/>
          <w:color w:val="auto"/>
        </w:rPr>
        <w:t>note 24</w:t>
      </w:r>
      <w:r>
        <w:rPr>
          <w:rFonts w:ascii="Arial" w:cs="Arial" w:eastAsia="Arial" w:hAnsi="Arial"/>
          <w:sz w:val="13"/>
          <w:szCs w:val="13"/>
          <w:color w:val="auto"/>
        </w:rPr>
        <w:t xml:space="preserve"> – </w:t>
      </w:r>
      <w:r>
        <w:rPr>
          <w:rFonts w:ascii="Arial" w:cs="Arial" w:eastAsia="Arial" w:hAnsi="Arial"/>
          <w:sz w:val="13"/>
          <w:szCs w:val="13"/>
          <w:i w:val="1"/>
          <w:iCs w:val="1"/>
          <w:color w:val="auto"/>
        </w:rPr>
        <w:t>Financial instruments</w:t>
      </w:r>
      <w:r>
        <w:rPr>
          <w:rFonts w:ascii="Arial" w:cs="Arial" w:eastAsia="Arial" w:hAnsi="Arial"/>
          <w:sz w:val="13"/>
          <w:szCs w:val="13"/>
          <w:color w:val="auto"/>
        </w:rPr>
        <w:t>. Movements in the hedging reserve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 Changes in the fair value of any derivative instrument that does not qualify for hedge accounting are recognised immediately in profit or loss.</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80"/>
          </w:cols>
          <w:pgMar w:left="300" w:top="698"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 xml:space="preserve">During the year ended 31 December 2022, the Group entered into two interest rate cap agreements ("2022 Caps") and an interest rate swap agreement ("2022 Swap") to limit its exposure to changes in the variable interest rate on its Senior Secured Credit Facilities. The interest rate caps and swap are accounted for as cash flow hedges and were considered effective hedges on application of the provisions of IFRS 9. During the year, the Company’s exposure to interest rate fluctuations significantly reduced with the voluntary and mandatory repayments of the senior secured term loan facility (refer to note 24 - </w:t>
      </w:r>
      <w:r>
        <w:rPr>
          <w:rFonts w:ascii="Arial" w:cs="Arial" w:eastAsia="Arial" w:hAnsi="Arial"/>
          <w:sz w:val="12"/>
          <w:szCs w:val="12"/>
          <w:i w:val="1"/>
          <w:iCs w:val="1"/>
          <w:color w:val="auto"/>
        </w:rPr>
        <w:t>Financial Instruments</w:t>
      </w:r>
      <w:r>
        <w:rPr>
          <w:rFonts w:ascii="Arial" w:cs="Arial" w:eastAsia="Arial" w:hAnsi="Arial"/>
          <w:sz w:val="12"/>
          <w:szCs w:val="12"/>
          <w:color w:val="auto"/>
        </w:rPr>
        <w:t>). Given this reduction and the repricing of the Senior Secured Credit facilities, the Company closed the 2022 Caps and 2022 Swap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hierarchy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Group reports using the fair value hierarchy in relation to its assets and liabilities which are measured at fair value expect for those which are exempt as defined under IFRS 13,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 </w:t>
      </w:r>
      <w:r>
        <w:rPr>
          <w:rFonts w:ascii="Arial" w:cs="Arial" w:eastAsia="Arial" w:hAnsi="Arial"/>
          <w:sz w:val="13"/>
          <w:szCs w:val="13"/>
          <w:color w:val="auto"/>
        </w:rPr>
        <w:t>The fair value hierarchy categorises the inputs to valuation techniques to measure fair value into three levels:</w:t>
      </w:r>
    </w:p>
    <w:p>
      <w:pPr>
        <w:spacing w:after="0" w:line="167"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Level 1: Inputs are based upon unadjusted quoted prices for identical instruments traded in active markets.</w:t>
      </w:r>
    </w:p>
    <w:p>
      <w:pPr>
        <w:spacing w:after="0" w:line="1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51"/>
        </w:numPr>
        <w:rPr>
          <w:rFonts w:ascii="Arial" w:cs="Arial" w:eastAsia="Arial" w:hAnsi="Arial"/>
          <w:sz w:val="13"/>
          <w:szCs w:val="13"/>
          <w:color w:val="auto"/>
        </w:rPr>
      </w:pPr>
      <w:r>
        <w:rPr>
          <w:rFonts w:ascii="Arial" w:cs="Arial" w:eastAsia="Arial" w:hAnsi="Arial"/>
          <w:sz w:val="13"/>
          <w:szCs w:val="13"/>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Level 3: Inputs are generally unobservable and typically reflect management’s estimates of assumptions that market participants would use in pricing the asset or liability.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 in subsidiaries - Company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80"/>
          </w:cols>
          <w:pgMar w:left="300" w:top="698"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pension plans are recognised as an expense in the Consolidated Statement of Profit and Loss as service is received from the relevant employees.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Share-based payments comprise options to acquire ordinary shares in the Company, Restricted Share Units ('RSUs') and and Performance Share Units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The amount recognised as an expense is adjusted to reflect the assumption of the number of share options, RSUs or PSUs that vest.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connection with the completion of the Merger, the Company issued replacement awards to the holders of PRA equity awards on 1 July 2021. An exchange of share-based compensation awards in a business combination is treated as a modification under IFRS 2. The replacement awards and the original acquiree awards are measured at fair value at the acquisition date and calculated using the fair-value-based measurement principles in IFRS 2. Amounts attributable to pre-combination vesting are accounted for as part of the consideration transferred for the acquiree. Amounts attributable to post-combination vesting are accounted for separate from the business combination and are recognised as compensation cost in the post-combination period.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Share-based payments – Company</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11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3"/>
          <w:szCs w:val="13"/>
          <w:i w:val="1"/>
          <w:iCs w:val="1"/>
          <w:color w:val="auto"/>
        </w:rPr>
        <w:t>note 2 Investment in subsidiaries</w:t>
      </w:r>
      <w:r>
        <w:rPr>
          <w:rFonts w:ascii="Arial" w:cs="Arial" w:eastAsia="Arial" w:hAnsi="Arial"/>
          <w:sz w:val="13"/>
          <w:szCs w:val="13"/>
          <w:color w:val="auto"/>
        </w:rPr>
        <w:t>, to the Company only financial statements).</w:t>
      </w:r>
    </w:p>
    <w:p>
      <w:pPr>
        <w:spacing w:after="0" w:line="33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80"/>
          </w:cols>
          <w:pgMar w:left="300" w:top="698"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Under IFRS 15 Revenue from Contracts with Customers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 as a percentage of forecasted total project inputs.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those amounts corresponds to the value of the Company's performance and the transfer of value to the customer.</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Data services revenue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80"/>
          </w:cols>
          <w:pgMar w:left="300" w:top="698"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recognises revenue over time using the “units delivered” output method as the data or reports are delivered. Expense reimbursements are recorded to revenue as the expenses are incurred as they relate directly to the services performed.</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Certain arrangements include upfront customisation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recognises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Incremental costs of obtaining a contract are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Reimbursable expenses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 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80"/>
          </w:cols>
          <w:pgMar w:left="300" w:top="698"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transaction and integration-related expenses, significant impairments, and material changes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integration-related expenses</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Transaction and integration-related expenses are the incremental costs directly attributable to completion and integration activities associated with the Group’s recent acquisitions. The costs consist of investment banking fees, advisory costs, professional fees, legal costs, retention agreements with employees, and ongoing business combination and integration activities offset by the remeasurement of liability-classified contingent consideration. The Group accounts for these transaction and integration-related costs as expenses in the period in which the costs are incurred and the services are received.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w:t>
      </w:r>
    </w:p>
    <w:p>
      <w:pPr>
        <w:jc w:val="both"/>
        <w:spacing w:after="0" w:line="243" w:lineRule="auto"/>
        <w:rPr>
          <w:sz w:val="20"/>
          <w:szCs w:val="20"/>
          <w:color w:val="auto"/>
        </w:rPr>
      </w:pPr>
      <w:r>
        <w:rPr>
          <w:rFonts w:ascii="Arial" w:cs="Arial" w:eastAsia="Arial" w:hAnsi="Arial"/>
          <w:sz w:val="13"/>
          <w:szCs w:val="13"/>
          <w:color w:val="auto"/>
        </w:rPr>
        <w:t>Restructuring charges reflect certain one-time and associated unavoidable costs arising from reorganisation programmes announced by Group management. These programmes generally result in asset impairments and workforce reductions in order to optimise the Group’s structure and facilitate improved long-term performance. Impairment charges are taken when the value-in-use of the asset is less than the asset’s carrying value. Workforce related charges are taken when an approved reorganisation programme is communicated to the relevant employee groups.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Research and development credits are available to the Group under the tax laws in certain jurisdictions, based on qualifying research and development spend as defined under those tax laws. Research and development credits may be recognised as a reduction of income tax expense. However, certain tax jurisdictions provide refundable credits that are not wholly dependent on the Group's ongoing income tax status or income tax position. In these circumstances the benefit of these credits is not recorded as a reduction to income tax expense, but rather as a reduction of operating expenditure.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Finance income</w:t>
      </w:r>
    </w:p>
    <w:p>
      <w:pPr>
        <w:spacing w:after="0" w:line="190" w:lineRule="exact"/>
        <w:rPr>
          <w:sz w:val="20"/>
          <w:szCs w:val="20"/>
          <w:color w:val="auto"/>
        </w:rPr>
      </w:pPr>
    </w:p>
    <w:p>
      <w:pPr>
        <w:ind w:right="1120"/>
        <w:spacing w:after="0" w:line="293"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Finance costs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Finance costs comprises interest payable on borrowings calculated using the effective interest rate method, finance charges on leases, foreign exchange gains and losses on bank loans and gains and losses on hedging instruments that are recognised in the Consolidated Statement of Profit and Loss.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200" w:lineRule="exact"/>
        <w:rPr>
          <w:sz w:val="20"/>
          <w:szCs w:val="20"/>
          <w:color w:val="auto"/>
        </w:rPr>
      </w:pP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80"/>
          </w:cols>
          <w:pgMar w:left="300" w:top="698"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(continued)</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has determined that the global minimum top-up tax – which it is required to pay under Pillar Two legislation – is an income tax in scope of IAS 12. The Group has applied a temporary mandatory relief from deferred tax accounting for the impacts of the top-up tax and accounts for it as current tax when it is incurred.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right-of-use assets.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Debt issuance costs relating to the Group’s long-term debt are recorded as a direct reduction of long-term debt; these costs are deferred and amortised to interest expense using the effective interest method, over the respective terms of the related debt. Debt issuance costs relating to the Group’s revolving credit facilities are recorded as an asset; these costs are deferred and amortised to interest expense using the straight-line method. Early repayment of debt facilities can result in modification of the debt and the acceleration of the amortisation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80"/>
          </w:cols>
          <w:pgMar w:left="300" w:top="698"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Segmental information</w:t>
      </w: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is a CRO providing outsourced services on a global basis to pharmaceutical, biotechnology, medical device and government and public health organisations. It specialises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Company operates as one reportable segment, which is the provision of outsourced development services on a global basis to the pharmaceutical, biotechnology and medical devices industries. The Company determines and presents operating segments based on the information that is internally provided to the chief operating decision maker, together the ('CODM') in accordance with IFRS 8</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Segments.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For each of the accounting periods presented herein, the Company determined that Chief Operating Decision Maker ('CODM') was comprised of the Chief Executive Officer and the Chief Financial Officer. As the Company is managed on a consolidated basis, the CODM evaluates performance and allocates resources based on consolidated net income. The CODM uses consolidated net income, as reported on the Consolidated Statement of Profit and Loss, to evaluate income generated from segment assets and for decisions related to the deployment of operating and capital resources. The measure of segment assets is reported on the Consolidated Balance Sheet as total consolidated assets.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139 to 142 of this report.</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changes to the overall basis of segmentation or the measurement basis for the segment results since the prior 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80"/>
          </w:cols>
          <w:pgMar w:left="300" w:top="698"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Segmental information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shd w:val="clear" w:color="auto" w:fill="CCEEFF"/>
          </w:tcPr>
          <w:p>
            <w:pPr>
              <w:spacing w:after="0"/>
              <w:rPr>
                <w:sz w:val="13"/>
                <w:szCs w:val="13"/>
                <w:color w:val="auto"/>
              </w:rPr>
            </w:pPr>
          </w:p>
        </w:tc>
        <w:tc>
          <w:tcPr>
            <w:tcW w:w="4000" w:type="dxa"/>
            <w:vAlign w:val="bottom"/>
            <w:shd w:val="clear" w:color="auto" w:fill="CCEEFF"/>
          </w:tcPr>
          <w:p>
            <w:pPr>
              <w:ind w:left="2860"/>
              <w:spacing w:after="0"/>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612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6120" w:type="dxa"/>
            <w:vAlign w:val="bottom"/>
          </w:tcPr>
          <w:p>
            <w:pPr>
              <w:spacing w:after="0"/>
              <w:rPr>
                <w:sz w:val="13"/>
                <w:szCs w:val="13"/>
                <w:color w:val="auto"/>
              </w:rPr>
            </w:pPr>
          </w:p>
        </w:tc>
        <w:tc>
          <w:tcPr>
            <w:tcW w:w="40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4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Ireland</w:t>
            </w:r>
          </w:p>
        </w:tc>
        <w:tc>
          <w:tcPr>
            <w:tcW w:w="4000" w:type="dxa"/>
            <w:vAlign w:val="bottom"/>
          </w:tcPr>
          <w:p>
            <w:pPr>
              <w:jc w:val="right"/>
              <w:ind w:right="316"/>
              <w:spacing w:after="0"/>
              <w:rPr>
                <w:sz w:val="20"/>
                <w:szCs w:val="20"/>
                <w:color w:val="auto"/>
              </w:rPr>
            </w:pPr>
            <w:r>
              <w:rPr>
                <w:rFonts w:ascii="Arial" w:cs="Arial" w:eastAsia="Arial" w:hAnsi="Arial"/>
                <w:sz w:val="13"/>
                <w:szCs w:val="13"/>
                <w:b w:val="1"/>
                <w:bCs w:val="1"/>
                <w:color w:val="auto"/>
              </w:rPr>
              <w:t>2,793,045</w:t>
            </w:r>
          </w:p>
        </w:tc>
        <w:tc>
          <w:tcPr>
            <w:tcW w:w="1140" w:type="dxa"/>
            <w:vAlign w:val="bottom"/>
          </w:tcPr>
          <w:p>
            <w:pPr>
              <w:jc w:val="right"/>
              <w:spacing w:after="0"/>
              <w:rPr>
                <w:sz w:val="20"/>
                <w:szCs w:val="20"/>
                <w:color w:val="auto"/>
              </w:rPr>
            </w:pPr>
            <w:r>
              <w:rPr>
                <w:rFonts w:ascii="Arial" w:cs="Arial" w:eastAsia="Arial" w:hAnsi="Arial"/>
                <w:sz w:val="13"/>
                <w:szCs w:val="13"/>
                <w:color w:val="auto"/>
              </w:rPr>
              <w:t>2,377,104</w:t>
            </w:r>
          </w:p>
        </w:tc>
        <w:tc>
          <w:tcPr>
            <w:tcW w:w="20" w:type="dxa"/>
            <w:vAlign w:val="bottom"/>
          </w:tcPr>
          <w:p>
            <w:pPr>
              <w:spacing w:after="0"/>
              <w:rPr>
                <w:sz w:val="14"/>
                <w:szCs w:val="14"/>
                <w:color w:val="auto"/>
              </w:rPr>
            </w:pP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40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1,560,735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1,574,783</w:t>
            </w:r>
          </w:p>
        </w:tc>
        <w:tc>
          <w:tcPr>
            <w:tcW w:w="20" w:type="dxa"/>
            <w:vAlign w:val="bottom"/>
            <w:shd w:val="clear" w:color="auto" w:fill="CCEEFF"/>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000" w:type="dxa"/>
            <w:vAlign w:val="bottom"/>
          </w:tcPr>
          <w:p>
            <w:pPr>
              <w:jc w:val="right"/>
              <w:ind w:right="316"/>
              <w:spacing w:after="0"/>
              <w:rPr>
                <w:sz w:val="20"/>
                <w:szCs w:val="20"/>
                <w:color w:val="auto"/>
              </w:rPr>
            </w:pPr>
            <w:r>
              <w:rPr>
                <w:rFonts w:ascii="Arial" w:cs="Arial" w:eastAsia="Arial" w:hAnsi="Arial"/>
                <w:sz w:val="13"/>
                <w:szCs w:val="13"/>
                <w:b w:val="1"/>
                <w:bCs w:val="1"/>
                <w:color w:val="auto"/>
              </w:rPr>
              <w:t>2,985,256</w:t>
            </w:r>
          </w:p>
        </w:tc>
        <w:tc>
          <w:tcPr>
            <w:tcW w:w="1140" w:type="dxa"/>
            <w:vAlign w:val="bottom"/>
          </w:tcPr>
          <w:p>
            <w:pPr>
              <w:jc w:val="right"/>
              <w:spacing w:after="0"/>
              <w:rPr>
                <w:sz w:val="20"/>
                <w:szCs w:val="20"/>
                <w:color w:val="auto"/>
              </w:rPr>
            </w:pPr>
            <w:r>
              <w:rPr>
                <w:rFonts w:ascii="Arial" w:cs="Arial" w:eastAsia="Arial" w:hAnsi="Arial"/>
                <w:sz w:val="13"/>
                <w:szCs w:val="13"/>
                <w:color w:val="auto"/>
              </w:rPr>
              <w:t>3,283,790</w:t>
            </w:r>
          </w:p>
        </w:tc>
        <w:tc>
          <w:tcPr>
            <w:tcW w:w="20" w:type="dxa"/>
            <w:vAlign w:val="bottom"/>
          </w:tcPr>
          <w:p>
            <w:pPr>
              <w:spacing w:after="0"/>
              <w:rPr>
                <w:sz w:val="14"/>
                <w:szCs w:val="14"/>
                <w:color w:val="auto"/>
              </w:rPr>
            </w:pPr>
          </w:p>
        </w:tc>
      </w:tr>
      <w:tr>
        <w:trPr>
          <w:trHeight w:val="170"/>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0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942,640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884,499</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8,281,676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8,120,176</w:t>
            </w:r>
          </w:p>
        </w:tc>
        <w:tc>
          <w:tcPr>
            <w:tcW w:w="20" w:type="dxa"/>
            <w:vAlign w:val="bottom"/>
            <w:tcBorders>
              <w:bottom w:val="single" w:sz="8" w:color="auto"/>
            </w:tcBorders>
          </w:tcPr>
          <w:p>
            <w:pPr>
              <w:spacing w:after="0"/>
              <w:rPr>
                <w:sz w:val="13"/>
                <w:szCs w:val="13"/>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3"/>
        </w:trPr>
        <w:tc>
          <w:tcPr>
            <w:tcW w:w="6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6120" w:type="dxa"/>
            <w:vAlign w:val="bottom"/>
            <w:shd w:val="clear" w:color="auto" w:fill="CCEEFF"/>
          </w:tcPr>
          <w:p>
            <w:pPr>
              <w:spacing w:after="0"/>
              <w:rPr>
                <w:sz w:val="11"/>
                <w:szCs w:val="11"/>
                <w:color w:val="auto"/>
              </w:rPr>
            </w:pPr>
          </w:p>
        </w:tc>
        <w:tc>
          <w:tcPr>
            <w:tcW w:w="4000" w:type="dxa"/>
            <w:vAlign w:val="bottom"/>
            <w:shd w:val="clear" w:color="auto" w:fill="CCEEFF"/>
          </w:tcPr>
          <w:p>
            <w:pPr>
              <w:ind w:left="2860"/>
              <w:spacing w:after="0" w:line="128" w:lineRule="exact"/>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12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6120" w:type="dxa"/>
            <w:vAlign w:val="bottom"/>
          </w:tcPr>
          <w:p>
            <w:pPr>
              <w:spacing w:after="0"/>
              <w:rPr>
                <w:sz w:val="13"/>
                <w:szCs w:val="13"/>
                <w:color w:val="auto"/>
              </w:rPr>
            </w:pPr>
          </w:p>
        </w:tc>
        <w:tc>
          <w:tcPr>
            <w:tcW w:w="40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plant and equipment and right-of-use assets</w:t>
            </w:r>
          </w:p>
        </w:tc>
        <w:tc>
          <w:tcPr>
            <w:tcW w:w="4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Ireland</w:t>
            </w:r>
          </w:p>
        </w:tc>
        <w:tc>
          <w:tcPr>
            <w:tcW w:w="4000" w:type="dxa"/>
            <w:vAlign w:val="bottom"/>
          </w:tcPr>
          <w:p>
            <w:pPr>
              <w:jc w:val="right"/>
              <w:ind w:right="316"/>
              <w:spacing w:after="0"/>
              <w:rPr>
                <w:sz w:val="20"/>
                <w:szCs w:val="20"/>
                <w:color w:val="auto"/>
              </w:rPr>
            </w:pPr>
            <w:r>
              <w:rPr>
                <w:rFonts w:ascii="Arial" w:cs="Arial" w:eastAsia="Arial" w:hAnsi="Arial"/>
                <w:sz w:val="13"/>
                <w:szCs w:val="13"/>
                <w:b w:val="1"/>
                <w:bCs w:val="1"/>
                <w:color w:val="auto"/>
              </w:rPr>
              <w:t>46,038</w:t>
            </w:r>
          </w:p>
        </w:tc>
        <w:tc>
          <w:tcPr>
            <w:tcW w:w="1140" w:type="dxa"/>
            <w:vAlign w:val="bottom"/>
          </w:tcPr>
          <w:p>
            <w:pPr>
              <w:jc w:val="right"/>
              <w:spacing w:after="0"/>
              <w:rPr>
                <w:sz w:val="20"/>
                <w:szCs w:val="20"/>
                <w:color w:val="auto"/>
              </w:rPr>
            </w:pPr>
            <w:r>
              <w:rPr>
                <w:rFonts w:ascii="Arial" w:cs="Arial" w:eastAsia="Arial" w:hAnsi="Arial"/>
                <w:sz w:val="13"/>
                <w:szCs w:val="13"/>
                <w:color w:val="auto"/>
              </w:rPr>
              <w:t>50,851</w:t>
            </w:r>
          </w:p>
        </w:tc>
        <w:tc>
          <w:tcPr>
            <w:tcW w:w="20" w:type="dxa"/>
            <w:vAlign w:val="bottom"/>
          </w:tcPr>
          <w:p>
            <w:pPr>
              <w:spacing w:after="0"/>
              <w:rPr>
                <w:sz w:val="14"/>
                <w:szCs w:val="14"/>
                <w:color w:val="auto"/>
              </w:rPr>
            </w:pP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40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85,358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91,080</w:t>
            </w:r>
          </w:p>
        </w:tc>
        <w:tc>
          <w:tcPr>
            <w:tcW w:w="20" w:type="dxa"/>
            <w:vAlign w:val="bottom"/>
            <w:shd w:val="clear" w:color="auto" w:fill="CCEEFF"/>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000" w:type="dxa"/>
            <w:vAlign w:val="bottom"/>
          </w:tcPr>
          <w:p>
            <w:pPr>
              <w:jc w:val="right"/>
              <w:ind w:right="316"/>
              <w:spacing w:after="0"/>
              <w:rPr>
                <w:sz w:val="20"/>
                <w:szCs w:val="20"/>
                <w:color w:val="auto"/>
              </w:rPr>
            </w:pPr>
            <w:r>
              <w:rPr>
                <w:rFonts w:ascii="Arial" w:cs="Arial" w:eastAsia="Arial" w:hAnsi="Arial"/>
                <w:sz w:val="13"/>
                <w:szCs w:val="13"/>
                <w:b w:val="1"/>
                <w:bCs w:val="1"/>
                <w:color w:val="auto"/>
              </w:rPr>
              <w:t>102,770</w:t>
            </w:r>
          </w:p>
        </w:tc>
        <w:tc>
          <w:tcPr>
            <w:tcW w:w="1140" w:type="dxa"/>
            <w:vAlign w:val="bottom"/>
          </w:tcPr>
          <w:p>
            <w:pPr>
              <w:jc w:val="right"/>
              <w:spacing w:after="0"/>
              <w:rPr>
                <w:sz w:val="20"/>
                <w:szCs w:val="20"/>
                <w:color w:val="auto"/>
              </w:rPr>
            </w:pPr>
            <w:r>
              <w:rPr>
                <w:rFonts w:ascii="Arial" w:cs="Arial" w:eastAsia="Arial" w:hAnsi="Arial"/>
                <w:sz w:val="13"/>
                <w:szCs w:val="13"/>
                <w:color w:val="auto"/>
              </w:rPr>
              <w:t>110,575</w:t>
            </w:r>
          </w:p>
        </w:tc>
        <w:tc>
          <w:tcPr>
            <w:tcW w:w="20" w:type="dxa"/>
            <w:vAlign w:val="bottom"/>
          </w:tcPr>
          <w:p>
            <w:pPr>
              <w:spacing w:after="0"/>
              <w:rPr>
                <w:sz w:val="14"/>
                <w:szCs w:val="14"/>
                <w:color w:val="auto"/>
              </w:rPr>
            </w:pPr>
          </w:p>
        </w:tc>
      </w:tr>
      <w:tr>
        <w:trPr>
          <w:trHeight w:val="170"/>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0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59,659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46,728</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293,825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299,234</w:t>
            </w:r>
          </w:p>
        </w:tc>
        <w:tc>
          <w:tcPr>
            <w:tcW w:w="20" w:type="dxa"/>
            <w:vAlign w:val="bottom"/>
            <w:tcBorders>
              <w:bottom w:val="single" w:sz="8" w:color="auto"/>
            </w:tcBorders>
          </w:tcPr>
          <w:p>
            <w:pPr>
              <w:spacing w:after="0"/>
              <w:rPr>
                <w:sz w:val="13"/>
                <w:szCs w:val="13"/>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7"/>
        </w:trPr>
        <w:tc>
          <w:tcPr>
            <w:tcW w:w="6120" w:type="dxa"/>
            <w:vAlign w:val="bottom"/>
          </w:tcPr>
          <w:p>
            <w:pPr>
              <w:spacing w:after="0"/>
              <w:rPr>
                <w:sz w:val="20"/>
                <w:szCs w:val="20"/>
                <w:color w:val="auto"/>
              </w:rPr>
            </w:pPr>
            <w:r>
              <w:rPr>
                <w:rFonts w:ascii="Arial" w:cs="Arial" w:eastAsia="Arial" w:hAnsi="Arial"/>
                <w:sz w:val="13"/>
                <w:szCs w:val="13"/>
                <w:b w:val="1"/>
                <w:bCs w:val="1"/>
                <w:color w:val="auto"/>
              </w:rPr>
              <w:t>3. Revenue</w:t>
            </w: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6120" w:type="dxa"/>
            <w:vAlign w:val="bottom"/>
          </w:tcPr>
          <w:p>
            <w:pPr>
              <w:spacing w:after="0"/>
              <w:rPr>
                <w:sz w:val="20"/>
                <w:szCs w:val="20"/>
                <w:color w:val="auto"/>
              </w:rPr>
            </w:pPr>
            <w:r>
              <w:rPr>
                <w:rFonts w:ascii="Arial" w:cs="Arial" w:eastAsia="Arial" w:hAnsi="Arial"/>
                <w:sz w:val="13"/>
                <w:szCs w:val="13"/>
                <w:color w:val="auto"/>
              </w:rPr>
              <w:t>Revenue disaggregated by customer profile is as follows:</w:t>
            </w: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6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127"/>
        </w:trPr>
        <w:tc>
          <w:tcPr>
            <w:tcW w:w="6120" w:type="dxa"/>
            <w:vAlign w:val="bottom"/>
            <w:shd w:val="clear" w:color="auto" w:fill="CCEEFF"/>
          </w:tcPr>
          <w:p>
            <w:pPr>
              <w:spacing w:after="0"/>
              <w:rPr>
                <w:sz w:val="11"/>
                <w:szCs w:val="11"/>
                <w:color w:val="auto"/>
              </w:rPr>
            </w:pPr>
          </w:p>
        </w:tc>
        <w:tc>
          <w:tcPr>
            <w:tcW w:w="4000" w:type="dxa"/>
            <w:vAlign w:val="bottom"/>
            <w:shd w:val="clear" w:color="auto" w:fill="CCEEFF"/>
          </w:tcPr>
          <w:p>
            <w:pPr>
              <w:ind w:left="2840"/>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r>
      <w:tr>
        <w:trPr>
          <w:trHeight w:val="170"/>
        </w:trPr>
        <w:tc>
          <w:tcPr>
            <w:tcW w:w="612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4"/>
                <w:szCs w:val="14"/>
                <w:color w:val="auto"/>
              </w:rPr>
            </w:pPr>
          </w:p>
        </w:tc>
      </w:tr>
      <w:tr>
        <w:trPr>
          <w:trHeight w:val="160"/>
        </w:trPr>
        <w:tc>
          <w:tcPr>
            <w:tcW w:w="6120" w:type="dxa"/>
            <w:vAlign w:val="bottom"/>
          </w:tcPr>
          <w:p>
            <w:pPr>
              <w:spacing w:after="0"/>
              <w:rPr>
                <w:sz w:val="13"/>
                <w:szCs w:val="13"/>
                <w:color w:val="auto"/>
              </w:rPr>
            </w:pPr>
          </w:p>
        </w:tc>
        <w:tc>
          <w:tcPr>
            <w:tcW w:w="40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Top client</w:t>
            </w:r>
          </w:p>
        </w:tc>
        <w:tc>
          <w:tcPr>
            <w:tcW w:w="40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639,520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721,309</w:t>
            </w:r>
          </w:p>
        </w:tc>
        <w:tc>
          <w:tcPr>
            <w:tcW w:w="20" w:type="dxa"/>
            <w:vAlign w:val="bottom"/>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Clients 2-5</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1,431,873</w:t>
            </w:r>
          </w:p>
        </w:tc>
        <w:tc>
          <w:tcPr>
            <w:tcW w:w="1140" w:type="dxa"/>
            <w:vAlign w:val="bottom"/>
          </w:tcPr>
          <w:p>
            <w:pPr>
              <w:jc w:val="right"/>
              <w:spacing w:after="0"/>
              <w:rPr>
                <w:sz w:val="20"/>
                <w:szCs w:val="20"/>
                <w:color w:val="auto"/>
              </w:rPr>
            </w:pPr>
            <w:r>
              <w:rPr>
                <w:rFonts w:ascii="Arial" w:cs="Arial" w:eastAsia="Arial" w:hAnsi="Arial"/>
                <w:sz w:val="13"/>
                <w:szCs w:val="13"/>
                <w:color w:val="auto"/>
              </w:rPr>
              <w:t>1,453,508</w:t>
            </w:r>
          </w:p>
        </w:tc>
        <w:tc>
          <w:tcPr>
            <w:tcW w:w="20" w:type="dxa"/>
            <w:vAlign w:val="bottom"/>
          </w:tcPr>
          <w:p>
            <w:pPr>
              <w:spacing w:after="0"/>
              <w:rPr>
                <w:sz w:val="14"/>
                <w:szCs w:val="14"/>
                <w:color w:val="auto"/>
              </w:rPr>
            </w:pPr>
          </w:p>
        </w:tc>
      </w:tr>
      <w:tr>
        <w:trPr>
          <w:trHeight w:val="170"/>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40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1,306,604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1,188,943</w:t>
            </w:r>
          </w:p>
        </w:tc>
        <w:tc>
          <w:tcPr>
            <w:tcW w:w="20" w:type="dxa"/>
            <w:vAlign w:val="bottom"/>
          </w:tcPr>
          <w:p>
            <w:pPr>
              <w:spacing w:after="0"/>
              <w:rPr>
                <w:sz w:val="14"/>
                <w:szCs w:val="14"/>
                <w:color w:val="auto"/>
              </w:rPr>
            </w:pPr>
          </w:p>
        </w:tc>
      </w:tr>
      <w:tr>
        <w:trPr>
          <w:trHeight w:val="170"/>
        </w:trPr>
        <w:tc>
          <w:tcPr>
            <w:tcW w:w="612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1,774,160</w:t>
            </w:r>
          </w:p>
        </w:tc>
        <w:tc>
          <w:tcPr>
            <w:tcW w:w="1140" w:type="dxa"/>
            <w:vAlign w:val="bottom"/>
          </w:tcPr>
          <w:p>
            <w:pPr>
              <w:jc w:val="right"/>
              <w:spacing w:after="0"/>
              <w:rPr>
                <w:sz w:val="20"/>
                <w:szCs w:val="20"/>
                <w:color w:val="auto"/>
              </w:rPr>
            </w:pPr>
            <w:r>
              <w:rPr>
                <w:rFonts w:ascii="Arial" w:cs="Arial" w:eastAsia="Arial" w:hAnsi="Arial"/>
                <w:sz w:val="13"/>
                <w:szCs w:val="13"/>
                <w:color w:val="auto"/>
              </w:rPr>
              <w:t>1,743,539</w:t>
            </w:r>
          </w:p>
        </w:tc>
        <w:tc>
          <w:tcPr>
            <w:tcW w:w="20" w:type="dxa"/>
            <w:vAlign w:val="bottom"/>
          </w:tcPr>
          <w:p>
            <w:pPr>
              <w:spacing w:after="0"/>
              <w:rPr>
                <w:sz w:val="14"/>
                <w:szCs w:val="14"/>
                <w:color w:val="auto"/>
              </w:rPr>
            </w:pPr>
          </w:p>
        </w:tc>
      </w:tr>
      <w:tr>
        <w:trPr>
          <w:trHeight w:val="170"/>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3,129,519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3,012,877</w:t>
            </w:r>
          </w:p>
        </w:tc>
        <w:tc>
          <w:tcPr>
            <w:tcW w:w="20" w:type="dxa"/>
            <w:vAlign w:val="bottom"/>
          </w:tcPr>
          <w:p>
            <w:pPr>
              <w:spacing w:after="0"/>
              <w:rPr>
                <w:sz w:val="14"/>
                <w:szCs w:val="14"/>
                <w:color w:val="auto"/>
              </w:rPr>
            </w:pPr>
          </w:p>
        </w:tc>
      </w:tr>
      <w:tr>
        <w:trPr>
          <w:trHeight w:val="16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revenue</w:t>
            </w:r>
          </w:p>
        </w:tc>
        <w:tc>
          <w:tcPr>
            <w:tcW w:w="40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8,281,676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8,120,176</w:t>
            </w:r>
          </w:p>
        </w:tc>
        <w:tc>
          <w:tcPr>
            <w:tcW w:w="20" w:type="dxa"/>
            <w:vAlign w:val="bottom"/>
          </w:tcPr>
          <w:p>
            <w:pPr>
              <w:spacing w:after="0"/>
              <w:rPr>
                <w:sz w:val="13"/>
                <w:szCs w:val="13"/>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was no revenue from individual customers greater than 10% of consolidated revenue in the respective years. Our customers have similar profiles and economic characteristics, and therefore have similar degrees of risk and growth opportunities.</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Finance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shd w:val="clear" w:color="auto" w:fill="CCEEFF"/>
          </w:tcPr>
          <w:p>
            <w:pPr>
              <w:spacing w:after="0"/>
              <w:rPr>
                <w:sz w:val="12"/>
                <w:szCs w:val="12"/>
                <w:color w:val="auto"/>
              </w:rPr>
            </w:pPr>
          </w:p>
        </w:tc>
        <w:tc>
          <w:tcPr>
            <w:tcW w:w="50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80" w:type="dxa"/>
            <w:vAlign w:val="bottom"/>
            <w:tcBorders>
              <w:bottom w:val="single" w:sz="8" w:color="auto"/>
            </w:tcBorders>
            <w:shd w:val="clear" w:color="auto" w:fill="CCEEFF"/>
          </w:tcPr>
          <w:p>
            <w:pPr>
              <w:spacing w:after="0"/>
              <w:rPr>
                <w:sz w:val="14"/>
                <w:szCs w:val="14"/>
                <w:color w:val="auto"/>
              </w:rPr>
            </w:pPr>
          </w:p>
        </w:tc>
        <w:tc>
          <w:tcPr>
            <w:tcW w:w="50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080" w:type="dxa"/>
            <w:vAlign w:val="bottom"/>
          </w:tcPr>
          <w:p>
            <w:pPr>
              <w:spacing w:after="0"/>
              <w:rPr>
                <w:sz w:val="13"/>
                <w:szCs w:val="13"/>
                <w:color w:val="auto"/>
              </w:rPr>
            </w:pPr>
          </w:p>
        </w:tc>
        <w:tc>
          <w:tcPr>
            <w:tcW w:w="50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receivable</w:t>
            </w:r>
          </w:p>
        </w:tc>
        <w:tc>
          <w:tcPr>
            <w:tcW w:w="50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8,609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5,014</w:t>
            </w:r>
          </w:p>
        </w:tc>
      </w:tr>
      <w:tr>
        <w:trPr>
          <w:trHeight w:val="16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finance income</w:t>
            </w:r>
          </w:p>
        </w:tc>
        <w:tc>
          <w:tcPr>
            <w:tcW w:w="50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8,609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5,014</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All of the above relate to items not at fair value through profit and loss.</w:t>
      </w:r>
    </w:p>
    <w:p>
      <w:pPr>
        <w:spacing w:after="0" w:line="200" w:lineRule="exact"/>
        <w:rPr>
          <w:sz w:val="20"/>
          <w:szCs w:val="20"/>
          <w:color w:val="auto"/>
        </w:rPr>
      </w:pP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80"/>
          </w:cols>
          <w:pgMar w:left="300" w:top="698"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b w:val="1"/>
          <w:bCs w:val="1"/>
          <w:color w:val="auto"/>
        </w:rPr>
        <w:t>Finance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shd w:val="clear" w:color="auto" w:fill="CCEEFF"/>
          </w:tcPr>
          <w:p>
            <w:pPr>
              <w:spacing w:after="0"/>
              <w:rPr>
                <w:sz w:val="13"/>
                <w:szCs w:val="13"/>
                <w:color w:val="auto"/>
              </w:rPr>
            </w:pPr>
          </w:p>
        </w:tc>
        <w:tc>
          <w:tcPr>
            <w:tcW w:w="42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660" w:type="dxa"/>
            <w:vAlign w:val="bottom"/>
            <w:tcBorders>
              <w:bottom w:val="single" w:sz="8" w:color="auto"/>
            </w:tcBorders>
            <w:shd w:val="clear" w:color="auto" w:fill="CCEEFF"/>
          </w:tcPr>
          <w:p>
            <w:pPr>
              <w:spacing w:after="0"/>
              <w:rPr>
                <w:sz w:val="14"/>
                <w:szCs w:val="14"/>
                <w:color w:val="auto"/>
              </w:rPr>
            </w:pPr>
          </w:p>
        </w:tc>
        <w:tc>
          <w:tcPr>
            <w:tcW w:w="4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660" w:type="dxa"/>
            <w:vAlign w:val="bottom"/>
          </w:tcPr>
          <w:p>
            <w:pPr>
              <w:spacing w:after="0"/>
              <w:rPr>
                <w:sz w:val="13"/>
                <w:szCs w:val="13"/>
                <w:color w:val="auto"/>
              </w:rPr>
            </w:pPr>
          </w:p>
        </w:tc>
        <w:tc>
          <w:tcPr>
            <w:tcW w:w="42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on drawn facilities</w:t>
            </w: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206,198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311,019</w:t>
            </w:r>
          </w:p>
        </w:tc>
      </w:tr>
      <w:tr>
        <w:trPr>
          <w:trHeight w:val="170"/>
        </w:trPr>
        <w:tc>
          <w:tcPr>
            <w:tcW w:w="5660" w:type="dxa"/>
            <w:vAlign w:val="bottom"/>
          </w:tcPr>
          <w:p>
            <w:pPr>
              <w:ind w:left="20"/>
              <w:spacing w:after="0"/>
              <w:rPr>
                <w:sz w:val="20"/>
                <w:szCs w:val="20"/>
                <w:color w:val="auto"/>
              </w:rPr>
            </w:pPr>
            <w:r>
              <w:rPr>
                <w:rFonts w:ascii="Arial" w:cs="Arial" w:eastAsia="Arial" w:hAnsi="Arial"/>
                <w:sz w:val="13"/>
                <w:szCs w:val="13"/>
                <w:color w:val="auto"/>
              </w:rPr>
              <w:t>Interest on lease liabilities</w:t>
            </w:r>
          </w:p>
        </w:tc>
        <w:tc>
          <w:tcPr>
            <w:tcW w:w="4240" w:type="dxa"/>
            <w:vAlign w:val="bottom"/>
          </w:tcPr>
          <w:p>
            <w:pPr>
              <w:jc w:val="right"/>
              <w:ind w:right="316"/>
              <w:spacing w:after="0"/>
              <w:rPr>
                <w:sz w:val="20"/>
                <w:szCs w:val="20"/>
                <w:color w:val="auto"/>
              </w:rPr>
            </w:pPr>
            <w:r>
              <w:rPr>
                <w:rFonts w:ascii="Arial" w:cs="Arial" w:eastAsia="Arial" w:hAnsi="Arial"/>
                <w:sz w:val="13"/>
                <w:szCs w:val="13"/>
                <w:b w:val="1"/>
                <w:bCs w:val="1"/>
                <w:color w:val="auto"/>
              </w:rPr>
              <w:t>5,379</w:t>
            </w:r>
          </w:p>
        </w:tc>
        <w:tc>
          <w:tcPr>
            <w:tcW w:w="1120" w:type="dxa"/>
            <w:vAlign w:val="bottom"/>
          </w:tcPr>
          <w:p>
            <w:pPr>
              <w:jc w:val="right"/>
              <w:spacing w:after="0"/>
              <w:rPr>
                <w:sz w:val="20"/>
                <w:szCs w:val="20"/>
                <w:color w:val="auto"/>
              </w:rPr>
            </w:pPr>
            <w:r>
              <w:rPr>
                <w:rFonts w:ascii="Arial" w:cs="Arial" w:eastAsia="Arial" w:hAnsi="Arial"/>
                <w:sz w:val="13"/>
                <w:szCs w:val="13"/>
                <w:color w:val="auto"/>
              </w:rPr>
              <w:t>4,172</w:t>
            </w: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merger related financing fees</w:t>
            </w: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23,533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16,402</w:t>
            </w:r>
          </w:p>
        </w:tc>
      </w:tr>
      <w:tr>
        <w:trPr>
          <w:trHeight w:val="17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financing costs*</w:t>
            </w:r>
          </w:p>
        </w:tc>
        <w:tc>
          <w:tcPr>
            <w:tcW w:w="4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7,506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9,278</w:t>
            </w:r>
          </w:p>
        </w:tc>
      </w:tr>
      <w:tr>
        <w:trPr>
          <w:trHeight w:val="185"/>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finance expense</w:t>
            </w:r>
          </w:p>
        </w:tc>
        <w:tc>
          <w:tcPr>
            <w:tcW w:w="4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242,616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340,871</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color w:val="auto"/>
        </w:rPr>
        <w:t>includes costs associated with the senior secured revolving loan facility.</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Company incurred interest costs from various financing arrangements during the years ended 31 December 2024 and 31 December 2023 as set out in the table above. These costs have been charged in the finance costs line of the Consolidated Statement of Profit and Loss. All of the above relate to items not at fair value through profit and loss.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20"/>
                <w:szCs w:val="20"/>
                <w:color w:val="auto"/>
              </w:rPr>
            </w:pPr>
            <w:r>
              <w:rPr>
                <w:rFonts w:ascii="Arial" w:cs="Arial" w:eastAsia="Arial" w:hAnsi="Arial"/>
                <w:sz w:val="13"/>
                <w:szCs w:val="13"/>
                <w:b w:val="1"/>
                <w:bCs w:val="1"/>
                <w:color w:val="auto"/>
              </w:rPr>
              <w:t>6.  Profit before taxation</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44"/>
        </w:trPr>
        <w:tc>
          <w:tcPr>
            <w:tcW w:w="500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0"/>
        </w:trPr>
        <w:tc>
          <w:tcPr>
            <w:tcW w:w="5000" w:type="dxa"/>
            <w:vAlign w:val="bottom"/>
          </w:tcPr>
          <w:p>
            <w:pPr>
              <w:spacing w:after="0"/>
              <w:rPr>
                <w:sz w:val="20"/>
                <w:szCs w:val="20"/>
                <w:color w:val="auto"/>
              </w:rPr>
            </w:pPr>
            <w:r>
              <w:rPr>
                <w:rFonts w:ascii="Arial" w:cs="Arial" w:eastAsia="Arial" w:hAnsi="Arial"/>
                <w:sz w:val="13"/>
                <w:szCs w:val="13"/>
                <w:i w:val="1"/>
                <w:iCs w:val="1"/>
                <w:color w:val="auto"/>
              </w:rPr>
              <w:t>Auditor's remuneration</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8"/>
        </w:trPr>
        <w:tc>
          <w:tcPr>
            <w:tcW w:w="5000" w:type="dxa"/>
            <w:vAlign w:val="bottom"/>
          </w:tcPr>
          <w:p>
            <w:pPr>
              <w:spacing w:after="0"/>
              <w:rPr>
                <w:sz w:val="8"/>
                <w:szCs w:val="8"/>
                <w:color w:val="auto"/>
              </w:rPr>
            </w:pPr>
          </w:p>
        </w:tc>
        <w:tc>
          <w:tcPr>
            <w:tcW w:w="244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70"/>
        </w:trPr>
        <w:tc>
          <w:tcPr>
            <w:tcW w:w="5000" w:type="dxa"/>
            <w:vAlign w:val="bottom"/>
            <w:shd w:val="clear" w:color="auto" w:fill="CCEEFF"/>
          </w:tcPr>
          <w:p>
            <w:pPr>
              <w:spacing w:after="0"/>
              <w:rPr>
                <w:sz w:val="14"/>
                <w:szCs w:val="14"/>
                <w:color w:val="auto"/>
              </w:rPr>
            </w:pPr>
          </w:p>
        </w:tc>
        <w:tc>
          <w:tcPr>
            <w:tcW w:w="2440" w:type="dxa"/>
            <w:vAlign w:val="bottom"/>
            <w:tcBorders>
              <w:bottom w:val="single" w:sz="8" w:color="auto"/>
            </w:tcBorders>
            <w:gridSpan w:val="2"/>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 2024</w:t>
            </w:r>
          </w:p>
        </w:tc>
        <w:tc>
          <w:tcPr>
            <w:tcW w:w="7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97"/>
              </w:rPr>
              <w:t>31 December 2023</w:t>
            </w:r>
          </w:p>
        </w:tc>
        <w:tc>
          <w:tcPr>
            <w:tcW w:w="700" w:type="dxa"/>
            <w:vAlign w:val="bottom"/>
            <w:tcBorders>
              <w:bottom w:val="single" w:sz="8" w:color="auto"/>
            </w:tcBorders>
            <w:shd w:val="clear" w:color="auto" w:fill="CCEEFF"/>
          </w:tcPr>
          <w:p>
            <w:pPr>
              <w:spacing w:after="0"/>
              <w:rPr>
                <w:sz w:val="14"/>
                <w:szCs w:val="14"/>
                <w:color w:val="auto"/>
              </w:rPr>
            </w:pPr>
          </w:p>
        </w:tc>
      </w:tr>
      <w:tr>
        <w:trPr>
          <w:trHeight w:val="118"/>
        </w:trPr>
        <w:tc>
          <w:tcPr>
            <w:tcW w:w="5000" w:type="dxa"/>
            <w:vAlign w:val="bottom"/>
          </w:tcPr>
          <w:p>
            <w:pPr>
              <w:spacing w:after="0"/>
              <w:rPr>
                <w:sz w:val="10"/>
                <w:szCs w:val="10"/>
                <w:color w:val="auto"/>
              </w:rPr>
            </w:pPr>
          </w:p>
        </w:tc>
        <w:tc>
          <w:tcPr>
            <w:tcW w:w="1100" w:type="dxa"/>
            <w:vAlign w:val="bottom"/>
          </w:tcPr>
          <w:p>
            <w:pPr>
              <w:jc w:val="right"/>
              <w:ind w:right="16"/>
              <w:spacing w:after="0" w:line="118" w:lineRule="exact"/>
              <w:rPr>
                <w:sz w:val="20"/>
                <w:szCs w:val="20"/>
                <w:color w:val="auto"/>
              </w:rPr>
            </w:pPr>
            <w:r>
              <w:rPr>
                <w:rFonts w:ascii="Arial" w:cs="Arial" w:eastAsia="Arial" w:hAnsi="Arial"/>
                <w:sz w:val="13"/>
                <w:szCs w:val="13"/>
                <w:b w:val="1"/>
                <w:bCs w:val="1"/>
                <w:color w:val="auto"/>
              </w:rPr>
              <w:t>Statutory</w:t>
            </w:r>
          </w:p>
        </w:tc>
        <w:tc>
          <w:tcPr>
            <w:tcW w:w="1340" w:type="dxa"/>
            <w:vAlign w:val="bottom"/>
          </w:tcPr>
          <w:p>
            <w:pPr>
              <w:jc w:val="right"/>
              <w:ind w:right="316"/>
              <w:spacing w:after="0" w:line="118" w:lineRule="exact"/>
              <w:rPr>
                <w:sz w:val="20"/>
                <w:szCs w:val="20"/>
                <w:color w:val="auto"/>
              </w:rPr>
            </w:pPr>
            <w:r>
              <w:rPr>
                <w:rFonts w:ascii="Arial" w:cs="Arial" w:eastAsia="Arial" w:hAnsi="Arial"/>
                <w:sz w:val="13"/>
                <w:szCs w:val="13"/>
                <w:b w:val="1"/>
                <w:bCs w:val="1"/>
                <w:color w:val="auto"/>
              </w:rPr>
              <w:t>Affiliated firms</w:t>
            </w: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line="118" w:lineRule="exact"/>
              <w:rPr>
                <w:sz w:val="20"/>
                <w:szCs w:val="20"/>
                <w:color w:val="auto"/>
              </w:rPr>
            </w:pPr>
            <w:r>
              <w:rPr>
                <w:rFonts w:ascii="Arial" w:cs="Arial" w:eastAsia="Arial" w:hAnsi="Arial"/>
                <w:sz w:val="13"/>
                <w:szCs w:val="13"/>
                <w:color w:val="auto"/>
              </w:rPr>
              <w:t>Statutory auditor</w:t>
            </w:r>
          </w:p>
        </w:tc>
        <w:tc>
          <w:tcPr>
            <w:tcW w:w="1420" w:type="dxa"/>
            <w:vAlign w:val="bottom"/>
          </w:tcPr>
          <w:p>
            <w:pPr>
              <w:jc w:val="right"/>
              <w:ind w:right="316"/>
              <w:spacing w:after="0" w:line="118" w:lineRule="exact"/>
              <w:rPr>
                <w:sz w:val="20"/>
                <w:szCs w:val="20"/>
                <w:color w:val="auto"/>
              </w:rPr>
            </w:pPr>
            <w:r>
              <w:rPr>
                <w:rFonts w:ascii="Arial" w:cs="Arial" w:eastAsia="Arial" w:hAnsi="Arial"/>
                <w:sz w:val="13"/>
                <w:szCs w:val="13"/>
                <w:color w:val="auto"/>
              </w:rPr>
              <w:t>Affiliated firms</w:t>
            </w:r>
          </w:p>
        </w:tc>
        <w:tc>
          <w:tcPr>
            <w:tcW w:w="700" w:type="dxa"/>
            <w:vAlign w:val="bottom"/>
          </w:tcPr>
          <w:p>
            <w:pPr>
              <w:jc w:val="right"/>
              <w:spacing w:after="0" w:line="118" w:lineRule="exact"/>
              <w:rPr>
                <w:sz w:val="20"/>
                <w:szCs w:val="20"/>
                <w:color w:val="auto"/>
              </w:rPr>
            </w:pPr>
            <w:r>
              <w:rPr>
                <w:rFonts w:ascii="Arial" w:cs="Arial" w:eastAsia="Arial" w:hAnsi="Arial"/>
                <w:sz w:val="13"/>
                <w:szCs w:val="13"/>
                <w:color w:val="auto"/>
              </w:rPr>
              <w:t>Total</w:t>
            </w:r>
          </w:p>
        </w:tc>
      </w:tr>
      <w:tr>
        <w:trPr>
          <w:trHeight w:val="170"/>
        </w:trPr>
        <w:tc>
          <w:tcPr>
            <w:tcW w:w="5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auditor</w:t>
            </w: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0"/>
        </w:trPr>
        <w:tc>
          <w:tcPr>
            <w:tcW w:w="50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1100" w:type="dxa"/>
            <w:vAlign w:val="bottom"/>
          </w:tcPr>
          <w:p>
            <w:pPr>
              <w:jc w:val="right"/>
              <w:ind w:right="56"/>
              <w:spacing w:after="0"/>
              <w:rPr>
                <w:sz w:val="20"/>
                <w:szCs w:val="20"/>
                <w:color w:val="auto"/>
              </w:rPr>
            </w:pPr>
            <w:r>
              <w:rPr>
                <w:rFonts w:ascii="Arial" w:cs="Arial" w:eastAsia="Arial" w:hAnsi="Arial"/>
                <w:sz w:val="13"/>
                <w:szCs w:val="13"/>
                <w:b w:val="1"/>
                <w:bCs w:val="1"/>
                <w:color w:val="auto"/>
              </w:rPr>
              <w:t>3,103</w:t>
            </w:r>
          </w:p>
        </w:tc>
        <w:tc>
          <w:tcPr>
            <w:tcW w:w="1340" w:type="dxa"/>
            <w:vAlign w:val="bottom"/>
          </w:tcPr>
          <w:p>
            <w:pPr>
              <w:jc w:val="right"/>
              <w:ind w:right="356"/>
              <w:spacing w:after="0"/>
              <w:rPr>
                <w:sz w:val="20"/>
                <w:szCs w:val="20"/>
                <w:color w:val="auto"/>
              </w:rPr>
            </w:pPr>
            <w:r>
              <w:rPr>
                <w:rFonts w:ascii="Arial" w:cs="Arial" w:eastAsia="Arial" w:hAnsi="Arial"/>
                <w:sz w:val="13"/>
                <w:szCs w:val="13"/>
                <w:b w:val="1"/>
                <w:bCs w:val="1"/>
                <w:color w:val="auto"/>
              </w:rPr>
              <w:t>59</w:t>
            </w: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rPr>
              <w:t>3,162</w:t>
            </w:r>
          </w:p>
        </w:tc>
        <w:tc>
          <w:tcPr>
            <w:tcW w:w="980" w:type="dxa"/>
            <w:vAlign w:val="bottom"/>
          </w:tcPr>
          <w:p>
            <w:pPr>
              <w:jc w:val="right"/>
              <w:spacing w:after="0"/>
              <w:rPr>
                <w:sz w:val="20"/>
                <w:szCs w:val="20"/>
                <w:color w:val="auto"/>
              </w:rPr>
            </w:pPr>
            <w:r>
              <w:rPr>
                <w:rFonts w:ascii="Arial" w:cs="Arial" w:eastAsia="Arial" w:hAnsi="Arial"/>
                <w:sz w:val="13"/>
                <w:szCs w:val="13"/>
                <w:color w:val="auto"/>
              </w:rPr>
              <w:t>3,405</w:t>
            </w:r>
          </w:p>
        </w:tc>
        <w:tc>
          <w:tcPr>
            <w:tcW w:w="1420" w:type="dxa"/>
            <w:vAlign w:val="bottom"/>
          </w:tcPr>
          <w:p>
            <w:pPr>
              <w:jc w:val="right"/>
              <w:ind w:right="356"/>
              <w:spacing w:after="0"/>
              <w:rPr>
                <w:sz w:val="20"/>
                <w:szCs w:val="20"/>
                <w:color w:val="auto"/>
              </w:rPr>
            </w:pPr>
            <w:r>
              <w:rPr>
                <w:rFonts w:ascii="Arial" w:cs="Arial" w:eastAsia="Arial" w:hAnsi="Arial"/>
                <w:sz w:val="13"/>
                <w:szCs w:val="13"/>
                <w:color w:val="auto"/>
              </w:rPr>
              <w:t>59</w:t>
            </w:r>
          </w:p>
        </w:tc>
        <w:tc>
          <w:tcPr>
            <w:tcW w:w="700" w:type="dxa"/>
            <w:vAlign w:val="bottom"/>
          </w:tcPr>
          <w:p>
            <w:pPr>
              <w:jc w:val="right"/>
              <w:spacing w:after="0"/>
              <w:rPr>
                <w:sz w:val="20"/>
                <w:szCs w:val="20"/>
                <w:color w:val="auto"/>
              </w:rPr>
            </w:pPr>
            <w:r>
              <w:rPr>
                <w:rFonts w:ascii="Arial" w:cs="Arial" w:eastAsia="Arial" w:hAnsi="Arial"/>
                <w:sz w:val="13"/>
                <w:szCs w:val="13"/>
                <w:color w:val="auto"/>
              </w:rPr>
              <w:t>3,464</w:t>
            </w:r>
          </w:p>
        </w:tc>
      </w:tr>
      <w:tr>
        <w:trPr>
          <w:trHeight w:val="170"/>
        </w:trPr>
        <w:tc>
          <w:tcPr>
            <w:tcW w:w="50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assurance fees: audit related fees </w:t>
            </w:r>
            <w:r>
              <w:rPr>
                <w:rFonts w:ascii="Arial" w:cs="Arial" w:eastAsia="Arial" w:hAnsi="Arial"/>
                <w:sz w:val="16"/>
                <w:szCs w:val="16"/>
                <w:color w:val="auto"/>
                <w:vertAlign w:val="superscript"/>
              </w:rPr>
              <w:t>(2)</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822</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180</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1,002</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137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127"/>
        </w:trPr>
        <w:tc>
          <w:tcPr>
            <w:tcW w:w="5000" w:type="dxa"/>
            <w:vAlign w:val="bottom"/>
          </w:tcPr>
          <w:p>
            <w:pPr>
              <w:ind w:left="20"/>
              <w:spacing w:after="0" w:line="128" w:lineRule="exact"/>
              <w:rPr>
                <w:sz w:val="20"/>
                <w:szCs w:val="20"/>
                <w:color w:val="auto"/>
              </w:rPr>
            </w:pPr>
            <w:r>
              <w:rPr>
                <w:rFonts w:ascii="Arial" w:cs="Arial" w:eastAsia="Arial" w:hAnsi="Arial"/>
                <w:sz w:val="13"/>
                <w:szCs w:val="13"/>
                <w:color w:val="auto"/>
              </w:rPr>
              <w:t>Other Non-audit fees: Tax compliance and the preparation of tax returns and refund</w:t>
            </w:r>
          </w:p>
        </w:tc>
        <w:tc>
          <w:tcPr>
            <w:tcW w:w="1100" w:type="dxa"/>
            <w:vAlign w:val="bottom"/>
          </w:tcPr>
          <w:p>
            <w:pPr>
              <w:jc w:val="right"/>
              <w:ind w:right="56"/>
              <w:spacing w:after="0" w:line="128" w:lineRule="exact"/>
              <w:rPr>
                <w:sz w:val="20"/>
                <w:szCs w:val="20"/>
                <w:color w:val="auto"/>
              </w:rPr>
            </w:pPr>
            <w:r>
              <w:rPr>
                <w:rFonts w:ascii="Arial" w:cs="Arial" w:eastAsia="Arial" w:hAnsi="Arial"/>
                <w:sz w:val="13"/>
                <w:szCs w:val="13"/>
                <w:b w:val="1"/>
                <w:bCs w:val="1"/>
                <w:color w:val="auto"/>
              </w:rPr>
              <w:t>404</w:t>
            </w:r>
          </w:p>
        </w:tc>
        <w:tc>
          <w:tcPr>
            <w:tcW w:w="1340" w:type="dxa"/>
            <w:vAlign w:val="bottom"/>
          </w:tcPr>
          <w:p>
            <w:pPr>
              <w:jc w:val="right"/>
              <w:ind w:right="356"/>
              <w:spacing w:after="0" w:line="128" w:lineRule="exact"/>
              <w:rPr>
                <w:sz w:val="20"/>
                <w:szCs w:val="20"/>
                <w:color w:val="auto"/>
              </w:rPr>
            </w:pPr>
            <w:r>
              <w:rPr>
                <w:rFonts w:ascii="Arial" w:cs="Arial" w:eastAsia="Arial" w:hAnsi="Arial"/>
                <w:sz w:val="13"/>
                <w:szCs w:val="13"/>
                <w:b w:val="1"/>
                <w:bCs w:val="1"/>
                <w:color w:val="auto"/>
              </w:rPr>
              <w:t>352</w:t>
            </w:r>
          </w:p>
        </w:tc>
        <w:tc>
          <w:tcPr>
            <w:tcW w:w="72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756</w:t>
            </w:r>
          </w:p>
        </w:tc>
        <w:tc>
          <w:tcPr>
            <w:tcW w:w="980" w:type="dxa"/>
            <w:vAlign w:val="bottom"/>
          </w:tcPr>
          <w:p>
            <w:pPr>
              <w:jc w:val="right"/>
              <w:spacing w:after="0" w:line="128" w:lineRule="exact"/>
              <w:rPr>
                <w:sz w:val="20"/>
                <w:szCs w:val="20"/>
                <w:color w:val="auto"/>
              </w:rPr>
            </w:pPr>
            <w:r>
              <w:rPr>
                <w:rFonts w:ascii="Arial" w:cs="Arial" w:eastAsia="Arial" w:hAnsi="Arial"/>
                <w:sz w:val="13"/>
                <w:szCs w:val="13"/>
                <w:color w:val="auto"/>
              </w:rPr>
              <w:t>495</w:t>
            </w:r>
          </w:p>
        </w:tc>
        <w:tc>
          <w:tcPr>
            <w:tcW w:w="1420" w:type="dxa"/>
            <w:vAlign w:val="bottom"/>
          </w:tcPr>
          <w:p>
            <w:pPr>
              <w:jc w:val="right"/>
              <w:ind w:right="356"/>
              <w:spacing w:after="0" w:line="128" w:lineRule="exact"/>
              <w:rPr>
                <w:sz w:val="20"/>
                <w:szCs w:val="20"/>
                <w:color w:val="auto"/>
              </w:rPr>
            </w:pPr>
            <w:r>
              <w:rPr>
                <w:rFonts w:ascii="Arial" w:cs="Arial" w:eastAsia="Arial" w:hAnsi="Arial"/>
                <w:sz w:val="13"/>
                <w:szCs w:val="13"/>
                <w:color w:val="auto"/>
              </w:rPr>
              <w:t>436</w:t>
            </w: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931</w:t>
            </w:r>
          </w:p>
        </w:tc>
      </w:tr>
      <w:tr>
        <w:trPr>
          <w:trHeight w:val="16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claims</w:t>
            </w:r>
          </w:p>
        </w:tc>
        <w:tc>
          <w:tcPr>
            <w:tcW w:w="1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2"/>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audit, audit related and tax compliance fees</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4,329</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591</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4,920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4,217</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632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4,849</w:t>
            </w:r>
          </w:p>
        </w:tc>
      </w:tr>
      <w:tr>
        <w:trPr>
          <w:trHeight w:val="202"/>
        </w:trPr>
        <w:tc>
          <w:tcPr>
            <w:tcW w:w="5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0"/>
        </w:trPr>
        <w:tc>
          <w:tcPr>
            <w:tcW w:w="50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tax planning and consulting services </w:t>
            </w:r>
            <w:r>
              <w:rPr>
                <w:rFonts w:ascii="Arial" w:cs="Arial" w:eastAsia="Arial" w:hAnsi="Arial"/>
                <w:sz w:val="16"/>
                <w:szCs w:val="16"/>
                <w:color w:val="auto"/>
                <w:vertAlign w:val="superscript"/>
              </w:rPr>
              <w:t>(3)</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2,094</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2,114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70"/>
        </w:trPr>
        <w:tc>
          <w:tcPr>
            <w:tcW w:w="50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Tax advice relating to integration of ICON and PRA </w:t>
            </w:r>
            <w:r>
              <w:rPr>
                <w:rFonts w:ascii="Arial" w:cs="Arial" w:eastAsia="Arial" w:hAnsi="Arial"/>
                <w:sz w:val="16"/>
                <w:szCs w:val="16"/>
                <w:color w:val="auto"/>
                <w:vertAlign w:val="superscript"/>
              </w:rPr>
              <w:t>(4)</w:t>
            </w:r>
          </w:p>
        </w:tc>
        <w:tc>
          <w:tcPr>
            <w:tcW w:w="1100" w:type="dxa"/>
            <w:vAlign w:val="bottom"/>
          </w:tcPr>
          <w:p>
            <w:pPr>
              <w:jc w:val="right"/>
              <w:ind w:right="56"/>
              <w:spacing w:after="0"/>
              <w:rPr>
                <w:sz w:val="20"/>
                <w:szCs w:val="20"/>
                <w:color w:val="auto"/>
              </w:rPr>
            </w:pPr>
            <w:r>
              <w:rPr>
                <w:rFonts w:ascii="Arial" w:cs="Arial" w:eastAsia="Arial" w:hAnsi="Arial"/>
                <w:sz w:val="13"/>
                <w:szCs w:val="13"/>
                <w:b w:val="1"/>
                <w:bCs w:val="1"/>
                <w:color w:val="auto"/>
              </w:rPr>
              <w:t>1,036</w:t>
            </w:r>
          </w:p>
        </w:tc>
        <w:tc>
          <w:tcPr>
            <w:tcW w:w="1340" w:type="dxa"/>
            <w:vAlign w:val="bottom"/>
          </w:tcPr>
          <w:p>
            <w:pPr>
              <w:jc w:val="right"/>
              <w:ind w:right="356"/>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rPr>
              <w:t>1,036</w:t>
            </w:r>
          </w:p>
        </w:tc>
        <w:tc>
          <w:tcPr>
            <w:tcW w:w="980" w:type="dxa"/>
            <w:vAlign w:val="bottom"/>
          </w:tcPr>
          <w:p>
            <w:pPr>
              <w:jc w:val="right"/>
              <w:spacing w:after="0"/>
              <w:rPr>
                <w:sz w:val="20"/>
                <w:szCs w:val="20"/>
                <w:color w:val="auto"/>
              </w:rPr>
            </w:pPr>
            <w:r>
              <w:rPr>
                <w:rFonts w:ascii="Arial" w:cs="Arial" w:eastAsia="Arial" w:hAnsi="Arial"/>
                <w:sz w:val="13"/>
                <w:szCs w:val="13"/>
                <w:color w:val="auto"/>
              </w:rPr>
              <w:t>897</w:t>
            </w:r>
          </w:p>
        </w:tc>
        <w:tc>
          <w:tcPr>
            <w:tcW w:w="14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897</w:t>
            </w:r>
          </w:p>
        </w:tc>
      </w:tr>
      <w:tr>
        <w:trPr>
          <w:trHeight w:val="170"/>
        </w:trPr>
        <w:tc>
          <w:tcPr>
            <w:tcW w:w="500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fees </w:t>
            </w:r>
            <w:r>
              <w:rPr>
                <w:rFonts w:ascii="Arial" w:cs="Arial" w:eastAsia="Arial" w:hAnsi="Arial"/>
                <w:sz w:val="16"/>
                <w:szCs w:val="16"/>
                <w:color w:val="auto"/>
                <w:vertAlign w:val="superscript"/>
              </w:rPr>
              <w:t>(5)</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193</w:t>
            </w:r>
          </w:p>
        </w:tc>
        <w:tc>
          <w:tcPr>
            <w:tcW w:w="13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000" w:type="dxa"/>
            <w:vAlign w:val="bottom"/>
          </w:tcPr>
          <w:p>
            <w:pPr>
              <w:ind w:left="20"/>
              <w:spacing w:after="0"/>
              <w:rPr>
                <w:sz w:val="20"/>
                <w:szCs w:val="20"/>
                <w:color w:val="auto"/>
              </w:rPr>
            </w:pPr>
            <w:r>
              <w:rPr>
                <w:rFonts w:ascii="Arial" w:cs="Arial" w:eastAsia="Arial" w:hAnsi="Arial"/>
                <w:sz w:val="13"/>
                <w:szCs w:val="13"/>
                <w:b w:val="1"/>
                <w:bCs w:val="1"/>
                <w:color w:val="auto"/>
              </w:rPr>
              <w:t>Total non-audit service fee / tax advisory fees</w:t>
            </w:r>
          </w:p>
        </w:tc>
        <w:tc>
          <w:tcPr>
            <w:tcW w:w="1100" w:type="dxa"/>
            <w:vAlign w:val="bottom"/>
          </w:tcPr>
          <w:p>
            <w:pPr>
              <w:jc w:val="right"/>
              <w:ind w:right="56"/>
              <w:spacing w:after="0"/>
              <w:rPr>
                <w:sz w:val="20"/>
                <w:szCs w:val="20"/>
                <w:color w:val="auto"/>
              </w:rPr>
            </w:pPr>
            <w:r>
              <w:rPr>
                <w:rFonts w:ascii="Arial" w:cs="Arial" w:eastAsia="Arial" w:hAnsi="Arial"/>
                <w:sz w:val="13"/>
                <w:szCs w:val="13"/>
                <w:b w:val="1"/>
                <w:bCs w:val="1"/>
                <w:color w:val="auto"/>
              </w:rPr>
              <w:t>3,323</w:t>
            </w:r>
          </w:p>
        </w:tc>
        <w:tc>
          <w:tcPr>
            <w:tcW w:w="1340" w:type="dxa"/>
            <w:vAlign w:val="bottom"/>
          </w:tcPr>
          <w:p>
            <w:pPr>
              <w:jc w:val="right"/>
              <w:ind w:right="356"/>
              <w:spacing w:after="0"/>
              <w:rPr>
                <w:sz w:val="20"/>
                <w:szCs w:val="20"/>
                <w:color w:val="auto"/>
              </w:rPr>
            </w:pPr>
            <w:r>
              <w:rPr>
                <w:rFonts w:ascii="Arial" w:cs="Arial" w:eastAsia="Arial" w:hAnsi="Arial"/>
                <w:sz w:val="13"/>
                <w:szCs w:val="13"/>
                <w:b w:val="1"/>
                <w:bCs w:val="1"/>
                <w:color w:val="auto"/>
              </w:rPr>
              <w:t>20</w:t>
            </w: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rPr>
              <w:t>3,343</w:t>
            </w:r>
          </w:p>
        </w:tc>
        <w:tc>
          <w:tcPr>
            <w:tcW w:w="980" w:type="dxa"/>
            <w:vAlign w:val="bottom"/>
          </w:tcPr>
          <w:p>
            <w:pPr>
              <w:jc w:val="right"/>
              <w:spacing w:after="0"/>
              <w:rPr>
                <w:sz w:val="20"/>
                <w:szCs w:val="20"/>
                <w:color w:val="auto"/>
              </w:rPr>
            </w:pPr>
            <w:r>
              <w:rPr>
                <w:rFonts w:ascii="Arial" w:cs="Arial" w:eastAsia="Arial" w:hAnsi="Arial"/>
                <w:sz w:val="13"/>
                <w:szCs w:val="13"/>
                <w:color w:val="auto"/>
              </w:rPr>
              <w:t>1,146</w:t>
            </w:r>
          </w:p>
        </w:tc>
        <w:tc>
          <w:tcPr>
            <w:tcW w:w="14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1,146</w:t>
            </w:r>
          </w:p>
        </w:tc>
      </w:tr>
      <w:tr>
        <w:trPr>
          <w:trHeight w:val="202"/>
        </w:trPr>
        <w:tc>
          <w:tcPr>
            <w:tcW w:w="50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fees</w:t>
            </w: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7,652</w:t>
            </w: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611</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8,263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5,363</w:t>
            </w: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632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5,995</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260" w:hanging="191"/>
        <w:spacing w:after="0"/>
        <w:tabs>
          <w:tab w:leader="none" w:pos="260" w:val="left"/>
        </w:tabs>
        <w:numPr>
          <w:ilvl w:val="0"/>
          <w:numId w:val="5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fees include annual audit and quarterly review fees for ICON Plc.</w:t>
      </w:r>
    </w:p>
    <w:p>
      <w:pPr>
        <w:ind w:left="260" w:hanging="191"/>
        <w:spacing w:after="0" w:line="205" w:lineRule="auto"/>
        <w:tabs>
          <w:tab w:leader="none" w:pos="255" w:val="left"/>
        </w:tabs>
        <w:numPr>
          <w:ilvl w:val="0"/>
          <w:numId w:val="5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related fees principally consist of fees for assurance and related services, such as financial due diligence services, fees for the audit of employee benefit plans, fees for pension reviews and audit fees of Company subsidiaries and services provided in connection with statutory and regulatory filings.</w:t>
      </w:r>
    </w:p>
    <w:p>
      <w:pPr>
        <w:ind w:left="260" w:hanging="191"/>
        <w:spacing w:after="0" w:line="205" w:lineRule="auto"/>
        <w:tabs>
          <w:tab w:leader="none" w:pos="260" w:val="left"/>
        </w:tabs>
        <w:numPr>
          <w:ilvl w:val="0"/>
          <w:numId w:val="52"/>
        </w:numPr>
        <w:rPr>
          <w:rFonts w:ascii="Arial" w:cs="Arial" w:eastAsia="Arial" w:hAnsi="Arial"/>
          <w:sz w:val="14"/>
          <w:szCs w:val="14"/>
          <w:i w:val="1"/>
          <w:iCs w:val="1"/>
          <w:color w:val="auto"/>
          <w:vertAlign w:val="superscript"/>
        </w:rPr>
      </w:pPr>
      <w:r>
        <w:rPr>
          <w:rFonts w:ascii="Arial" w:cs="Arial" w:eastAsia="Arial" w:hAnsi="Arial"/>
          <w:sz w:val="10"/>
          <w:szCs w:val="10"/>
          <w:i w:val="1"/>
          <w:iCs w:val="1"/>
          <w:color w:val="auto"/>
        </w:rPr>
        <w:t>Other tax planning and consulting services represents services across a number of areas including in relation to the Group's financing facilities and other ad hoc tax advisory and planning.</w:t>
      </w:r>
    </w:p>
    <w:p>
      <w:pPr>
        <w:ind w:left="260" w:hanging="191"/>
        <w:spacing w:after="0" w:line="189" w:lineRule="auto"/>
        <w:tabs>
          <w:tab w:leader="none" w:pos="260" w:val="left"/>
        </w:tabs>
        <w:numPr>
          <w:ilvl w:val="0"/>
          <w:numId w:val="52"/>
        </w:numPr>
        <w:rPr>
          <w:rFonts w:ascii="Arial" w:cs="Arial" w:eastAsia="Arial" w:hAnsi="Arial"/>
          <w:sz w:val="14"/>
          <w:szCs w:val="14"/>
          <w:i w:val="1"/>
          <w:iCs w:val="1"/>
          <w:color w:val="auto"/>
          <w:vertAlign w:val="superscript"/>
        </w:rPr>
      </w:pPr>
      <w:r>
        <w:rPr>
          <w:rFonts w:ascii="Arial" w:cs="Arial" w:eastAsia="Arial" w:hAnsi="Arial"/>
          <w:sz w:val="10"/>
          <w:szCs w:val="10"/>
          <w:i w:val="1"/>
          <w:iCs w:val="1"/>
          <w:color w:val="auto"/>
        </w:rPr>
        <w:t>Tax advice relating to the integration of ICON and PRA including integration of business activities and the elimination of legal entities.</w:t>
      </w:r>
    </w:p>
    <w:p>
      <w:pPr>
        <w:ind w:left="260" w:hanging="191"/>
        <w:spacing w:after="0" w:line="205" w:lineRule="auto"/>
        <w:tabs>
          <w:tab w:leader="none" w:pos="255" w:val="left"/>
        </w:tabs>
        <w:numPr>
          <w:ilvl w:val="0"/>
          <w:numId w:val="5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Other fees primarily consist of permissible services in relation to environment, social and governance reporting advice. There were no other fees billed to the Company in the "other fees" category during the year ended 31 December 2023.</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pre-approves all audit and non-audit services provided to the Company by its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80"/>
          </w:cols>
          <w:pgMar w:left="300" w:top="698"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b w:val="1"/>
          <w:bCs w:val="1"/>
          <w:color w:val="auto"/>
        </w:rPr>
        <w:t>Profit before taxation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Depreciation and amortisation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980" w:type="dxa"/>
            <w:vAlign w:val="bottom"/>
            <w:shd w:val="clear" w:color="auto" w:fill="CCEEFF"/>
          </w:tcPr>
          <w:p>
            <w:pPr>
              <w:spacing w:after="0"/>
              <w:rPr>
                <w:sz w:val="13"/>
                <w:szCs w:val="13"/>
                <w:color w:val="auto"/>
              </w:rPr>
            </w:pPr>
          </w:p>
        </w:tc>
        <w:tc>
          <w:tcPr>
            <w:tcW w:w="40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14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598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0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$’000</w:t>
            </w:r>
          </w:p>
        </w:tc>
      </w:tr>
      <w:tr>
        <w:trPr>
          <w:trHeight w:val="170"/>
        </w:trPr>
        <w:tc>
          <w:tcPr>
            <w:tcW w:w="40" w:type="dxa"/>
            <w:vAlign w:val="bottom"/>
          </w:tcPr>
          <w:p>
            <w:pPr>
              <w:spacing w:after="0"/>
              <w:rPr>
                <w:sz w:val="14"/>
                <w:szCs w:val="14"/>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property, plant and equipment (note 12)</w:t>
            </w:r>
          </w:p>
        </w:tc>
        <w:tc>
          <w:tcPr>
            <w:tcW w:w="40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44,878</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48,158</w:t>
            </w:r>
          </w:p>
        </w:tc>
        <w:tc>
          <w:tcPr>
            <w:tcW w:w="140" w:type="dxa"/>
            <w:vAlign w:val="bottom"/>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5980" w:type="dxa"/>
            <w:vAlign w:val="bottom"/>
          </w:tcPr>
          <w:p>
            <w:pPr>
              <w:ind w:left="20"/>
              <w:spacing w:after="0"/>
              <w:rPr>
                <w:sz w:val="20"/>
                <w:szCs w:val="20"/>
                <w:color w:val="auto"/>
              </w:rPr>
            </w:pPr>
            <w:r>
              <w:rPr>
                <w:rFonts w:ascii="Arial" w:cs="Arial" w:eastAsia="Arial" w:hAnsi="Arial"/>
                <w:sz w:val="13"/>
                <w:szCs w:val="13"/>
                <w:color w:val="auto"/>
              </w:rPr>
              <w:t>Depreciation of right-of-use assets (note 25)</w:t>
            </w:r>
          </w:p>
        </w:tc>
        <w:tc>
          <w:tcPr>
            <w:tcW w:w="4040" w:type="dxa"/>
            <w:vAlign w:val="bottom"/>
          </w:tcPr>
          <w:p>
            <w:pPr>
              <w:jc w:val="right"/>
              <w:ind w:right="396"/>
              <w:spacing w:after="0"/>
              <w:rPr>
                <w:sz w:val="20"/>
                <w:szCs w:val="20"/>
                <w:color w:val="auto"/>
              </w:rPr>
            </w:pPr>
            <w:r>
              <w:rPr>
                <w:rFonts w:ascii="Arial" w:cs="Arial" w:eastAsia="Arial" w:hAnsi="Arial"/>
                <w:sz w:val="13"/>
                <w:szCs w:val="13"/>
                <w:b w:val="1"/>
                <w:bCs w:val="1"/>
                <w:color w:val="auto"/>
              </w:rPr>
              <w:t>41,014</w:t>
            </w:r>
          </w:p>
        </w:tc>
        <w:tc>
          <w:tcPr>
            <w:tcW w:w="1060" w:type="dxa"/>
            <w:vAlign w:val="bottom"/>
          </w:tcPr>
          <w:p>
            <w:pPr>
              <w:jc w:val="right"/>
              <w:spacing w:after="0"/>
              <w:rPr>
                <w:sz w:val="20"/>
                <w:szCs w:val="20"/>
                <w:color w:val="auto"/>
              </w:rPr>
            </w:pPr>
            <w:r>
              <w:rPr>
                <w:rFonts w:ascii="Arial" w:cs="Arial" w:eastAsia="Arial" w:hAnsi="Arial"/>
                <w:sz w:val="13"/>
                <w:szCs w:val="13"/>
                <w:color w:val="auto"/>
              </w:rPr>
              <w:t>41,982</w:t>
            </w:r>
          </w:p>
        </w:tc>
        <w:tc>
          <w:tcPr>
            <w:tcW w:w="140" w:type="dxa"/>
            <w:vAlign w:val="bottom"/>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 (note 13)</w:t>
            </w:r>
          </w:p>
        </w:tc>
        <w:tc>
          <w:tcPr>
            <w:tcW w:w="40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443,622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537,792</w:t>
            </w:r>
          </w:p>
        </w:tc>
        <w:tc>
          <w:tcPr>
            <w:tcW w:w="1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40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529,514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627,932</w:t>
            </w:r>
          </w:p>
        </w:tc>
        <w:tc>
          <w:tcPr>
            <w:tcW w:w="1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3"/>
                <w:szCs w:val="13"/>
                <w:i w:val="1"/>
                <w:iCs w:val="1"/>
                <w:color w:val="auto"/>
              </w:rPr>
              <w:t>Directors’ remuneration</w:t>
            </w:r>
          </w:p>
        </w:tc>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7"/>
        </w:trPr>
        <w:tc>
          <w:tcPr>
            <w:tcW w:w="40" w:type="dxa"/>
            <w:vAlign w:val="bottom"/>
          </w:tcPr>
          <w:p>
            <w:pPr>
              <w:spacing w:after="0"/>
              <w:rPr>
                <w:sz w:val="7"/>
                <w:szCs w:val="7"/>
                <w:color w:val="auto"/>
              </w:rPr>
            </w:pPr>
          </w:p>
        </w:tc>
        <w:tc>
          <w:tcPr>
            <w:tcW w:w="598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r>
      <w:tr>
        <w:trPr>
          <w:trHeight w:val="127"/>
        </w:trPr>
        <w:tc>
          <w:tcPr>
            <w:tcW w:w="40" w:type="dxa"/>
            <w:vAlign w:val="bottom"/>
            <w:shd w:val="clear" w:color="auto" w:fill="CCEEFF"/>
          </w:tcPr>
          <w:p>
            <w:pPr>
              <w:spacing w:after="0"/>
              <w:rPr>
                <w:sz w:val="11"/>
                <w:szCs w:val="11"/>
                <w:color w:val="auto"/>
              </w:rPr>
            </w:pPr>
          </w:p>
        </w:tc>
        <w:tc>
          <w:tcPr>
            <w:tcW w:w="5980" w:type="dxa"/>
            <w:vAlign w:val="bottom"/>
            <w:shd w:val="clear" w:color="auto" w:fill="CCEEFF"/>
          </w:tcPr>
          <w:p>
            <w:pPr>
              <w:spacing w:after="0"/>
              <w:rPr>
                <w:sz w:val="11"/>
                <w:szCs w:val="11"/>
                <w:color w:val="auto"/>
              </w:rPr>
            </w:pPr>
          </w:p>
        </w:tc>
        <w:tc>
          <w:tcPr>
            <w:tcW w:w="404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31 December</w:t>
            </w:r>
          </w:p>
        </w:tc>
        <w:tc>
          <w:tcPr>
            <w:tcW w:w="120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40" w:type="dxa"/>
            <w:vAlign w:val="bottom"/>
            <w:tcBorders>
              <w:bottom w:val="single" w:sz="8" w:color="auto"/>
            </w:tcBorders>
            <w:shd w:val="clear" w:color="auto" w:fill="CCEEFF"/>
          </w:tcPr>
          <w:p>
            <w:pPr>
              <w:spacing w:after="0"/>
              <w:rPr>
                <w:sz w:val="14"/>
                <w:szCs w:val="14"/>
                <w:color w:val="auto"/>
              </w:rPr>
            </w:pPr>
          </w:p>
        </w:tc>
        <w:tc>
          <w:tcPr>
            <w:tcW w:w="598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04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2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Emoluments</w:t>
            </w:r>
          </w:p>
        </w:tc>
        <w:tc>
          <w:tcPr>
            <w:tcW w:w="40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2,433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3,532</w:t>
            </w:r>
          </w:p>
        </w:tc>
      </w:tr>
      <w:tr>
        <w:trPr>
          <w:trHeight w:val="170"/>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040" w:type="dxa"/>
            <w:vAlign w:val="bottom"/>
          </w:tcPr>
          <w:p>
            <w:pPr>
              <w:jc w:val="right"/>
              <w:ind w:right="236"/>
              <w:spacing w:after="0"/>
              <w:rPr>
                <w:sz w:val="20"/>
                <w:szCs w:val="20"/>
                <w:color w:val="auto"/>
              </w:rPr>
            </w:pPr>
            <w:r>
              <w:rPr>
                <w:rFonts w:ascii="Arial" w:cs="Arial" w:eastAsia="Arial" w:hAnsi="Arial"/>
                <w:sz w:val="13"/>
                <w:szCs w:val="13"/>
                <w:b w:val="1"/>
                <w:bCs w:val="1"/>
                <w:color w:val="auto"/>
              </w:rPr>
              <w:t>2,807</w:t>
            </w:r>
          </w:p>
        </w:tc>
        <w:tc>
          <w:tcPr>
            <w:tcW w:w="1200" w:type="dxa"/>
            <w:vAlign w:val="bottom"/>
            <w:gridSpan w:val="2"/>
          </w:tcPr>
          <w:p>
            <w:pPr>
              <w:jc w:val="right"/>
              <w:ind w:right="20"/>
              <w:spacing w:after="0"/>
              <w:rPr>
                <w:sz w:val="20"/>
                <w:szCs w:val="20"/>
                <w:color w:val="auto"/>
              </w:rPr>
            </w:pPr>
            <w:r>
              <w:rPr>
                <w:rFonts w:ascii="Arial" w:cs="Arial" w:eastAsia="Arial" w:hAnsi="Arial"/>
                <w:sz w:val="13"/>
                <w:szCs w:val="13"/>
                <w:color w:val="auto"/>
              </w:rPr>
              <w:t>5,304</w:t>
            </w:r>
          </w:p>
        </w:tc>
      </w:tr>
      <w:tr>
        <w:trPr>
          <w:trHeight w:val="1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 on exercise of share options</w:t>
            </w:r>
          </w:p>
        </w:tc>
        <w:tc>
          <w:tcPr>
            <w:tcW w:w="40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4,873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13,009</w:t>
            </w:r>
          </w:p>
        </w:tc>
      </w:tr>
      <w:tr>
        <w:trPr>
          <w:trHeight w:val="170"/>
        </w:trPr>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130</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125</w:t>
            </w:r>
          </w:p>
        </w:tc>
      </w:tr>
    </w:tbl>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Directors' remuneration disclosures as required by Section 305 of the Companies Act are set out above. Retirement benefits accrue to one Director (2023: one Director) under a defined contribution scheme. Further details regarding Directors’ shareholdings, share options and compensation are shown in </w:t>
      </w:r>
      <w:r>
        <w:rPr>
          <w:rFonts w:ascii="Arial" w:cs="Arial" w:eastAsia="Arial" w:hAnsi="Arial"/>
          <w:sz w:val="13"/>
          <w:szCs w:val="13"/>
          <w:i w:val="1"/>
          <w:iCs w:val="1"/>
          <w:color w:val="auto"/>
        </w:rPr>
        <w:t>note 10 – Payroll and related benefits.</w:t>
      </w:r>
      <w:r>
        <w:rPr>
          <w:rFonts w:ascii="Arial" w:cs="Arial" w:eastAsia="Arial" w:hAnsi="Arial"/>
          <w:sz w:val="13"/>
          <w:szCs w:val="13"/>
          <w:color w:val="auto"/>
        </w:rPr>
        <w:t xml:space="preserve"> 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Share-Based Payments</w:t>
      </w:r>
      <w:r>
        <w:rPr>
          <w:rFonts w:ascii="Arial" w:cs="Arial" w:eastAsia="Arial" w:hAnsi="Arial"/>
          <w:sz w:val="13"/>
          <w:szCs w:val="13"/>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80"/>
          </w:cols>
          <w:pgMar w:left="300" w:top="698"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Income tax expense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2024 and 2023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140" w:type="dxa"/>
            <w:vAlign w:val="bottom"/>
            <w:tcBorders>
              <w:bottom w:val="single" w:sz="8" w:color="auto"/>
            </w:tcBorders>
            <w:shd w:val="clear" w:color="auto" w:fill="CCEEFF"/>
          </w:tcPr>
          <w:p>
            <w:pPr>
              <w:spacing w:after="0"/>
              <w:rPr>
                <w:sz w:val="14"/>
                <w:szCs w:val="14"/>
                <w:color w:val="auto"/>
              </w:rPr>
            </w:pPr>
          </w:p>
        </w:tc>
        <w:tc>
          <w:tcPr>
            <w:tcW w:w="620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1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8"/>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118,255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80,427</w:t>
            </w:r>
          </w:p>
        </w:tc>
      </w:tr>
      <w:tr>
        <w:trPr>
          <w:trHeight w:val="178"/>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0" w:type="dxa"/>
            <w:vAlign w:val="bottom"/>
          </w:tcPr>
          <w:p>
            <w:pPr>
              <w:ind w:left="60"/>
              <w:spacing w:after="0"/>
              <w:rPr>
                <w:sz w:val="20"/>
                <w:szCs w:val="20"/>
                <w:color w:val="auto"/>
              </w:rPr>
            </w:pPr>
            <w:r>
              <w:rPr>
                <w:rFonts w:ascii="Arial" w:cs="Arial" w:eastAsia="Arial" w:hAnsi="Arial"/>
                <w:sz w:val="13"/>
                <w:szCs w:val="13"/>
                <w:color w:val="auto"/>
              </w:rPr>
              <w:t>Other</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53,424</w:t>
            </w:r>
          </w:p>
        </w:tc>
        <w:tc>
          <w:tcPr>
            <w:tcW w:w="1140" w:type="dxa"/>
            <w:vAlign w:val="bottom"/>
          </w:tcPr>
          <w:p>
            <w:pPr>
              <w:jc w:val="right"/>
              <w:spacing w:after="0"/>
              <w:rPr>
                <w:sz w:val="20"/>
                <w:szCs w:val="20"/>
                <w:color w:val="auto"/>
              </w:rPr>
            </w:pPr>
            <w:r>
              <w:rPr>
                <w:rFonts w:ascii="Arial" w:cs="Arial" w:eastAsia="Arial" w:hAnsi="Arial"/>
                <w:sz w:val="13"/>
                <w:szCs w:val="13"/>
                <w:color w:val="auto"/>
              </w:rPr>
              <w:t>16,112</w:t>
            </w:r>
          </w:p>
        </w:tc>
      </w:tr>
      <w:tr>
        <w:trPr>
          <w:trHeight w:val="24"/>
        </w:trPr>
        <w:tc>
          <w:tcPr>
            <w:tcW w:w="14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171,679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96,539</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credit</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38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(88,358)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(67,209)</w:t>
            </w:r>
          </w:p>
        </w:tc>
      </w:tr>
      <w:tr>
        <w:trPr>
          <w:trHeight w:val="202"/>
        </w:trPr>
        <w:tc>
          <w:tcPr>
            <w:tcW w:w="634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Under / (over) provided in prior years</w:t>
            </w:r>
          </w:p>
        </w:tc>
        <w:tc>
          <w:tcPr>
            <w:tcW w:w="3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10,169</w:t>
            </w:r>
          </w:p>
        </w:tc>
        <w:tc>
          <w:tcPr>
            <w:tcW w:w="1140" w:type="dxa"/>
            <w:vAlign w:val="bottom"/>
          </w:tcPr>
          <w:p>
            <w:pPr>
              <w:jc w:val="right"/>
              <w:spacing w:after="0"/>
              <w:rPr>
                <w:sz w:val="20"/>
                <w:szCs w:val="20"/>
                <w:color w:val="auto"/>
              </w:rPr>
            </w:pPr>
            <w:r>
              <w:rPr>
                <w:rFonts w:ascii="Arial" w:cs="Arial" w:eastAsia="Arial" w:hAnsi="Arial"/>
                <w:sz w:val="13"/>
                <w:szCs w:val="13"/>
                <w:color w:val="auto"/>
              </w:rPr>
              <w:t>4,936</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38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(4,937)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(15,639)</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Under / (over) provided in prior years</w:t>
            </w:r>
          </w:p>
        </w:tc>
        <w:tc>
          <w:tcPr>
            <w:tcW w:w="38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5,232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(10,703)</w:t>
            </w:r>
          </w:p>
        </w:tc>
      </w:tr>
      <w:tr>
        <w:trPr>
          <w:trHeight w:val="16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3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88,553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18,627</w:t>
            </w:r>
          </w:p>
        </w:tc>
      </w:tr>
      <w:tr>
        <w:trPr>
          <w:trHeight w:val="107"/>
        </w:trPr>
        <w:tc>
          <w:tcPr>
            <w:tcW w:w="1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13,971</w:t>
            </w:r>
          </w:p>
        </w:tc>
        <w:tc>
          <w:tcPr>
            <w:tcW w:w="1140" w:type="dxa"/>
            <w:vAlign w:val="bottom"/>
          </w:tcPr>
          <w:p>
            <w:pPr>
              <w:jc w:val="right"/>
              <w:spacing w:after="0"/>
              <w:rPr>
                <w:sz w:val="20"/>
                <w:szCs w:val="20"/>
                <w:color w:val="auto"/>
              </w:rPr>
            </w:pPr>
            <w:r>
              <w:rPr>
                <w:rFonts w:ascii="Arial" w:cs="Arial" w:eastAsia="Arial" w:hAnsi="Arial"/>
                <w:sz w:val="13"/>
                <w:szCs w:val="13"/>
                <w:color w:val="auto"/>
              </w:rPr>
              <w:t>(13,045)</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38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(3,596)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(4,323)</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38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10,375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(17,368)</w:t>
            </w:r>
          </w:p>
        </w:tc>
      </w:tr>
      <w:tr>
        <w:trPr>
          <w:trHeight w:val="107"/>
        </w:trPr>
        <w:tc>
          <w:tcPr>
            <w:tcW w:w="140" w:type="dxa"/>
            <w:vAlign w:val="bottom"/>
            <w:shd w:val="clear" w:color="auto" w:fill="CCEEFF"/>
          </w:tcPr>
          <w:p>
            <w:pPr>
              <w:spacing w:after="0"/>
              <w:rPr>
                <w:sz w:val="9"/>
                <w:szCs w:val="9"/>
                <w:color w:val="auto"/>
              </w:rPr>
            </w:pPr>
          </w:p>
        </w:tc>
        <w:tc>
          <w:tcPr>
            <w:tcW w:w="6200" w:type="dxa"/>
            <w:vAlign w:val="bottom"/>
            <w:shd w:val="clear" w:color="auto" w:fill="CCEEFF"/>
          </w:tcPr>
          <w:p>
            <w:pPr>
              <w:spacing w:after="0"/>
              <w:rPr>
                <w:sz w:val="9"/>
                <w:szCs w:val="9"/>
                <w:color w:val="auto"/>
              </w:rPr>
            </w:pPr>
          </w:p>
        </w:tc>
        <w:tc>
          <w:tcPr>
            <w:tcW w:w="38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Fair value of cash flow hedge</w:t>
            </w: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1,728</w:t>
            </w:r>
          </w:p>
        </w:tc>
        <w:tc>
          <w:tcPr>
            <w:tcW w:w="1140" w:type="dxa"/>
            <w:vAlign w:val="bottom"/>
          </w:tcPr>
          <w:p>
            <w:pPr>
              <w:jc w:val="right"/>
              <w:spacing w:after="0"/>
              <w:rPr>
                <w:sz w:val="20"/>
                <w:szCs w:val="20"/>
                <w:color w:val="auto"/>
              </w:rPr>
            </w:pPr>
            <w:r>
              <w:rPr>
                <w:rFonts w:ascii="Arial" w:cs="Arial" w:eastAsia="Arial" w:hAnsi="Arial"/>
                <w:sz w:val="13"/>
                <w:szCs w:val="13"/>
                <w:color w:val="auto"/>
              </w:rPr>
              <w:t>(3,903)</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Tax impact of pension contributions</w:t>
            </w:r>
          </w:p>
        </w:tc>
        <w:tc>
          <w:tcPr>
            <w:tcW w:w="3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(895)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3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1,480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total tax expense of $88.6 million and $18.6 million for the years ended 31 December 2024 and 31 December 2023 respectively, reflects tax at standard rates on taxable profits in the jurisdictions in which the Group operates, foreign withholding tax and the availability of tax losses.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deferred tax credit of $88.4 million for the year ended 31 December 2024 and the deferred tax credit of $67.2 million for the year ended 31 December 2023, is mainly driven by an increase in Net Operating Loss carry forwards, the timing of tax deductions available relating to the Group’s share-based compensation schemes, the timing of certain intangible asset amortisation primarily on US acquisitions and the temporary differences associated with investments in foreign subsidiaries where the Company does not consider the earnings to be indefinitely reinvested.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80"/>
          </w:cols>
          <w:pgMar w:left="300" w:top="698"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shd w:val="clear" w:color="auto" w:fill="CCEEFF"/>
          </w:tcPr>
          <w:p>
            <w:pPr>
              <w:spacing w:after="0"/>
              <w:rPr>
                <w:sz w:val="13"/>
                <w:szCs w:val="13"/>
                <w:color w:val="auto"/>
              </w:rPr>
            </w:pPr>
          </w:p>
        </w:tc>
        <w:tc>
          <w:tcPr>
            <w:tcW w:w="48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300" w:type="dxa"/>
            <w:vAlign w:val="bottom"/>
          </w:tcPr>
          <w:p>
            <w:pPr>
              <w:spacing w:after="0"/>
              <w:rPr>
                <w:sz w:val="13"/>
                <w:szCs w:val="13"/>
                <w:color w:val="auto"/>
              </w:rPr>
            </w:pPr>
          </w:p>
        </w:tc>
        <w:tc>
          <w:tcPr>
            <w:tcW w:w="48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before tax</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867,978</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627,651</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Irish standard tax rate</w:t>
            </w:r>
          </w:p>
        </w:tc>
        <w:tc>
          <w:tcPr>
            <w:tcW w:w="48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12.5 %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Taxes at Irish standard tax rate</w:t>
            </w:r>
          </w:p>
        </w:tc>
        <w:tc>
          <w:tcPr>
            <w:tcW w:w="48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108,497</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78,456</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8"/>
        </w:trPr>
        <w:tc>
          <w:tcPr>
            <w:tcW w:w="5300" w:type="dxa"/>
            <w:vAlign w:val="bottom"/>
          </w:tcPr>
          <w:p>
            <w:pPr>
              <w:ind w:left="20"/>
              <w:spacing w:after="0"/>
              <w:rPr>
                <w:sz w:val="20"/>
                <w:szCs w:val="20"/>
                <w:color w:val="auto"/>
              </w:rPr>
            </w:pPr>
            <w:r>
              <w:rPr>
                <w:rFonts w:ascii="Arial" w:cs="Arial" w:eastAsia="Arial" w:hAnsi="Arial"/>
                <w:sz w:val="13"/>
                <w:szCs w:val="13"/>
                <w:color w:val="auto"/>
              </w:rPr>
              <w:t>Under / (over) provision in respect to prior years</w:t>
            </w:r>
          </w:p>
        </w:tc>
        <w:tc>
          <w:tcPr>
            <w:tcW w:w="4840" w:type="dxa"/>
            <w:vAlign w:val="bottom"/>
          </w:tcPr>
          <w:p>
            <w:pPr>
              <w:jc w:val="right"/>
              <w:ind w:right="536"/>
              <w:spacing w:after="0"/>
              <w:rPr>
                <w:sz w:val="20"/>
                <w:szCs w:val="20"/>
                <w:color w:val="auto"/>
              </w:rPr>
            </w:pPr>
            <w:r>
              <w:rPr>
                <w:rFonts w:ascii="Arial" w:cs="Arial" w:eastAsia="Arial" w:hAnsi="Arial"/>
                <w:sz w:val="13"/>
                <w:szCs w:val="13"/>
                <w:b w:val="1"/>
                <w:bCs w:val="1"/>
                <w:color w:val="auto"/>
              </w:rPr>
              <w:t>5,232</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(10,703)</w:t>
            </w:r>
          </w:p>
        </w:tc>
      </w:tr>
      <w:tr>
        <w:trPr>
          <w:trHeight w:val="24"/>
        </w:trPr>
        <w:tc>
          <w:tcPr>
            <w:tcW w:w="5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44,471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46,481</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Rate differential from amortisation of intangible assets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(48,240)</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(71,223)</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 in tax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25,691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3,154</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Decrease in unrecognised tax benefits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(59,456)</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(54,347)</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for which no benefit previously recognised</w:t>
            </w:r>
          </w:p>
        </w:tc>
        <w:tc>
          <w:tcPr>
            <w:tcW w:w="48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(5,279)</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(1,068)</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(3,041)</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(3,868)</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stock compensation</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1,733</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(5,035)</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Investor tax (credit) / expense on foreign subsidiaries earnings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(7,995)</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39,165</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Global minimum tax</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16,719</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10,221</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(2,385)</w:t>
            </w:r>
          </w:p>
        </w:tc>
      </w:tr>
      <w:tr>
        <w:trPr>
          <w:trHeight w:val="185"/>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48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88,553</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18,627</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5300" w:type="dxa"/>
            <w:vAlign w:val="bottom"/>
          </w:tcPr>
          <w:p>
            <w:pPr>
              <w:spacing w:after="0"/>
              <w:rPr>
                <w:sz w:val="20"/>
                <w:szCs w:val="20"/>
                <w:color w:val="auto"/>
              </w:rPr>
            </w:pPr>
            <w:r>
              <w:rPr>
                <w:rFonts w:ascii="Arial" w:cs="Arial" w:eastAsia="Arial" w:hAnsi="Arial"/>
                <w:sz w:val="13"/>
                <w:szCs w:val="13"/>
                <w:color w:val="auto"/>
              </w:rPr>
              <w:t>The net deferred tax asset at 31 December 2024 and 31 December 2023 was as follows:</w:t>
            </w:r>
          </w:p>
        </w:tc>
        <w:tc>
          <w:tcPr>
            <w:tcW w:w="4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5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27"/>
        </w:trPr>
        <w:tc>
          <w:tcPr>
            <w:tcW w:w="5300" w:type="dxa"/>
            <w:vAlign w:val="bottom"/>
            <w:shd w:val="clear" w:color="auto" w:fill="CCEEFF"/>
          </w:tcPr>
          <w:p>
            <w:pPr>
              <w:spacing w:after="0"/>
              <w:rPr>
                <w:sz w:val="11"/>
                <w:szCs w:val="11"/>
                <w:color w:val="auto"/>
              </w:rPr>
            </w:pPr>
          </w:p>
        </w:tc>
        <w:tc>
          <w:tcPr>
            <w:tcW w:w="48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300" w:type="dxa"/>
            <w:vAlign w:val="bottom"/>
          </w:tcPr>
          <w:p>
            <w:pPr>
              <w:spacing w:after="0"/>
              <w:rPr>
                <w:sz w:val="13"/>
                <w:szCs w:val="13"/>
                <w:color w:val="auto"/>
              </w:rPr>
            </w:pPr>
          </w:p>
        </w:tc>
        <w:tc>
          <w:tcPr>
            <w:tcW w:w="48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4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125,960</w:t>
            </w:r>
          </w:p>
        </w:tc>
        <w:tc>
          <w:tcPr>
            <w:tcW w:w="1140" w:type="dxa"/>
            <w:vAlign w:val="bottom"/>
          </w:tcPr>
          <w:p>
            <w:pPr>
              <w:jc w:val="right"/>
              <w:spacing w:after="0"/>
              <w:rPr>
                <w:sz w:val="20"/>
                <w:szCs w:val="20"/>
                <w:color w:val="auto"/>
              </w:rPr>
            </w:pPr>
            <w:r>
              <w:rPr>
                <w:rFonts w:ascii="Arial" w:cs="Arial" w:eastAsia="Arial" w:hAnsi="Arial"/>
                <w:sz w:val="13"/>
                <w:szCs w:val="13"/>
                <w:color w:val="auto"/>
              </w:rPr>
              <w:t>81,362</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78,417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84,748</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7,869</w:t>
            </w:r>
          </w:p>
        </w:tc>
        <w:tc>
          <w:tcPr>
            <w:tcW w:w="1140" w:type="dxa"/>
            <w:vAlign w:val="bottom"/>
          </w:tcPr>
          <w:p>
            <w:pPr>
              <w:jc w:val="right"/>
              <w:spacing w:after="0"/>
              <w:rPr>
                <w:sz w:val="20"/>
                <w:szCs w:val="20"/>
                <w:color w:val="auto"/>
              </w:rPr>
            </w:pPr>
            <w:r>
              <w:rPr>
                <w:rFonts w:ascii="Arial" w:cs="Arial" w:eastAsia="Arial" w:hAnsi="Arial"/>
                <w:sz w:val="13"/>
                <w:szCs w:val="13"/>
                <w:color w:val="auto"/>
              </w:rPr>
              <w:t>9,082</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10,364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23,748</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24,355</w:t>
            </w:r>
          </w:p>
        </w:tc>
        <w:tc>
          <w:tcPr>
            <w:tcW w:w="1140" w:type="dxa"/>
            <w:vAlign w:val="bottom"/>
          </w:tcPr>
          <w:p>
            <w:pPr>
              <w:jc w:val="right"/>
              <w:spacing w:after="0"/>
              <w:rPr>
                <w:sz w:val="20"/>
                <w:szCs w:val="20"/>
                <w:color w:val="auto"/>
              </w:rPr>
            </w:pPr>
            <w:r>
              <w:rPr>
                <w:rFonts w:ascii="Arial" w:cs="Arial" w:eastAsia="Arial" w:hAnsi="Arial"/>
                <w:sz w:val="13"/>
                <w:szCs w:val="13"/>
                <w:color w:val="auto"/>
              </w:rPr>
              <w:t>49,180</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13,284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15,783</w:t>
            </w:r>
          </w:p>
        </w:tc>
      </w:tr>
      <w:tr>
        <w:trPr>
          <w:trHeight w:val="160"/>
        </w:trPr>
        <w:tc>
          <w:tcPr>
            <w:tcW w:w="5300" w:type="dxa"/>
            <w:vAlign w:val="bottom"/>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260,249</w:t>
            </w:r>
          </w:p>
        </w:tc>
        <w:tc>
          <w:tcPr>
            <w:tcW w:w="1140" w:type="dxa"/>
            <w:vAlign w:val="bottom"/>
          </w:tcPr>
          <w:p>
            <w:pPr>
              <w:jc w:val="right"/>
              <w:spacing w:after="0"/>
              <w:rPr>
                <w:sz w:val="20"/>
                <w:szCs w:val="20"/>
                <w:color w:val="auto"/>
              </w:rPr>
            </w:pPr>
            <w:r>
              <w:rPr>
                <w:rFonts w:ascii="Arial" w:cs="Arial" w:eastAsia="Arial" w:hAnsi="Arial"/>
                <w:sz w:val="13"/>
                <w:szCs w:val="13"/>
                <w:color w:val="auto"/>
              </w:rPr>
              <w:t>263,903</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4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(175,448)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(158,674)</w:t>
            </w:r>
          </w:p>
        </w:tc>
      </w:tr>
      <w:tr>
        <w:trPr>
          <w:trHeight w:val="16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4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84,801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105,229</w:t>
            </w:r>
          </w:p>
        </w:tc>
      </w:tr>
      <w:tr>
        <w:trPr>
          <w:trHeight w:val="667"/>
        </w:trPr>
        <w:tc>
          <w:tcPr>
            <w:tcW w:w="5300" w:type="dxa"/>
            <w:vAlign w:val="bottom"/>
          </w:tcPr>
          <w:p>
            <w:pPr>
              <w:spacing w:after="0"/>
              <w:rPr>
                <w:sz w:val="24"/>
                <w:szCs w:val="24"/>
                <w:color w:val="auto"/>
              </w:rPr>
            </w:pPr>
          </w:p>
        </w:tc>
        <w:tc>
          <w:tcPr>
            <w:tcW w:w="4840" w:type="dxa"/>
            <w:vAlign w:val="bottom"/>
          </w:tcPr>
          <w:p>
            <w:pPr>
              <w:jc w:val="right"/>
              <w:ind w:right="4356"/>
              <w:spacing w:after="0"/>
              <w:rPr>
                <w:sz w:val="20"/>
                <w:szCs w:val="20"/>
                <w:color w:val="auto"/>
              </w:rPr>
            </w:pPr>
            <w:r>
              <w:rPr>
                <w:rFonts w:ascii="Arial" w:cs="Arial" w:eastAsia="Arial" w:hAnsi="Arial"/>
                <w:sz w:val="13"/>
                <w:szCs w:val="13"/>
                <w:color w:val="auto"/>
              </w:rPr>
              <w:t>63</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shd w:val="clear" w:color="auto" w:fill="CCEEFF"/>
          </w:tcPr>
          <w:p>
            <w:pPr>
              <w:spacing w:after="0"/>
              <w:rPr>
                <w:sz w:val="13"/>
                <w:szCs w:val="13"/>
                <w:color w:val="auto"/>
              </w:rPr>
            </w:pPr>
          </w:p>
        </w:tc>
        <w:tc>
          <w:tcPr>
            <w:tcW w:w="34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72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6720" w:type="dxa"/>
            <w:vAlign w:val="bottom"/>
          </w:tcPr>
          <w:p>
            <w:pPr>
              <w:spacing w:after="0"/>
              <w:rPr>
                <w:sz w:val="13"/>
                <w:szCs w:val="13"/>
                <w:color w:val="auto"/>
              </w:rPr>
            </w:pPr>
          </w:p>
        </w:tc>
        <w:tc>
          <w:tcPr>
            <w:tcW w:w="34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7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420" w:type="dxa"/>
            <w:vAlign w:val="bottom"/>
          </w:tcPr>
          <w:p>
            <w:pPr>
              <w:jc w:val="right"/>
              <w:ind w:right="336"/>
              <w:spacing w:after="0"/>
              <w:rPr>
                <w:sz w:val="20"/>
                <w:szCs w:val="20"/>
                <w:color w:val="auto"/>
              </w:rPr>
            </w:pPr>
            <w:r>
              <w:rPr>
                <w:rFonts w:ascii="Arial" w:cs="Arial" w:eastAsia="Arial" w:hAnsi="Arial"/>
                <w:sz w:val="13"/>
                <w:szCs w:val="13"/>
                <w:b w:val="1"/>
                <w:bCs w:val="1"/>
                <w:color w:val="auto"/>
              </w:rPr>
              <w:t>2,869</w:t>
            </w:r>
          </w:p>
        </w:tc>
        <w:tc>
          <w:tcPr>
            <w:tcW w:w="1140" w:type="dxa"/>
            <w:vAlign w:val="bottom"/>
          </w:tcPr>
          <w:p>
            <w:pPr>
              <w:jc w:val="right"/>
              <w:spacing w:after="0"/>
              <w:rPr>
                <w:sz w:val="20"/>
                <w:szCs w:val="20"/>
                <w:color w:val="auto"/>
              </w:rPr>
            </w:pPr>
            <w:r>
              <w:rPr>
                <w:rFonts w:ascii="Arial" w:cs="Arial" w:eastAsia="Arial" w:hAnsi="Arial"/>
                <w:sz w:val="13"/>
                <w:szCs w:val="13"/>
                <w:color w:val="auto"/>
              </w:rPr>
              <w:t>7,547</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43,390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39,014</w:t>
            </w:r>
          </w:p>
        </w:tc>
      </w:tr>
      <w:tr>
        <w:trPr>
          <w:trHeight w:val="170"/>
        </w:trPr>
        <w:tc>
          <w:tcPr>
            <w:tcW w:w="672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3420" w:type="dxa"/>
            <w:vAlign w:val="bottom"/>
          </w:tcPr>
          <w:p>
            <w:pPr>
              <w:jc w:val="right"/>
              <w:ind w:right="336"/>
              <w:spacing w:after="0"/>
              <w:rPr>
                <w:sz w:val="20"/>
                <w:szCs w:val="20"/>
                <w:color w:val="auto"/>
              </w:rPr>
            </w:pPr>
            <w:r>
              <w:rPr>
                <w:rFonts w:ascii="Arial" w:cs="Arial" w:eastAsia="Arial" w:hAnsi="Arial"/>
                <w:sz w:val="13"/>
                <w:szCs w:val="13"/>
                <w:b w:val="1"/>
                <w:bCs w:val="1"/>
                <w:color w:val="auto"/>
              </w:rPr>
              <w:t>901,733</w:t>
            </w:r>
          </w:p>
        </w:tc>
        <w:tc>
          <w:tcPr>
            <w:tcW w:w="1140" w:type="dxa"/>
            <w:vAlign w:val="bottom"/>
          </w:tcPr>
          <w:p>
            <w:pPr>
              <w:jc w:val="right"/>
              <w:spacing w:after="0"/>
              <w:rPr>
                <w:sz w:val="20"/>
                <w:szCs w:val="20"/>
                <w:color w:val="auto"/>
              </w:rPr>
            </w:pPr>
            <w:r>
              <w:rPr>
                <w:rFonts w:ascii="Arial" w:cs="Arial" w:eastAsia="Arial" w:hAnsi="Arial"/>
                <w:sz w:val="13"/>
                <w:szCs w:val="13"/>
                <w:color w:val="auto"/>
              </w:rPr>
              <w:t>950,055</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34,983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52,408</w:t>
            </w:r>
          </w:p>
        </w:tc>
      </w:tr>
      <w:tr>
        <w:trPr>
          <w:trHeight w:val="17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4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3,887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7,985</w:t>
            </w:r>
          </w:p>
        </w:tc>
      </w:tr>
      <w:tr>
        <w:trPr>
          <w:trHeight w:val="16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taxation liabilities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986,862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1,057,009</w:t>
            </w:r>
          </w:p>
        </w:tc>
      </w:tr>
      <w:tr>
        <w:trPr>
          <w:trHeight w:val="17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34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(175,448)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(158,674)</w:t>
            </w:r>
          </w:p>
        </w:tc>
      </w:tr>
      <w:tr>
        <w:trPr>
          <w:trHeight w:val="16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3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811,414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898,335</w:t>
            </w:r>
          </w:p>
        </w:tc>
      </w:tr>
      <w:tr>
        <w:trPr>
          <w:trHeight w:val="16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34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(726,613)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(793,106)</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2024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spacing w:after="0"/>
              <w:rPr>
                <w:sz w:val="13"/>
                <w:szCs w:val="13"/>
                <w:color w:val="auto"/>
              </w:rPr>
            </w:pPr>
          </w:p>
        </w:tc>
        <w:tc>
          <w:tcPr>
            <w:tcW w:w="256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 January 2024</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Recognised in</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Acquired</w:t>
            </w:r>
          </w:p>
        </w:tc>
        <w:tc>
          <w:tcPr>
            <w:tcW w:w="1480" w:type="dxa"/>
            <w:vAlign w:val="bottom"/>
            <w:gridSpan w:val="2"/>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in Equity</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2560" w:type="dxa"/>
            <w:vAlign w:val="bottom"/>
            <w:tcBorders>
              <w:bottom w:val="single" w:sz="8" w:color="auto"/>
            </w:tcBorders>
            <w:vMerge w:val="continue"/>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Income</w:t>
            </w: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gridSpan w:val="2"/>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5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81,362</w:t>
            </w:r>
          </w:p>
        </w:tc>
        <w:tc>
          <w:tcPr>
            <w:tcW w:w="1520" w:type="dxa"/>
            <w:vAlign w:val="bottom"/>
          </w:tcPr>
          <w:p>
            <w:pPr>
              <w:jc w:val="right"/>
              <w:ind w:right="376"/>
              <w:spacing w:after="0"/>
              <w:rPr>
                <w:sz w:val="20"/>
                <w:szCs w:val="20"/>
                <w:color w:val="auto"/>
              </w:rPr>
            </w:pPr>
            <w:r>
              <w:rPr>
                <w:rFonts w:ascii="Arial" w:cs="Arial" w:eastAsia="Arial" w:hAnsi="Arial"/>
                <w:sz w:val="13"/>
                <w:szCs w:val="13"/>
                <w:color w:val="auto"/>
              </w:rPr>
              <w:t>44,598</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125,960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84,748</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(6,331)</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78,417</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9,082</w:t>
            </w:r>
          </w:p>
        </w:tc>
        <w:tc>
          <w:tcPr>
            <w:tcW w:w="1520" w:type="dxa"/>
            <w:vAlign w:val="bottom"/>
          </w:tcPr>
          <w:p>
            <w:pPr>
              <w:jc w:val="right"/>
              <w:ind w:right="336"/>
              <w:spacing w:after="0"/>
              <w:rPr>
                <w:sz w:val="20"/>
                <w:szCs w:val="20"/>
                <w:color w:val="auto"/>
              </w:rPr>
            </w:pPr>
            <w:r>
              <w:rPr>
                <w:rFonts w:ascii="Arial" w:cs="Arial" w:eastAsia="Arial" w:hAnsi="Arial"/>
                <w:sz w:val="13"/>
                <w:szCs w:val="13"/>
                <w:color w:val="auto"/>
              </w:rPr>
              <w:t>(1,213)</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7,869</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49,530</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(11,204)</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(13,971)</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24,355</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23,748</w:t>
            </w:r>
          </w:p>
        </w:tc>
        <w:tc>
          <w:tcPr>
            <w:tcW w:w="1520" w:type="dxa"/>
            <w:vAlign w:val="bottom"/>
          </w:tcPr>
          <w:p>
            <w:pPr>
              <w:jc w:val="right"/>
              <w:ind w:right="336"/>
              <w:spacing w:after="0"/>
              <w:rPr>
                <w:sz w:val="20"/>
                <w:szCs w:val="20"/>
                <w:color w:val="auto"/>
              </w:rPr>
            </w:pPr>
            <w:r>
              <w:rPr>
                <w:rFonts w:ascii="Arial" w:cs="Arial" w:eastAsia="Arial" w:hAnsi="Arial"/>
                <w:sz w:val="13"/>
                <w:szCs w:val="13"/>
                <w:color w:val="auto"/>
              </w:rPr>
              <w:t>(13,384)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10,364</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15,433</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(2,149)</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13,284</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2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263,903</w:t>
            </w:r>
          </w:p>
        </w:tc>
        <w:tc>
          <w:tcPr>
            <w:tcW w:w="1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10,317</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(13,971)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260,249</w:t>
            </w:r>
          </w:p>
        </w:tc>
        <w:tc>
          <w:tcPr>
            <w:tcW w:w="0" w:type="dxa"/>
            <w:vAlign w:val="bottom"/>
          </w:tcPr>
          <w:p>
            <w:pPr>
              <w:spacing w:after="0"/>
              <w:rPr>
                <w:sz w:val="1"/>
                <w:szCs w:val="1"/>
                <w:color w:val="auto"/>
              </w:rPr>
            </w:pPr>
          </w:p>
        </w:tc>
      </w:tr>
      <w:tr>
        <w:trPr>
          <w:trHeight w:val="150"/>
        </w:trPr>
        <w:tc>
          <w:tcPr>
            <w:tcW w:w="34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7,547</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(4,678)</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2,869</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39,014</w:t>
            </w:r>
          </w:p>
        </w:tc>
        <w:tc>
          <w:tcPr>
            <w:tcW w:w="1520" w:type="dxa"/>
            <w:vAlign w:val="bottom"/>
          </w:tcPr>
          <w:p>
            <w:pPr>
              <w:jc w:val="right"/>
              <w:ind w:right="376"/>
              <w:spacing w:after="0"/>
              <w:rPr>
                <w:sz w:val="20"/>
                <w:szCs w:val="20"/>
                <w:color w:val="auto"/>
              </w:rPr>
            </w:pPr>
            <w:r>
              <w:rPr>
                <w:rFonts w:ascii="Arial" w:cs="Arial" w:eastAsia="Arial" w:hAnsi="Arial"/>
                <w:sz w:val="13"/>
                <w:szCs w:val="13"/>
                <w:color w:val="auto"/>
              </w:rPr>
              <w:t>4,376</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43,390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25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52,408</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(17,425)</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34,983</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Other</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7,985</w:t>
            </w:r>
          </w:p>
        </w:tc>
        <w:tc>
          <w:tcPr>
            <w:tcW w:w="1520" w:type="dxa"/>
            <w:vAlign w:val="bottom"/>
          </w:tcPr>
          <w:p>
            <w:pPr>
              <w:jc w:val="right"/>
              <w:ind w:right="336"/>
              <w:spacing w:after="0"/>
              <w:rPr>
                <w:sz w:val="20"/>
                <w:szCs w:val="20"/>
                <w:color w:val="auto"/>
              </w:rPr>
            </w:pPr>
            <w:r>
              <w:rPr>
                <w:rFonts w:ascii="Arial" w:cs="Arial" w:eastAsia="Arial" w:hAnsi="Arial"/>
                <w:sz w:val="13"/>
                <w:szCs w:val="13"/>
                <w:color w:val="auto"/>
              </w:rPr>
              <w:t>(5,937)</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1,839</w:t>
            </w: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78"/>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3,887</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2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950,055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(59,314)</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10,992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901,733</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2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1,057,009</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(82,978)</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10,992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986,862</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25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(793,106)</w:t>
            </w:r>
          </w:p>
        </w:tc>
        <w:tc>
          <w:tcPr>
            <w:tcW w:w="1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93,295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(10,992)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(15,810)</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(726,613)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80"/>
          </w:cols>
          <w:pgMar w:left="300" w:top="698"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2023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Recognised in Other</w:t>
            </w:r>
          </w:p>
        </w:tc>
        <w:tc>
          <w:tcPr>
            <w:tcW w:w="15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 January 2023 Recognised in Income</w:t>
            </w:r>
          </w:p>
        </w:tc>
        <w:tc>
          <w:tcPr>
            <w:tcW w:w="140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Comprehensive</w:t>
            </w:r>
          </w:p>
        </w:tc>
        <w:tc>
          <w:tcPr>
            <w:tcW w:w="152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Recognised in Equity</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c>
          <w:tcPr>
            <w:tcW w:w="0" w:type="dxa"/>
            <w:vAlign w:val="bottom"/>
          </w:tcPr>
          <w:p>
            <w:pPr>
              <w:spacing w:after="0"/>
              <w:rPr>
                <w:sz w:val="1"/>
                <w:szCs w:val="1"/>
                <w:color w:val="auto"/>
              </w:rPr>
            </w:pPr>
          </w:p>
        </w:tc>
      </w:tr>
      <w:tr>
        <w:trPr>
          <w:trHeight w:val="170"/>
        </w:trPr>
        <w:tc>
          <w:tcPr>
            <w:tcW w:w="3340" w:type="dxa"/>
            <w:vAlign w:val="bottom"/>
            <w:tcBorders>
              <w:bottom w:val="single" w:sz="8" w:color="auto"/>
            </w:tcBorders>
            <w:shd w:val="clear" w:color="auto" w:fill="CCEEFF"/>
          </w:tcPr>
          <w:p>
            <w:pPr>
              <w:spacing w:after="0"/>
              <w:rPr>
                <w:sz w:val="14"/>
                <w:szCs w:val="14"/>
                <w:color w:val="auto"/>
              </w:rPr>
            </w:pPr>
          </w:p>
        </w:tc>
        <w:tc>
          <w:tcPr>
            <w:tcW w:w="3720" w:type="dxa"/>
            <w:vAlign w:val="bottom"/>
            <w:tcBorders>
              <w:bottom w:val="single" w:sz="8" w:color="auto"/>
            </w:tcBorders>
            <w:gridSpan w:val="2"/>
            <w:vMerge w:val="continue"/>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Income</w:t>
            </w: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266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400" w:type="dxa"/>
            <w:vAlign w:val="bottom"/>
          </w:tcPr>
          <w:p>
            <w:pPr>
              <w:ind w:left="1000"/>
              <w:spacing w:after="0"/>
              <w:rPr>
                <w:sz w:val="20"/>
                <w:szCs w:val="20"/>
                <w:color w:val="auto"/>
              </w:rPr>
            </w:pPr>
            <w:r>
              <w:rPr>
                <w:rFonts w:ascii="Arial" w:cs="Arial" w:eastAsia="Arial" w:hAnsi="Arial"/>
                <w:sz w:val="13"/>
                <w:szCs w:val="13"/>
                <w:b w:val="1"/>
                <w:bCs w:val="1"/>
                <w:color w:val="auto"/>
              </w:rPr>
              <w:t>$’000</w:t>
            </w:r>
          </w:p>
        </w:tc>
        <w:tc>
          <w:tcPr>
            <w:tcW w:w="152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26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2660" w:type="dxa"/>
            <w:vAlign w:val="bottom"/>
          </w:tcPr>
          <w:p>
            <w:pPr>
              <w:jc w:val="right"/>
              <w:ind w:right="396"/>
              <w:spacing w:after="0"/>
              <w:rPr>
                <w:sz w:val="20"/>
                <w:szCs w:val="20"/>
                <w:color w:val="auto"/>
              </w:rPr>
            </w:pPr>
            <w:r>
              <w:rPr>
                <w:rFonts w:ascii="Arial" w:cs="Arial" w:eastAsia="Arial" w:hAnsi="Arial"/>
                <w:sz w:val="13"/>
                <w:szCs w:val="13"/>
                <w:b w:val="1"/>
                <w:bCs w:val="1"/>
                <w:color w:val="auto"/>
              </w:rPr>
              <w:t>45,498</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35,864</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81,362</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26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66,753</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17,995</w:t>
            </w:r>
          </w:p>
        </w:tc>
        <w:tc>
          <w:tcPr>
            <w:tcW w:w="14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84,748</w:t>
            </w: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2660" w:type="dxa"/>
            <w:vAlign w:val="bottom"/>
          </w:tcPr>
          <w:p>
            <w:pPr>
              <w:jc w:val="right"/>
              <w:ind w:right="396"/>
              <w:spacing w:after="0"/>
              <w:rPr>
                <w:sz w:val="20"/>
                <w:szCs w:val="20"/>
                <w:color w:val="auto"/>
              </w:rPr>
            </w:pPr>
            <w:r>
              <w:rPr>
                <w:rFonts w:ascii="Arial" w:cs="Arial" w:eastAsia="Arial" w:hAnsi="Arial"/>
                <w:sz w:val="13"/>
                <w:szCs w:val="13"/>
                <w:b w:val="1"/>
                <w:bCs w:val="1"/>
                <w:color w:val="auto"/>
              </w:rPr>
              <w:t>6,010</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3,072</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9,082</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6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43,048</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(6,563)</w:t>
            </w:r>
          </w:p>
        </w:tc>
        <w:tc>
          <w:tcPr>
            <w:tcW w:w="14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13,045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49,530</w:t>
            </w: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2660" w:type="dxa"/>
            <w:vAlign w:val="bottom"/>
          </w:tcPr>
          <w:p>
            <w:pPr>
              <w:jc w:val="right"/>
              <w:ind w:right="396"/>
              <w:spacing w:after="0"/>
              <w:rPr>
                <w:sz w:val="20"/>
                <w:szCs w:val="20"/>
                <w:color w:val="auto"/>
              </w:rPr>
            </w:pPr>
            <w:r>
              <w:rPr>
                <w:rFonts w:ascii="Arial" w:cs="Arial" w:eastAsia="Arial" w:hAnsi="Arial"/>
                <w:sz w:val="13"/>
                <w:szCs w:val="13"/>
                <w:b w:val="1"/>
                <w:bCs w:val="1"/>
                <w:color w:val="auto"/>
              </w:rPr>
              <w:t>66,566</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(42,818)</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23,748</w:t>
            </w:r>
          </w:p>
        </w:tc>
        <w:tc>
          <w:tcPr>
            <w:tcW w:w="0" w:type="dxa"/>
            <w:vAlign w:val="bottom"/>
          </w:tcPr>
          <w:p>
            <w:pPr>
              <w:spacing w:after="0"/>
              <w:rPr>
                <w:sz w:val="1"/>
                <w:szCs w:val="1"/>
                <w:color w:val="auto"/>
              </w:rPr>
            </w:pPr>
          </w:p>
        </w:tc>
      </w:tr>
      <w:tr>
        <w:trPr>
          <w:trHeight w:val="17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6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17,748</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(1,958)</w:t>
            </w: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(357)</w:t>
            </w:r>
          </w:p>
        </w:tc>
        <w:tc>
          <w:tcPr>
            <w:tcW w:w="15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15,433</w:t>
            </w:r>
          </w:p>
        </w:tc>
        <w:tc>
          <w:tcPr>
            <w:tcW w:w="0" w:type="dxa"/>
            <w:vAlign w:val="bottom"/>
          </w:tcPr>
          <w:p>
            <w:pPr>
              <w:spacing w:after="0"/>
              <w:rPr>
                <w:sz w:val="1"/>
                <w:szCs w:val="1"/>
                <w:color w:val="auto"/>
              </w:rPr>
            </w:pPr>
          </w:p>
        </w:tc>
      </w:tr>
      <w:tr>
        <w:trPr>
          <w:trHeight w:val="16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26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245,623</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5,592</w:t>
            </w:r>
          </w:p>
        </w:tc>
        <w:tc>
          <w:tcPr>
            <w:tcW w:w="140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(357)</w:t>
            </w: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13,045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263,903</w:t>
            </w: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6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10,927</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(3,380)</w:t>
            </w:r>
          </w:p>
        </w:tc>
        <w:tc>
          <w:tcPr>
            <w:tcW w:w="14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7,547</w:t>
            </w: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2660" w:type="dxa"/>
            <w:vAlign w:val="bottom"/>
          </w:tcPr>
          <w:p>
            <w:pPr>
              <w:jc w:val="right"/>
              <w:ind w:right="396"/>
              <w:spacing w:after="0"/>
              <w:rPr>
                <w:sz w:val="20"/>
                <w:szCs w:val="20"/>
                <w:color w:val="auto"/>
              </w:rPr>
            </w:pPr>
            <w:r>
              <w:rPr>
                <w:rFonts w:ascii="Arial" w:cs="Arial" w:eastAsia="Arial" w:hAnsi="Arial"/>
                <w:sz w:val="13"/>
                <w:szCs w:val="13"/>
                <w:b w:val="1"/>
                <w:bCs w:val="1"/>
                <w:color w:val="auto"/>
              </w:rPr>
              <w:t>37,150</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1,864</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39,014</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26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1,587</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50,821</w:t>
            </w:r>
          </w:p>
        </w:tc>
        <w:tc>
          <w:tcPr>
            <w:tcW w:w="14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52,408</w:t>
            </w: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Other</w:t>
            </w:r>
          </w:p>
        </w:tc>
        <w:tc>
          <w:tcPr>
            <w:tcW w:w="2660" w:type="dxa"/>
            <w:vAlign w:val="bottom"/>
          </w:tcPr>
          <w:p>
            <w:pPr>
              <w:jc w:val="right"/>
              <w:ind w:right="396"/>
              <w:spacing w:after="0"/>
              <w:rPr>
                <w:sz w:val="20"/>
                <w:szCs w:val="20"/>
                <w:color w:val="auto"/>
              </w:rPr>
            </w:pPr>
            <w:r>
              <w:rPr>
                <w:rFonts w:ascii="Arial" w:cs="Arial" w:eastAsia="Arial" w:hAnsi="Arial"/>
                <w:sz w:val="13"/>
                <w:szCs w:val="13"/>
                <w:b w:val="1"/>
                <w:bCs w:val="1"/>
                <w:color w:val="auto"/>
              </w:rPr>
              <w:t>7,467</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1,686</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96"/>
              <w:spacing w:after="0"/>
              <w:rPr>
                <w:sz w:val="20"/>
                <w:szCs w:val="20"/>
                <w:color w:val="auto"/>
              </w:rPr>
            </w:pPr>
            <w:r>
              <w:rPr>
                <w:rFonts w:ascii="Arial" w:cs="Arial" w:eastAsia="Arial" w:hAnsi="Arial"/>
                <w:sz w:val="13"/>
                <w:szCs w:val="13"/>
                <w:color w:val="auto"/>
              </w:rPr>
              <w:t>(1,168)*</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7,985</w:t>
            </w:r>
          </w:p>
        </w:tc>
        <w:tc>
          <w:tcPr>
            <w:tcW w:w="0" w:type="dxa"/>
            <w:vAlign w:val="bottom"/>
          </w:tcPr>
          <w:p>
            <w:pPr>
              <w:spacing w:after="0"/>
              <w:rPr>
                <w:sz w:val="1"/>
                <w:szCs w:val="1"/>
                <w:color w:val="auto"/>
              </w:rPr>
            </w:pPr>
          </w:p>
        </w:tc>
      </w:tr>
      <w:tr>
        <w:trPr>
          <w:trHeight w:val="17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26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1,078,302</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(128,247)</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950,055</w:t>
            </w:r>
          </w:p>
        </w:tc>
        <w:tc>
          <w:tcPr>
            <w:tcW w:w="0" w:type="dxa"/>
            <w:vAlign w:val="bottom"/>
          </w:tcPr>
          <w:p>
            <w:pPr>
              <w:spacing w:after="0"/>
              <w:rPr>
                <w:sz w:val="1"/>
                <w:szCs w:val="1"/>
                <w:color w:val="auto"/>
              </w:rPr>
            </w:pPr>
          </w:p>
        </w:tc>
      </w:tr>
      <w:tr>
        <w:trPr>
          <w:trHeight w:val="16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26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1,135,433</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(77,256)</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(1,168)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1,057,009</w:t>
            </w:r>
          </w:p>
        </w:tc>
        <w:tc>
          <w:tcPr>
            <w:tcW w:w="0" w:type="dxa"/>
            <w:vAlign w:val="bottom"/>
          </w:tcPr>
          <w:p>
            <w:pPr>
              <w:spacing w:after="0"/>
              <w:rPr>
                <w:sz w:val="1"/>
                <w:szCs w:val="1"/>
                <w:color w:val="auto"/>
              </w:rPr>
            </w:pPr>
          </w:p>
        </w:tc>
      </w:tr>
      <w:tr>
        <w:trPr>
          <w:trHeight w:val="185"/>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26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(889,810)</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82,848</w:t>
            </w: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b w:val="1"/>
                <w:bCs w:val="1"/>
                <w:color w:val="auto"/>
              </w:rPr>
              <w:t>(357)</w:t>
            </w:r>
          </w:p>
        </w:tc>
        <w:tc>
          <w:tcPr>
            <w:tcW w:w="15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14,213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(793,106)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At 31 December 2024, non-US subsidiaries had operating loss carry-forwards for income tax purposes that may be carried forward indefinitely, available to offset against future taxable income, if any, of approximately $42.4 million (31 December 2023: $42.9 million). At 31 December 2024, there was no additional non–US subsidiaries operating loss carry forwards which are due to expire. In addition, at 31 December 2024 those subsidiaries had tax credit carryforwards for income tax purposes that may be carried forward for up to 30 years, available to offset against future tax liabilities, if any, of $2.7 million.</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total, the Company has unrecognised deferred tax assets of $39.0 million at 31 December 2024 and $42.9 million at 31 December 2023. The Company has not recognised these remaining deferred tax assets because it believes that it is more likely than not that the losses and other deferred tax assets will not be utilised given their history of operating losses.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 has recognised a deferred tax liability of $35.0 million (2023: $52.4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recently implemented a participation exemption in respect of distributions from foreign subsidiaries in EEA/treaty countries, in addition to the foreign tax credit regime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80"/>
          </w:cols>
          <w:pgMar w:left="300" w:top="698"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Group is subject to the global minimum tax under Pillar Two legislation. The tax is payable in Ireland, France and other group jurisdictions, relating to lower tax rates and certain incentives received in these countries. The Group recognised a current tax expense of $16.7 million related to global minimum tax (2023: nil).</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Group has applied a temporary mandatory relief from deferred tax accounting for the impacts of the global minimum tax and accounts for it as a current tax when it is incurred.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Earnings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years ended 31 December 2024 and 31 December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 2024</w:t>
            </w:r>
          </w:p>
        </w:tc>
        <w:tc>
          <w:tcPr>
            <w:tcW w:w="1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31 December 2023</w:t>
            </w:r>
          </w:p>
        </w:tc>
        <w:tc>
          <w:tcPr>
            <w:tcW w:w="1000" w:type="dxa"/>
            <w:vAlign w:val="bottom"/>
            <w:tcBorders>
              <w:bottom w:val="single" w:sz="8" w:color="auto"/>
            </w:tcBorders>
            <w:shd w:val="clear" w:color="auto" w:fill="CCEEFF"/>
          </w:tcPr>
          <w:p>
            <w:pPr>
              <w:spacing w:after="0"/>
              <w:rPr>
                <w:sz w:val="14"/>
                <w:szCs w:val="14"/>
                <w:color w:val="auto"/>
              </w:rPr>
            </w:pPr>
          </w:p>
        </w:tc>
      </w:tr>
      <w:tr>
        <w:trPr>
          <w:trHeight w:val="118"/>
        </w:trPr>
        <w:tc>
          <w:tcPr>
            <w:tcW w:w="3480" w:type="dxa"/>
            <w:vAlign w:val="bottom"/>
          </w:tcPr>
          <w:p>
            <w:pPr>
              <w:spacing w:after="0"/>
              <w:rPr>
                <w:sz w:val="10"/>
                <w:szCs w:val="10"/>
                <w:color w:val="auto"/>
              </w:rPr>
            </w:pPr>
          </w:p>
        </w:tc>
        <w:tc>
          <w:tcPr>
            <w:tcW w:w="13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Pre-exceptional</w:t>
            </w:r>
          </w:p>
        </w:tc>
        <w:tc>
          <w:tcPr>
            <w:tcW w:w="1520" w:type="dxa"/>
            <w:vAlign w:val="bottom"/>
          </w:tcPr>
          <w:p>
            <w:pPr>
              <w:jc w:val="right"/>
              <w:ind w:right="256"/>
              <w:spacing w:after="0" w:line="118" w:lineRule="exact"/>
              <w:rPr>
                <w:sz w:val="20"/>
                <w:szCs w:val="20"/>
                <w:color w:val="auto"/>
              </w:rPr>
            </w:pPr>
            <w:r>
              <w:rPr>
                <w:rFonts w:ascii="Arial" w:cs="Arial" w:eastAsia="Arial" w:hAnsi="Arial"/>
                <w:sz w:val="13"/>
                <w:szCs w:val="13"/>
                <w:b w:val="1"/>
                <w:bCs w:val="1"/>
                <w:color w:val="auto"/>
              </w:rPr>
              <w:t>Exceptional</w:t>
            </w:r>
          </w:p>
        </w:tc>
        <w:tc>
          <w:tcPr>
            <w:tcW w:w="1200" w:type="dxa"/>
            <w:vAlign w:val="bottom"/>
          </w:tcPr>
          <w:p>
            <w:pPr>
              <w:jc w:val="right"/>
              <w:ind w:right="136"/>
              <w:spacing w:after="0" w:line="118" w:lineRule="exact"/>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spacing w:after="0" w:line="118" w:lineRule="exact"/>
              <w:rPr>
                <w:sz w:val="20"/>
                <w:szCs w:val="20"/>
                <w:color w:val="auto"/>
              </w:rPr>
            </w:pPr>
            <w:r>
              <w:rPr>
                <w:rFonts w:ascii="Arial" w:cs="Arial" w:eastAsia="Arial" w:hAnsi="Arial"/>
                <w:sz w:val="13"/>
                <w:szCs w:val="13"/>
                <w:color w:val="auto"/>
              </w:rPr>
              <w:t>Pre-exceptional</w:t>
            </w:r>
          </w:p>
        </w:tc>
        <w:tc>
          <w:tcPr>
            <w:tcW w:w="1520" w:type="dxa"/>
            <w:vAlign w:val="bottom"/>
          </w:tcPr>
          <w:p>
            <w:pPr>
              <w:jc w:val="right"/>
              <w:ind w:right="276"/>
              <w:spacing w:after="0" w:line="118" w:lineRule="exact"/>
              <w:rPr>
                <w:sz w:val="20"/>
                <w:szCs w:val="20"/>
                <w:color w:val="auto"/>
              </w:rPr>
            </w:pPr>
            <w:r>
              <w:rPr>
                <w:rFonts w:ascii="Arial" w:cs="Arial" w:eastAsia="Arial" w:hAnsi="Arial"/>
                <w:sz w:val="13"/>
                <w:szCs w:val="13"/>
                <w:color w:val="auto"/>
              </w:rPr>
              <w:t>Exceptional</w:t>
            </w:r>
          </w:p>
        </w:tc>
        <w:tc>
          <w:tcPr>
            <w:tcW w:w="1000" w:type="dxa"/>
            <w:vAlign w:val="bottom"/>
          </w:tcPr>
          <w:p>
            <w:pPr>
              <w:jc w:val="right"/>
              <w:spacing w:after="0" w:line="118" w:lineRule="exact"/>
              <w:rPr>
                <w:sz w:val="20"/>
                <w:szCs w:val="20"/>
                <w:color w:val="auto"/>
              </w:rPr>
            </w:pPr>
            <w:r>
              <w:rPr>
                <w:rFonts w:ascii="Arial" w:cs="Arial" w:eastAsia="Arial" w:hAnsi="Arial"/>
                <w:sz w:val="13"/>
                <w:szCs w:val="13"/>
                <w:color w:val="auto"/>
              </w:rPr>
              <w:t>Total</w:t>
            </w:r>
          </w:p>
        </w:tc>
      </w:tr>
      <w:tr>
        <w:trPr>
          <w:trHeight w:val="170"/>
        </w:trPr>
        <w:tc>
          <w:tcPr>
            <w:tcW w:w="3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(Note 9)</w:t>
            </w:r>
          </w:p>
        </w:tc>
        <w:tc>
          <w:tcPr>
            <w:tcW w:w="1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(Note 9)</w:t>
            </w:r>
          </w:p>
        </w:tc>
        <w:tc>
          <w:tcPr>
            <w:tcW w:w="1000" w:type="dxa"/>
            <w:vAlign w:val="bottom"/>
            <w:tcBorders>
              <w:bottom w:val="single" w:sz="8" w:color="auto"/>
            </w:tcBorders>
          </w:tcPr>
          <w:p>
            <w:pPr>
              <w:spacing w:after="0"/>
              <w:rPr>
                <w:sz w:val="14"/>
                <w:szCs w:val="14"/>
                <w:color w:val="auto"/>
              </w:rPr>
            </w:pPr>
          </w:p>
        </w:tc>
      </w:tr>
      <w:tr>
        <w:trPr>
          <w:trHeight w:val="16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 ($'000)</w:t>
            </w:r>
          </w:p>
        </w:tc>
        <w:tc>
          <w:tcPr>
            <w:tcW w:w="13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3"/>
                <w:szCs w:val="13"/>
                <w:color w:val="auto"/>
              </w:rPr>
              <w:t>Profit attributable to equity holders</w:t>
            </w: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rPr>
              <w:t>879,846</w:t>
            </w:r>
          </w:p>
        </w:tc>
        <w:tc>
          <w:tcPr>
            <w:tcW w:w="1520" w:type="dxa"/>
            <w:vAlign w:val="bottom"/>
          </w:tcPr>
          <w:p>
            <w:pPr>
              <w:jc w:val="right"/>
              <w:ind w:right="236"/>
              <w:spacing w:after="0"/>
              <w:rPr>
                <w:sz w:val="20"/>
                <w:szCs w:val="20"/>
                <w:color w:val="auto"/>
              </w:rPr>
            </w:pPr>
            <w:r>
              <w:rPr>
                <w:rFonts w:ascii="Arial" w:cs="Arial" w:eastAsia="Arial" w:hAnsi="Arial"/>
                <w:sz w:val="13"/>
                <w:szCs w:val="13"/>
                <w:b w:val="1"/>
                <w:bCs w:val="1"/>
                <w:color w:val="auto"/>
              </w:rPr>
              <w:t>(100,421)</w:t>
            </w:r>
          </w:p>
        </w:tc>
        <w:tc>
          <w:tcPr>
            <w:tcW w:w="1200" w:type="dxa"/>
            <w:vAlign w:val="bottom"/>
          </w:tcPr>
          <w:p>
            <w:pPr>
              <w:jc w:val="right"/>
              <w:ind w:right="196"/>
              <w:spacing w:after="0"/>
              <w:rPr>
                <w:sz w:val="20"/>
                <w:szCs w:val="20"/>
                <w:color w:val="auto"/>
              </w:rPr>
            </w:pPr>
            <w:r>
              <w:rPr>
                <w:rFonts w:ascii="Arial" w:cs="Arial" w:eastAsia="Arial" w:hAnsi="Arial"/>
                <w:sz w:val="13"/>
                <w:szCs w:val="13"/>
                <w:b w:val="1"/>
                <w:bCs w:val="1"/>
                <w:color w:val="auto"/>
              </w:rPr>
              <w:t>779,425</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684,387</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(75,363)</w:t>
            </w:r>
          </w:p>
        </w:tc>
        <w:tc>
          <w:tcPr>
            <w:tcW w:w="1000" w:type="dxa"/>
            <w:vAlign w:val="bottom"/>
          </w:tcPr>
          <w:p>
            <w:pPr>
              <w:jc w:val="right"/>
              <w:spacing w:after="0"/>
              <w:rPr>
                <w:sz w:val="20"/>
                <w:szCs w:val="20"/>
                <w:color w:val="auto"/>
              </w:rPr>
            </w:pPr>
            <w:r>
              <w:rPr>
                <w:rFonts w:ascii="Arial" w:cs="Arial" w:eastAsia="Arial" w:hAnsi="Arial"/>
                <w:sz w:val="13"/>
                <w:szCs w:val="13"/>
                <w:color w:val="auto"/>
              </w:rPr>
              <w:t>609,024</w:t>
            </w:r>
          </w:p>
        </w:tc>
      </w:tr>
      <w:tr>
        <w:trPr>
          <w:trHeight w:val="202"/>
        </w:trPr>
        <w:tc>
          <w:tcPr>
            <w:tcW w:w="3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0"/>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Denominator (Number of shares)</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Basic weighted average ordinary shares outstanding</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82,482,764</w:t>
            </w:r>
          </w:p>
        </w:tc>
        <w:tc>
          <w:tcPr>
            <w:tcW w:w="15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82,482,764</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82,482,764</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82,101,813</w:t>
            </w:r>
          </w:p>
        </w:tc>
        <w:tc>
          <w:tcPr>
            <w:tcW w:w="15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82,101,813</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82,101,813</w:t>
            </w:r>
          </w:p>
        </w:tc>
      </w:tr>
      <w:tr>
        <w:trPr>
          <w:trHeight w:val="170"/>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Effect of dilutive potential ordinary shares</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574,357</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574,357</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574,357</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637,626</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637,626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637,626</w:t>
            </w:r>
          </w:p>
        </w:tc>
      </w:tr>
      <w:tr>
        <w:trPr>
          <w:trHeight w:val="160"/>
        </w:trPr>
        <w:tc>
          <w:tcPr>
            <w:tcW w:w="3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weighted average ordinary shares outstanding</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83,057,121</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83,057,121</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83,057,121</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82,739,439</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82,739,439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82,739,439</w:t>
            </w:r>
          </w:p>
        </w:tc>
      </w:tr>
      <w:tr>
        <w:trPr>
          <w:trHeight w:val="182"/>
        </w:trPr>
        <w:tc>
          <w:tcPr>
            <w:tcW w:w="3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per share)</w:t>
            </w:r>
          </w:p>
        </w:tc>
        <w:tc>
          <w:tcPr>
            <w:tcW w:w="1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3"/>
                <w:szCs w:val="13"/>
                <w:color w:val="auto"/>
              </w:rPr>
              <w:t>Basic earnings per ordinary share</w:t>
            </w: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rPr>
              <w:t>10.67</w:t>
            </w:r>
          </w:p>
        </w:tc>
        <w:tc>
          <w:tcPr>
            <w:tcW w:w="1520" w:type="dxa"/>
            <w:vAlign w:val="bottom"/>
          </w:tcPr>
          <w:p>
            <w:pPr>
              <w:jc w:val="right"/>
              <w:ind w:right="236"/>
              <w:spacing w:after="0"/>
              <w:rPr>
                <w:sz w:val="20"/>
                <w:szCs w:val="20"/>
                <w:color w:val="auto"/>
              </w:rPr>
            </w:pPr>
            <w:r>
              <w:rPr>
                <w:rFonts w:ascii="Arial" w:cs="Arial" w:eastAsia="Arial" w:hAnsi="Arial"/>
                <w:sz w:val="13"/>
                <w:szCs w:val="13"/>
                <w:b w:val="1"/>
                <w:bCs w:val="1"/>
                <w:color w:val="auto"/>
              </w:rPr>
              <w:t>(1.22)</w:t>
            </w:r>
          </w:p>
        </w:tc>
        <w:tc>
          <w:tcPr>
            <w:tcW w:w="1200" w:type="dxa"/>
            <w:vAlign w:val="bottom"/>
          </w:tcPr>
          <w:p>
            <w:pPr>
              <w:jc w:val="right"/>
              <w:ind w:right="196"/>
              <w:spacing w:after="0"/>
              <w:rPr>
                <w:sz w:val="20"/>
                <w:szCs w:val="20"/>
                <w:color w:val="auto"/>
              </w:rPr>
            </w:pPr>
            <w:r>
              <w:rPr>
                <w:rFonts w:ascii="Arial" w:cs="Arial" w:eastAsia="Arial" w:hAnsi="Arial"/>
                <w:sz w:val="13"/>
                <w:szCs w:val="13"/>
                <w:b w:val="1"/>
                <w:bCs w:val="1"/>
                <w:color w:val="auto"/>
              </w:rPr>
              <w:t>9.45</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8.34</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(0.92)</w:t>
            </w:r>
          </w:p>
        </w:tc>
        <w:tc>
          <w:tcPr>
            <w:tcW w:w="1000" w:type="dxa"/>
            <w:vAlign w:val="bottom"/>
          </w:tcPr>
          <w:p>
            <w:pPr>
              <w:jc w:val="right"/>
              <w:spacing w:after="0"/>
              <w:rPr>
                <w:sz w:val="20"/>
                <w:szCs w:val="20"/>
                <w:color w:val="auto"/>
              </w:rPr>
            </w:pPr>
            <w:r>
              <w:rPr>
                <w:rFonts w:ascii="Arial" w:cs="Arial" w:eastAsia="Arial" w:hAnsi="Arial"/>
                <w:sz w:val="13"/>
                <w:szCs w:val="13"/>
                <w:color w:val="auto"/>
              </w:rPr>
              <w:t>7.42</w:t>
            </w:r>
          </w:p>
        </w:tc>
      </w:tr>
      <w:tr>
        <w:trPr>
          <w:trHeight w:val="170"/>
        </w:trPr>
        <w:tc>
          <w:tcPr>
            <w:tcW w:w="3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earnings per ordinary share</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10.59</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(1.21)</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9.38</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8.27</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(0.91)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7.36</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The Company had 58,996 anti-dilutive potential shares at 31 December 2024 (31 December 2023: 165,129) comprised of 58,996 options (31 December 2023: 165,129) and nil RSUs (31 December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2023: nil).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80"/>
          </w:cols>
          <w:pgMar w:left="300" w:top="698"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Exceptional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80" w:type="dxa"/>
            <w:vAlign w:val="bottom"/>
          </w:tcPr>
          <w:p>
            <w:pPr>
              <w:spacing w:after="0"/>
              <w:rPr>
                <w:sz w:val="20"/>
                <w:szCs w:val="20"/>
                <w:color w:val="auto"/>
              </w:rPr>
            </w:pPr>
            <w:r>
              <w:rPr>
                <w:rFonts w:ascii="Arial" w:cs="Arial" w:eastAsia="Arial" w:hAnsi="Arial"/>
                <w:sz w:val="13"/>
                <w:szCs w:val="13"/>
                <w:color w:val="auto"/>
              </w:rPr>
              <w:t>Exceptional items are comprised of transaction and integration related and restructuring costs.</w:t>
            </w: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4"/>
        </w:trPr>
        <w:tc>
          <w:tcPr>
            <w:tcW w:w="6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0"/>
        </w:trPr>
        <w:tc>
          <w:tcPr>
            <w:tcW w:w="698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6980" w:type="dxa"/>
            <w:vAlign w:val="bottom"/>
          </w:tcPr>
          <w:p>
            <w:pPr>
              <w:spacing w:after="0"/>
              <w:rPr>
                <w:sz w:val="13"/>
                <w:szCs w:val="13"/>
                <w:color w:val="auto"/>
              </w:rPr>
            </w:pPr>
          </w:p>
        </w:tc>
        <w:tc>
          <w:tcPr>
            <w:tcW w:w="2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w:t>
            </w:r>
          </w:p>
        </w:tc>
        <w:tc>
          <w:tcPr>
            <w:tcW w:w="29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29,574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44,176</w:t>
            </w:r>
          </w:p>
        </w:tc>
      </w:tr>
      <w:tr>
        <w:trPr>
          <w:trHeight w:val="17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charges</w:t>
            </w:r>
          </w:p>
        </w:tc>
        <w:tc>
          <w:tcPr>
            <w:tcW w:w="2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92,123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45,390</w:t>
            </w:r>
          </w:p>
        </w:tc>
      </w:tr>
      <w:tr>
        <w:trPr>
          <w:trHeight w:val="160"/>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29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121,697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89,566</w:t>
            </w:r>
          </w:p>
        </w:tc>
      </w:tr>
      <w:tr>
        <w:trPr>
          <w:trHeight w:val="17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2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(21,276)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(14,203)</w:t>
            </w:r>
          </w:p>
        </w:tc>
      </w:tr>
      <w:tr>
        <w:trPr>
          <w:trHeight w:val="185"/>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Exceptional items (net)</w:t>
            </w:r>
          </w:p>
        </w:tc>
        <w:tc>
          <w:tcPr>
            <w:tcW w:w="2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100,421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75,363</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 related</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years ended 31 December 2024 and 31 December 2023, the Company incurred $29.6 million and $44.2 million, respectively, of transaction and integration related costs which are expensed as incurred within the “Other operating expenses” line item of the Consolidated Statement of Profit and Loss. The costs consist of advisory costs, professional fees, legal costs, ongoing business combination and integration activities offset by the remeasurement of liability-classified contingent consideration.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restructuring charge of $92.1 million was recognised during the year ended 31 December 2024 (2023: $45.4 million) under a restructuring plan adopted following a review of operations and are included within the “Other operating expenses” line item of the Consolidated Statement of Profit and Loss.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restructuring program is aimed at realigning the Company's workforce as well as reviewing its global footprint and optimising its locations to best fit the requirements of the Company. The restructuring plan reflects a workforce reduction of $74.5 million (31 December 2023: $34.1 million) and an office consolidation program to optimise the Company's office footprint of $17.6 million (31 December 2023: $11.3 million) being the impairment of operating right-off-use assets of $13.8 million (31 December 2023: $8.7 million), the impairment of related property plant and equipment of $1.9 million (31 December 2023: $nil) and onerous contract costs of $1.9 million (31 December 2023: $2.6 million).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4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5240" w:type="dxa"/>
            <w:vAlign w:val="bottom"/>
          </w:tcPr>
          <w:p>
            <w:pPr>
              <w:spacing w:after="0"/>
              <w:rPr>
                <w:sz w:val="13"/>
                <w:szCs w:val="13"/>
                <w:color w:val="auto"/>
              </w:rPr>
            </w:pPr>
          </w:p>
        </w:tc>
        <w:tc>
          <w:tcPr>
            <w:tcW w:w="47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liability</w:t>
            </w:r>
          </w:p>
        </w:tc>
        <w:tc>
          <w:tcPr>
            <w:tcW w:w="47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6,999</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6,022</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Additional charges in the year*</w:t>
            </w:r>
          </w:p>
        </w:tc>
        <w:tc>
          <w:tcPr>
            <w:tcW w:w="4760" w:type="dxa"/>
            <w:vAlign w:val="bottom"/>
          </w:tcPr>
          <w:p>
            <w:pPr>
              <w:jc w:val="right"/>
              <w:ind w:right="156"/>
              <w:spacing w:after="0"/>
              <w:rPr>
                <w:sz w:val="20"/>
                <w:szCs w:val="20"/>
                <w:color w:val="auto"/>
              </w:rPr>
            </w:pPr>
            <w:r>
              <w:rPr>
                <w:rFonts w:ascii="Arial" w:cs="Arial" w:eastAsia="Arial" w:hAnsi="Arial"/>
                <w:sz w:val="13"/>
                <w:szCs w:val="13"/>
                <w:b w:val="1"/>
                <w:bCs w:val="1"/>
                <w:color w:val="auto"/>
              </w:rPr>
              <w:t>76,392</w:t>
            </w:r>
          </w:p>
        </w:tc>
        <w:tc>
          <w:tcPr>
            <w:tcW w:w="1260" w:type="dxa"/>
            <w:vAlign w:val="bottom"/>
          </w:tcPr>
          <w:p>
            <w:pPr>
              <w:jc w:val="right"/>
              <w:spacing w:after="0"/>
              <w:rPr>
                <w:sz w:val="20"/>
                <w:szCs w:val="20"/>
                <w:color w:val="auto"/>
              </w:rPr>
            </w:pPr>
            <w:r>
              <w:rPr>
                <w:rFonts w:ascii="Arial" w:cs="Arial" w:eastAsia="Arial" w:hAnsi="Arial"/>
                <w:sz w:val="13"/>
                <w:szCs w:val="13"/>
                <w:color w:val="auto"/>
              </w:rPr>
              <w:t>36,704</w:t>
            </w:r>
          </w:p>
        </w:tc>
      </w:tr>
      <w:tr>
        <w:trPr>
          <w:trHeight w:val="17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Utilisation</w:t>
            </w:r>
          </w:p>
        </w:tc>
        <w:tc>
          <w:tcPr>
            <w:tcW w:w="4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(51,917)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(35,727)</w:t>
            </w:r>
          </w:p>
        </w:tc>
      </w:tr>
      <w:tr>
        <w:trPr>
          <w:trHeight w:val="16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liability</w:t>
            </w:r>
          </w:p>
        </w:tc>
        <w:tc>
          <w:tcPr>
            <w:tcW w:w="4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31,474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6,999</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charge for the year ended 31 December 2024 reflects the workforce reduction of $74.5 million (31 December 2023: $34.1 million) and onerous contract costs of $1.9 million (31 December 2023:</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$2.6 million).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closing provision of $31.5 million (31 December 2023: $7.0 million) reflects: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 $27.7 million (31 December 2023: $4.0 million) of personnel related liabilities as a result of the workforce reduction; all of which have been classified within Current Liabilities - Provisions,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189" w:lineRule="exact"/>
        <w:rPr>
          <w:sz w:val="20"/>
          <w:szCs w:val="20"/>
          <w:color w:val="auto"/>
        </w:rPr>
      </w:pPr>
    </w:p>
    <w:p>
      <w:pPr>
        <w:ind w:firstLine="514"/>
        <w:spacing w:after="0" w:line="266" w:lineRule="auto"/>
        <w:tabs>
          <w:tab w:leader="none" w:pos="702" w:val="left"/>
        </w:tabs>
        <w:numPr>
          <w:ilvl w:val="0"/>
          <w:numId w:val="53"/>
        </w:numPr>
        <w:rPr>
          <w:rFonts w:ascii="Arial" w:cs="Arial" w:eastAsia="Arial" w:hAnsi="Arial"/>
          <w:sz w:val="13"/>
          <w:szCs w:val="13"/>
          <w:color w:val="auto"/>
        </w:rPr>
      </w:pPr>
      <w:r>
        <w:rPr>
          <w:rFonts w:ascii="Arial" w:cs="Arial" w:eastAsia="Arial" w:hAnsi="Arial"/>
          <w:sz w:val="13"/>
          <w:szCs w:val="13"/>
          <w:color w:val="auto"/>
        </w:rPr>
        <w:t>$3.8 million (31 December 2023: $3.0 million) of facilities related liabilities of which $1.4 million (31 December 2023: $1.0 million) is classified within Current Liabilities - Provisions and $2.4 million (31 December 2023: $2.0 million) is classified within Non-Current Liabilities - Provisions.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80"/>
          </w:cols>
          <w:pgMar w:left="300" w:top="698"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Payroll and related benefits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0" w:type="dxa"/>
            <w:vAlign w:val="bottom"/>
          </w:tcPr>
          <w:p>
            <w:pPr>
              <w:spacing w:after="0"/>
              <w:rPr>
                <w:sz w:val="20"/>
                <w:szCs w:val="20"/>
                <w:color w:val="auto"/>
              </w:rPr>
            </w:pPr>
            <w:r>
              <w:rPr>
                <w:rFonts w:ascii="Arial" w:cs="Arial" w:eastAsia="Arial" w:hAnsi="Arial"/>
                <w:sz w:val="13"/>
                <w:szCs w:val="13"/>
                <w:i w:val="1"/>
                <w:iCs w:val="1"/>
                <w:color w:val="auto"/>
              </w:rPr>
              <w:t>Payroll costs</w:t>
            </w: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7"/>
        </w:trPr>
        <w:tc>
          <w:tcPr>
            <w:tcW w:w="7800" w:type="dxa"/>
            <w:vAlign w:val="bottom"/>
          </w:tcPr>
          <w:p>
            <w:pPr>
              <w:spacing w:after="0"/>
              <w:rPr>
                <w:sz w:val="20"/>
                <w:szCs w:val="20"/>
                <w:color w:val="auto"/>
              </w:rPr>
            </w:pPr>
            <w:r>
              <w:rPr>
                <w:rFonts w:ascii="Arial" w:cs="Arial" w:eastAsia="Arial" w:hAnsi="Arial"/>
                <w:sz w:val="13"/>
                <w:szCs w:val="13"/>
                <w:color w:val="auto"/>
              </w:rPr>
              <w:t>The aggregate payroll costs of employees of the Group for the year ended 31 December 2024 and 31 December 2023 were as follows: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78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7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Wages and salaries</w:t>
            </w:r>
          </w:p>
        </w:tc>
        <w:tc>
          <w:tcPr>
            <w:tcW w:w="6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2,985,991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3,052,039</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Social welfare costs</w:t>
            </w:r>
          </w:p>
        </w:tc>
        <w:tc>
          <w:tcPr>
            <w:tcW w:w="6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547,550</w:t>
            </w:r>
          </w:p>
        </w:tc>
        <w:tc>
          <w:tcPr>
            <w:tcW w:w="1300" w:type="dxa"/>
            <w:vAlign w:val="bottom"/>
          </w:tcPr>
          <w:p>
            <w:pPr>
              <w:jc w:val="right"/>
              <w:spacing w:after="0"/>
              <w:rPr>
                <w:sz w:val="20"/>
                <w:szCs w:val="20"/>
                <w:color w:val="auto"/>
              </w:rPr>
            </w:pPr>
            <w:r>
              <w:rPr>
                <w:rFonts w:ascii="Arial" w:cs="Arial" w:eastAsia="Arial" w:hAnsi="Arial"/>
                <w:sz w:val="13"/>
                <w:szCs w:val="13"/>
                <w:color w:val="auto"/>
              </w:rPr>
              <w:t>533,629</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w:t>
            </w:r>
          </w:p>
        </w:tc>
        <w:tc>
          <w:tcPr>
            <w:tcW w:w="6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123,771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115,585</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680" w:type="dxa"/>
            <w:vAlign w:val="bottom"/>
          </w:tcPr>
          <w:p>
            <w:pPr>
              <w:jc w:val="right"/>
              <w:ind w:right="13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74,517</w:t>
            </w:r>
          </w:p>
        </w:tc>
        <w:tc>
          <w:tcPr>
            <w:tcW w:w="1300" w:type="dxa"/>
            <w:vAlign w:val="bottom"/>
          </w:tcPr>
          <w:p>
            <w:pPr>
              <w:jc w:val="right"/>
              <w:spacing w:after="0"/>
              <w:rPr>
                <w:sz w:val="20"/>
                <w:szCs w:val="20"/>
                <w:color w:val="auto"/>
              </w:rPr>
            </w:pPr>
            <w:r>
              <w:rPr>
                <w:rFonts w:ascii="Arial" w:cs="Arial" w:eastAsia="Arial" w:hAnsi="Arial"/>
                <w:sz w:val="13"/>
                <w:szCs w:val="13"/>
                <w:color w:val="auto"/>
              </w:rPr>
              <w:t>34,080</w:t>
            </w:r>
          </w:p>
        </w:tc>
      </w:tr>
      <w:tr>
        <w:trPr>
          <w:trHeight w:val="170"/>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6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11</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46,108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51,380</w:t>
            </w:r>
          </w:p>
        </w:tc>
      </w:tr>
      <w:tr>
        <w:trPr>
          <w:trHeight w:val="160"/>
        </w:trPr>
        <w:tc>
          <w:tcPr>
            <w:tcW w:w="780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680" w:type="dxa"/>
            <w:vAlign w:val="bottom"/>
          </w:tcPr>
          <w:p>
            <w:pPr>
              <w:spacing w:after="0"/>
              <w:rPr>
                <w:sz w:val="13"/>
                <w:szCs w:val="13"/>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3,777,937</w:t>
            </w:r>
          </w:p>
        </w:tc>
        <w:tc>
          <w:tcPr>
            <w:tcW w:w="1300" w:type="dxa"/>
            <w:vAlign w:val="bottom"/>
          </w:tcPr>
          <w:p>
            <w:pPr>
              <w:jc w:val="right"/>
              <w:spacing w:after="0"/>
              <w:rPr>
                <w:sz w:val="20"/>
                <w:szCs w:val="20"/>
                <w:color w:val="auto"/>
              </w:rPr>
            </w:pPr>
            <w:r>
              <w:rPr>
                <w:rFonts w:ascii="Arial" w:cs="Arial" w:eastAsia="Arial" w:hAnsi="Arial"/>
                <w:sz w:val="13"/>
                <w:szCs w:val="13"/>
                <w:color w:val="auto"/>
              </w:rPr>
              <w:t>3,786,713</w:t>
            </w:r>
          </w:p>
        </w:tc>
      </w:tr>
      <w:tr>
        <w:trPr>
          <w:trHeight w:val="170"/>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6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6,338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r>
      <w:tr>
        <w:trPr>
          <w:trHeight w:val="16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6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3,784,275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3,786,188</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2024 and 31 December 2023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Borders>
              <w:bottom w:val="single" w:sz="8" w:color="auto"/>
            </w:tcBorders>
            <w:shd w:val="clear" w:color="auto" w:fill="CCEEFF"/>
          </w:tcPr>
          <w:p>
            <w:pPr>
              <w:spacing w:after="0"/>
              <w:rPr>
                <w:sz w:val="14"/>
                <w:szCs w:val="14"/>
                <w:color w:val="auto"/>
              </w:rPr>
            </w:pPr>
          </w:p>
        </w:tc>
        <w:tc>
          <w:tcPr>
            <w:tcW w:w="5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9"/>
        </w:trPr>
        <w:tc>
          <w:tcPr>
            <w:tcW w:w="4820" w:type="dxa"/>
            <w:vAlign w:val="bottom"/>
          </w:tcPr>
          <w:p>
            <w:pPr>
              <w:ind w:left="20"/>
              <w:spacing w:after="0"/>
              <w:rPr>
                <w:sz w:val="20"/>
                <w:szCs w:val="20"/>
                <w:color w:val="auto"/>
              </w:rPr>
            </w:pPr>
            <w:r>
              <w:rPr>
                <w:rFonts w:ascii="Arial" w:cs="Arial" w:eastAsia="Arial" w:hAnsi="Arial"/>
                <w:sz w:val="13"/>
                <w:szCs w:val="13"/>
                <w:color w:val="auto"/>
              </w:rPr>
              <w:t>Marketing</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559</w:t>
            </w:r>
          </w:p>
        </w:tc>
        <w:tc>
          <w:tcPr>
            <w:tcW w:w="1300" w:type="dxa"/>
            <w:vAlign w:val="bottom"/>
          </w:tcPr>
          <w:p>
            <w:pPr>
              <w:jc w:val="right"/>
              <w:spacing w:after="0"/>
              <w:rPr>
                <w:sz w:val="20"/>
                <w:szCs w:val="20"/>
                <w:color w:val="auto"/>
              </w:rPr>
            </w:pPr>
            <w:r>
              <w:rPr>
                <w:rFonts w:ascii="Arial" w:cs="Arial" w:eastAsia="Arial" w:hAnsi="Arial"/>
                <w:sz w:val="13"/>
                <w:szCs w:val="13"/>
                <w:color w:val="auto"/>
              </w:rPr>
              <w:t>556</w:t>
            </w:r>
          </w:p>
        </w:tc>
      </w:tr>
      <w:tr>
        <w:trPr>
          <w:trHeight w:val="24"/>
        </w:trPr>
        <w:tc>
          <w:tcPr>
            <w:tcW w:w="4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Administration</w:t>
            </w:r>
          </w:p>
        </w:tc>
        <w:tc>
          <w:tcPr>
            <w:tcW w:w="5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3,681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3,580</w:t>
            </w:r>
          </w:p>
        </w:tc>
      </w:tr>
      <w:tr>
        <w:trPr>
          <w:trHeight w:val="170"/>
        </w:trPr>
        <w:tc>
          <w:tcPr>
            <w:tcW w:w="4820" w:type="dxa"/>
            <w:vAlign w:val="bottom"/>
          </w:tcPr>
          <w:p>
            <w:pPr>
              <w:ind w:left="20"/>
              <w:spacing w:after="0"/>
              <w:rPr>
                <w:sz w:val="20"/>
                <w:szCs w:val="20"/>
                <w:color w:val="auto"/>
              </w:rPr>
            </w:pPr>
            <w:r>
              <w:rPr>
                <w:rFonts w:ascii="Arial" w:cs="Arial" w:eastAsia="Arial" w:hAnsi="Arial"/>
                <w:sz w:val="13"/>
                <w:szCs w:val="13"/>
                <w:color w:val="auto"/>
              </w:rPr>
              <w:t>Clinical research</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33,582</w:t>
            </w:r>
          </w:p>
        </w:tc>
        <w:tc>
          <w:tcPr>
            <w:tcW w:w="1300" w:type="dxa"/>
            <w:vAlign w:val="bottom"/>
          </w:tcPr>
          <w:p>
            <w:pPr>
              <w:jc w:val="right"/>
              <w:spacing w:after="0"/>
              <w:rPr>
                <w:sz w:val="20"/>
                <w:szCs w:val="20"/>
                <w:color w:val="auto"/>
              </w:rPr>
            </w:pPr>
            <w:r>
              <w:rPr>
                <w:rFonts w:ascii="Arial" w:cs="Arial" w:eastAsia="Arial" w:hAnsi="Arial"/>
                <w:sz w:val="13"/>
                <w:szCs w:val="13"/>
                <w:color w:val="auto"/>
              </w:rPr>
              <w:t>33,458</w:t>
            </w:r>
          </w:p>
        </w:tc>
      </w:tr>
      <w:tr>
        <w:trPr>
          <w:trHeight w:val="17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w:t>
            </w:r>
          </w:p>
        </w:tc>
        <w:tc>
          <w:tcPr>
            <w:tcW w:w="5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3,038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2,809</w:t>
            </w:r>
          </w:p>
        </w:tc>
      </w:tr>
      <w:tr>
        <w:trPr>
          <w:trHeight w:val="16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40,860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40,403</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Remuneration policy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 and the CEO makes recommendations to the Committee regarding the performance assessment and the compensation package of the other key executives. Base salary, bonus awards and Directors’ fees were determined by the Compensation and Organisation Committee in U.S. dollars, euro or British pound sterling.</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19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Non-Executive Directors are remunerated by way of Directors’ fees and are also eligible for participation in the share equity incentive schemes. Up to 1 April 2024, each Non-Executive Directors (excluding the Board Chairman) was paid an annual retainer of $90,000 and additional fees for Board Committee service. With effect from 1 April 2024, the annual retainer was increased to $100,000.</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Mr. Murray’s Executive Chairman term expired on 12 May 2018 and he transitioned to the Non-Executive Chair. The current arrangement with the Chair provides for payment of €330,000 (translated at average rate for the year: $358,182) annually.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80"/>
          </w:cols>
          <w:pgMar w:left="300" w:top="698"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January 1, 2019 and receives an additional annual fee of $40,000 for this role.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Non-Executive Directors are not eligible for performance related bonuses and no pension contributions are made on their behalf. The Compensation and Organisation Committee sets Non-Executive Directors' remuneration.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Total cash compensation comprised of a base salary and a bonus incentive. The Committee targets total cash compensation with regard to healthcare/biopharmaceutical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85% and 135% of salary, based on Group and individual performance.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 bonus was awarded to Dr. Steve Cutler, Chief Executive Officer, Mr. Nigel Clerkin, Chief Financial Officer or Mr. Brendan Brennan, former Chief Financial Officer, for the year ended 31 December 2024. This was approved by the Compensation and Organisation Committee.</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w:t>
      </w:r>
    </w:p>
    <w:p>
      <w:pPr>
        <w:jc w:val="both"/>
        <w:spacing w:after="0" w:line="228" w:lineRule="auto"/>
        <w:rPr>
          <w:sz w:val="20"/>
          <w:szCs w:val="20"/>
          <w:color w:val="auto"/>
        </w:rPr>
      </w:pPr>
      <w:r>
        <w:rPr>
          <w:rFonts w:ascii="Arial" w:cs="Arial" w:eastAsia="Arial" w:hAnsi="Arial"/>
          <w:sz w:val="13"/>
          <w:szCs w:val="13"/>
          <w:color w:val="auto"/>
        </w:rPr>
        <w:t>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163"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During 2024, Performance Share Units (“PSUs”) which were awarded in 2021, subject to vesting, vested for Dr. Steve Cutler, Chief Executive Officer, in the amount of 4,452 from a potential grant of 20,708. The percentage granted reflects service and the Company's achievements of diluted non-GAAP specified EPS targets over the three year period from 2021 - 2023.</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During 2024, Performance Share Units (“PSUs”) which were awarded in 2021, subject to vesting, vested for Brendan Brennan, then Chief Financial Officer, in the amount of 1,050 from a potential grant of 4,888. The percentage granted reflects service and the Company's achievements of diluted non-GAAP specified EPS targets over the three year period from 2021 - 2023.</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Profit and Loss.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80"/>
          </w:cols>
          <w:pgMar w:left="300" w:top="698"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shd w:val="clear" w:color="auto" w:fill="CCEEFF"/>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at</w:t>
            </w:r>
          </w:p>
        </w:tc>
        <w:tc>
          <w:tcPr>
            <w:tcW w:w="6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Interest at</w:t>
            </w:r>
          </w:p>
        </w:tc>
        <w:tc>
          <w:tcPr>
            <w:tcW w:w="60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2024</w:t>
            </w: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31 December 2023</w:t>
            </w:r>
          </w:p>
        </w:tc>
        <w:tc>
          <w:tcPr>
            <w:tcW w:w="600" w:type="dxa"/>
            <w:vAlign w:val="bottom"/>
            <w:tcBorders>
              <w:bottom w:val="single" w:sz="8" w:color="auto"/>
            </w:tcBorders>
          </w:tcPr>
          <w:p>
            <w:pPr>
              <w:spacing w:after="0"/>
              <w:rPr>
                <w:sz w:val="14"/>
                <w:szCs w:val="14"/>
                <w:color w:val="auto"/>
              </w:rPr>
            </w:pP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80" w:type="dxa"/>
            <w:vAlign w:val="bottom"/>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222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Number of shares</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174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Number of shares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Options</w:t>
            </w: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20,000</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19,343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44,128</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239,822</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37,098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222,001</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Nigel Clerkin</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2,596</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8,084</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2,121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8,084</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427,297</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12,698</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449,775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23,255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Anne Whitaker</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060" w:type="dxa"/>
            <w:vAlign w:val="bottom"/>
          </w:tcPr>
          <w:p>
            <w:pPr>
              <w:ind w:left="20"/>
              <w:spacing w:after="0"/>
              <w:rPr>
                <w:sz w:val="20"/>
                <w:szCs w:val="20"/>
                <w:color w:val="auto"/>
              </w:rPr>
            </w:pPr>
            <w:r>
              <w:rPr>
                <w:rFonts w:ascii="Arial" w:cs="Arial" w:eastAsia="Arial" w:hAnsi="Arial"/>
                <w:sz w:val="13"/>
                <w:szCs w:val="13"/>
                <w:color w:val="auto"/>
              </w:rPr>
              <w:t>Eugene McCague</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2,560</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3,255</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2,121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2,367</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1,931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Linda Grais</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4,911</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4,435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3,000</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18,445</w:t>
            </w:r>
          </w:p>
        </w:tc>
        <w:tc>
          <w:tcPr>
            <w:tcW w:w="17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7,980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80"/>
          </w:cols>
          <w:pgMar w:left="300" w:top="698"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gridSpan w:val="2"/>
          </w:tcPr>
          <w:p>
            <w:pPr>
              <w:spacing w:after="0"/>
              <w:rPr>
                <w:sz w:val="20"/>
                <w:szCs w:val="20"/>
                <w:color w:val="auto"/>
              </w:rPr>
            </w:pPr>
            <w:r>
              <w:rPr>
                <w:rFonts w:ascii="Arial" w:cs="Arial" w:eastAsia="Arial" w:hAnsi="Arial"/>
                <w:sz w:val="13"/>
                <w:szCs w:val="13"/>
                <w:color w:val="auto"/>
              </w:rPr>
              <w:t>Further details regarding the above share options are as follows:</w:t>
            </w:r>
          </w:p>
        </w:tc>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87"/>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Options</w:t>
            </w:r>
          </w:p>
        </w:tc>
        <w:tc>
          <w:tcPr>
            <w:tcW w:w="226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b w:val="1"/>
                <w:bCs w:val="1"/>
                <w:color w:val="auto"/>
              </w:rPr>
              <w:t>Exercise price</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Grant date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Expiry date</w:t>
            </w:r>
          </w:p>
        </w:tc>
      </w:tr>
      <w:tr>
        <w:trPr>
          <w:trHeight w:val="159"/>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2,784</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$83.47</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2017</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29,613</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$115.11</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2018</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32,272</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$140.38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2019</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2027</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42,386</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$159.33</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2020</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2028</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37,461</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$174.96</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2021</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2029</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35,869</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$231.68</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2030</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29,116</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$233.88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2023</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2031</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30,321</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$325.51</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3 March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March 2032</w:t>
            </w:r>
          </w:p>
        </w:tc>
      </w:tr>
      <w:tr>
        <w:trPr>
          <w:trHeight w:val="160"/>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3,079</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$90.03</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19 May 2017</w:t>
            </w:r>
          </w:p>
        </w:tc>
        <w:tc>
          <w:tcPr>
            <w:tcW w:w="1500" w:type="dxa"/>
            <w:vAlign w:val="bottom"/>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60"/>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$90.03</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19 May 2017</w:t>
            </w:r>
          </w:p>
        </w:tc>
        <w:tc>
          <w:tcPr>
            <w:tcW w:w="1500" w:type="dxa"/>
            <w:vAlign w:val="bottom"/>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60"/>
        </w:trPr>
        <w:tc>
          <w:tcPr>
            <w:tcW w:w="20" w:type="dxa"/>
            <w:vAlign w:val="bottom"/>
          </w:tcPr>
          <w:p>
            <w:pPr>
              <w:spacing w:after="0"/>
              <w:rPr>
                <w:sz w:val="13"/>
                <w:szCs w:val="13"/>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3,255</w:t>
            </w:r>
          </w:p>
        </w:tc>
        <w:tc>
          <w:tcPr>
            <w:tcW w:w="2260" w:type="dxa"/>
            <w:vAlign w:val="bottom"/>
            <w:tcBorders>
              <w:bottom w:val="single" w:sz="8" w:color="auto"/>
            </w:tcBorders>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 May 2026</w:t>
            </w: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1,149</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$159.33</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2020</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2028</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2,213</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$174.96</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2021</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2029</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6,194</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$231.68</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2030</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4,865</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$233.88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2023</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2031</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4,024</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$325.51</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3 March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March 2032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280"/>
          </w:cols>
          <w:pgMar w:left="300" w:top="698"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The Directors, Executive Officer and Company Secretary held the following Restricted Share Units (“RSUs”) and Performance Share Units (“PSUs”) awards as at 31 December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RSUs</w:t>
            </w:r>
          </w:p>
        </w:tc>
        <w:tc>
          <w:tcPr>
            <w:tcW w:w="174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Award date</w:t>
            </w:r>
          </w:p>
        </w:tc>
        <w:tc>
          <w:tcPr>
            <w:tcW w:w="168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Vesting Date</w:t>
            </w:r>
          </w:p>
        </w:tc>
        <w:tc>
          <w:tcPr>
            <w:tcW w:w="124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PSUs</w:t>
            </w:r>
            <w:r>
              <w:rPr>
                <w:rFonts w:ascii="Arial" w:cs="Arial" w:eastAsia="Arial" w:hAnsi="Arial"/>
                <w:sz w:val="16"/>
                <w:szCs w:val="16"/>
                <w:b w:val="1"/>
                <w:bCs w:val="1"/>
                <w:color w:val="auto"/>
                <w:vertAlign w:val="superscript"/>
              </w:rPr>
              <w:t>(1)</w:t>
            </w:r>
          </w:p>
        </w:tc>
        <w:tc>
          <w:tcPr>
            <w:tcW w:w="17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9"/>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946</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3,019</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2022</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10,565</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2025</w:t>
            </w: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3,050</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10,675</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2026</w:t>
            </w: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3,080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10,782</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2027</w:t>
            </w: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3,050</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2026</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3,080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2026</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3,676</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0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3,082</w:t>
            </w:r>
          </w:p>
        </w:tc>
        <w:tc>
          <w:tcPr>
            <w:tcW w:w="17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3 March 2027</w:t>
            </w:r>
          </w:p>
        </w:tc>
        <w:tc>
          <w:tcPr>
            <w:tcW w:w="1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0"/>
        </w:trPr>
        <w:tc>
          <w:tcPr>
            <w:tcW w:w="2040" w:type="dxa"/>
            <w:vAlign w:val="bottom"/>
          </w:tcPr>
          <w:p>
            <w:pPr>
              <w:ind w:left="20"/>
              <w:spacing w:after="0"/>
              <w:rPr>
                <w:sz w:val="20"/>
                <w:szCs w:val="20"/>
                <w:color w:val="auto"/>
              </w:rPr>
            </w:pPr>
            <w:r>
              <w:rPr>
                <w:rFonts w:ascii="Arial" w:cs="Arial" w:eastAsia="Arial" w:hAnsi="Arial"/>
                <w:sz w:val="13"/>
                <w:szCs w:val="13"/>
                <w:color w:val="auto"/>
              </w:rPr>
              <w:t>Nigel Clerkin</w:t>
            </w: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2,778</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31 October 2024</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31 October 2025</w:t>
            </w:r>
          </w:p>
        </w:tc>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2,778</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31 October 2024</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31 October 2026</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2,780</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31 October 2024</w:t>
            </w: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31 October 2027</w:t>
            </w:r>
          </w:p>
        </w:tc>
        <w:tc>
          <w:tcPr>
            <w:tcW w:w="1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2024</w:t>
            </w:r>
          </w:p>
        </w:tc>
        <w:tc>
          <w:tcPr>
            <w:tcW w:w="16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22 May 2025</w:t>
            </w:r>
          </w:p>
        </w:tc>
        <w:tc>
          <w:tcPr>
            <w:tcW w:w="124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521</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2022</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1,824</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509</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1,783</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408</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2025</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1,431</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2027</w:t>
            </w: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510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2026</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408</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76"/>
              <w:spacing w:after="0"/>
              <w:rPr>
                <w:sz w:val="20"/>
                <w:szCs w:val="20"/>
                <w:color w:val="auto"/>
              </w:rPr>
            </w:pPr>
            <w:r>
              <w:rPr>
                <w:rFonts w:ascii="Arial" w:cs="Arial" w:eastAsia="Arial" w:hAnsi="Arial"/>
                <w:sz w:val="13"/>
                <w:szCs w:val="13"/>
                <w:color w:val="auto"/>
              </w:rPr>
              <w:t>3 March 2026</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410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1,635</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3 March 2027</w:t>
            </w:r>
          </w:p>
        </w:tc>
        <w:tc>
          <w:tcPr>
            <w:tcW w:w="1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66" w:lineRule="exact"/>
        <w:rPr>
          <w:sz w:val="20"/>
          <w:szCs w:val="20"/>
          <w:color w:val="auto"/>
        </w:rPr>
      </w:pPr>
    </w:p>
    <w:p>
      <w:pPr>
        <w:jc w:val="both"/>
        <w:ind w:left="260" w:hanging="255"/>
        <w:spacing w:after="0" w:line="259" w:lineRule="auto"/>
        <w:tabs>
          <w:tab w:leader="none" w:pos="256"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2022 – 2024, 2023 – 2025 and 2024 - 2026. Depending on the actual amount of EPS from 2022 to 2026, up to a maximum of 37,060 additional PSUs may also be granted to Dr. Steve Cutler and Mr. Diarmaid Cunningham.</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2024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Average</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3"/>
                <w:szCs w:val="13"/>
                <w:b w:val="1"/>
                <w:bCs w:val="1"/>
                <w:color w:val="auto"/>
                <w:w w:val="97"/>
              </w:rPr>
              <w:t>Average</w:t>
            </w:r>
          </w:p>
        </w:tc>
      </w:tr>
      <w:tr>
        <w:trPr>
          <w:trHeight w:val="159"/>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48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Number of Share Options</w:t>
            </w:r>
          </w:p>
        </w:tc>
        <w:tc>
          <w:tcPr>
            <w:tcW w:w="202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Exercise</w:t>
            </w:r>
          </w:p>
        </w:tc>
        <w:tc>
          <w:tcPr>
            <w:tcW w:w="1280" w:type="dxa"/>
            <w:vAlign w:val="bottom"/>
            <w:shd w:val="clear" w:color="auto" w:fill="CCEEFF"/>
          </w:tcPr>
          <w:p>
            <w:pPr>
              <w:ind w:left="900"/>
              <w:spacing w:after="0"/>
              <w:rPr>
                <w:sz w:val="20"/>
                <w:szCs w:val="20"/>
                <w:color w:val="auto"/>
              </w:rPr>
            </w:pPr>
            <w:r>
              <w:rPr>
                <w:rFonts w:ascii="Arial" w:cs="Arial" w:eastAsia="Arial" w:hAnsi="Arial"/>
                <w:sz w:val="13"/>
                <w:szCs w:val="13"/>
                <w:b w:val="1"/>
                <w:bCs w:val="1"/>
                <w:color w:val="auto"/>
              </w:rPr>
              <w:t>Sales</w:t>
            </w:r>
          </w:p>
        </w:tc>
      </w:tr>
      <w:tr>
        <w:trPr>
          <w:trHeight w:val="182"/>
        </w:trPr>
        <w:tc>
          <w:tcPr>
            <w:tcW w:w="3480" w:type="dxa"/>
            <w:vAlign w:val="bottom"/>
            <w:tcBorders>
              <w:bottom w:val="single" w:sz="8" w:color="auto"/>
            </w:tcBorders>
            <w:shd w:val="clear" w:color="auto" w:fill="CCEEFF"/>
          </w:tcPr>
          <w:p>
            <w:pPr>
              <w:spacing w:after="0"/>
              <w:rPr>
                <w:sz w:val="15"/>
                <w:szCs w:val="15"/>
                <w:color w:val="auto"/>
              </w:rPr>
            </w:pPr>
          </w:p>
        </w:tc>
        <w:tc>
          <w:tcPr>
            <w:tcW w:w="44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price</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w w:val="96"/>
              </w:rPr>
              <w:t>price</w:t>
            </w: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4480" w:type="dxa"/>
            <w:vAlign w:val="bottom"/>
          </w:tcPr>
          <w:p>
            <w:pPr>
              <w:jc w:val="right"/>
              <w:ind w:right="736"/>
              <w:spacing w:after="0"/>
              <w:rPr>
                <w:sz w:val="20"/>
                <w:szCs w:val="20"/>
                <w:color w:val="auto"/>
              </w:rPr>
            </w:pPr>
            <w:r>
              <w:rPr>
                <w:rFonts w:ascii="Arial" w:cs="Arial" w:eastAsia="Arial" w:hAnsi="Arial"/>
                <w:sz w:val="13"/>
                <w:szCs w:val="13"/>
                <w:color w:val="auto"/>
              </w:rPr>
              <w:t>18,518</w:t>
            </w:r>
          </w:p>
        </w:tc>
        <w:tc>
          <w:tcPr>
            <w:tcW w:w="2020" w:type="dxa"/>
            <w:vAlign w:val="bottom"/>
          </w:tcPr>
          <w:p>
            <w:pPr>
              <w:jc w:val="right"/>
              <w:ind w:right="716"/>
              <w:spacing w:after="0"/>
              <w:rPr>
                <w:sz w:val="20"/>
                <w:szCs w:val="20"/>
                <w:color w:val="auto"/>
              </w:rPr>
            </w:pPr>
            <w:r>
              <w:rPr>
                <w:rFonts w:ascii="Arial" w:cs="Arial" w:eastAsia="Arial" w:hAnsi="Arial"/>
                <w:sz w:val="13"/>
                <w:szCs w:val="13"/>
                <w:color w:val="auto"/>
              </w:rPr>
              <w:t>$178.22</w:t>
            </w:r>
          </w:p>
        </w:tc>
        <w:tc>
          <w:tcPr>
            <w:tcW w:w="1280" w:type="dxa"/>
            <w:vAlign w:val="bottom"/>
          </w:tcPr>
          <w:p>
            <w:pPr>
              <w:jc w:val="center"/>
              <w:ind w:left="636"/>
              <w:spacing w:after="0"/>
              <w:rPr>
                <w:sz w:val="20"/>
                <w:szCs w:val="20"/>
                <w:color w:val="auto"/>
              </w:rPr>
            </w:pPr>
            <w:r>
              <w:rPr>
                <w:rFonts w:ascii="Arial" w:cs="Arial" w:eastAsia="Arial" w:hAnsi="Arial"/>
                <w:sz w:val="13"/>
                <w:szCs w:val="13"/>
                <w:color w:val="auto"/>
                <w:w w:val="97"/>
              </w:rPr>
              <w:t>$325.99</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44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9,006</w:t>
            </w:r>
          </w:p>
        </w:tc>
        <w:tc>
          <w:tcPr>
            <w:tcW w:w="202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$162.76</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3"/>
                <w:szCs w:val="13"/>
                <w:color w:val="auto"/>
                <w:w w:val="97"/>
              </w:rPr>
              <w:t>$325.39</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4480" w:type="dxa"/>
            <w:vAlign w:val="bottom"/>
          </w:tcPr>
          <w:p>
            <w:pPr>
              <w:jc w:val="right"/>
              <w:ind w:right="736"/>
              <w:spacing w:after="0"/>
              <w:rPr>
                <w:sz w:val="20"/>
                <w:szCs w:val="20"/>
                <w:color w:val="auto"/>
              </w:rPr>
            </w:pPr>
            <w:r>
              <w:rPr>
                <w:rFonts w:ascii="Arial" w:cs="Arial" w:eastAsia="Arial" w:hAnsi="Arial"/>
                <w:sz w:val="13"/>
                <w:szCs w:val="13"/>
                <w:color w:val="auto"/>
              </w:rPr>
              <w:t>10,557</w:t>
            </w:r>
          </w:p>
        </w:tc>
        <w:tc>
          <w:tcPr>
            <w:tcW w:w="2020" w:type="dxa"/>
            <w:vAlign w:val="bottom"/>
          </w:tcPr>
          <w:p>
            <w:pPr>
              <w:jc w:val="right"/>
              <w:ind w:right="716"/>
              <w:spacing w:after="0"/>
              <w:rPr>
                <w:sz w:val="20"/>
                <w:szCs w:val="20"/>
                <w:color w:val="auto"/>
              </w:rPr>
            </w:pPr>
            <w:r>
              <w:rPr>
                <w:rFonts w:ascii="Arial" w:cs="Arial" w:eastAsia="Arial" w:hAnsi="Arial"/>
                <w:sz w:val="13"/>
                <w:szCs w:val="13"/>
                <w:color w:val="auto"/>
              </w:rPr>
              <w:t>$65.60</w:t>
            </w:r>
          </w:p>
        </w:tc>
        <w:tc>
          <w:tcPr>
            <w:tcW w:w="1280" w:type="dxa"/>
            <w:vAlign w:val="bottom"/>
          </w:tcPr>
          <w:p>
            <w:pPr>
              <w:jc w:val="center"/>
              <w:ind w:left="636"/>
              <w:spacing w:after="0"/>
              <w:rPr>
                <w:sz w:val="20"/>
                <w:szCs w:val="20"/>
                <w:color w:val="auto"/>
              </w:rPr>
            </w:pPr>
            <w:r>
              <w:rPr>
                <w:rFonts w:ascii="Arial" w:cs="Arial" w:eastAsia="Arial" w:hAnsi="Arial"/>
                <w:sz w:val="13"/>
                <w:szCs w:val="13"/>
                <w:color w:val="auto"/>
                <w:w w:val="97"/>
              </w:rPr>
              <w:t>$321.34</w:t>
            </w:r>
          </w:p>
        </w:tc>
      </w:tr>
      <w:tr>
        <w:trPr>
          <w:trHeight w:val="17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44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1,750</w:t>
            </w:r>
          </w:p>
        </w:tc>
        <w:tc>
          <w:tcPr>
            <w:tcW w:w="20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$125.74</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$332.62</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 Mr. Brendan Brennan resigned on 31 October 2024.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80"/>
          </w:cols>
          <w:pgMar w:left="300" w:top="698"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held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40" w:type="dxa"/>
            <w:vAlign w:val="bottom"/>
            <w:vMerge w:val="restart"/>
            <w:shd w:val="clear" w:color="auto" w:fill="CCEEFF"/>
          </w:tcPr>
          <w:p>
            <w:pPr>
              <w:jc w:val="center"/>
              <w:ind w:left="187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6040" w:type="dxa"/>
            <w:vAlign w:val="bottom"/>
            <w:vMerge w:val="continue"/>
            <w:shd w:val="clear" w:color="auto" w:fill="CCEEFF"/>
          </w:tcPr>
          <w:p>
            <w:pPr>
              <w:spacing w:after="0"/>
              <w:rPr>
                <w:sz w:val="11"/>
                <w:szCs w:val="11"/>
                <w:color w:val="auto"/>
              </w:rPr>
            </w:pPr>
          </w:p>
        </w:tc>
        <w:tc>
          <w:tcPr>
            <w:tcW w:w="394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shd w:val="clear" w:color="auto" w:fill="CCEEFF"/>
          </w:tcPr>
          <w:p>
            <w:pPr>
              <w:jc w:val="center"/>
              <w:ind w:left="185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12,500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$83.47</w:t>
            </w:r>
          </w:p>
        </w:tc>
        <w:tc>
          <w:tcPr>
            <w:tcW w:w="0" w:type="dxa"/>
            <w:vAlign w:val="bottom"/>
          </w:tcPr>
          <w:p>
            <w:pPr>
              <w:spacing w:after="0"/>
              <w:rPr>
                <w:sz w:val="1"/>
                <w:szCs w:val="1"/>
                <w:color w:val="auto"/>
              </w:rPr>
            </w:pPr>
          </w:p>
        </w:tc>
      </w:tr>
      <w:tr>
        <w:trPr>
          <w:trHeight w:val="494"/>
        </w:trPr>
        <w:tc>
          <w:tcPr>
            <w:tcW w:w="6040" w:type="dxa"/>
            <w:vAlign w:val="bottom"/>
          </w:tcPr>
          <w:p>
            <w:pPr>
              <w:spacing w:after="0"/>
              <w:rPr>
                <w:sz w:val="20"/>
                <w:szCs w:val="20"/>
                <w:color w:val="auto"/>
              </w:rPr>
            </w:pPr>
            <w:r>
              <w:rPr>
                <w:rFonts w:ascii="Arial" w:cs="Arial" w:eastAsia="Arial" w:hAnsi="Arial"/>
                <w:sz w:val="13"/>
                <w:szCs w:val="13"/>
                <w:b w:val="1"/>
                <w:bCs w:val="1"/>
                <w:color w:val="auto"/>
              </w:rPr>
              <w:t>RSUs and PSUs vested</w:t>
            </w:r>
          </w:p>
        </w:tc>
        <w:tc>
          <w:tcPr>
            <w:tcW w:w="3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04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40" w:type="dxa"/>
            <w:vAlign w:val="bottom"/>
            <w:vMerge w:val="restart"/>
            <w:shd w:val="clear" w:color="auto" w:fill="CCEEFF"/>
          </w:tcPr>
          <w:p>
            <w:pPr>
              <w:jc w:val="center"/>
              <w:ind w:left="187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6040" w:type="dxa"/>
            <w:vAlign w:val="bottom"/>
            <w:vMerge w:val="continue"/>
            <w:shd w:val="clear" w:color="auto" w:fill="CCEEFF"/>
          </w:tcPr>
          <w:p>
            <w:pPr>
              <w:spacing w:after="0"/>
              <w:rPr>
                <w:sz w:val="11"/>
                <w:szCs w:val="11"/>
                <w:color w:val="auto"/>
              </w:rPr>
            </w:pPr>
          </w:p>
        </w:tc>
        <w:tc>
          <w:tcPr>
            <w:tcW w:w="394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shd w:val="clear" w:color="auto" w:fill="CCEEFF"/>
          </w:tcPr>
          <w:p>
            <w:pPr>
              <w:jc w:val="center"/>
              <w:ind w:left="185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13,479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$325.51</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2,974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$325.51</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1,389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926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$316.94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2,124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$325.51</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Arial" w:cs="Arial" w:eastAsia="Arial" w:hAnsi="Arial"/>
                <w:sz w:val="13"/>
                <w:szCs w:val="13"/>
                <w:color w:val="auto"/>
              </w:rPr>
              <w:t>* Mr. Brendan Brennan resigned on 31 October 2024.</w:t>
            </w:r>
          </w:p>
        </w:tc>
        <w:tc>
          <w:tcPr>
            <w:tcW w:w="3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60"/>
              <w:spacing w:after="0"/>
              <w:rPr>
                <w:sz w:val="20"/>
                <w:szCs w:val="20"/>
                <w:color w:val="auto"/>
              </w:rPr>
            </w:pPr>
            <w:r>
              <w:rPr>
                <w:rFonts w:ascii="Arial" w:cs="Arial" w:eastAsia="Arial" w:hAnsi="Arial"/>
                <w:sz w:val="13"/>
                <w:szCs w:val="13"/>
                <w:color w:val="auto"/>
              </w:rPr>
              <w:t>** Ms. Joan Garahy retired from the Board on 23 July 2024.</w:t>
            </w:r>
          </w:p>
        </w:tc>
        <w:tc>
          <w:tcPr>
            <w:tcW w:w="3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04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3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04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40" w:type="dxa"/>
            <w:vAlign w:val="bottom"/>
            <w:vMerge w:val="restart"/>
            <w:shd w:val="clear" w:color="auto" w:fill="CCEEFF"/>
          </w:tcPr>
          <w:p>
            <w:pPr>
              <w:jc w:val="center"/>
              <w:ind w:left="187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6040" w:type="dxa"/>
            <w:vAlign w:val="bottom"/>
            <w:vMerge w:val="continue"/>
            <w:shd w:val="clear" w:color="auto" w:fill="CCEEFF"/>
          </w:tcPr>
          <w:p>
            <w:pPr>
              <w:spacing w:after="0"/>
              <w:rPr>
                <w:sz w:val="11"/>
                <w:szCs w:val="11"/>
                <w:color w:val="auto"/>
              </w:rPr>
            </w:pPr>
          </w:p>
        </w:tc>
        <w:tc>
          <w:tcPr>
            <w:tcW w:w="394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shd w:val="clear" w:color="auto" w:fill="CCEEFF"/>
          </w:tcPr>
          <w:p>
            <w:pPr>
              <w:jc w:val="center"/>
              <w:ind w:left="185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21,449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$332.14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24,079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$319.81</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732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$316.77</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451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$317.24</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23,404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$242.67</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$318.37</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487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$318.30</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490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$316.80</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39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450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$318.52</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39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7,104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$329.07</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 Mr. Brendan Brennan resigned on 31 October 2024.</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3"/>
          <w:szCs w:val="13"/>
          <w:color w:val="auto"/>
        </w:rPr>
        <w:t>** Ms. Joan Garahy retired from the Board on 23 July 2024.</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The price of the Company’s ordinary shares during the year ended 31 December 2024 moved in the range of $183.38 to $347.72 (year ended 31 December 2023: in the range of $181.92 to $288.50).</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closing share price at 31 December 2024 was $209.71 (at 31 December 2023: $283.07).</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280"/>
          </w:cols>
          <w:pgMar w:left="300" w:top="698"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2024</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340" w:type="dxa"/>
            <w:vAlign w:val="bottom"/>
            <w:tcBorders>
              <w:top w:val="single" w:sz="8" w:color="auto"/>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9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Salary</w:t>
            </w:r>
          </w:p>
        </w:tc>
        <w:tc>
          <w:tcPr>
            <w:tcW w:w="1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0"/>
        </w:trPr>
        <w:tc>
          <w:tcPr>
            <w:tcW w:w="1340" w:type="dxa"/>
            <w:vAlign w:val="bottom"/>
            <w:tcBorders>
              <w:left w:val="single" w:sz="8" w:color="auto"/>
              <w:bottom w:val="single" w:sz="8" w:color="auto"/>
              <w:right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contribution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 xml:space="preserve">payments </w:t>
            </w:r>
            <w:r>
              <w:rPr>
                <w:rFonts w:ascii="Arial" w:cs="Arial" w:eastAsia="Arial" w:hAnsi="Arial"/>
                <w:sz w:val="14"/>
                <w:szCs w:val="14"/>
                <w:b w:val="1"/>
                <w:bCs w:val="1"/>
                <w:color w:val="auto"/>
                <w:vertAlign w:val="superscript"/>
              </w:rPr>
              <w:t>(1)</w:t>
            </w:r>
          </w:p>
        </w:tc>
        <w:tc>
          <w:tcPr>
            <w:tcW w:w="98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358</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1,234</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130</w:t>
            </w:r>
          </w:p>
        </w:tc>
        <w:tc>
          <w:tcPr>
            <w:tcW w:w="1300" w:type="dxa"/>
            <w:vAlign w:val="bottom"/>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1,395</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4,232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5,671</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Nigel Clerkin </w:t>
            </w:r>
            <w:r>
              <w:rPr>
                <w:rFonts w:ascii="Arial" w:cs="Arial" w:eastAsia="Arial" w:hAnsi="Arial"/>
                <w:sz w:val="16"/>
                <w:szCs w:val="16"/>
                <w:color w:val="auto"/>
                <w:vertAlign w:val="superscript"/>
              </w:rPr>
              <w:t>(2)</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124</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142</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192</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Brendan Brennan </w:t>
            </w:r>
            <w:r>
              <w:rPr>
                <w:rFonts w:ascii="Arial" w:cs="Arial" w:eastAsia="Arial" w:hAnsi="Arial"/>
                <w:sz w:val="16"/>
                <w:szCs w:val="16"/>
                <w:color w:val="auto"/>
                <w:vertAlign w:val="superscript"/>
              </w:rPr>
              <w:t>(3)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619</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77</w:t>
            </w:r>
          </w:p>
        </w:tc>
        <w:tc>
          <w:tcPr>
            <w:tcW w:w="1300" w:type="dxa"/>
            <w:vAlign w:val="bottom"/>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27</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723</w:t>
            </w: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(1,150)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174</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98</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Joan Garahy </w:t>
            </w:r>
            <w:r>
              <w:rPr>
                <w:rFonts w:ascii="Arial" w:cs="Arial" w:eastAsia="Arial" w:hAnsi="Arial"/>
                <w:sz w:val="16"/>
                <w:szCs w:val="16"/>
                <w:color w:val="auto"/>
                <w:vertAlign w:val="superscript"/>
              </w:rPr>
              <w:t>(4)</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78</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130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119</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bottom w:val="single" w:sz="8" w:color="auto"/>
              <w:right w:val="single" w:sz="8" w:color="auto"/>
            </w:tcBorders>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Anne Whitaker </w:t>
            </w:r>
            <w:r>
              <w:rPr>
                <w:rFonts w:ascii="Arial" w:cs="Arial" w:eastAsia="Arial" w:hAnsi="Arial"/>
                <w:sz w:val="16"/>
                <w:szCs w:val="16"/>
                <w:color w:val="auto"/>
                <w:vertAlign w:val="superscript"/>
              </w:rPr>
              <w:t>(5)</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2024</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1,977</w:t>
            </w: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207</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76</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2,260</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4,717</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1,168</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8,145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firstLine="5"/>
        <w:spacing w:after="0" w:line="303" w:lineRule="auto"/>
        <w:tabs>
          <w:tab w:leader="none" w:pos="170" w:val="left"/>
        </w:tabs>
        <w:numPr>
          <w:ilvl w:val="0"/>
          <w:numId w:val="55"/>
        </w:numPr>
        <w:rPr>
          <w:rFonts w:ascii="Arial" w:cs="Arial" w:eastAsia="Arial" w:hAnsi="Arial"/>
          <w:sz w:val="11"/>
          <w:szCs w:val="11"/>
          <w:color w:val="auto"/>
        </w:rPr>
      </w:pPr>
      <w:r>
        <w:rPr>
          <w:rFonts w:ascii="Arial" w:cs="Arial" w:eastAsia="Arial" w:hAnsi="Arial"/>
          <w:sz w:val="11"/>
          <w:szCs w:val="11"/>
          <w:color w:val="auto"/>
        </w:rPr>
        <w:t>Share-based payments is the IFRS 2 expense related to share options, RSUs and PSUs. The aggregate amount of the gains earned by the Directors on the exercise of share options during the financial year is disclosed in Note 6 Profit before taxation under ‘Directors’ emoluments’.</w:t>
      </w:r>
    </w:p>
    <w:p>
      <w:pPr>
        <w:spacing w:after="0" w:line="147" w:lineRule="exact"/>
        <w:rPr>
          <w:rFonts w:ascii="Arial" w:cs="Arial" w:eastAsia="Arial" w:hAnsi="Arial"/>
          <w:sz w:val="11"/>
          <w:szCs w:val="11"/>
          <w:color w:val="auto"/>
        </w:rPr>
      </w:pPr>
    </w:p>
    <w:p>
      <w:pPr>
        <w:ind w:left="180" w:hanging="175"/>
        <w:spacing w:after="0"/>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Mr. Nigel Clerkin commenced employment with the Company in October 2024 and effective 31 October 2024 took over from Mr. Brendan Brennan as CFO.</w:t>
      </w:r>
    </w:p>
    <w:p>
      <w:pPr>
        <w:spacing w:after="0" w:line="202" w:lineRule="exact"/>
        <w:rPr>
          <w:rFonts w:ascii="Arial" w:cs="Arial" w:eastAsia="Arial" w:hAnsi="Arial"/>
          <w:sz w:val="11"/>
          <w:szCs w:val="11"/>
          <w:color w:val="auto"/>
        </w:rPr>
      </w:pPr>
    </w:p>
    <w:p>
      <w:pPr>
        <w:ind w:firstLine="5"/>
        <w:spacing w:after="0" w:line="303" w:lineRule="auto"/>
        <w:tabs>
          <w:tab w:leader="none" w:pos="170" w:val="left"/>
        </w:tabs>
        <w:numPr>
          <w:ilvl w:val="0"/>
          <w:numId w:val="55"/>
        </w:numPr>
        <w:rPr>
          <w:rFonts w:ascii="Arial" w:cs="Arial" w:eastAsia="Arial" w:hAnsi="Arial"/>
          <w:sz w:val="11"/>
          <w:szCs w:val="11"/>
          <w:color w:val="auto"/>
        </w:rPr>
      </w:pPr>
      <w:r>
        <w:rPr>
          <w:rFonts w:ascii="Arial" w:cs="Arial" w:eastAsia="Arial" w:hAnsi="Arial"/>
          <w:sz w:val="11"/>
          <w:szCs w:val="11"/>
          <w:color w:val="auto"/>
        </w:rPr>
        <w:t>Mr. Brendan Brennan resigned on 31 October 2024. All unvested options, Restricted Share Units and Performance Share Units were forfeited on Mr. Brennan ceasing to be an ICON plc employee on 31 October 2024 resulting in a credit to share based compensation of $1.2 million. Included within this credit, is a charge of $0.1 million related to awards which vested during the period.</w:t>
      </w:r>
    </w:p>
    <w:p>
      <w:pPr>
        <w:spacing w:after="0" w:line="136" w:lineRule="exact"/>
        <w:rPr>
          <w:rFonts w:ascii="Arial" w:cs="Arial" w:eastAsia="Arial" w:hAnsi="Arial"/>
          <w:sz w:val="11"/>
          <w:szCs w:val="11"/>
          <w:color w:val="auto"/>
        </w:rPr>
      </w:pPr>
    </w:p>
    <w:p>
      <w:pPr>
        <w:ind w:left="180" w:hanging="175"/>
        <w:spacing w:after="0"/>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Ms. Joan Garahy retired from the Board on 23 July 2024.</w:t>
      </w:r>
    </w:p>
    <w:p>
      <w:pPr>
        <w:spacing w:after="0" w:line="21" w:lineRule="exact"/>
        <w:rPr>
          <w:rFonts w:ascii="Arial" w:cs="Arial" w:eastAsia="Arial" w:hAnsi="Arial"/>
          <w:sz w:val="11"/>
          <w:szCs w:val="11"/>
          <w:color w:val="auto"/>
        </w:rPr>
      </w:pPr>
    </w:p>
    <w:p>
      <w:pPr>
        <w:ind w:left="180" w:hanging="175"/>
        <w:spacing w:after="0"/>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Ms. Anne Whitaker was appointed to the Board on 23 July 2024.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280"/>
          </w:cols>
          <w:pgMar w:left="300" w:top="698"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2023</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340" w:type="dxa"/>
            <w:vAlign w:val="bottom"/>
            <w:tcBorders>
              <w:top w:val="single" w:sz="8" w:color="auto"/>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9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Salary</w:t>
            </w:r>
          </w:p>
        </w:tc>
        <w:tc>
          <w:tcPr>
            <w:tcW w:w="1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0"/>
        </w:trPr>
        <w:tc>
          <w:tcPr>
            <w:tcW w:w="1340" w:type="dxa"/>
            <w:vAlign w:val="bottom"/>
            <w:tcBorders>
              <w:left w:val="single" w:sz="8" w:color="auto"/>
              <w:bottom w:val="single" w:sz="8" w:color="auto"/>
              <w:right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contribution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 xml:space="preserve">payments </w:t>
            </w:r>
            <w:r>
              <w:rPr>
                <w:rFonts w:ascii="Arial" w:cs="Arial" w:eastAsia="Arial" w:hAnsi="Arial"/>
                <w:sz w:val="14"/>
                <w:szCs w:val="14"/>
                <w:b w:val="1"/>
                <w:bCs w:val="1"/>
                <w:color w:val="auto"/>
                <w:vertAlign w:val="superscript"/>
              </w:rPr>
              <w:t>(1)</w:t>
            </w:r>
          </w:p>
        </w:tc>
        <w:tc>
          <w:tcPr>
            <w:tcW w:w="98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356</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1,191</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125</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1,197</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2,544</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5,980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8,568</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587</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73</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1,072</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1,103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159</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200</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103</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1,778</w:t>
            </w: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198</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1,578</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3,616</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8,583</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1,113</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13,312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firstLine="5"/>
        <w:spacing w:after="0" w:line="303" w:lineRule="auto"/>
        <w:tabs>
          <w:tab w:leader="none" w:pos="170"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6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is specified in each Stock Option Agreement, however, option prices are not less than 100% of the fair market value of an ordinary share on the date the option is granted. Share option awards are granted with an exercise price equal to the market price of the Company's shares at date of grant. Share options typically vest over a period of four to five years from date of grant and expire eight years from date of grant.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80"/>
          </w:cols>
          <w:pgMar w:left="300" w:top="698"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PRA Equity Incentive Plans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the PRA equity incentive plans, that have been terminated as of 1 July 2021, as to grants of future awards.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Pursuant to the Merger Agreement, effective on 1 July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1 July 2021, and the corresponding value of the Merger consideration for each PRA Share. Accordingly, the plans as detailed below were assumed by the Company.</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PRA Health Sciences, Inc. 2020 Stock Incentive Plan (the "2020 Plan”), 2018 Stock Incentive Plan (the "2018 Plan") and 2014 Omnibus Incentive Plan (the "2014 Plan") were amended and restated and assumed by the Company effective as of 1 July 2021.</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2020 Stock Incentive Plan (“the 2020 Plan”), was approved by the PRA stockholders at their annual meeting on 18 May 2020. The 2020 Plan allowed for the issuance of stock options, stock appreciation rights, restricted shares and restricted stock units, other stock-based awards, and performance compensation awards as permitted by applicable laws. The 2020 Plan authorised the issuance of 2,500,000 shares of common stock plus all shares that remained available under the prior plan on 18 May 2020.</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2018 Stock Incentive Plan (the “2018 Plan”), was approved by the PRA stockholders at their annual meeting on 31 May 2018. The 2018 Plan allowed for the issuance of stock options, stock appreciation rights, restricted shares and restricted stock units, other stock-based awards, and performance compensation awards as permitted by applicable laws. The 2018 Plan authorised the issuance of 2,000,000 shares of common stock plus all shares that remained available under the 2014 Plan on 31 May 2018 (which included shares carried over from the 2013 Plan).</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23 November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Overall</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four to five years from date of grant and expire eight to ten years from date of grant. Share options granted to non-executive directors during 2018 vest over 12 months and expire eight years from the date of grant. The maximum contractual term of options outstanding at 31 December 2024 is ten years.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3500" w:type="dxa"/>
            <w:vAlign w:val="bottom"/>
          </w:tcPr>
          <w:p>
            <w:pPr>
              <w:spacing w:after="0"/>
              <w:rPr>
                <w:sz w:val="10"/>
                <w:szCs w:val="10"/>
                <w:color w:val="auto"/>
              </w:rPr>
            </w:pPr>
          </w:p>
        </w:tc>
        <w:tc>
          <w:tcPr>
            <w:tcW w:w="386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96"/>
              <w:spacing w:after="0" w:line="118" w:lineRule="exact"/>
              <w:rPr>
                <w:sz w:val="20"/>
                <w:szCs w:val="20"/>
                <w:color w:val="auto"/>
              </w:rPr>
            </w:pPr>
            <w:r>
              <w:rPr>
                <w:rFonts w:ascii="Arial" w:cs="Arial" w:eastAsia="Arial" w:hAnsi="Arial"/>
                <w:sz w:val="13"/>
                <w:szCs w:val="13"/>
                <w:color w:val="auto"/>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3500" w:type="dxa"/>
            <w:vAlign w:val="bottom"/>
          </w:tcPr>
          <w:p>
            <w:pPr>
              <w:spacing w:after="0"/>
              <w:rPr>
                <w:sz w:val="14"/>
                <w:szCs w:val="14"/>
                <w:color w:val="auto"/>
              </w:rPr>
            </w:pPr>
          </w:p>
        </w:tc>
        <w:tc>
          <w:tcPr>
            <w:tcW w:w="3860" w:type="dxa"/>
            <w:vAlign w:val="bottom"/>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280" w:type="dxa"/>
            <w:vAlign w:val="bottom"/>
          </w:tcPr>
          <w:p>
            <w:pPr>
              <w:jc w:val="right"/>
              <w:ind w:right="296"/>
              <w:spacing w:after="0"/>
              <w:rPr>
                <w:sz w:val="20"/>
                <w:szCs w:val="20"/>
                <w:color w:val="auto"/>
              </w:rPr>
            </w:pPr>
            <w:r>
              <w:rPr>
                <w:rFonts w:ascii="Arial" w:cs="Arial" w:eastAsia="Arial" w:hAnsi="Arial"/>
                <w:sz w:val="13"/>
                <w:szCs w:val="13"/>
                <w:color w:val="auto"/>
              </w:rPr>
              <w:t>2023</w:t>
            </w:r>
          </w:p>
        </w:tc>
        <w:tc>
          <w:tcPr>
            <w:tcW w:w="1780" w:type="dxa"/>
            <w:vAlign w:val="bottom"/>
          </w:tcPr>
          <w:p>
            <w:pPr>
              <w:jc w:val="right"/>
              <w:ind w:right="576"/>
              <w:spacing w:after="0"/>
              <w:rPr>
                <w:sz w:val="20"/>
                <w:szCs w:val="20"/>
                <w:color w:val="auto"/>
              </w:rPr>
            </w:pPr>
            <w:r>
              <w:rPr>
                <w:rFonts w:ascii="Arial" w:cs="Arial" w:eastAsia="Arial" w:hAnsi="Arial"/>
                <w:sz w:val="13"/>
                <w:szCs w:val="13"/>
                <w:b w:val="1"/>
                <w:bCs w:val="1"/>
                <w:color w:val="auto"/>
              </w:rPr>
              <w:t>2024</w:t>
            </w:r>
          </w:p>
        </w:tc>
        <w:tc>
          <w:tcPr>
            <w:tcW w:w="860" w:type="dxa"/>
            <w:vAlign w:val="bottom"/>
          </w:tcPr>
          <w:p>
            <w:pPr>
              <w:jc w:val="right"/>
              <w:spacing w:after="0"/>
              <w:rPr>
                <w:sz w:val="20"/>
                <w:szCs w:val="20"/>
                <w:color w:val="auto"/>
              </w:rPr>
            </w:pPr>
            <w:r>
              <w:rPr>
                <w:rFonts w:ascii="Arial" w:cs="Arial" w:eastAsia="Arial" w:hAnsi="Arial"/>
                <w:sz w:val="13"/>
                <w:szCs w:val="13"/>
                <w:color w:val="auto"/>
              </w:rPr>
              <w:t>2023</w:t>
            </w: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2008 Stock Option Plans</w:t>
            </w:r>
          </w:p>
        </w:tc>
        <w:tc>
          <w:tcPr>
            <w:tcW w:w="38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622,292</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902,806</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2,757,161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2,787,687</w:t>
            </w:r>
          </w:p>
        </w:tc>
      </w:tr>
      <w:tr>
        <w:trPr>
          <w:trHeight w:val="16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622,292</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902,806</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2,757,161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2,787,687</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65"/>
        </w:trPr>
        <w:tc>
          <w:tcPr>
            <w:tcW w:w="3500" w:type="dxa"/>
            <w:vAlign w:val="bottom"/>
          </w:tcPr>
          <w:p>
            <w:pPr>
              <w:spacing w:after="0"/>
              <w:rPr>
                <w:sz w:val="24"/>
                <w:szCs w:val="24"/>
                <w:color w:val="auto"/>
              </w:rPr>
            </w:pPr>
          </w:p>
        </w:tc>
        <w:tc>
          <w:tcPr>
            <w:tcW w:w="3860" w:type="dxa"/>
            <w:vAlign w:val="bottom"/>
          </w:tcPr>
          <w:p>
            <w:pPr>
              <w:jc w:val="right"/>
              <w:ind w:right="1576"/>
              <w:spacing w:after="0"/>
              <w:rPr>
                <w:sz w:val="20"/>
                <w:szCs w:val="20"/>
                <w:color w:val="auto"/>
              </w:rPr>
            </w:pPr>
            <w:r>
              <w:rPr>
                <w:rFonts w:ascii="Arial" w:cs="Arial" w:eastAsia="Arial" w:hAnsi="Arial"/>
                <w:sz w:val="13"/>
                <w:szCs w:val="13"/>
                <w:color w:val="auto"/>
              </w:rPr>
              <w:t>76</w:t>
            </w: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2024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Number of</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0"/>
        </w:trPr>
        <w:tc>
          <w:tcPr>
            <w:tcW w:w="53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Options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2022</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1,378,119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$119.86</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3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82,472</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$232.48</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360" w:type="dxa"/>
            <w:vAlign w:val="bottom"/>
          </w:tcPr>
          <w:p>
            <w:pPr>
              <w:jc w:val="right"/>
              <w:ind w:right="356"/>
              <w:spacing w:after="0"/>
              <w:rPr>
                <w:sz w:val="20"/>
                <w:szCs w:val="20"/>
                <w:color w:val="auto"/>
              </w:rPr>
            </w:pPr>
            <w:r>
              <w:rPr>
                <w:rFonts w:ascii="Arial" w:cs="Arial" w:eastAsia="Arial" w:hAnsi="Arial"/>
                <w:sz w:val="13"/>
                <w:szCs w:val="13"/>
                <w:color w:val="auto"/>
              </w:rPr>
              <w:t>(535,705)</w:t>
            </w:r>
          </w:p>
        </w:tc>
        <w:tc>
          <w:tcPr>
            <w:tcW w:w="1540" w:type="dxa"/>
            <w:vAlign w:val="bottom"/>
          </w:tcPr>
          <w:p>
            <w:pPr>
              <w:jc w:val="right"/>
              <w:spacing w:after="0"/>
              <w:rPr>
                <w:sz w:val="20"/>
                <w:szCs w:val="20"/>
                <w:color w:val="auto"/>
              </w:rPr>
            </w:pPr>
            <w:r>
              <w:rPr>
                <w:rFonts w:ascii="Arial" w:cs="Arial" w:eastAsia="Arial" w:hAnsi="Arial"/>
                <w:sz w:val="13"/>
                <w:szCs w:val="13"/>
                <w:color w:val="auto"/>
              </w:rPr>
              <w:t>$95.12</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Forfeited/expired</w:t>
            </w: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(22,080)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$196.20</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2023</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902,806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$142.96</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3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68,380</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$325.51</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360" w:type="dxa"/>
            <w:vAlign w:val="bottom"/>
          </w:tcPr>
          <w:p>
            <w:pPr>
              <w:jc w:val="right"/>
              <w:ind w:right="356"/>
              <w:spacing w:after="0"/>
              <w:rPr>
                <w:sz w:val="20"/>
                <w:szCs w:val="20"/>
                <w:color w:val="auto"/>
              </w:rPr>
            </w:pPr>
            <w:r>
              <w:rPr>
                <w:rFonts w:ascii="Arial" w:cs="Arial" w:eastAsia="Arial" w:hAnsi="Arial"/>
                <w:sz w:val="13"/>
                <w:szCs w:val="13"/>
                <w:color w:val="auto"/>
              </w:rPr>
              <w:t>(311,040)</w:t>
            </w:r>
          </w:p>
        </w:tc>
        <w:tc>
          <w:tcPr>
            <w:tcW w:w="1540" w:type="dxa"/>
            <w:vAlign w:val="bottom"/>
          </w:tcPr>
          <w:p>
            <w:pPr>
              <w:jc w:val="right"/>
              <w:spacing w:after="0"/>
              <w:rPr>
                <w:sz w:val="20"/>
                <w:szCs w:val="20"/>
                <w:color w:val="auto"/>
              </w:rPr>
            </w:pPr>
            <w:r>
              <w:rPr>
                <w:rFonts w:ascii="Arial" w:cs="Arial" w:eastAsia="Arial" w:hAnsi="Arial"/>
                <w:sz w:val="13"/>
                <w:szCs w:val="13"/>
                <w:color w:val="auto"/>
              </w:rPr>
              <w:t>$116.31</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Forfeited/expired</w:t>
            </w: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(37,854)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$238.51</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2024</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622,292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$170.52</w:t>
            </w:r>
          </w:p>
        </w:tc>
      </w:tr>
      <w:tr>
        <w:trPr>
          <w:trHeight w:val="182"/>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31 December 2024</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426,497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$135.39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share price of the Company’s shares on date of exercise of share options during the year ended 31 December 2024 was $300.81 (31 December 2023: $245.21).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2024, the range of exercise prices and weighted average remaining contractual life of outstanding and exercisable options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Options Outstanding</w:t>
            </w:r>
          </w:p>
        </w:tc>
        <w:tc>
          <w:tcPr>
            <w:tcW w:w="12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3140" w:type="dxa"/>
            <w:vAlign w:val="bottom"/>
            <w:tcBorders>
              <w:bottom w:val="single" w:sz="8" w:color="auto"/>
            </w:tcBorders>
            <w:gridSpan w:val="2"/>
            <w:shd w:val="clear" w:color="auto" w:fill="CCEEFF"/>
          </w:tcPr>
          <w:p>
            <w:pPr>
              <w:jc w:val="right"/>
              <w:ind w:right="1196"/>
              <w:spacing w:after="0"/>
              <w:rPr>
                <w:sz w:val="20"/>
                <w:szCs w:val="20"/>
                <w:color w:val="auto"/>
              </w:rPr>
            </w:pPr>
            <w:r>
              <w:rPr>
                <w:rFonts w:ascii="Arial" w:cs="Arial" w:eastAsia="Arial" w:hAnsi="Arial"/>
                <w:sz w:val="13"/>
                <w:szCs w:val="13"/>
                <w:b w:val="1"/>
                <w:bCs w:val="1"/>
                <w:color w:val="auto"/>
              </w:rPr>
              <w:t>Options Exercisable</w:t>
            </w:r>
          </w:p>
        </w:tc>
      </w:tr>
      <w:tr>
        <w:trPr>
          <w:trHeight w:val="118"/>
        </w:trPr>
        <w:tc>
          <w:tcPr>
            <w:tcW w:w="206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Range Exercise</w:t>
            </w:r>
          </w:p>
        </w:tc>
        <w:tc>
          <w:tcPr>
            <w:tcW w:w="2480" w:type="dxa"/>
            <w:vAlign w:val="bottom"/>
          </w:tcPr>
          <w:p>
            <w:pPr>
              <w:jc w:val="right"/>
              <w:ind w:right="696"/>
              <w:spacing w:after="0" w:line="118" w:lineRule="exact"/>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36"/>
              <w:spacing w:after="0" w:line="118" w:lineRule="exact"/>
              <w:rPr>
                <w:sz w:val="20"/>
                <w:szCs w:val="20"/>
                <w:color w:val="auto"/>
              </w:rPr>
            </w:pPr>
            <w:r>
              <w:rPr>
                <w:rFonts w:ascii="Arial" w:cs="Arial" w:eastAsia="Arial" w:hAnsi="Arial"/>
                <w:sz w:val="13"/>
                <w:szCs w:val="13"/>
                <w:b w:val="1"/>
                <w:bCs w:val="1"/>
                <w:color w:val="auto"/>
              </w:rPr>
              <w:t>Weighted</w:t>
            </w:r>
          </w:p>
        </w:tc>
        <w:tc>
          <w:tcPr>
            <w:tcW w:w="2380" w:type="dxa"/>
            <w:vAlign w:val="bottom"/>
          </w:tcPr>
          <w:p>
            <w:pPr>
              <w:jc w:val="right"/>
              <w:ind w:right="536"/>
              <w:spacing w:after="0" w:line="118" w:lineRule="exact"/>
              <w:rPr>
                <w:sz w:val="20"/>
                <w:szCs w:val="20"/>
                <w:color w:val="auto"/>
              </w:rPr>
            </w:pPr>
            <w:r>
              <w:rPr>
                <w:rFonts w:ascii="Arial" w:cs="Arial" w:eastAsia="Arial" w:hAnsi="Arial"/>
                <w:sz w:val="13"/>
                <w:szCs w:val="13"/>
                <w:b w:val="1"/>
                <w:bCs w:val="1"/>
                <w:color w:val="auto"/>
              </w:rPr>
              <w:t>Weighted Average Exercise</w:t>
            </w:r>
          </w:p>
        </w:tc>
        <w:tc>
          <w:tcPr>
            <w:tcW w:w="1360" w:type="dxa"/>
            <w:vAlign w:val="bottom"/>
          </w:tcPr>
          <w:p>
            <w:pPr>
              <w:jc w:val="right"/>
              <w:ind w:right="36"/>
              <w:spacing w:after="0" w:line="118" w:lineRule="exact"/>
              <w:rPr>
                <w:sz w:val="20"/>
                <w:szCs w:val="20"/>
                <w:color w:val="auto"/>
              </w:rPr>
            </w:pPr>
            <w:r>
              <w:rPr>
                <w:rFonts w:ascii="Arial" w:cs="Arial" w:eastAsia="Arial" w:hAnsi="Arial"/>
                <w:sz w:val="13"/>
                <w:szCs w:val="13"/>
                <w:b w:val="1"/>
                <w:bCs w:val="1"/>
                <w:color w:val="auto"/>
              </w:rPr>
              <w:t>Number of</w:t>
            </w:r>
          </w:p>
        </w:tc>
        <w:tc>
          <w:tcPr>
            <w:tcW w:w="178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 Average Exercise</w:t>
            </w:r>
          </w:p>
        </w:tc>
      </w:tr>
      <w:tr>
        <w:trPr>
          <w:trHeight w:val="127"/>
        </w:trPr>
        <w:tc>
          <w:tcPr>
            <w:tcW w:w="206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Price</w:t>
            </w:r>
          </w:p>
        </w:tc>
        <w:tc>
          <w:tcPr>
            <w:tcW w:w="2480" w:type="dxa"/>
            <w:vAlign w:val="bottom"/>
          </w:tcPr>
          <w:p>
            <w:pPr>
              <w:jc w:val="right"/>
              <w:ind w:right="696"/>
              <w:spacing w:after="0" w:line="128"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Average</w:t>
            </w:r>
          </w:p>
        </w:tc>
        <w:tc>
          <w:tcPr>
            <w:tcW w:w="2380" w:type="dxa"/>
            <w:vAlign w:val="bottom"/>
          </w:tcPr>
          <w:p>
            <w:pPr>
              <w:jc w:val="right"/>
              <w:ind w:right="536"/>
              <w:spacing w:after="0" w:line="128" w:lineRule="exact"/>
              <w:rPr>
                <w:sz w:val="20"/>
                <w:szCs w:val="20"/>
                <w:color w:val="auto"/>
              </w:rPr>
            </w:pPr>
            <w:r>
              <w:rPr>
                <w:rFonts w:ascii="Arial" w:cs="Arial" w:eastAsia="Arial" w:hAnsi="Arial"/>
                <w:sz w:val="13"/>
                <w:szCs w:val="13"/>
                <w:b w:val="1"/>
                <w:bCs w:val="1"/>
                <w:color w:val="auto"/>
              </w:rPr>
              <w:t>Price</w:t>
            </w:r>
          </w:p>
        </w:tc>
        <w:tc>
          <w:tcPr>
            <w:tcW w:w="136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Shares</w:t>
            </w:r>
          </w:p>
        </w:tc>
        <w:tc>
          <w:tcPr>
            <w:tcW w:w="17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r>
      <w:tr>
        <w:trPr>
          <w:trHeight w:val="127"/>
        </w:trPr>
        <w:tc>
          <w:tcPr>
            <w:tcW w:w="2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Remaining</w:t>
            </w:r>
          </w:p>
        </w:tc>
        <w:tc>
          <w:tcPr>
            <w:tcW w:w="2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Contractual Life</w:t>
            </w:r>
          </w:p>
        </w:tc>
        <w:tc>
          <w:tcPr>
            <w:tcW w:w="2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$54.88 - 113.09</w:t>
            </w:r>
          </w:p>
        </w:tc>
        <w:tc>
          <w:tcPr>
            <w:tcW w:w="24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76,348</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2.17</w:t>
            </w:r>
          </w:p>
        </w:tc>
        <w:tc>
          <w:tcPr>
            <w:tcW w:w="23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76,348</w:t>
            </w:r>
          </w:p>
        </w:tc>
        <w:tc>
          <w:tcPr>
            <w:tcW w:w="1780" w:type="dxa"/>
            <w:vAlign w:val="bottom"/>
            <w:shd w:val="clear" w:color="auto" w:fill="CCEEFF"/>
          </w:tcPr>
          <w:p>
            <w:pPr>
              <w:spacing w:after="0"/>
              <w:rPr>
                <w:sz w:val="13"/>
                <w:szCs w:val="13"/>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$114.08 - 131.01</w:t>
            </w:r>
          </w:p>
        </w:tc>
        <w:tc>
          <w:tcPr>
            <w:tcW w:w="2480" w:type="dxa"/>
            <w:vAlign w:val="bottom"/>
          </w:tcPr>
          <w:p>
            <w:pPr>
              <w:jc w:val="right"/>
              <w:ind w:right="736"/>
              <w:spacing w:after="0"/>
              <w:rPr>
                <w:sz w:val="20"/>
                <w:szCs w:val="20"/>
                <w:color w:val="auto"/>
              </w:rPr>
            </w:pPr>
            <w:r>
              <w:rPr>
                <w:rFonts w:ascii="Arial" w:cs="Arial" w:eastAsia="Arial" w:hAnsi="Arial"/>
                <w:sz w:val="13"/>
                <w:szCs w:val="13"/>
                <w:color w:val="auto"/>
              </w:rPr>
              <w:t>194,400</w:t>
            </w:r>
          </w:p>
        </w:tc>
        <w:tc>
          <w:tcPr>
            <w:tcW w:w="1200" w:type="dxa"/>
            <w:vAlign w:val="bottom"/>
          </w:tcPr>
          <w:p>
            <w:pPr>
              <w:jc w:val="right"/>
              <w:ind w:right="36"/>
              <w:spacing w:after="0"/>
              <w:rPr>
                <w:sz w:val="20"/>
                <w:szCs w:val="20"/>
                <w:color w:val="auto"/>
              </w:rPr>
            </w:pPr>
            <w:r>
              <w:rPr>
                <w:rFonts w:ascii="Arial" w:cs="Arial" w:eastAsia="Arial" w:hAnsi="Arial"/>
                <w:sz w:val="13"/>
                <w:szCs w:val="13"/>
                <w:color w:val="auto"/>
              </w:rPr>
              <w:t>2.89</w:t>
            </w:r>
          </w:p>
        </w:tc>
        <w:tc>
          <w:tcPr>
            <w:tcW w:w="2380" w:type="dxa"/>
            <w:vAlign w:val="bottom"/>
          </w:tcPr>
          <w:p>
            <w:pPr>
              <w:spacing w:after="0"/>
              <w:rPr>
                <w:sz w:val="14"/>
                <w:szCs w:val="14"/>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194,400</w:t>
            </w:r>
          </w:p>
        </w:tc>
        <w:tc>
          <w:tcPr>
            <w:tcW w:w="1780" w:type="dxa"/>
            <w:vAlign w:val="bottom"/>
          </w:tcPr>
          <w:p>
            <w:pPr>
              <w:spacing w:after="0"/>
              <w:rPr>
                <w:sz w:val="14"/>
                <w:szCs w:val="14"/>
                <w:color w:val="auto"/>
              </w:rPr>
            </w:pPr>
          </w:p>
        </w:tc>
      </w:tr>
      <w:tr>
        <w:trPr>
          <w:trHeight w:val="17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$134.24 - 174.96</w:t>
            </w:r>
          </w:p>
        </w:tc>
        <w:tc>
          <w:tcPr>
            <w:tcW w:w="24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160,758</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3.36</w:t>
            </w:r>
          </w:p>
        </w:tc>
        <w:tc>
          <w:tcPr>
            <w:tcW w:w="2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120,860</w:t>
            </w:r>
          </w:p>
        </w:tc>
        <w:tc>
          <w:tcPr>
            <w:tcW w:w="17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$215.91 - 325.51</w:t>
            </w:r>
          </w:p>
        </w:tc>
        <w:tc>
          <w:tcPr>
            <w:tcW w:w="24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190,786</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6.11</w:t>
            </w:r>
          </w:p>
        </w:tc>
        <w:tc>
          <w:tcPr>
            <w:tcW w:w="2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34,889</w:t>
            </w:r>
          </w:p>
        </w:tc>
        <w:tc>
          <w:tcPr>
            <w:tcW w:w="1780" w:type="dxa"/>
            <w:vAlign w:val="bottom"/>
            <w:tcBorders>
              <w:bottom w:val="single" w:sz="8" w:color="auto"/>
            </w:tcBorders>
          </w:tcPr>
          <w:p>
            <w:pPr>
              <w:spacing w:after="0"/>
              <w:rPr>
                <w:sz w:val="14"/>
                <w:szCs w:val="14"/>
                <w:color w:val="auto"/>
              </w:rPr>
            </w:pPr>
          </w:p>
        </w:tc>
      </w:tr>
      <w:tr>
        <w:trPr>
          <w:trHeight w:val="187"/>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$54.88 - 325.51</w:t>
            </w:r>
          </w:p>
        </w:tc>
        <w:tc>
          <w:tcPr>
            <w:tcW w:w="24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622,292</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3.91</w:t>
            </w:r>
          </w:p>
        </w:tc>
        <w:tc>
          <w:tcPr>
            <w:tcW w:w="23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170.52</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426,497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135.39</w:t>
            </w: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2024</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2024 was $112.68 based on the following grants: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63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3120" w:type="dxa"/>
            <w:vAlign w:val="bottom"/>
            <w:tcBorders>
              <w:bottom w:val="single" w:sz="8" w:color="auto"/>
            </w:tcBorders>
            <w:shd w:val="clear" w:color="auto" w:fill="CCEEFF"/>
          </w:tcPr>
          <w:p>
            <w:pPr>
              <w:spacing w:after="0"/>
              <w:rPr>
                <w:sz w:val="14"/>
                <w:szCs w:val="14"/>
                <w:color w:val="auto"/>
              </w:rPr>
            </w:pPr>
          </w:p>
        </w:tc>
        <w:tc>
          <w:tcPr>
            <w:tcW w:w="63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 March 24</w:t>
            </w:r>
          </w:p>
        </w:tc>
        <w:tc>
          <w:tcPr>
            <w:tcW w:w="63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68,380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$325.51</w:t>
            </w:r>
          </w:p>
        </w:tc>
      </w:tr>
      <w:tr>
        <w:trPr>
          <w:trHeight w:val="187"/>
        </w:trPr>
        <w:tc>
          <w:tcPr>
            <w:tcW w:w="3120" w:type="dxa"/>
            <w:vAlign w:val="bottom"/>
            <w:tcBorders>
              <w:bottom w:val="single" w:sz="8" w:color="auto"/>
            </w:tcBorders>
            <w:shd w:val="clear" w:color="auto" w:fill="CCEEFF"/>
          </w:tcPr>
          <w:p>
            <w:pPr>
              <w:spacing w:after="0"/>
              <w:rPr>
                <w:sz w:val="15"/>
                <w:szCs w:val="15"/>
                <w:color w:val="auto"/>
              </w:rPr>
            </w:pPr>
          </w:p>
        </w:tc>
        <w:tc>
          <w:tcPr>
            <w:tcW w:w="6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68,380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$325.51</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6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3120" w:type="dxa"/>
            <w:vAlign w:val="bottom"/>
          </w:tcPr>
          <w:p>
            <w:pPr>
              <w:spacing w:after="0"/>
              <w:rPr>
                <w:sz w:val="24"/>
                <w:szCs w:val="24"/>
                <w:color w:val="auto"/>
              </w:rPr>
            </w:pPr>
          </w:p>
        </w:tc>
        <w:tc>
          <w:tcPr>
            <w:tcW w:w="6320" w:type="dxa"/>
            <w:vAlign w:val="bottom"/>
          </w:tcPr>
          <w:p>
            <w:pPr>
              <w:jc w:val="right"/>
              <w:ind w:right="3656"/>
              <w:spacing w:after="0"/>
              <w:rPr>
                <w:sz w:val="20"/>
                <w:szCs w:val="20"/>
                <w:color w:val="auto"/>
              </w:rPr>
            </w:pPr>
            <w:r>
              <w:rPr>
                <w:rFonts w:ascii="Arial" w:cs="Arial" w:eastAsia="Arial" w:hAnsi="Arial"/>
                <w:sz w:val="13"/>
                <w:szCs w:val="13"/>
                <w:color w:val="auto"/>
              </w:rPr>
              <w:t>77</w:t>
            </w:r>
          </w:p>
        </w:tc>
        <w:tc>
          <w:tcPr>
            <w:tcW w:w="182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2023</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2023 was $85.12 based on the following grants: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5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444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4440" w:type="dxa"/>
            <w:vAlign w:val="bottom"/>
          </w:tcPr>
          <w:p>
            <w:pPr>
              <w:ind w:left="20"/>
              <w:spacing w:after="0"/>
              <w:rPr>
                <w:sz w:val="20"/>
                <w:szCs w:val="20"/>
                <w:color w:val="auto"/>
              </w:rPr>
            </w:pPr>
            <w:r>
              <w:rPr>
                <w:rFonts w:ascii="Arial" w:cs="Arial" w:eastAsia="Arial" w:hAnsi="Arial"/>
                <w:sz w:val="13"/>
                <w:szCs w:val="13"/>
                <w:color w:val="auto"/>
              </w:rPr>
              <w:t>3 March 23</w:t>
            </w:r>
          </w:p>
        </w:tc>
        <w:tc>
          <w:tcPr>
            <w:tcW w:w="5000" w:type="dxa"/>
            <w:vAlign w:val="bottom"/>
          </w:tcPr>
          <w:p>
            <w:pPr>
              <w:jc w:val="right"/>
              <w:ind w:right="116"/>
              <w:spacing w:after="0"/>
              <w:rPr>
                <w:sz w:val="20"/>
                <w:szCs w:val="20"/>
                <w:color w:val="auto"/>
              </w:rPr>
            </w:pPr>
            <w:r>
              <w:rPr>
                <w:rFonts w:ascii="Arial" w:cs="Arial" w:eastAsia="Arial" w:hAnsi="Arial"/>
                <w:sz w:val="13"/>
                <w:szCs w:val="13"/>
                <w:color w:val="auto"/>
              </w:rPr>
              <w:t>76,066</w:t>
            </w:r>
          </w:p>
        </w:tc>
        <w:tc>
          <w:tcPr>
            <w:tcW w:w="1820" w:type="dxa"/>
            <w:vAlign w:val="bottom"/>
          </w:tcPr>
          <w:p>
            <w:pPr>
              <w:jc w:val="right"/>
              <w:spacing w:after="0"/>
              <w:rPr>
                <w:sz w:val="20"/>
                <w:szCs w:val="20"/>
                <w:color w:val="auto"/>
              </w:rPr>
            </w:pPr>
            <w:r>
              <w:rPr>
                <w:rFonts w:ascii="Arial" w:cs="Arial" w:eastAsia="Arial" w:hAnsi="Arial"/>
                <w:sz w:val="13"/>
                <w:szCs w:val="13"/>
                <w:color w:val="auto"/>
              </w:rPr>
              <w:t>$233.88</w:t>
            </w:r>
          </w:p>
        </w:tc>
      </w:tr>
      <w:tr>
        <w:trPr>
          <w:trHeight w:val="17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22 May 23</w:t>
            </w:r>
          </w:p>
        </w:tc>
        <w:tc>
          <w:tcPr>
            <w:tcW w:w="5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6,406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$215.91</w:t>
            </w:r>
          </w:p>
        </w:tc>
      </w:tr>
      <w:tr>
        <w:trPr>
          <w:trHeight w:val="162"/>
        </w:trPr>
        <w:tc>
          <w:tcPr>
            <w:tcW w:w="444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82,472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$232.48</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options granted during the year ended 31 December 2024 and 31 December 2023 were calculated using the Black Scholes option pricing-model utilising the following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r>
      <w:tr>
        <w:trPr>
          <w:trHeight w:val="159"/>
        </w:trPr>
        <w:tc>
          <w:tcPr>
            <w:tcW w:w="5160" w:type="dxa"/>
            <w:vAlign w:val="bottom"/>
          </w:tcPr>
          <w:p>
            <w:pPr>
              <w:spacing w:after="0"/>
              <w:rPr>
                <w:sz w:val="13"/>
                <w:szCs w:val="13"/>
                <w:color w:val="auto"/>
              </w:rPr>
            </w:pPr>
          </w:p>
        </w:tc>
        <w:tc>
          <w:tcPr>
            <w:tcW w:w="4520" w:type="dxa"/>
            <w:vAlign w:val="bottom"/>
          </w:tcPr>
          <w:p>
            <w:pPr>
              <w:jc w:val="right"/>
              <w:ind w:right="376"/>
              <w:spacing w:after="0"/>
              <w:rPr>
                <w:sz w:val="20"/>
                <w:szCs w:val="20"/>
                <w:color w:val="auto"/>
              </w:rPr>
            </w:pPr>
            <w:r>
              <w:rPr>
                <w:rFonts w:ascii="Arial" w:cs="Arial" w:eastAsia="Arial" w:hAnsi="Arial"/>
                <w:sz w:val="13"/>
                <w:szCs w:val="13"/>
                <w:color w:val="auto"/>
              </w:rPr>
              <w:t>Annual Awards</w:t>
            </w:r>
          </w:p>
        </w:tc>
        <w:tc>
          <w:tcPr>
            <w:tcW w:w="1580" w:type="dxa"/>
            <w:vAlign w:val="bottom"/>
          </w:tcPr>
          <w:p>
            <w:pPr>
              <w:jc w:val="right"/>
              <w:spacing w:after="0"/>
              <w:rPr>
                <w:sz w:val="20"/>
                <w:szCs w:val="20"/>
                <w:color w:val="auto"/>
              </w:rPr>
            </w:pPr>
            <w:r>
              <w:rPr>
                <w:rFonts w:ascii="Arial" w:cs="Arial" w:eastAsia="Arial" w:hAnsi="Arial"/>
                <w:sz w:val="13"/>
                <w:szCs w:val="13"/>
                <w:color w:val="auto"/>
              </w:rPr>
              <w:t>Annual Awards</w:t>
            </w: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w:t>
            </w:r>
          </w:p>
        </w:tc>
        <w:tc>
          <w:tcPr>
            <w:tcW w:w="45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$112.68</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$85.12</w:t>
            </w:r>
          </w:p>
        </w:tc>
      </w:tr>
      <w:tr>
        <w:trPr>
          <w:trHeight w:val="170"/>
        </w:trPr>
        <w:tc>
          <w:tcPr>
            <w:tcW w:w="51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4520" w:type="dxa"/>
            <w:vAlign w:val="bottom"/>
          </w:tcPr>
          <w:p>
            <w:pPr>
              <w:jc w:val="right"/>
              <w:ind w:right="376"/>
              <w:spacing w:after="0"/>
              <w:rPr>
                <w:sz w:val="20"/>
                <w:szCs w:val="20"/>
                <w:color w:val="auto"/>
              </w:rPr>
            </w:pPr>
            <w:r>
              <w:rPr>
                <w:rFonts w:ascii="Arial" w:cs="Arial" w:eastAsia="Arial" w:hAnsi="Arial"/>
                <w:sz w:val="13"/>
                <w:szCs w:val="13"/>
                <w:b w:val="1"/>
                <w:bCs w:val="1"/>
                <w:color w:val="auto"/>
              </w:rPr>
              <w:t>34.5 %</w:t>
            </w:r>
          </w:p>
        </w:tc>
        <w:tc>
          <w:tcPr>
            <w:tcW w:w="1580" w:type="dxa"/>
            <w:vAlign w:val="bottom"/>
          </w:tcPr>
          <w:p>
            <w:pPr>
              <w:jc w:val="right"/>
              <w:spacing w:after="0"/>
              <w:rPr>
                <w:sz w:val="20"/>
                <w:szCs w:val="20"/>
                <w:color w:val="auto"/>
              </w:rPr>
            </w:pPr>
            <w:r>
              <w:rPr>
                <w:rFonts w:ascii="Arial" w:cs="Arial" w:eastAsia="Arial" w:hAnsi="Arial"/>
                <w:sz w:val="13"/>
                <w:szCs w:val="13"/>
                <w:color w:val="auto"/>
              </w:rPr>
              <w:t>33.0 %</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5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1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4520" w:type="dxa"/>
            <w:vAlign w:val="bottom"/>
          </w:tcPr>
          <w:p>
            <w:pPr>
              <w:jc w:val="right"/>
              <w:ind w:right="376"/>
              <w:spacing w:after="0"/>
              <w:rPr>
                <w:sz w:val="20"/>
                <w:szCs w:val="20"/>
                <w:color w:val="auto"/>
              </w:rPr>
            </w:pPr>
            <w:r>
              <w:rPr>
                <w:rFonts w:ascii="Arial" w:cs="Arial" w:eastAsia="Arial" w:hAnsi="Arial"/>
                <w:sz w:val="13"/>
                <w:szCs w:val="13"/>
                <w:b w:val="1"/>
                <w:bCs w:val="1"/>
                <w:color w:val="auto"/>
              </w:rPr>
              <w:t>4.19 %</w:t>
            </w:r>
          </w:p>
        </w:tc>
        <w:tc>
          <w:tcPr>
            <w:tcW w:w="1580" w:type="dxa"/>
            <w:vAlign w:val="bottom"/>
          </w:tcPr>
          <w:p>
            <w:pPr>
              <w:jc w:val="right"/>
              <w:spacing w:after="0"/>
              <w:rPr>
                <w:sz w:val="20"/>
                <w:szCs w:val="20"/>
                <w:color w:val="auto"/>
              </w:rPr>
            </w:pPr>
            <w:r>
              <w:rPr>
                <w:rFonts w:ascii="Arial" w:cs="Arial" w:eastAsia="Arial" w:hAnsi="Arial"/>
                <w:sz w:val="13"/>
                <w:szCs w:val="13"/>
                <w:color w:val="auto"/>
              </w:rPr>
              <w:t>4.18 %</w:t>
            </w:r>
          </w:p>
        </w:tc>
      </w:tr>
      <w:tr>
        <w:trPr>
          <w:trHeight w:val="170"/>
        </w:trPr>
        <w:tc>
          <w:tcPr>
            <w:tcW w:w="516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Expected life </w:t>
            </w:r>
            <w:r>
              <w:rPr>
                <w:rFonts w:ascii="Arial" w:cs="Arial" w:eastAsia="Arial" w:hAnsi="Arial"/>
                <w:sz w:val="16"/>
                <w:szCs w:val="16"/>
                <w:color w:val="auto"/>
                <w:vertAlign w:val="superscript"/>
              </w:rPr>
              <w:t>(3)</w:t>
            </w:r>
          </w:p>
        </w:tc>
        <w:tc>
          <w:tcPr>
            <w:tcW w:w="4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4.3 years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 years</w:t>
            </w:r>
          </w:p>
        </w:tc>
      </w:tr>
    </w:tbl>
    <w:p>
      <w:pPr>
        <w:spacing w:after="0" w:line="68" w:lineRule="exact"/>
        <w:rPr>
          <w:sz w:val="20"/>
          <w:szCs w:val="20"/>
          <w:color w:val="auto"/>
        </w:rPr>
      </w:pPr>
    </w:p>
    <w:p>
      <w:pPr>
        <w:ind w:left="180" w:hanging="175"/>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historic volatility of the Company’s share price over a period which is commensurate with the expected term of the options granted.</w:t>
      </w:r>
    </w:p>
    <w:p>
      <w:pPr>
        <w:spacing w:after="0" w:line="21" w:lineRule="exact"/>
        <w:rPr>
          <w:rFonts w:ascii="Arial" w:cs="Arial" w:eastAsia="Arial" w:hAnsi="Arial"/>
          <w:sz w:val="11"/>
          <w:szCs w:val="11"/>
          <w:color w:val="auto"/>
        </w:rPr>
      </w:pPr>
    </w:p>
    <w:p>
      <w:pPr>
        <w:ind w:left="180" w:hanging="175"/>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Risk-free rate is dependent on the grant date and term of the award.</w:t>
      </w:r>
    </w:p>
    <w:p>
      <w:pPr>
        <w:ind w:left="180" w:hanging="175"/>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Expected life represents the weighted average period of time that options granted are expected to be outstanding given consideration to vesting schedules and the Company's historical experience of past vesting and</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termination patterns.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 and Performance Share Units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Further, on 25 October 2024, the 2013 RSU Plan was amended and restated effective as of 6 November 2024 in order to increase the number of shares that can be issued under the RSU Plan by a further 2.5 million shares. Accordingly, an aggregate of 6.6 million ordinary shares have been reserved for issuance under the 2013 RSU Plan. The shares are awarded at zero cost and vest over a service period. Awards under the 2013 RSU Plan may be settled in cash or shares at the option of the Company. No awards may be granted under the 2013 RSU Plan after 6 November 2034.</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16 May 2029.</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80"/>
          </w:cols>
          <w:pgMar w:left="300" w:top="698"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spacing w:after="0"/>
              <w:rPr>
                <w:sz w:val="13"/>
                <w:szCs w:val="13"/>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PSU Outstanding</w:t>
            </w:r>
          </w:p>
        </w:tc>
        <w:tc>
          <w:tcPr>
            <w:tcW w:w="32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PSU</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 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Weighted Average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Grant Date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of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Grant Date Fair Value</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Fair Value</w:t>
            </w:r>
          </w:p>
        </w:tc>
        <w:tc>
          <w:tcPr>
            <w:tcW w:w="1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59"/>
        </w:trPr>
        <w:tc>
          <w:tcPr>
            <w:tcW w:w="3480" w:type="dxa"/>
            <w:vAlign w:val="bottom"/>
          </w:tcPr>
          <w:p>
            <w:pPr>
              <w:ind w:left="20"/>
              <w:spacing w:after="0"/>
              <w:rPr>
                <w:sz w:val="20"/>
                <w:szCs w:val="20"/>
                <w:color w:val="auto"/>
              </w:rPr>
            </w:pPr>
            <w:r>
              <w:rPr>
                <w:rFonts w:ascii="Arial" w:cs="Arial" w:eastAsia="Arial" w:hAnsi="Arial"/>
                <w:sz w:val="13"/>
                <w:szCs w:val="13"/>
                <w:color w:val="auto"/>
              </w:rPr>
              <w:t>Outstanding at 31 December 2023</w:t>
            </w:r>
          </w:p>
        </w:tc>
        <w:tc>
          <w:tcPr>
            <w:tcW w:w="2640" w:type="dxa"/>
            <w:vAlign w:val="bottom"/>
          </w:tcPr>
          <w:p>
            <w:pPr>
              <w:jc w:val="right"/>
              <w:spacing w:after="0"/>
              <w:rPr>
                <w:sz w:val="20"/>
                <w:szCs w:val="20"/>
                <w:color w:val="auto"/>
              </w:rPr>
            </w:pPr>
            <w:r>
              <w:rPr>
                <w:rFonts w:ascii="Arial" w:cs="Arial" w:eastAsia="Arial" w:hAnsi="Arial"/>
                <w:sz w:val="13"/>
                <w:szCs w:val="13"/>
                <w:color w:val="auto"/>
              </w:rPr>
              <w:t>105,256</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226.29</w:t>
            </w:r>
          </w:p>
        </w:tc>
        <w:tc>
          <w:tcPr>
            <w:tcW w:w="1400" w:type="dxa"/>
            <w:vAlign w:val="bottom"/>
          </w:tcPr>
          <w:p>
            <w:pPr>
              <w:jc w:val="right"/>
              <w:spacing w:after="0"/>
              <w:rPr>
                <w:sz w:val="20"/>
                <w:szCs w:val="20"/>
                <w:color w:val="auto"/>
              </w:rPr>
            </w:pPr>
            <w:r>
              <w:rPr>
                <w:rFonts w:ascii="Arial" w:cs="Arial" w:eastAsia="Arial" w:hAnsi="Arial"/>
                <w:sz w:val="13"/>
                <w:szCs w:val="13"/>
                <w:color w:val="auto"/>
              </w:rPr>
              <w:t>621,011</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218.27</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48,626</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325.51</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258,345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313.41</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640" w:type="dxa"/>
            <w:vAlign w:val="bottom"/>
          </w:tcPr>
          <w:p>
            <w:pPr>
              <w:jc w:val="right"/>
              <w:spacing w:after="0"/>
              <w:rPr>
                <w:sz w:val="20"/>
                <w:szCs w:val="20"/>
                <w:color w:val="auto"/>
              </w:rPr>
            </w:pPr>
            <w:r>
              <w:rPr>
                <w:rFonts w:ascii="Arial" w:cs="Arial" w:eastAsia="Arial" w:hAnsi="Arial"/>
                <w:sz w:val="13"/>
                <w:szCs w:val="13"/>
                <w:color w:val="auto"/>
              </w:rPr>
              <w:t>(9,975)</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177.38</w:t>
            </w:r>
          </w:p>
        </w:tc>
        <w:tc>
          <w:tcPr>
            <w:tcW w:w="1400" w:type="dxa"/>
            <w:vAlign w:val="bottom"/>
          </w:tcPr>
          <w:p>
            <w:pPr>
              <w:jc w:val="right"/>
              <w:spacing w:after="0"/>
              <w:rPr>
                <w:sz w:val="20"/>
                <w:szCs w:val="20"/>
                <w:color w:val="auto"/>
              </w:rPr>
            </w:pPr>
            <w:r>
              <w:rPr>
                <w:rFonts w:ascii="Arial" w:cs="Arial" w:eastAsia="Arial" w:hAnsi="Arial"/>
                <w:sz w:val="13"/>
                <w:szCs w:val="13"/>
                <w:color w:val="auto"/>
              </w:rPr>
              <w:t>(120,458)</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223.29</w:t>
            </w:r>
          </w:p>
        </w:tc>
      </w:tr>
      <w:tr>
        <w:trPr>
          <w:trHeight w:val="17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(124,186)</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260.42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(111,309)</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241.13</w:t>
            </w:r>
          </w:p>
        </w:tc>
      </w:tr>
      <w:tr>
        <w:trPr>
          <w:trHeight w:val="16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2024</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19,721</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280.76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647,589</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251.36</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PSUs vest based on service and specified EPS targets over the period 2022 – 2024, 2023 – 2025 and 2024 – 2026. Depending on the actual amount of EPS from 2022 to 2026, up to an additional 80,051 PSUs may also be granted.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2024 is stated after charging $46.1 million in respect of share-based payment expense. Share-based payment expense has been allocated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48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8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2023</w:t>
            </w:r>
          </w:p>
        </w:tc>
      </w:tr>
      <w:tr>
        <w:trPr>
          <w:trHeight w:val="160"/>
        </w:trPr>
        <w:tc>
          <w:tcPr>
            <w:tcW w:w="5160" w:type="dxa"/>
            <w:vAlign w:val="bottom"/>
          </w:tcPr>
          <w:p>
            <w:pPr>
              <w:spacing w:after="0"/>
              <w:rPr>
                <w:sz w:val="13"/>
                <w:szCs w:val="13"/>
                <w:color w:val="auto"/>
              </w:rPr>
            </w:pPr>
          </w:p>
        </w:tc>
        <w:tc>
          <w:tcPr>
            <w:tcW w:w="486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48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25,749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25,672</w:t>
            </w:r>
          </w:p>
        </w:tc>
      </w:tr>
      <w:tr>
        <w:trPr>
          <w:trHeight w:val="17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48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20,359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25,708</w:t>
            </w:r>
          </w:p>
        </w:tc>
      </w:tr>
      <w:tr>
        <w:trPr>
          <w:trHeight w:val="162"/>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8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46,108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80"/>
          </w:cols>
          <w:pgMar w:left="300" w:top="698"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Property, Plant and Equipment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10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Motor</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Buildings</w:t>
            </w:r>
          </w:p>
        </w:tc>
        <w:tc>
          <w:tcPr>
            <w:tcW w:w="122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1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improvements</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1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vehicles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3,724</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70,072</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55,000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77,108</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45,856</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56,217</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79</w:t>
            </w:r>
          </w:p>
        </w:tc>
        <w:tc>
          <w:tcPr>
            <w:tcW w:w="800" w:type="dxa"/>
            <w:vAlign w:val="bottom"/>
          </w:tcPr>
          <w:p>
            <w:pPr>
              <w:jc w:val="right"/>
              <w:spacing w:after="0"/>
              <w:rPr>
                <w:sz w:val="20"/>
                <w:szCs w:val="20"/>
                <w:color w:val="auto"/>
              </w:rPr>
            </w:pPr>
            <w:r>
              <w:rPr>
                <w:rFonts w:ascii="Arial" w:cs="Arial" w:eastAsia="Arial" w:hAnsi="Arial"/>
                <w:sz w:val="13"/>
                <w:szCs w:val="13"/>
                <w:color w:val="auto"/>
              </w:rPr>
              <w:t>308,056</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7,422</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16,376</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8,919</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7,087</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39,804</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(122)</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(451)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6"/>
              <w:spacing w:after="0"/>
              <w:rPr>
                <w:sz w:val="20"/>
                <w:szCs w:val="20"/>
                <w:color w:val="auto"/>
              </w:rPr>
            </w:pPr>
            <w:r>
              <w:rPr>
                <w:rFonts w:ascii="Arial" w:cs="Arial" w:eastAsia="Arial" w:hAnsi="Arial"/>
                <w:sz w:val="13"/>
                <w:szCs w:val="13"/>
                <w:color w:val="auto"/>
              </w:rPr>
              <w:t>(4,123)</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(4,696)</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247</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195</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39</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(3,940)</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(513)</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(2,612)</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(2,926)</w:t>
            </w: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(4,109)</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(14,114)</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66,132</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62,034</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90,616</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51,849</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55,111</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329,531</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29,380</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19,746</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37,545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22,567</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36,772</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76</w:t>
            </w:r>
          </w:p>
        </w:tc>
        <w:tc>
          <w:tcPr>
            <w:tcW w:w="800" w:type="dxa"/>
            <w:vAlign w:val="bottom"/>
          </w:tcPr>
          <w:p>
            <w:pPr>
              <w:jc w:val="right"/>
              <w:spacing w:after="0"/>
              <w:rPr>
                <w:sz w:val="20"/>
                <w:szCs w:val="20"/>
                <w:color w:val="auto"/>
              </w:rPr>
            </w:pPr>
            <w:r>
              <w:rPr>
                <w:rFonts w:ascii="Arial" w:cs="Arial" w:eastAsia="Arial" w:hAnsi="Arial"/>
                <w:sz w:val="13"/>
                <w:szCs w:val="13"/>
                <w:color w:val="auto"/>
              </w:rPr>
              <w:t>146,086</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1,719</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8,904</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19,296</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7,223</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7,733</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44,878</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1,863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1,863</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 / Reclassification</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(122)</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(451)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(4,673)</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(1,145)</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(352)</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(1,351)</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(2,704)</w:t>
            </w: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(3,004)</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(8,570)</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29,954</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30,039</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55,039</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27,086</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36,828</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179,011</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36,178</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31,995</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35,577</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24,763</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18,283</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150,520</w:t>
            </w:r>
          </w:p>
        </w:tc>
        <w:tc>
          <w:tcPr>
            <w:tcW w:w="0" w:type="dxa"/>
            <w:vAlign w:val="bottom"/>
          </w:tcPr>
          <w:p>
            <w:pPr>
              <w:spacing w:after="0"/>
              <w:rPr>
                <w:sz w:val="1"/>
                <w:szCs w:val="1"/>
                <w:color w:val="auto"/>
              </w:rPr>
            </w:pPr>
          </w:p>
        </w:tc>
      </w:tr>
      <w:tr>
        <w:trPr>
          <w:trHeight w:val="150"/>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2023</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3,724</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40,692</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35,254</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39,563</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23,289</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19,445</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161,970</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$44.9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000"/>
          </w:cols>
          <w:pgMar w:left="300" w:top="698" w:right="59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Leasehold</w:t>
            </w:r>
          </w:p>
        </w:tc>
        <w:tc>
          <w:tcPr>
            <w:tcW w:w="10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8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30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1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furniture &amp;</w:t>
            </w:r>
          </w:p>
        </w:tc>
        <w:tc>
          <w:tcPr>
            <w:tcW w:w="12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improvements</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vehicles</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3,724</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70,880</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65,167</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111,146</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50,600</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59,946</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79</w:t>
            </w:r>
          </w:p>
        </w:tc>
        <w:tc>
          <w:tcPr>
            <w:tcW w:w="840" w:type="dxa"/>
            <w:vAlign w:val="bottom"/>
          </w:tcPr>
          <w:p>
            <w:pPr>
              <w:jc w:val="right"/>
              <w:spacing w:after="0"/>
              <w:rPr>
                <w:sz w:val="20"/>
                <w:szCs w:val="20"/>
                <w:color w:val="auto"/>
              </w:rPr>
            </w:pPr>
            <w:r>
              <w:rPr>
                <w:rFonts w:ascii="Arial" w:cs="Arial" w:eastAsia="Arial" w:hAnsi="Arial"/>
                <w:sz w:val="13"/>
                <w:szCs w:val="13"/>
                <w:color w:val="auto"/>
              </w:rPr>
              <w:t>361,542</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1,499</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5,019</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12,481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2,825</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7,502</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29,326</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(3,188)</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(15,419)</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(47,591)</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(8,794)</w:t>
            </w:r>
          </w:p>
        </w:tc>
        <w:tc>
          <w:tcPr>
            <w:tcW w:w="1220" w:type="dxa"/>
            <w:vAlign w:val="bottom"/>
          </w:tcPr>
          <w:p>
            <w:pPr>
              <w:jc w:val="right"/>
              <w:ind w:right="256"/>
              <w:spacing w:after="0"/>
              <w:rPr>
                <w:sz w:val="20"/>
                <w:szCs w:val="20"/>
                <w:color w:val="auto"/>
              </w:rPr>
            </w:pPr>
            <w:r>
              <w:rPr>
                <w:rFonts w:ascii="Arial" w:cs="Arial" w:eastAsia="Arial" w:hAnsi="Arial"/>
                <w:sz w:val="13"/>
                <w:szCs w:val="13"/>
                <w:color w:val="auto"/>
              </w:rPr>
              <w:t>(13,781)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(88,778)</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4</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48</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11</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1,049</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881</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229</w:t>
            </w: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1,024</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1,214</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1,501</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4,854</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70,072</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55,000</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77,108</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45,856</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56,217</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308,056</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30,908</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20,826</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64,471</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25,675</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41,357</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78</w:t>
            </w:r>
          </w:p>
        </w:tc>
        <w:tc>
          <w:tcPr>
            <w:tcW w:w="840" w:type="dxa"/>
            <w:vAlign w:val="bottom"/>
          </w:tcPr>
          <w:p>
            <w:pPr>
              <w:jc w:val="right"/>
              <w:spacing w:after="0"/>
              <w:rPr>
                <w:sz w:val="20"/>
                <w:szCs w:val="20"/>
                <w:color w:val="auto"/>
              </w:rPr>
            </w:pPr>
            <w:r>
              <w:rPr>
                <w:rFonts w:ascii="Arial" w:cs="Arial" w:eastAsia="Arial" w:hAnsi="Arial"/>
                <w:sz w:val="13"/>
                <w:szCs w:val="13"/>
                <w:color w:val="auto"/>
              </w:rPr>
              <w:t>183,315</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1,583</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9,614</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21,893</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8,046</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7,016</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48,158</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(3,604)</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(10,859)</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(49,492)</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(11,632)</w:t>
            </w:r>
          </w:p>
        </w:tc>
        <w:tc>
          <w:tcPr>
            <w:tcW w:w="1220" w:type="dxa"/>
            <w:vAlign w:val="bottom"/>
          </w:tcPr>
          <w:p>
            <w:pPr>
              <w:jc w:val="right"/>
              <w:ind w:right="256"/>
              <w:spacing w:after="0"/>
              <w:rPr>
                <w:sz w:val="20"/>
                <w:szCs w:val="20"/>
                <w:color w:val="auto"/>
              </w:rPr>
            </w:pPr>
            <w:r>
              <w:rPr>
                <w:rFonts w:ascii="Arial" w:cs="Arial" w:eastAsia="Arial" w:hAnsi="Arial"/>
                <w:sz w:val="13"/>
                <w:szCs w:val="13"/>
                <w:color w:val="auto"/>
              </w:rPr>
              <w:t>(12,561)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(88,153)</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493</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165</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673</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478</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960</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2,766</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29,380</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19,746</w:t>
            </w: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37,545</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22,567</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36,772</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146,086</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40,692</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35,254</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39,563</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23,289</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19,445</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161,970</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2022</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3,724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39,972</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44,341</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46,675</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24,925</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18,589</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178,227</w:t>
            </w:r>
          </w:p>
        </w:tc>
        <w:tc>
          <w:tcPr>
            <w:tcW w:w="0" w:type="dxa"/>
            <w:vAlign w:val="bottom"/>
          </w:tcPr>
          <w:p>
            <w:pPr>
              <w:spacing w:after="0"/>
              <w:rPr>
                <w:sz w:val="1"/>
                <w:szCs w:val="1"/>
                <w:color w:val="auto"/>
              </w:rPr>
            </w:pPr>
          </w:p>
        </w:tc>
      </w:tr>
      <w:tr>
        <w:trPr>
          <w:trHeight w:val="403"/>
        </w:trPr>
        <w:tc>
          <w:tcPr>
            <w:tcW w:w="8080" w:type="dxa"/>
            <w:vAlign w:val="bottom"/>
            <w:gridSpan w:val="6"/>
          </w:tcPr>
          <w:p>
            <w:pPr>
              <w:spacing w:after="0"/>
              <w:rPr>
                <w:sz w:val="20"/>
                <w:szCs w:val="20"/>
                <w:color w:val="auto"/>
              </w:rPr>
            </w:pPr>
            <w:r>
              <w:rPr>
                <w:rFonts w:ascii="Arial" w:cs="Arial" w:eastAsia="Arial" w:hAnsi="Arial"/>
                <w:sz w:val="13"/>
                <w:szCs w:val="13"/>
                <w:color w:val="auto"/>
              </w:rPr>
              <w:t>Depreciation expense of $48.2 million has been charged to “other operating expenses” in the Consolidated Statement of Profit and Loss.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1"/>
        </w:trPr>
        <w:tc>
          <w:tcPr>
            <w:tcW w:w="2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81</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2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14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473,010</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4,095,786</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541,909</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139,655</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204,943</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170,509</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9,074,884</w:t>
            </w:r>
          </w:p>
        </w:tc>
        <w:tc>
          <w:tcPr>
            <w:tcW w:w="840" w:type="dxa"/>
            <w:vAlign w:val="bottom"/>
          </w:tcPr>
          <w:p>
            <w:pPr>
              <w:jc w:val="right"/>
              <w:spacing w:after="0"/>
              <w:rPr>
                <w:sz w:val="20"/>
                <w:szCs w:val="20"/>
                <w:color w:val="auto"/>
              </w:rPr>
            </w:pPr>
            <w:r>
              <w:rPr>
                <w:rFonts w:ascii="Arial" w:cs="Arial" w:eastAsia="Arial" w:hAnsi="Arial"/>
                <w:sz w:val="13"/>
                <w:szCs w:val="13"/>
                <w:color w:val="auto"/>
              </w:rPr>
              <w:t>14,702,021</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128,256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128,256</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(1,147)</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(1,147)</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41,394</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3,663</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9,940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46,126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101,175</w:t>
            </w: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(806)</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(2,283)</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(1,033)</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(539)</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(67)</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(42)</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(16,792)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(21,562)</w:t>
            </w:r>
          </w:p>
        </w:tc>
      </w:tr>
      <w:tr>
        <w:trPr>
          <w:trHeight w:val="162"/>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599,365</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4,134,897</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544,539</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149,056</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204,876</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170,467</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9,104,218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14,908,743</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273,796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545,974</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452,898</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65,141</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171,276</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61,648</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1,572,058</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93,333</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177,767</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86,307</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28,188</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33,666</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24,361</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443,622</w:t>
            </w: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(123)</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(1,718)</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(832)</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(540)</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(66)</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(27)</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(3,306)</w:t>
            </w:r>
          </w:p>
        </w:tc>
      </w:tr>
      <w:tr>
        <w:trPr>
          <w:trHeight w:val="162"/>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367,006</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722,023</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538,373</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92,789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204,876</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85,982</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2,012,374</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0"/>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232,359</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3,412,874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6,166</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56,267</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84,485</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9,104,218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12,896,369</w:t>
            </w:r>
          </w:p>
        </w:tc>
      </w:tr>
      <w:tr>
        <w:trPr>
          <w:trHeight w:val="192"/>
        </w:trPr>
        <w:tc>
          <w:tcPr>
            <w:tcW w:w="2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2023</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199,214</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3,549,812</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89,011</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74,514</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33,667</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108,861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9,074,884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13,129,963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$443.6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020"/>
          </w:cols>
          <w:pgMar w:left="300" w:top="698" w:right="5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2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14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388,951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4,081,827</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537,541</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119,382</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204,914</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170,381</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9,024,479</w:t>
            </w:r>
          </w:p>
        </w:tc>
        <w:tc>
          <w:tcPr>
            <w:tcW w:w="840" w:type="dxa"/>
            <w:vAlign w:val="bottom"/>
          </w:tcPr>
          <w:p>
            <w:pPr>
              <w:jc w:val="right"/>
              <w:spacing w:after="0"/>
              <w:rPr>
                <w:sz w:val="20"/>
                <w:szCs w:val="20"/>
                <w:color w:val="auto"/>
              </w:rPr>
            </w:pPr>
            <w:r>
              <w:rPr>
                <w:rFonts w:ascii="Arial" w:cs="Arial" w:eastAsia="Arial" w:hAnsi="Arial"/>
                <w:sz w:val="13"/>
                <w:szCs w:val="13"/>
                <w:color w:val="auto"/>
              </w:rPr>
              <w:t>14,528,800</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111,366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111,366</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(27,460)</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(27,460)</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12,525</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3,850</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20,010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36,750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73,231</w:t>
            </w: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57</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1,434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518</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263</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29</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128</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13,655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16,084</w:t>
            </w:r>
          </w:p>
        </w:tc>
      </w:tr>
      <w:tr>
        <w:trPr>
          <w:trHeight w:val="162"/>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473,010</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4,095,786</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541,909</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139,655</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204,943</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170,509</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9,074,884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14,702,021</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216,858</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368,513</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284,038</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41,679</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103,915</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37,241</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1,053,569</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77,938</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176,476</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168,496</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23,200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67,332</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24,350</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537,792</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(21,036)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(21,036)</w:t>
            </w: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985</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364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262</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57</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w:t>
            </w:r>
          </w:p>
        </w:tc>
      </w:tr>
      <w:tr>
        <w:trPr>
          <w:trHeight w:val="16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273,796</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545,974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452,898</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65,141</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171,276</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61,648</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1,572,058</w:t>
            </w:r>
          </w:p>
        </w:tc>
      </w:tr>
      <w:tr>
        <w:trPr>
          <w:trHeight w:val="192"/>
        </w:trPr>
        <w:tc>
          <w:tcPr>
            <w:tcW w:w="2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199,214</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3,549,812</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89,011</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74,514</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33,667</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108,861</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9,074,884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13,129,963</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172,093</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3,713,314</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253,503</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77,703</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100,999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133,140</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9,024,479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13,475,231</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$537.8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020"/>
          </w:cols>
          <w:pgMar w:left="300" w:top="698" w:right="5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On 19 August 2024, the Group acquired KCR. The acquisition resulted in the recognition of intangible assets of $45.1 million, comprising customer relationships of $41.4 million and order backlog of $3.7 million. These assets will be amortised over their expected useful lives of 13 years and 5 years respectively. In total, $1.3 million has been amortised in the period since the date of acquisition.</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9 January 2024, the Group acquired HumanFirst. The acquisition resulted in the recognition of a developed technology intangible asset of $9.9 million which will be amortised over its expected useful life of 5 years. In total, $2.0 million has been amortised in the period since the date of acquisition.</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 October 2023, the Group acquired BioTel Research LLC (“BioTel”). The acquisition resulted in the recognition of intangible assets of $36.4 million, comprising customer relationships of $12.5 million, order backlog of $3.9 million and developed technology assets of $20.0 million. These assets will be amortised over their expected useful lives of between 3 years and 16 years. $6.1 million has been amortised during the twelve months ended 31 December 2024 (31 December 2023: $1.5 million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value-in-use calculations. Goodwill acquired through business combinations has been allocated to the Group’s three CGUs. The CGUs identified represent the lowest level within the Group at which goodwill is monitored and are not larger than the operating segment determined in accordance with IFRS 8 </w:t>
      </w:r>
      <w:r>
        <w:rPr>
          <w:rFonts w:ascii="Arial" w:cs="Arial" w:eastAsia="Arial" w:hAnsi="Arial"/>
          <w:sz w:val="12"/>
          <w:szCs w:val="12"/>
          <w:i w:val="1"/>
          <w:iCs w:val="1"/>
          <w:color w:val="auto"/>
        </w:rPr>
        <w:t>Operating Segments</w:t>
      </w:r>
      <w:r>
        <w:rPr>
          <w:rFonts w:ascii="Arial" w:cs="Arial" w:eastAsia="Arial" w:hAnsi="Arial"/>
          <w:sz w:val="12"/>
          <w:szCs w:val="1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Group has identified three CGUs in accordance with the provisions of IAS 36 </w:t>
      </w:r>
      <w:r>
        <w:rPr>
          <w:rFonts w:ascii="Arial" w:cs="Arial" w:eastAsia="Arial" w:hAnsi="Arial"/>
          <w:sz w:val="13"/>
          <w:szCs w:val="13"/>
          <w:i w:val="1"/>
          <w:iCs w:val="1"/>
          <w:color w:val="auto"/>
        </w:rPr>
        <w:t>Impairment of Assets.</w:t>
      </w:r>
      <w:r>
        <w:rPr>
          <w:rFonts w:ascii="Arial" w:cs="Arial" w:eastAsia="Arial" w:hAnsi="Arial"/>
          <w:sz w:val="13"/>
          <w:szCs w:val="13"/>
          <w:color w:val="auto"/>
        </w:rPr>
        <w:t xml:space="preserve"> A summary of the allocation of the carrying value of goodwill by CGU,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900" w:type="dxa"/>
            <w:vAlign w:val="bottom"/>
            <w:shd w:val="clear" w:color="auto" w:fill="CCEEFF"/>
          </w:tcPr>
          <w:p>
            <w:pPr>
              <w:spacing w:after="0"/>
              <w:rPr>
                <w:sz w:val="13"/>
                <w:szCs w:val="13"/>
                <w:color w:val="auto"/>
              </w:rPr>
            </w:pPr>
          </w:p>
        </w:tc>
        <w:tc>
          <w:tcPr>
            <w:tcW w:w="48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70"/>
        </w:trPr>
        <w:tc>
          <w:tcPr>
            <w:tcW w:w="49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2023</w:t>
            </w:r>
          </w:p>
        </w:tc>
      </w:tr>
      <w:tr>
        <w:trPr>
          <w:trHeight w:val="160"/>
        </w:trPr>
        <w:tc>
          <w:tcPr>
            <w:tcW w:w="4900" w:type="dxa"/>
            <w:vAlign w:val="bottom"/>
          </w:tcPr>
          <w:p>
            <w:pPr>
              <w:spacing w:after="0"/>
              <w:rPr>
                <w:sz w:val="13"/>
                <w:szCs w:val="13"/>
                <w:color w:val="auto"/>
              </w:rPr>
            </w:pPr>
          </w:p>
        </w:tc>
        <w:tc>
          <w:tcPr>
            <w:tcW w:w="484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w:t>
            </w:r>
          </w:p>
        </w:tc>
        <w:tc>
          <w:tcPr>
            <w:tcW w:w="48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7,363,983</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7,334,649</w:t>
            </w:r>
          </w:p>
        </w:tc>
      </w:tr>
      <w:tr>
        <w:trPr>
          <w:trHeight w:val="170"/>
        </w:trPr>
        <w:tc>
          <w:tcPr>
            <w:tcW w:w="4900" w:type="dxa"/>
            <w:vAlign w:val="bottom"/>
          </w:tcPr>
          <w:p>
            <w:pPr>
              <w:ind w:left="100"/>
              <w:spacing w:after="0"/>
              <w:rPr>
                <w:sz w:val="20"/>
                <w:szCs w:val="20"/>
                <w:color w:val="auto"/>
              </w:rPr>
            </w:pPr>
            <w:r>
              <w:rPr>
                <w:rFonts w:ascii="Arial" w:cs="Arial" w:eastAsia="Arial" w:hAnsi="Arial"/>
                <w:sz w:val="13"/>
                <w:szCs w:val="13"/>
                <w:color w:val="auto"/>
              </w:rPr>
              <w:t>Strategic Solutions</w:t>
            </w:r>
          </w:p>
        </w:tc>
        <w:tc>
          <w:tcPr>
            <w:tcW w:w="4840" w:type="dxa"/>
            <w:vAlign w:val="bottom"/>
          </w:tcPr>
          <w:p>
            <w:pPr>
              <w:jc w:val="right"/>
              <w:ind w:right="316"/>
              <w:spacing w:after="0"/>
              <w:rPr>
                <w:sz w:val="20"/>
                <w:szCs w:val="20"/>
                <w:color w:val="auto"/>
              </w:rPr>
            </w:pPr>
            <w:r>
              <w:rPr>
                <w:rFonts w:ascii="Arial" w:cs="Arial" w:eastAsia="Arial" w:hAnsi="Arial"/>
                <w:sz w:val="13"/>
                <w:szCs w:val="13"/>
                <w:b w:val="1"/>
                <w:bCs w:val="1"/>
                <w:color w:val="auto"/>
              </w:rPr>
              <w:t>1,372,648</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1,372,648</w:t>
            </w:r>
          </w:p>
        </w:tc>
      </w:tr>
      <w:tr>
        <w:trPr>
          <w:trHeight w:val="170"/>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Data Solutions</w:t>
            </w:r>
          </w:p>
        </w:tc>
        <w:tc>
          <w:tcPr>
            <w:tcW w:w="4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367,587</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367,587</w:t>
            </w:r>
          </w:p>
        </w:tc>
      </w:tr>
      <w:tr>
        <w:trPr>
          <w:trHeight w:val="160"/>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Total Goodwill</w:t>
            </w:r>
          </w:p>
        </w:tc>
        <w:tc>
          <w:tcPr>
            <w:tcW w:w="48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9,104,218</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9,074,884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Cash flow forecasts employed for the value-in-use calculations are for a ten year period approved by management and a terminal value which is applied to the year ten cash flows. The terminal value reflects the discounted value of the cash flows beyond year ten which is based on the weighted average long-term growth rates for each CGU.</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ten year projected cash flows for the Clinical Research and Strategic Solutions CGUs at 31 December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shd w:val="clear" w:color="auto" w:fill="CCEEFF"/>
          </w:tcPr>
          <w:p>
            <w:pPr>
              <w:spacing w:after="0"/>
              <w:rPr>
                <w:sz w:val="14"/>
                <w:szCs w:val="14"/>
                <w:color w:val="auto"/>
              </w:rPr>
            </w:pPr>
          </w:p>
        </w:tc>
        <w:tc>
          <w:tcPr>
            <w:tcW w:w="43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Clinical Research</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Strategic Solutions</w:t>
            </w: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Expected revenue growth rate</w:t>
            </w:r>
          </w:p>
        </w:tc>
        <w:tc>
          <w:tcPr>
            <w:tcW w:w="4380" w:type="dxa"/>
            <w:vAlign w:val="bottom"/>
          </w:tcPr>
          <w:p>
            <w:pPr>
              <w:jc w:val="right"/>
              <w:ind w:right="96"/>
              <w:spacing w:after="0"/>
              <w:rPr>
                <w:sz w:val="20"/>
                <w:szCs w:val="20"/>
                <w:color w:val="auto"/>
              </w:rPr>
            </w:pPr>
            <w:r>
              <w:rPr>
                <w:rFonts w:ascii="Arial" w:cs="Arial" w:eastAsia="Arial" w:hAnsi="Arial"/>
                <w:sz w:val="13"/>
                <w:szCs w:val="13"/>
                <w:color w:val="auto"/>
              </w:rPr>
              <w:t>7.1%</w:t>
            </w: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8.0%</w:t>
            </w: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growth rate for operating costs</w:t>
            </w:r>
          </w:p>
        </w:tc>
        <w:tc>
          <w:tcPr>
            <w:tcW w:w="4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Expected effective tax rate</w:t>
            </w:r>
          </w:p>
        </w:tc>
        <w:tc>
          <w:tcPr>
            <w:tcW w:w="4380" w:type="dxa"/>
            <w:vAlign w:val="bottom"/>
          </w:tcPr>
          <w:p>
            <w:pPr>
              <w:jc w:val="right"/>
              <w:ind w:right="96"/>
              <w:spacing w:after="0"/>
              <w:rPr>
                <w:sz w:val="20"/>
                <w:szCs w:val="20"/>
                <w:color w:val="auto"/>
              </w:rPr>
            </w:pPr>
            <w:r>
              <w:rPr>
                <w:rFonts w:ascii="Arial" w:cs="Arial" w:eastAsia="Arial" w:hAnsi="Arial"/>
                <w:sz w:val="13"/>
                <w:szCs w:val="13"/>
                <w:color w:val="auto"/>
              </w:rPr>
              <w:t>16.5%</w:t>
            </w: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16.5%</w:t>
            </w: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9.8%</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r>
      <w:tr>
        <w:trPr>
          <w:trHeight w:val="16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Long term growth</w:t>
            </w:r>
          </w:p>
        </w:tc>
        <w:tc>
          <w:tcPr>
            <w:tcW w:w="4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2.5%</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80"/>
          </w:cols>
          <w:pgMar w:left="300" w:top="698"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IT costs and other costs are relatively fixed and are therefore projected based upon a lower growth rate. An expected long-term average tax rate of 16.5% (2023: 16.5%) has been applied in determining the projected after tax cash flows.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Expected annual working capital growth and expected capital expenditure growth are based upon the expected growth rates used in preparing the Group’s budgets and strategic plans. Long term growth rates were based on global macroeconomic data.</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pre-tax discount rate of 9.8% (2023: 10.8%) has been applied to the projected cash flows of the CGUs in determining its value-in-use. This rate is reflective of both the time value of money and risks specific to the CGUs.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 The Group’s weighted average cost of capital is adjusted to reflected additional risk premiums associated with each CGU.</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No impairment was recognised in 2024 or 2023 as a result of the impairment testing which identified headroom in the recoverable amount of the related CGUs as compared to their carrying value.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2024. The table below identifies the amounts by which each of the specified assumptions may either decline or increase to arrive at a zero excess of the present value of future cash flows over the carrying value of goodwill in the Clinical Research and Strategic Solutions CGUs: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shd w:val="clear" w:color="auto" w:fill="CCEEFF"/>
          </w:tcPr>
          <w:p>
            <w:pPr>
              <w:spacing w:after="0"/>
              <w:rPr>
                <w:sz w:val="14"/>
                <w:szCs w:val="14"/>
                <w:color w:val="auto"/>
              </w:rPr>
            </w:pPr>
          </w:p>
        </w:tc>
        <w:tc>
          <w:tcPr>
            <w:tcW w:w="42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Clinical Research</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Strategic Solutions</w:t>
            </w:r>
          </w:p>
        </w:tc>
      </w:tr>
      <w:tr>
        <w:trPr>
          <w:trHeight w:val="169"/>
        </w:trPr>
        <w:tc>
          <w:tcPr>
            <w:tcW w:w="5440" w:type="dxa"/>
            <w:vAlign w:val="bottom"/>
          </w:tcPr>
          <w:p>
            <w:pPr>
              <w:ind w:left="60"/>
              <w:spacing w:after="0"/>
              <w:rPr>
                <w:sz w:val="20"/>
                <w:szCs w:val="20"/>
                <w:color w:val="auto"/>
              </w:rPr>
            </w:pPr>
            <w:r>
              <w:rPr>
                <w:rFonts w:ascii="Arial" w:cs="Arial" w:eastAsia="Arial" w:hAnsi="Arial"/>
                <w:sz w:val="13"/>
                <w:szCs w:val="13"/>
                <w:color w:val="auto"/>
              </w:rPr>
              <w:t>Expected revenue growth rate decreased by</w:t>
            </w:r>
            <w:r>
              <w:rPr>
                <w:rFonts w:ascii="Arial" w:cs="Arial" w:eastAsia="Arial" w:hAnsi="Arial"/>
                <w:sz w:val="11"/>
                <w:szCs w:val="11"/>
                <w:i w:val="1"/>
                <w:iCs w:val="1"/>
                <w:color w:val="auto"/>
              </w:rPr>
              <w:t>*</w:t>
            </w:r>
          </w:p>
        </w:tc>
        <w:tc>
          <w:tcPr>
            <w:tcW w:w="4280" w:type="dxa"/>
            <w:vAlign w:val="bottom"/>
          </w:tcPr>
          <w:p>
            <w:pPr>
              <w:jc w:val="right"/>
              <w:ind w:right="316"/>
              <w:spacing w:after="0"/>
              <w:rPr>
                <w:sz w:val="20"/>
                <w:szCs w:val="20"/>
                <w:color w:val="auto"/>
              </w:rPr>
            </w:pPr>
            <w:r>
              <w:rPr>
                <w:rFonts w:ascii="Arial" w:cs="Arial" w:eastAsia="Arial" w:hAnsi="Arial"/>
                <w:sz w:val="13"/>
                <w:szCs w:val="13"/>
                <w:color w:val="auto"/>
              </w:rPr>
              <w:t>6.3 %</w:t>
            </w:r>
          </w:p>
        </w:tc>
        <w:tc>
          <w:tcPr>
            <w:tcW w:w="1540" w:type="dxa"/>
            <w:vAlign w:val="bottom"/>
          </w:tcPr>
          <w:p>
            <w:pPr>
              <w:jc w:val="right"/>
              <w:spacing w:after="0"/>
              <w:rPr>
                <w:sz w:val="20"/>
                <w:szCs w:val="20"/>
                <w:color w:val="auto"/>
              </w:rPr>
            </w:pPr>
            <w:r>
              <w:rPr>
                <w:rFonts w:ascii="Arial" w:cs="Arial" w:eastAsia="Arial" w:hAnsi="Arial"/>
                <w:sz w:val="13"/>
                <w:szCs w:val="13"/>
                <w:color w:val="auto"/>
              </w:rPr>
              <w:t>10.0 %</w:t>
            </w:r>
          </w:p>
        </w:tc>
      </w:tr>
      <w:tr>
        <w:trPr>
          <w:trHeight w:val="170"/>
        </w:trPr>
        <w:tc>
          <w:tcPr>
            <w:tcW w:w="5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Discount rate increased by</w:t>
            </w:r>
          </w:p>
        </w:tc>
        <w:tc>
          <w:tcPr>
            <w:tcW w:w="42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7.2 %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*With cost of sales assumed to reflect lower revenue and operating expenses unchanged.</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Data Solutions CGU, 'Expected revenue growth' and 'Discount rates' were flexed to the extent necessary to review at what point its carrying value would exceed its recoverable amount. The calculations are particularly sensitive to changes in assumptions for these parameters.</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Management believes that the assumptions originally used in the value-in-use models are sufficiently prudent to ensure no reasonable change, in normal circumstances, in any of the above key assumptions would cause the carrying value of any CGU to exceed its recoverable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280"/>
          </w:cols>
          <w:pgMar w:left="300" w:top="698" w:right="3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Business combinations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KCR S.A. Group Acquisition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19 August 2024, the Company acquired the KCR S.A. Group ("KCR"), a CRO offering full service and functional services partnership ("FSP") clinical trial services, in exchange for consideration of $92.5 million.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net cash outflow was $76.4 million comprising cash payments of $88.1 million, net of cash acquired of $11.7 million. The fair value of contingent consideration was initially measured at the date of acquisition at $4.3 million and subsequently remeasured at $1.1 million.</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purchase price allocation resulted in the recognition of goodwill of $43.4 million and intangible assets of $45.1 million. Goodwill arising in connection with the acquisition is primarily attributable to the assembled workforce of KCR and the expected synergies of the acquisition. The goodwill recognised is not deductible for income tax purposes.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Since 19 August 2024, KCR has earned revenue of $32.8 million and net income of $1.8 million which are included in the Group's Consolidated Statement of Profit and loss for the year ended 31 December 2024. The pro-forma effect of the KCR acquisition if completed on 1 January 2023 would have resulted in revenue and profit for the financial year ended 31 December 2024 of $8,331.5 million and $780.5 million respectively and in revenue and profit for the financial year ended 31 December 2023 of $8,202.0 million and $610.0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HumanFirst, Inc.</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On 9 January 2024, the Company acquired HumanFirst, Inc. ("HumanFirst"), a life sciences technology company in exchange for consideration of $13.3 million.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net cash outflow was $7.8 million comprising initial cash payments of $11.8 million, net of cash acquired of $4.0 million. Deferred consideration of $1.4 million remains unpaid as of 31 December 2024.</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recognised is not deductible for income tax purposes.</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BioTel Research LLC, Acquisition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October 2 2023, the Company acquired the entire outstanding equity interests of BioTel Research, LLC (“BioTel”), a leading provider of medical imaging and cardiac safety monitoring services, from BioTelemetry Inc. in exchange for initial cash consideration of $68.1 million.</w:t>
      </w:r>
    </w:p>
    <w:p>
      <w:pPr>
        <w:spacing w:after="0" w:line="14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Cash acquired amounted to $1.4 million. The final purchase price allocation resulted in the recognition of intangible assets of $36.4 million and goodwill of $23.4 million. Goodwill arising in connection with the acquisition is primarily attributable to the assembled workforce of BioTel and the expected synergies of the acquisition. The goodwill recognised is deductible for income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PRA Health Sciences, Inc. Acquisition</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 July 2021 (the "Merger Date"), the Company completed the acquisition of PRA by means of a merger whereby Indigo Merger Sub, Inc., a Delaware corporation and subsidiary of ICON, merged with and into PRA Health Sciences, Inc., the parent of PRA Health Sciences ("the Acquisition" and "the Merger").</w:t>
      </w:r>
    </w:p>
    <w:p>
      <w:pPr>
        <w:spacing w:after="0" w:line="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the years ended 31 December 2024 and 31 December 2023, the Company incurred approximately $23.5 million and $16.4 million of Merger-related finance costs which are included in the “finance costs” line item in the Consolidated Statement of Profit and Loss.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Oncacare Limited Acquisition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20 April 20 2023, the Company completed the purchase of the majority investor's 51% majority voting share capital of Oncacare Limited ("Oncacare") for $5.1 million, such that Oncacare and its subsidiaries became wholly-owned subsidiaries of the ICON Group. The Oncacare acquisition resulted in goodwill of $13.4 million and also gave rise to an acquisition-related gain of $6.2 million.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280"/>
          </w:cols>
          <w:pgMar w:left="300" w:top="698"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Inventories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shd w:val="clear" w:color="auto" w:fill="CCEEFF"/>
          </w:tcPr>
          <w:p>
            <w:pPr>
              <w:spacing w:after="0"/>
              <w:rPr>
                <w:sz w:val="13"/>
                <w:szCs w:val="13"/>
                <w:color w:val="auto"/>
              </w:rPr>
            </w:pPr>
          </w:p>
        </w:tc>
        <w:tc>
          <w:tcPr>
            <w:tcW w:w="48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020" w:type="dxa"/>
            <w:vAlign w:val="bottom"/>
          </w:tcPr>
          <w:p>
            <w:pPr>
              <w:spacing w:after="0"/>
              <w:rPr>
                <w:sz w:val="13"/>
                <w:szCs w:val="13"/>
                <w:color w:val="auto"/>
              </w:rPr>
            </w:pPr>
          </w:p>
        </w:tc>
        <w:tc>
          <w:tcPr>
            <w:tcW w:w="48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 inventories</w:t>
            </w:r>
          </w:p>
        </w:tc>
        <w:tc>
          <w:tcPr>
            <w:tcW w:w="4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8,414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8,442</w:t>
            </w:r>
          </w:p>
        </w:tc>
      </w:tr>
    </w:tbl>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For the year ended 31 December 2024, $85.4 million (2023: $79.0 million) was charged to the Consolidated Statement of Profit and Loss. There was no material difference between the Consolidated Statement of Financial Position value of inventories and their replacement costs.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receivables and unbilled revenue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shd w:val="clear" w:color="auto" w:fill="CCEEFF"/>
          </w:tcPr>
          <w:p>
            <w:pPr>
              <w:spacing w:after="0"/>
              <w:rPr>
                <w:sz w:val="13"/>
                <w:szCs w:val="13"/>
                <w:color w:val="auto"/>
              </w:rPr>
            </w:pPr>
          </w:p>
        </w:tc>
        <w:tc>
          <w:tcPr>
            <w:tcW w:w="40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6040" w:type="dxa"/>
            <w:vAlign w:val="bottom"/>
          </w:tcPr>
          <w:p>
            <w:pPr>
              <w:spacing w:after="0"/>
              <w:rPr>
                <w:sz w:val="13"/>
                <w:szCs w:val="13"/>
                <w:color w:val="auto"/>
              </w:rPr>
            </w:pPr>
          </w:p>
        </w:tc>
        <w:tc>
          <w:tcPr>
            <w:tcW w:w="40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Billed services (accounts receivable)</w:t>
            </w:r>
          </w:p>
        </w:tc>
        <w:tc>
          <w:tcPr>
            <w:tcW w:w="40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1,437,653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1,821,855</w:t>
            </w:r>
          </w:p>
        </w:tc>
      </w:tr>
      <w:tr>
        <w:trPr>
          <w:trHeight w:val="17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services (unbilled revenue)</w:t>
            </w:r>
          </w:p>
        </w:tc>
        <w:tc>
          <w:tcPr>
            <w:tcW w:w="40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1,286,274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951,936</w:t>
            </w:r>
          </w:p>
        </w:tc>
      </w:tr>
      <w:tr>
        <w:trPr>
          <w:trHeight w:val="16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gross</w:t>
            </w:r>
          </w:p>
        </w:tc>
        <w:tc>
          <w:tcPr>
            <w:tcW w:w="40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2,723,927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2,773,791</w:t>
            </w:r>
          </w:p>
        </w:tc>
      </w:tr>
      <w:tr>
        <w:trPr>
          <w:trHeight w:val="17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40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(35,664)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(31,533)</w:t>
            </w:r>
          </w:p>
        </w:tc>
      </w:tr>
      <w:tr>
        <w:trPr>
          <w:trHeight w:val="185"/>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40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2,688,263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2,742,258</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receivables are due within twelve months of the year ended 31 December 2024. Due to the short-term nature of the current receivables, their carrying amount is considered to be the same as their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CCEEFF"/>
          </w:tcPr>
          <w:p>
            <w:pPr>
              <w:spacing w:after="0"/>
              <w:rPr>
                <w:sz w:val="12"/>
                <w:szCs w:val="12"/>
                <w:color w:val="auto"/>
              </w:rPr>
            </w:pPr>
          </w:p>
        </w:tc>
        <w:tc>
          <w:tcPr>
            <w:tcW w:w="29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31 December</w:t>
            </w:r>
          </w:p>
        </w:tc>
        <w:tc>
          <w:tcPr>
            <w:tcW w:w="148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160" w:type="dxa"/>
            <w:vAlign w:val="bottom"/>
            <w:tcBorders>
              <w:bottom w:val="single" w:sz="8" w:color="auto"/>
            </w:tcBorders>
            <w:shd w:val="clear" w:color="auto" w:fill="CCEEFF"/>
          </w:tcPr>
          <w:p>
            <w:pPr>
              <w:spacing w:after="0"/>
              <w:rPr>
                <w:sz w:val="14"/>
                <w:szCs w:val="14"/>
                <w:color w:val="auto"/>
              </w:rPr>
            </w:pPr>
          </w:p>
        </w:tc>
        <w:tc>
          <w:tcPr>
            <w:tcW w:w="29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2023</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29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416"/>
              <w:spacing w:after="0"/>
              <w:rPr>
                <w:sz w:val="20"/>
                <w:szCs w:val="20"/>
                <w:color w:val="auto"/>
              </w:rPr>
            </w:pPr>
            <w:r>
              <w:rPr>
                <w:rFonts w:ascii="Arial" w:cs="Arial" w:eastAsia="Arial" w:hAnsi="Arial"/>
                <w:sz w:val="13"/>
                <w:szCs w:val="13"/>
                <w:color w:val="auto"/>
              </w:rPr>
              <w:t>$’000</w:t>
            </w:r>
          </w:p>
        </w:tc>
        <w:tc>
          <w:tcPr>
            <w:tcW w:w="1480" w:type="dxa"/>
            <w:vAlign w:val="bottom"/>
          </w:tcPr>
          <w:p>
            <w:pPr>
              <w:jc w:val="right"/>
              <w:ind w:right="416"/>
              <w:spacing w:after="0"/>
              <w:rPr>
                <w:sz w:val="20"/>
                <w:szCs w:val="20"/>
                <w:color w:val="auto"/>
              </w:rPr>
            </w:pPr>
            <w:r>
              <w:rPr>
                <w:rFonts w:ascii="Arial" w:cs="Arial" w:eastAsia="Arial" w:hAnsi="Arial"/>
                <w:sz w:val="13"/>
                <w:szCs w:val="13"/>
                <w:color w:val="auto"/>
              </w:rPr>
              <w:t>$’000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29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1,286,274</w:t>
            </w:r>
          </w:p>
        </w:tc>
        <w:tc>
          <w:tcPr>
            <w:tcW w:w="1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951,936</w:t>
            </w:r>
          </w:p>
        </w:tc>
        <w:tc>
          <w:tcPr>
            <w:tcW w:w="14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334,338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35.1 %</w:t>
            </w:r>
          </w:p>
        </w:tc>
        <w:tc>
          <w:tcPr>
            <w:tcW w:w="0" w:type="dxa"/>
            <w:vAlign w:val="bottom"/>
          </w:tcPr>
          <w:p>
            <w:pPr>
              <w:spacing w:after="0"/>
              <w:rPr>
                <w:sz w:val="1"/>
                <w:szCs w:val="1"/>
                <w:color w:val="auto"/>
              </w:rPr>
            </w:pPr>
          </w:p>
        </w:tc>
      </w:tr>
      <w:tr>
        <w:trPr>
          <w:trHeight w:val="17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2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(1,614,758)</w:t>
            </w: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(1,654,507)</w:t>
            </w:r>
          </w:p>
        </w:tc>
        <w:tc>
          <w:tcPr>
            <w:tcW w:w="14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39,749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(328,484)</w:t>
            </w:r>
          </w:p>
        </w:tc>
        <w:tc>
          <w:tcPr>
            <w:tcW w:w="1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(702,571)</w:t>
            </w:r>
          </w:p>
        </w:tc>
        <w:tc>
          <w:tcPr>
            <w:tcW w:w="14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374,087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Statement of Financial Position.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280"/>
          </w:cols>
          <w:pgMar w:left="300" w:top="698"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reimbursable expenses were $369.2 million at 31 December 2024 and $333.0 million at 31 December 2023 (see </w:t>
      </w:r>
      <w:r>
        <w:rPr>
          <w:rFonts w:ascii="Arial" w:cs="Arial" w:eastAsia="Arial" w:hAnsi="Arial"/>
          <w:sz w:val="13"/>
          <w:szCs w:val="13"/>
          <w:i w:val="1"/>
          <w:iCs w:val="1"/>
          <w:color w:val="auto"/>
        </w:rPr>
        <w:t>note 20 Other liabilities</w:t>
      </w:r>
      <w:r>
        <w:rPr>
          <w:rFonts w:ascii="Arial" w:cs="Arial" w:eastAsia="Arial" w:hAnsi="Arial"/>
          <w:sz w:val="13"/>
          <w:szCs w:val="13"/>
          <w:color w:val="auto"/>
        </w:rPr>
        <w:t>).</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Unbilled services as at 31 December 2024 increased by $334.3 million as compared to 31 December 2023. Unearned revenue decreased by $39.7 million over the same period resulting in a decrease of $374.1 million in the net balance of unbilled services and unearned revenue or payments on account between 31 December 2023 and 31 December 2024.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recognised exceeds the amount billed to the customer.</w:t>
      </w:r>
    </w:p>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of 31 December 2024 approximately $15.9 billion (2023: $14.8 billion) of revenue is expected to be recognised in the future in respect of unsatisfied performance obligations. The Company expects to recognise revenue on approximately 47% (2023: 52%) of the unsatisfied performance obligation over the next 12 months, with the remainder recognised thereafter over the duration of the customer contracts.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2024, the Group maintained an impairment provision of $35.7 million (2023: $31.5 million). The credit loss expense recognised on the Group's receivables and unbilled services was $28.4 million and $24.6 million for the twelve months ended 31 December 2024 and 2023, respectively.</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201" w:lineRule="exact"/>
        <w:rPr>
          <w:sz w:val="20"/>
          <w:szCs w:val="20"/>
          <w:color w:val="auto"/>
        </w:rPr>
      </w:pPr>
    </w:p>
    <w:p>
      <w:pPr>
        <w:ind w:left="500" w:hanging="240"/>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The closing loss allowance for trade receivables and contract assets as at 31 December 2024 and 31 December 2023 reconciles to the opening loss allowances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shd w:val="clear" w:color="auto" w:fill="CCEEFF"/>
          </w:tcPr>
          <w:p>
            <w:pPr>
              <w:spacing w:after="0"/>
              <w:rPr>
                <w:sz w:val="12"/>
                <w:szCs w:val="12"/>
                <w:color w:val="auto"/>
              </w:rPr>
            </w:pPr>
          </w:p>
        </w:tc>
        <w:tc>
          <w:tcPr>
            <w:tcW w:w="53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740" w:type="dxa"/>
            <w:vAlign w:val="bottom"/>
            <w:tcBorders>
              <w:bottom w:val="single" w:sz="8" w:color="auto"/>
            </w:tcBorders>
            <w:shd w:val="clear" w:color="auto" w:fill="CCEEFF"/>
          </w:tcPr>
          <w:p>
            <w:pPr>
              <w:spacing w:after="0"/>
              <w:rPr>
                <w:sz w:val="14"/>
                <w:szCs w:val="14"/>
                <w:color w:val="auto"/>
              </w:rPr>
            </w:pPr>
          </w:p>
        </w:tc>
        <w:tc>
          <w:tcPr>
            <w:tcW w:w="53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4740" w:type="dxa"/>
            <w:vAlign w:val="bottom"/>
          </w:tcPr>
          <w:p>
            <w:pPr>
              <w:spacing w:after="0"/>
              <w:rPr>
                <w:sz w:val="13"/>
                <w:szCs w:val="13"/>
                <w:color w:val="auto"/>
              </w:rPr>
            </w:pPr>
          </w:p>
        </w:tc>
        <w:tc>
          <w:tcPr>
            <w:tcW w:w="53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start of year</w:t>
            </w:r>
          </w:p>
        </w:tc>
        <w:tc>
          <w:tcPr>
            <w:tcW w:w="53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31,533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20,562</w:t>
            </w:r>
          </w:p>
        </w:tc>
      </w:tr>
      <w:tr>
        <w:trPr>
          <w:trHeight w:val="170"/>
        </w:trPr>
        <w:tc>
          <w:tcPr>
            <w:tcW w:w="4740" w:type="dxa"/>
            <w:vAlign w:val="bottom"/>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5380" w:type="dxa"/>
            <w:vAlign w:val="bottom"/>
          </w:tcPr>
          <w:p>
            <w:pPr>
              <w:jc w:val="right"/>
              <w:ind w:right="296"/>
              <w:spacing w:after="0"/>
              <w:rPr>
                <w:sz w:val="20"/>
                <w:szCs w:val="20"/>
                <w:color w:val="auto"/>
              </w:rPr>
            </w:pPr>
            <w:r>
              <w:rPr>
                <w:rFonts w:ascii="Arial" w:cs="Arial" w:eastAsia="Arial" w:hAnsi="Arial"/>
                <w:sz w:val="13"/>
                <w:szCs w:val="13"/>
                <w:b w:val="1"/>
                <w:bCs w:val="1"/>
                <w:color w:val="auto"/>
              </w:rPr>
              <w:t>(24,887)</w:t>
            </w:r>
          </w:p>
        </w:tc>
        <w:tc>
          <w:tcPr>
            <w:tcW w:w="1140" w:type="dxa"/>
            <w:vAlign w:val="bottom"/>
          </w:tcPr>
          <w:p>
            <w:pPr>
              <w:jc w:val="right"/>
              <w:spacing w:after="0"/>
              <w:rPr>
                <w:sz w:val="20"/>
                <w:szCs w:val="20"/>
                <w:color w:val="auto"/>
              </w:rPr>
            </w:pPr>
            <w:r>
              <w:rPr>
                <w:rFonts w:ascii="Arial" w:cs="Arial" w:eastAsia="Arial" w:hAnsi="Arial"/>
                <w:sz w:val="13"/>
                <w:szCs w:val="13"/>
                <w:color w:val="auto"/>
              </w:rPr>
              <w:t>(13,358)</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loss allowance recognised in profit or loss during the year</w:t>
            </w:r>
          </w:p>
        </w:tc>
        <w:tc>
          <w:tcPr>
            <w:tcW w:w="53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28,417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24,550</w:t>
            </w:r>
          </w:p>
        </w:tc>
      </w:tr>
      <w:tr>
        <w:trPr>
          <w:trHeight w:val="178"/>
        </w:trPr>
        <w:tc>
          <w:tcPr>
            <w:tcW w:w="474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5380" w:type="dxa"/>
            <w:vAlign w:val="bottom"/>
          </w:tcPr>
          <w:p>
            <w:pPr>
              <w:jc w:val="right"/>
              <w:ind w:right="336"/>
              <w:spacing w:after="0"/>
              <w:rPr>
                <w:sz w:val="20"/>
                <w:szCs w:val="20"/>
                <w:color w:val="auto"/>
              </w:rPr>
            </w:pPr>
            <w:r>
              <w:rPr>
                <w:rFonts w:ascii="Arial" w:cs="Arial" w:eastAsia="Arial" w:hAnsi="Arial"/>
                <w:sz w:val="13"/>
                <w:szCs w:val="13"/>
                <w:b w:val="1"/>
                <w:bCs w:val="1"/>
                <w:color w:val="auto"/>
              </w:rPr>
              <w:t>601</w:t>
            </w:r>
          </w:p>
        </w:tc>
        <w:tc>
          <w:tcPr>
            <w:tcW w:w="114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24"/>
        </w:trPr>
        <w:tc>
          <w:tcPr>
            <w:tcW w:w="47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53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35,664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31,533</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5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4740" w:type="dxa"/>
            <w:vAlign w:val="bottom"/>
          </w:tcPr>
          <w:p>
            <w:pPr>
              <w:spacing w:after="0"/>
              <w:rPr>
                <w:sz w:val="24"/>
                <w:szCs w:val="24"/>
                <w:color w:val="auto"/>
              </w:rPr>
            </w:pPr>
          </w:p>
        </w:tc>
        <w:tc>
          <w:tcPr>
            <w:tcW w:w="5380" w:type="dxa"/>
            <w:vAlign w:val="bottom"/>
          </w:tcPr>
          <w:p>
            <w:pPr>
              <w:jc w:val="right"/>
              <w:ind w:right="4336"/>
              <w:spacing w:after="0"/>
              <w:rPr>
                <w:sz w:val="20"/>
                <w:szCs w:val="20"/>
                <w:color w:val="auto"/>
              </w:rPr>
            </w:pPr>
            <w:r>
              <w:rPr>
                <w:rFonts w:ascii="Arial" w:cs="Arial" w:eastAsia="Arial" w:hAnsi="Arial"/>
                <w:sz w:val="13"/>
                <w:szCs w:val="13"/>
                <w:color w:val="auto"/>
              </w:rPr>
              <w:t>88</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Further analysis of the Group’s accounts receivable balances at 31 December 2024 and 31 December 2023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shd w:val="clear" w:color="auto" w:fill="CCEEFF"/>
          </w:tcPr>
          <w:p>
            <w:pPr>
              <w:spacing w:after="0"/>
              <w:rPr>
                <w:sz w:val="13"/>
                <w:szCs w:val="13"/>
                <w:color w:val="auto"/>
              </w:rPr>
            </w:pPr>
          </w:p>
        </w:tc>
        <w:tc>
          <w:tcPr>
            <w:tcW w:w="27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31 December</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3"/>
                <w:szCs w:val="13"/>
                <w:color w:val="auto"/>
              </w:rPr>
            </w:pP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2024</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4"/>
                <w:szCs w:val="14"/>
                <w:color w:val="auto"/>
              </w:rPr>
            </w:pPr>
          </w:p>
        </w:tc>
      </w:tr>
      <w:tr>
        <w:trPr>
          <w:trHeight w:val="160"/>
        </w:trPr>
        <w:tc>
          <w:tcPr>
            <w:tcW w:w="7300" w:type="dxa"/>
            <w:vAlign w:val="bottom"/>
          </w:tcPr>
          <w:p>
            <w:pPr>
              <w:spacing w:after="0"/>
              <w:rPr>
                <w:sz w:val="13"/>
                <w:szCs w:val="13"/>
                <w:color w:val="auto"/>
              </w:rPr>
            </w:pPr>
          </w:p>
        </w:tc>
        <w:tc>
          <w:tcPr>
            <w:tcW w:w="27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accounts receivable</w:t>
            </w:r>
          </w:p>
        </w:tc>
        <w:tc>
          <w:tcPr>
            <w:tcW w:w="2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Not past due</w:t>
            </w:r>
          </w:p>
        </w:tc>
        <w:tc>
          <w:tcPr>
            <w:tcW w:w="2720" w:type="dxa"/>
            <w:vAlign w:val="bottom"/>
          </w:tcPr>
          <w:p>
            <w:pPr>
              <w:jc w:val="right"/>
              <w:ind w:right="236"/>
              <w:spacing w:after="0"/>
              <w:rPr>
                <w:sz w:val="20"/>
                <w:szCs w:val="20"/>
                <w:color w:val="auto"/>
              </w:rPr>
            </w:pPr>
            <w:r>
              <w:rPr>
                <w:rFonts w:ascii="Arial" w:cs="Arial" w:eastAsia="Arial" w:hAnsi="Arial"/>
                <w:sz w:val="13"/>
                <w:szCs w:val="13"/>
                <w:b w:val="1"/>
                <w:bCs w:val="1"/>
                <w:color w:val="auto"/>
              </w:rPr>
              <w:t>1,065,408</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1,239,075</w:t>
            </w: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0 to 30 days</w:t>
            </w:r>
          </w:p>
        </w:tc>
        <w:tc>
          <w:tcPr>
            <w:tcW w:w="27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149,702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157,673</w:t>
            </w: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Past due 31 to 60 days</w:t>
            </w:r>
          </w:p>
        </w:tc>
        <w:tc>
          <w:tcPr>
            <w:tcW w:w="2720" w:type="dxa"/>
            <w:vAlign w:val="bottom"/>
          </w:tcPr>
          <w:p>
            <w:pPr>
              <w:jc w:val="right"/>
              <w:ind w:right="236"/>
              <w:spacing w:after="0"/>
              <w:rPr>
                <w:sz w:val="20"/>
                <w:szCs w:val="20"/>
                <w:color w:val="auto"/>
              </w:rPr>
            </w:pPr>
            <w:r>
              <w:rPr>
                <w:rFonts w:ascii="Arial" w:cs="Arial" w:eastAsia="Arial" w:hAnsi="Arial"/>
                <w:sz w:val="13"/>
                <w:szCs w:val="13"/>
                <w:b w:val="1"/>
                <w:bCs w:val="1"/>
                <w:color w:val="auto"/>
              </w:rPr>
              <w:t>40,717</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102,556</w:t>
            </w: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due 61+ days</w:t>
            </w:r>
          </w:p>
        </w:tc>
        <w:tc>
          <w:tcPr>
            <w:tcW w:w="2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181,826</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322,551</w:t>
            </w:r>
          </w:p>
        </w:tc>
        <w:tc>
          <w:tcPr>
            <w:tcW w:w="20" w:type="dxa"/>
            <w:vAlign w:val="bottom"/>
          </w:tcPr>
          <w:p>
            <w:pPr>
              <w:spacing w:after="0"/>
              <w:rPr>
                <w:sz w:val="14"/>
                <w:szCs w:val="14"/>
                <w:color w:val="auto"/>
              </w:rPr>
            </w:pPr>
          </w:p>
        </w:tc>
      </w:tr>
      <w:tr>
        <w:trPr>
          <w:trHeight w:val="16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2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1,437,653</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1,821,855</w:t>
            </w:r>
          </w:p>
        </w:tc>
        <w:tc>
          <w:tcPr>
            <w:tcW w:w="20" w:type="dxa"/>
            <w:vAlign w:val="bottom"/>
          </w:tcPr>
          <w:p>
            <w:pPr>
              <w:spacing w:after="0"/>
              <w:rPr>
                <w:sz w:val="13"/>
                <w:szCs w:val="13"/>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7300" w:type="dxa"/>
            <w:vAlign w:val="bottom"/>
          </w:tcPr>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3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gridSpan w:val="2"/>
          </w:tcPr>
          <w:p>
            <w:pPr>
              <w:spacing w:after="0"/>
              <w:rPr>
                <w:sz w:val="7"/>
                <w:szCs w:val="7"/>
                <w:color w:val="auto"/>
              </w:rPr>
            </w:pPr>
          </w:p>
        </w:tc>
      </w:tr>
      <w:tr>
        <w:trPr>
          <w:trHeight w:val="127"/>
        </w:trPr>
        <w:tc>
          <w:tcPr>
            <w:tcW w:w="7300" w:type="dxa"/>
            <w:vAlign w:val="bottom"/>
            <w:shd w:val="clear" w:color="auto" w:fill="CCEEFF"/>
          </w:tcPr>
          <w:p>
            <w:pPr>
              <w:spacing w:after="0"/>
              <w:rPr>
                <w:sz w:val="11"/>
                <w:szCs w:val="11"/>
                <w:color w:val="auto"/>
              </w:rPr>
            </w:pPr>
          </w:p>
        </w:tc>
        <w:tc>
          <w:tcPr>
            <w:tcW w:w="27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31 December</w:t>
            </w:r>
          </w:p>
        </w:tc>
        <w:tc>
          <w:tcPr>
            <w:tcW w:w="126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7300" w:type="dxa"/>
            <w:vAlign w:val="bottom"/>
          </w:tcPr>
          <w:p>
            <w:pPr>
              <w:spacing w:after="0"/>
              <w:rPr>
                <w:sz w:val="13"/>
                <w:szCs w:val="13"/>
                <w:color w:val="auto"/>
              </w:rPr>
            </w:pPr>
          </w:p>
        </w:tc>
        <w:tc>
          <w:tcPr>
            <w:tcW w:w="27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2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US Dollar</w:t>
            </w:r>
          </w:p>
        </w:tc>
        <w:tc>
          <w:tcPr>
            <w:tcW w:w="2720" w:type="dxa"/>
            <w:vAlign w:val="bottom"/>
          </w:tcPr>
          <w:p>
            <w:pPr>
              <w:jc w:val="right"/>
              <w:ind w:right="216"/>
              <w:spacing w:after="0"/>
              <w:rPr>
                <w:sz w:val="20"/>
                <w:szCs w:val="20"/>
                <w:color w:val="auto"/>
              </w:rPr>
            </w:pPr>
            <w:r>
              <w:rPr>
                <w:rFonts w:ascii="Arial" w:cs="Arial" w:eastAsia="Arial" w:hAnsi="Arial"/>
                <w:sz w:val="13"/>
                <w:szCs w:val="13"/>
                <w:b w:val="1"/>
                <w:bCs w:val="1"/>
                <w:color w:val="auto"/>
              </w:rPr>
              <w:t>1,092,510</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1,394,414</w:t>
            </w: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27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242,070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327,816</w:t>
            </w:r>
          </w:p>
        </w:tc>
        <w:tc>
          <w:tcPr>
            <w:tcW w:w="20" w:type="dxa"/>
            <w:vAlign w:val="bottom"/>
            <w:shd w:val="clear" w:color="auto" w:fill="CCEEFF"/>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Sterling</w:t>
            </w:r>
          </w:p>
        </w:tc>
        <w:tc>
          <w:tcPr>
            <w:tcW w:w="2720" w:type="dxa"/>
            <w:vAlign w:val="bottom"/>
          </w:tcPr>
          <w:p>
            <w:pPr>
              <w:jc w:val="right"/>
              <w:ind w:right="216"/>
              <w:spacing w:after="0"/>
              <w:rPr>
                <w:sz w:val="20"/>
                <w:szCs w:val="20"/>
                <w:color w:val="auto"/>
              </w:rPr>
            </w:pPr>
            <w:r>
              <w:rPr>
                <w:rFonts w:ascii="Arial" w:cs="Arial" w:eastAsia="Arial" w:hAnsi="Arial"/>
                <w:sz w:val="13"/>
                <w:szCs w:val="13"/>
                <w:b w:val="1"/>
                <w:bCs w:val="1"/>
                <w:color w:val="auto"/>
              </w:rPr>
              <w:t>23,792</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13,785</w:t>
            </w: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27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79,281</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85,840</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7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1,437,653</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1,821,855</w:t>
            </w:r>
          </w:p>
        </w:tc>
        <w:tc>
          <w:tcPr>
            <w:tcW w:w="20" w:type="dxa"/>
            <w:vAlign w:val="bottom"/>
            <w:tcBorders>
              <w:bottom w:val="single" w:sz="8" w:color="auto"/>
            </w:tcBorders>
          </w:tcPr>
          <w:p>
            <w:pPr>
              <w:spacing w:after="0"/>
              <w:rPr>
                <w:sz w:val="13"/>
                <w:szCs w:val="13"/>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3"/>
        </w:trPr>
        <w:tc>
          <w:tcPr>
            <w:tcW w:w="7300" w:type="dxa"/>
            <w:vAlign w:val="bottom"/>
          </w:tcPr>
          <w:p>
            <w:pPr>
              <w:spacing w:after="0"/>
              <w:rPr>
                <w:sz w:val="20"/>
                <w:szCs w:val="20"/>
                <w:color w:val="auto"/>
              </w:rPr>
            </w:pPr>
            <w:r>
              <w:rPr>
                <w:rFonts w:ascii="Arial" w:cs="Arial" w:eastAsia="Arial" w:hAnsi="Arial"/>
                <w:sz w:val="13"/>
                <w:szCs w:val="13"/>
                <w:b w:val="1"/>
                <w:bCs w:val="1"/>
                <w:color w:val="auto"/>
              </w:rPr>
              <w:t>17. Other assets</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
        </w:trPr>
        <w:tc>
          <w:tcPr>
            <w:tcW w:w="73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60" w:type="dxa"/>
            <w:vAlign w:val="bottom"/>
            <w:gridSpan w:val="3"/>
          </w:tcPr>
          <w:p>
            <w:pPr>
              <w:spacing w:after="0"/>
              <w:rPr>
                <w:sz w:val="5"/>
                <w:szCs w:val="5"/>
                <w:color w:val="auto"/>
              </w:rPr>
            </w:pPr>
          </w:p>
        </w:tc>
      </w:tr>
      <w:tr>
        <w:trPr>
          <w:trHeight w:val="127"/>
        </w:trPr>
        <w:tc>
          <w:tcPr>
            <w:tcW w:w="7300" w:type="dxa"/>
            <w:vAlign w:val="bottom"/>
            <w:shd w:val="clear" w:color="auto" w:fill="CCEEFF"/>
          </w:tcPr>
          <w:p>
            <w:pPr>
              <w:spacing w:after="0"/>
              <w:rPr>
                <w:sz w:val="11"/>
                <w:szCs w:val="11"/>
                <w:color w:val="auto"/>
              </w:rPr>
            </w:pPr>
          </w:p>
        </w:tc>
        <w:tc>
          <w:tcPr>
            <w:tcW w:w="272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gridSpan w:val="2"/>
          </w:tcPr>
          <w:p>
            <w:pPr>
              <w:spacing w:after="0"/>
              <w:rPr>
                <w:sz w:val="11"/>
                <w:szCs w:val="11"/>
                <w:color w:val="auto"/>
              </w:rPr>
            </w:pP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7300" w:type="dxa"/>
            <w:vAlign w:val="bottom"/>
          </w:tcPr>
          <w:p>
            <w:pPr>
              <w:spacing w:after="0"/>
              <w:rPr>
                <w:sz w:val="13"/>
                <w:szCs w:val="13"/>
                <w:color w:val="auto"/>
              </w:rPr>
            </w:pPr>
          </w:p>
        </w:tc>
        <w:tc>
          <w:tcPr>
            <w:tcW w:w="27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2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2720" w:type="dxa"/>
            <w:vAlign w:val="bottom"/>
          </w:tcPr>
          <w:p>
            <w:pPr>
              <w:jc w:val="right"/>
              <w:ind w:right="436"/>
              <w:spacing w:after="0"/>
              <w:rPr>
                <w:sz w:val="20"/>
                <w:szCs w:val="20"/>
                <w:color w:val="auto"/>
              </w:rPr>
            </w:pPr>
            <w:r>
              <w:rPr>
                <w:rFonts w:ascii="Arial" w:cs="Arial" w:eastAsia="Arial" w:hAnsi="Arial"/>
                <w:sz w:val="13"/>
                <w:szCs w:val="13"/>
                <w:b w:val="1"/>
                <w:bCs w:val="1"/>
                <w:color w:val="auto"/>
              </w:rPr>
              <w:t>16,780</w:t>
            </w:r>
          </w:p>
        </w:tc>
        <w:tc>
          <w:tcPr>
            <w:tcW w:w="1000" w:type="dxa"/>
            <w:vAlign w:val="bottom"/>
          </w:tcPr>
          <w:p>
            <w:pPr>
              <w:jc w:val="right"/>
              <w:spacing w:after="0"/>
              <w:rPr>
                <w:sz w:val="20"/>
                <w:szCs w:val="20"/>
                <w:color w:val="auto"/>
              </w:rPr>
            </w:pPr>
            <w:r>
              <w:rPr>
                <w:rFonts w:ascii="Arial" w:cs="Arial" w:eastAsia="Arial" w:hAnsi="Arial"/>
                <w:sz w:val="13"/>
                <w:szCs w:val="13"/>
                <w:color w:val="auto"/>
              </w:rPr>
              <w:t>17,667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27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24,836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27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31,180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39,717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7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72,796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78,470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3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2"/>
                <w:szCs w:val="12"/>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1,492</w:t>
            </w:r>
          </w:p>
        </w:tc>
        <w:tc>
          <w:tcPr>
            <w:tcW w:w="1140" w:type="dxa"/>
            <w:vAlign w:val="bottom"/>
          </w:tcPr>
          <w:p>
            <w:pPr>
              <w:jc w:val="right"/>
              <w:spacing w:after="0"/>
              <w:rPr>
                <w:sz w:val="20"/>
                <w:szCs w:val="20"/>
                <w:color w:val="auto"/>
              </w:rPr>
            </w:pPr>
            <w:r>
              <w:rPr>
                <w:rFonts w:ascii="Arial" w:cs="Arial" w:eastAsia="Arial" w:hAnsi="Arial"/>
                <w:sz w:val="13"/>
                <w:szCs w:val="13"/>
                <w:color w:val="auto"/>
              </w:rPr>
              <w:t>2,655</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69,763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69,881</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43,186</w:t>
            </w:r>
          </w:p>
        </w:tc>
        <w:tc>
          <w:tcPr>
            <w:tcW w:w="1140" w:type="dxa"/>
            <w:vAlign w:val="bottom"/>
          </w:tcPr>
          <w:p>
            <w:pPr>
              <w:jc w:val="right"/>
              <w:spacing w:after="0"/>
              <w:rPr>
                <w:sz w:val="20"/>
                <w:szCs w:val="20"/>
                <w:color w:val="auto"/>
              </w:rPr>
            </w:pPr>
            <w:r>
              <w:rPr>
                <w:rFonts w:ascii="Arial" w:cs="Arial" w:eastAsia="Arial" w:hAnsi="Arial"/>
                <w:sz w:val="13"/>
                <w:szCs w:val="13"/>
                <w:color w:val="auto"/>
              </w:rPr>
              <w:t>39,529</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36,489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32,183</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60,578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45,212</w:t>
            </w:r>
          </w:p>
        </w:tc>
      </w:tr>
      <w:tr>
        <w:trPr>
          <w:trHeight w:val="18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211,508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189,460</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698" w:right="3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280"/>
          </w:cols>
          <w:pgMar w:left="300" w:top="698" w:right="31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Other assets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Financial asset investments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shd w:val="clear" w:color="auto" w:fill="CCEEFF"/>
          </w:tcPr>
          <w:p>
            <w:pPr>
              <w:spacing w:after="0"/>
              <w:rPr>
                <w:sz w:val="13"/>
                <w:szCs w:val="13"/>
                <w:color w:val="auto"/>
              </w:rPr>
            </w:pPr>
          </w:p>
        </w:tc>
        <w:tc>
          <w:tcPr>
            <w:tcW w:w="48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shd w:val="clear" w:color="auto" w:fill="CCEEFF"/>
          </w:tcPr>
          <w:p>
            <w:pPr>
              <w:spacing w:after="0"/>
              <w:rPr>
                <w:sz w:val="14"/>
                <w:szCs w:val="14"/>
                <w:color w:val="auto"/>
              </w:rPr>
            </w:pPr>
          </w:p>
        </w:tc>
        <w:tc>
          <w:tcPr>
            <w:tcW w:w="4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0"/>
        </w:trPr>
        <w:tc>
          <w:tcPr>
            <w:tcW w:w="5280" w:type="dxa"/>
            <w:vAlign w:val="bottom"/>
          </w:tcPr>
          <w:p>
            <w:pPr>
              <w:spacing w:after="0"/>
              <w:rPr>
                <w:sz w:val="13"/>
                <w:szCs w:val="13"/>
                <w:color w:val="auto"/>
              </w:rPr>
            </w:pPr>
          </w:p>
        </w:tc>
        <w:tc>
          <w:tcPr>
            <w:tcW w:w="48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3"/>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Financial asset investments</w:t>
            </w:r>
          </w:p>
        </w:tc>
        <w:tc>
          <w:tcPr>
            <w:tcW w:w="48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57,948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46,804</w:t>
            </w:r>
          </w:p>
        </w:tc>
        <w:tc>
          <w:tcPr>
            <w:tcW w:w="0" w:type="dxa"/>
            <w:vAlign w:val="bottom"/>
          </w:tcPr>
          <w:p>
            <w:pPr>
              <w:spacing w:after="0"/>
              <w:rPr>
                <w:sz w:val="1"/>
                <w:szCs w:val="1"/>
                <w:color w:val="auto"/>
              </w:rPr>
            </w:pPr>
          </w:p>
        </w:tc>
      </w:tr>
      <w:tr>
        <w:trPr>
          <w:trHeight w:val="51"/>
        </w:trPr>
        <w:tc>
          <w:tcPr>
            <w:tcW w:w="5280" w:type="dxa"/>
            <w:vAlign w:val="bottom"/>
            <w:tcBorders>
              <w:bottom w:val="single" w:sz="8" w:color="CCEEFF"/>
            </w:tcBorders>
            <w:vMerge w:val="continue"/>
            <w:shd w:val="clear" w:color="auto" w:fill="CCEEFF"/>
          </w:tcPr>
          <w:p>
            <w:pPr>
              <w:spacing w:after="0"/>
              <w:rPr>
                <w:sz w:val="4"/>
                <w:szCs w:val="4"/>
                <w:color w:val="auto"/>
              </w:rPr>
            </w:pPr>
          </w:p>
        </w:tc>
        <w:tc>
          <w:tcPr>
            <w:tcW w:w="486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Company entered into subscription agreements with a number of funds. Interests in funds meet the definition of financial assets and are measured at fair value through profit or loss. Inputs are generally unobservable as the funds are not traded on an exchange and data is not published in respect of the funds. The fair value of interests in the funds are therefore represented by Level 3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capital totalling $13.1 million had been advanced under the terms of the subscription agreements (2023: $14.0 million).</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During the year ended 31 December 2024, there was a decrease in fair value of $3.3 million (2023: increase in fair value of $0.2 million) recognised in the Consolidated Statement of Profit and Loss bringing the carrying value of the subscriptions $54.4 million at 31 December 2024. At 31 December 2024, the Company had committed to future investments of $102.2 million in respect of these funds.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Financial asset investments also include equity investments of $3.5 million (of which $1.5 million was invested during the year). There has been no change in the fair value of these investments during the year ended 31 December 2024.</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6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5660" w:type="dxa"/>
            <w:vAlign w:val="bottom"/>
          </w:tcPr>
          <w:p>
            <w:pPr>
              <w:spacing w:after="0"/>
              <w:rPr>
                <w:sz w:val="13"/>
                <w:szCs w:val="13"/>
                <w:color w:val="auto"/>
              </w:rPr>
            </w:pPr>
          </w:p>
        </w:tc>
        <w:tc>
          <w:tcPr>
            <w:tcW w:w="43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at bank and in hand</w:t>
            </w:r>
          </w:p>
        </w:tc>
        <w:tc>
          <w:tcPr>
            <w:tcW w:w="4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538,785</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378,102</w:t>
            </w:r>
          </w:p>
        </w:tc>
      </w:tr>
      <w:tr>
        <w:trPr>
          <w:trHeight w:val="461"/>
        </w:trPr>
        <w:tc>
          <w:tcPr>
            <w:tcW w:w="5660" w:type="dxa"/>
            <w:vAlign w:val="bottom"/>
          </w:tcPr>
          <w:p>
            <w:pPr>
              <w:spacing w:after="0"/>
              <w:rPr>
                <w:sz w:val="20"/>
                <w:szCs w:val="20"/>
                <w:color w:val="auto"/>
              </w:rPr>
            </w:pPr>
            <w:r>
              <w:rPr>
                <w:rFonts w:ascii="Arial" w:cs="Arial" w:eastAsia="Arial" w:hAnsi="Arial"/>
                <w:sz w:val="13"/>
                <w:szCs w:val="13"/>
                <w:b w:val="1"/>
                <w:bCs w:val="1"/>
                <w:color w:val="auto"/>
              </w:rPr>
              <w:t>20. Other liabilities</w:t>
            </w:r>
          </w:p>
        </w:tc>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5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127"/>
        </w:trPr>
        <w:tc>
          <w:tcPr>
            <w:tcW w:w="5660" w:type="dxa"/>
            <w:vAlign w:val="bottom"/>
            <w:shd w:val="clear" w:color="auto" w:fill="CCEEFF"/>
          </w:tcPr>
          <w:p>
            <w:pPr>
              <w:spacing w:after="0"/>
              <w:rPr>
                <w:sz w:val="11"/>
                <w:szCs w:val="11"/>
                <w:color w:val="auto"/>
              </w:rPr>
            </w:pPr>
          </w:p>
        </w:tc>
        <w:tc>
          <w:tcPr>
            <w:tcW w:w="436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1"/>
                <w:szCs w:val="11"/>
                <w:color w:val="auto"/>
              </w:rPr>
            </w:pPr>
          </w:p>
        </w:tc>
      </w:tr>
      <w:tr>
        <w:trPr>
          <w:trHeight w:val="170"/>
        </w:trPr>
        <w:tc>
          <w:tcPr>
            <w:tcW w:w="56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4"/>
                <w:szCs w:val="14"/>
                <w:color w:val="auto"/>
              </w:rPr>
            </w:pPr>
          </w:p>
        </w:tc>
      </w:tr>
      <w:tr>
        <w:trPr>
          <w:trHeight w:val="160"/>
        </w:trPr>
        <w:tc>
          <w:tcPr>
            <w:tcW w:w="5660" w:type="dxa"/>
            <w:vAlign w:val="bottom"/>
          </w:tcPr>
          <w:p>
            <w:pPr>
              <w:spacing w:after="0"/>
              <w:rPr>
                <w:sz w:val="13"/>
                <w:szCs w:val="13"/>
                <w:color w:val="auto"/>
              </w:rPr>
            </w:pPr>
          </w:p>
        </w:tc>
        <w:tc>
          <w:tcPr>
            <w:tcW w:w="436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202"/>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78"/>
        </w:trPr>
        <w:tc>
          <w:tcPr>
            <w:tcW w:w="5660" w:type="dxa"/>
            <w:vAlign w:val="bottom"/>
          </w:tcPr>
          <w:p>
            <w:pPr>
              <w:ind w:left="20"/>
              <w:spacing w:after="0"/>
              <w:rPr>
                <w:sz w:val="20"/>
                <w:szCs w:val="20"/>
                <w:color w:val="auto"/>
              </w:rPr>
            </w:pPr>
            <w:r>
              <w:rPr>
                <w:rFonts w:ascii="Arial" w:cs="Arial" w:eastAsia="Arial" w:hAnsi="Arial"/>
                <w:sz w:val="13"/>
                <w:szCs w:val="13"/>
                <w:color w:val="auto"/>
              </w:rPr>
              <w:t>Personnel related liabilities</w:t>
            </w:r>
          </w:p>
        </w:tc>
        <w:tc>
          <w:tcPr>
            <w:tcW w:w="4360" w:type="dxa"/>
            <w:vAlign w:val="bottom"/>
          </w:tcPr>
          <w:p>
            <w:pPr>
              <w:jc w:val="right"/>
              <w:ind w:right="436"/>
              <w:spacing w:after="0"/>
              <w:rPr>
                <w:sz w:val="20"/>
                <w:szCs w:val="20"/>
                <w:color w:val="auto"/>
              </w:rPr>
            </w:pPr>
            <w:r>
              <w:rPr>
                <w:rFonts w:ascii="Arial" w:cs="Arial" w:eastAsia="Arial" w:hAnsi="Arial"/>
                <w:sz w:val="13"/>
                <w:szCs w:val="13"/>
                <w:b w:val="1"/>
                <w:bCs w:val="1"/>
                <w:color w:val="auto"/>
              </w:rPr>
              <w:t>752</w:t>
            </w:r>
          </w:p>
        </w:tc>
        <w:tc>
          <w:tcPr>
            <w:tcW w:w="1000" w:type="dxa"/>
            <w:vAlign w:val="bottom"/>
          </w:tcPr>
          <w:p>
            <w:pPr>
              <w:jc w:val="right"/>
              <w:spacing w:after="0"/>
              <w:rPr>
                <w:sz w:val="20"/>
                <w:szCs w:val="20"/>
                <w:color w:val="auto"/>
              </w:rPr>
            </w:pPr>
            <w:r>
              <w:rPr>
                <w:rFonts w:ascii="Arial" w:cs="Arial" w:eastAsia="Arial" w:hAnsi="Arial"/>
                <w:sz w:val="13"/>
                <w:szCs w:val="13"/>
                <w:color w:val="auto"/>
              </w:rPr>
              <w:t>109</w:t>
            </w:r>
          </w:p>
        </w:tc>
        <w:tc>
          <w:tcPr>
            <w:tcW w:w="260" w:type="dxa"/>
            <w:vAlign w:val="bottom"/>
          </w:tcPr>
          <w:p>
            <w:pPr>
              <w:spacing w:after="0"/>
              <w:rPr>
                <w:sz w:val="15"/>
                <w:szCs w:val="15"/>
                <w:color w:val="auto"/>
              </w:rPr>
            </w:pPr>
          </w:p>
        </w:tc>
      </w:tr>
      <w:tr>
        <w:trPr>
          <w:trHeight w:val="24"/>
        </w:trPr>
        <w:tc>
          <w:tcPr>
            <w:tcW w:w="5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government grants</w:t>
            </w:r>
          </w:p>
        </w:tc>
        <w:tc>
          <w:tcPr>
            <w:tcW w:w="43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602</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260" w:type="dxa"/>
            <w:vAlign w:val="bottom"/>
          </w:tcPr>
          <w:p>
            <w:pPr>
              <w:spacing w:after="0"/>
              <w:rPr>
                <w:sz w:val="14"/>
                <w:szCs w:val="14"/>
                <w:color w:val="auto"/>
              </w:rPr>
            </w:pPr>
          </w:p>
        </w:tc>
      </w:tr>
      <w:tr>
        <w:trPr>
          <w:trHeight w:val="170"/>
        </w:trPr>
        <w:tc>
          <w:tcPr>
            <w:tcW w:w="5660" w:type="dxa"/>
            <w:vAlign w:val="bottom"/>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360" w:type="dxa"/>
            <w:vAlign w:val="bottom"/>
          </w:tcPr>
          <w:p>
            <w:pPr>
              <w:jc w:val="right"/>
              <w:ind w:right="436"/>
              <w:spacing w:after="0"/>
              <w:rPr>
                <w:sz w:val="20"/>
                <w:szCs w:val="20"/>
                <w:color w:val="auto"/>
              </w:rPr>
            </w:pPr>
            <w:r>
              <w:rPr>
                <w:rFonts w:ascii="Arial" w:cs="Arial" w:eastAsia="Arial" w:hAnsi="Arial"/>
                <w:sz w:val="13"/>
                <w:szCs w:val="13"/>
                <w:b w:val="1"/>
                <w:bCs w:val="1"/>
                <w:color w:val="auto"/>
              </w:rPr>
              <w:t>16,012</w:t>
            </w:r>
          </w:p>
        </w:tc>
        <w:tc>
          <w:tcPr>
            <w:tcW w:w="1000" w:type="dxa"/>
            <w:vAlign w:val="bottom"/>
          </w:tcPr>
          <w:p>
            <w:pPr>
              <w:jc w:val="right"/>
              <w:spacing w:after="0"/>
              <w:rPr>
                <w:sz w:val="20"/>
                <w:szCs w:val="20"/>
                <w:color w:val="auto"/>
              </w:rPr>
            </w:pPr>
            <w:r>
              <w:rPr>
                <w:rFonts w:ascii="Arial" w:cs="Arial" w:eastAsia="Arial" w:hAnsi="Arial"/>
                <w:sz w:val="13"/>
                <w:szCs w:val="13"/>
                <w:color w:val="auto"/>
              </w:rPr>
              <w:t>13,228</w:t>
            </w:r>
          </w:p>
        </w:tc>
        <w:tc>
          <w:tcPr>
            <w:tcW w:w="260" w:type="dxa"/>
            <w:vAlign w:val="bottom"/>
          </w:tcPr>
          <w:p>
            <w:pPr>
              <w:spacing w:after="0"/>
              <w:rPr>
                <w:sz w:val="14"/>
                <w:szCs w:val="14"/>
                <w:color w:val="auto"/>
              </w:rPr>
            </w:pPr>
          </w:p>
        </w:tc>
      </w:tr>
      <w:tr>
        <w:trPr>
          <w:trHeight w:val="17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43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63,750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29,759</w:t>
            </w:r>
          </w:p>
        </w:tc>
        <w:tc>
          <w:tcPr>
            <w:tcW w:w="260" w:type="dxa"/>
            <w:vAlign w:val="bottom"/>
          </w:tcPr>
          <w:p>
            <w:pPr>
              <w:spacing w:after="0"/>
              <w:rPr>
                <w:sz w:val="14"/>
                <w:szCs w:val="14"/>
                <w:color w:val="auto"/>
              </w:rPr>
            </w:pPr>
          </w:p>
        </w:tc>
      </w:tr>
      <w:tr>
        <w:trPr>
          <w:trHeight w:val="16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3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81,116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43,950</w:t>
            </w:r>
          </w:p>
        </w:tc>
        <w:tc>
          <w:tcPr>
            <w:tcW w:w="260" w:type="dxa"/>
            <w:vAlign w:val="bottom"/>
          </w:tcPr>
          <w:p>
            <w:pPr>
              <w:spacing w:after="0"/>
              <w:rPr>
                <w:sz w:val="13"/>
                <w:szCs w:val="13"/>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24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received under government grant agreements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280"/>
          </w:cols>
          <w:pgMar w:left="300" w:top="698"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Other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shd w:val="clear" w:color="auto" w:fill="CCEEFF"/>
          </w:tcPr>
          <w:p>
            <w:pPr>
              <w:spacing w:after="0"/>
              <w:rPr>
                <w:sz w:val="13"/>
                <w:szCs w:val="13"/>
                <w:color w:val="auto"/>
              </w:rPr>
            </w:pPr>
          </w:p>
        </w:tc>
        <w:tc>
          <w:tcPr>
            <w:tcW w:w="45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580" w:type="dxa"/>
            <w:vAlign w:val="bottom"/>
            <w:tcBorders>
              <w:bottom w:val="single" w:sz="8" w:color="auto"/>
            </w:tcBorders>
            <w:shd w:val="clear" w:color="auto" w:fill="CCEEFF"/>
          </w:tcPr>
          <w:p>
            <w:pPr>
              <w:spacing w:after="0"/>
              <w:rPr>
                <w:sz w:val="14"/>
                <w:szCs w:val="14"/>
                <w:color w:val="auto"/>
              </w:rPr>
            </w:pPr>
          </w:p>
        </w:tc>
        <w:tc>
          <w:tcPr>
            <w:tcW w:w="4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580" w:type="dxa"/>
            <w:vAlign w:val="bottom"/>
          </w:tcPr>
          <w:p>
            <w:pPr>
              <w:spacing w:after="0"/>
              <w:rPr>
                <w:sz w:val="13"/>
                <w:szCs w:val="13"/>
                <w:color w:val="auto"/>
              </w:rPr>
            </w:pPr>
          </w:p>
        </w:tc>
        <w:tc>
          <w:tcPr>
            <w:tcW w:w="45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General trade and overhead liabilities*</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531,560</w:t>
            </w:r>
          </w:p>
        </w:tc>
        <w:tc>
          <w:tcPr>
            <w:tcW w:w="1140" w:type="dxa"/>
            <w:vAlign w:val="bottom"/>
          </w:tcPr>
          <w:p>
            <w:pPr>
              <w:jc w:val="right"/>
              <w:spacing w:after="0"/>
              <w:rPr>
                <w:sz w:val="20"/>
                <w:szCs w:val="20"/>
                <w:color w:val="auto"/>
              </w:rPr>
            </w:pPr>
            <w:r>
              <w:rPr>
                <w:rFonts w:ascii="Arial" w:cs="Arial" w:eastAsia="Arial" w:hAnsi="Arial"/>
                <w:sz w:val="13"/>
                <w:szCs w:val="13"/>
                <w:color w:val="auto"/>
              </w:rPr>
              <w:t>463,882</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5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225,822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385,499</w:t>
            </w: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Lease liabilities (note 25)</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36,783</w:t>
            </w:r>
          </w:p>
        </w:tc>
        <w:tc>
          <w:tcPr>
            <w:tcW w:w="1140" w:type="dxa"/>
            <w:vAlign w:val="bottom"/>
          </w:tcPr>
          <w:p>
            <w:pPr>
              <w:jc w:val="right"/>
              <w:spacing w:after="0"/>
              <w:rPr>
                <w:sz w:val="20"/>
                <w:szCs w:val="20"/>
                <w:color w:val="auto"/>
              </w:rPr>
            </w:pPr>
            <w:r>
              <w:rPr>
                <w:rFonts w:ascii="Arial" w:cs="Arial" w:eastAsia="Arial" w:hAnsi="Arial"/>
                <w:sz w:val="13"/>
                <w:szCs w:val="13"/>
                <w:color w:val="auto"/>
              </w:rPr>
              <w:t>36,414</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related liabilities</w:t>
            </w:r>
          </w:p>
        </w:tc>
        <w:tc>
          <w:tcPr>
            <w:tcW w:w="45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8,547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11,078</w:t>
            </w: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91,730</w:t>
            </w:r>
          </w:p>
        </w:tc>
        <w:tc>
          <w:tcPr>
            <w:tcW w:w="1140" w:type="dxa"/>
            <w:vAlign w:val="bottom"/>
          </w:tcPr>
          <w:p>
            <w:pPr>
              <w:jc w:val="right"/>
              <w:spacing w:after="0"/>
              <w:rPr>
                <w:sz w:val="20"/>
                <w:szCs w:val="20"/>
                <w:color w:val="auto"/>
              </w:rPr>
            </w:pPr>
            <w:r>
              <w:rPr>
                <w:rFonts w:ascii="Arial" w:cs="Arial" w:eastAsia="Arial" w:hAnsi="Arial"/>
                <w:sz w:val="13"/>
                <w:szCs w:val="13"/>
                <w:color w:val="auto"/>
              </w:rPr>
              <w:t>13,532</w:t>
            </w:r>
          </w:p>
        </w:tc>
      </w:tr>
      <w:tr>
        <w:trPr>
          <w:trHeight w:val="17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government grants</w:t>
            </w:r>
          </w:p>
        </w:tc>
        <w:tc>
          <w:tcPr>
            <w:tcW w:w="4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5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894,483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910,448</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investigator expenses of $369.2 million at 31 December 2024 and $333.0 million at 31 December 2023.</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Bank credit lines and loan facilities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The Group had the following debt outstanding as at 31 December 2024 and 31 December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780" w:type="dxa"/>
            <w:vAlign w:val="bottom"/>
            <w:tcBorders>
              <w:bottom w:val="single" w:sz="8" w:color="auto"/>
            </w:tcBorders>
            <w:gridSpan w:val="2"/>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rPr>
              <w:t>Interest rate as of</w:t>
            </w:r>
          </w:p>
        </w:tc>
        <w:tc>
          <w:tcPr>
            <w:tcW w:w="2680" w:type="dxa"/>
            <w:vAlign w:val="bottom"/>
            <w:tcBorders>
              <w:bottom w:val="single" w:sz="8" w:color="auto"/>
            </w:tcBorders>
            <w:gridSpan w:val="2"/>
            <w:shd w:val="clear" w:color="auto" w:fill="CCEEFF"/>
          </w:tcPr>
          <w:p>
            <w:pPr>
              <w:jc w:val="right"/>
              <w:ind w:right="816"/>
              <w:spacing w:after="0"/>
              <w:rPr>
                <w:sz w:val="20"/>
                <w:szCs w:val="20"/>
                <w:color w:val="auto"/>
              </w:rPr>
            </w:pPr>
            <w:r>
              <w:rPr>
                <w:rFonts w:ascii="Arial" w:cs="Arial" w:eastAsia="Arial" w:hAnsi="Arial"/>
                <w:sz w:val="13"/>
                <w:szCs w:val="13"/>
                <w:b w:val="1"/>
                <w:bCs w:val="1"/>
                <w:color w:val="auto"/>
              </w:rPr>
              <w:t>Principal amount</w:t>
            </w:r>
          </w:p>
        </w:tc>
      </w:tr>
      <w:tr>
        <w:trPr>
          <w:trHeight w:val="160"/>
        </w:trPr>
        <w:tc>
          <w:tcPr>
            <w:tcW w:w="35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Maturity Date</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6"/>
              </w:rPr>
              <w:t>31 December 2024</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 December 2023</w:t>
            </w: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 December 2024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2023</w:t>
            </w:r>
          </w:p>
        </w:tc>
      </w:tr>
      <w:tr>
        <w:trPr>
          <w:trHeight w:val="160"/>
        </w:trPr>
        <w:tc>
          <w:tcPr>
            <w:tcW w:w="35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Senior Secured Term Loan</w:t>
            </w:r>
          </w:p>
        </w:tc>
        <w:tc>
          <w:tcPr>
            <w:tcW w:w="2260" w:type="dxa"/>
            <w:vAlign w:val="bottom"/>
            <w:gridSpan w:val="2"/>
          </w:tcPr>
          <w:p>
            <w:pPr>
              <w:jc w:val="right"/>
              <w:ind w:right="380"/>
              <w:spacing w:after="0"/>
              <w:rPr>
                <w:sz w:val="20"/>
                <w:szCs w:val="20"/>
                <w:color w:val="auto"/>
              </w:rPr>
            </w:pPr>
            <w:r>
              <w:rPr>
                <w:rFonts w:ascii="Arial" w:cs="Arial" w:eastAsia="Arial" w:hAnsi="Arial"/>
                <w:sz w:val="13"/>
                <w:szCs w:val="13"/>
                <w:color w:val="auto"/>
              </w:rPr>
              <w:t>July 2028</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6.329 %</w:t>
            </w:r>
          </w:p>
        </w:tc>
        <w:tc>
          <w:tcPr>
            <w:tcW w:w="1460" w:type="dxa"/>
            <w:vAlign w:val="bottom"/>
          </w:tcPr>
          <w:p>
            <w:pPr>
              <w:jc w:val="right"/>
              <w:ind w:right="76"/>
              <w:spacing w:after="0"/>
              <w:rPr>
                <w:sz w:val="20"/>
                <w:szCs w:val="20"/>
                <w:color w:val="auto"/>
              </w:rPr>
            </w:pPr>
            <w:r>
              <w:rPr>
                <w:rFonts w:ascii="Arial" w:cs="Arial" w:eastAsia="Arial" w:hAnsi="Arial"/>
                <w:sz w:val="13"/>
                <w:szCs w:val="13"/>
                <w:color w:val="auto"/>
              </w:rPr>
              <w:t>7.860 %</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946,450</w:t>
            </w:r>
          </w:p>
        </w:tc>
        <w:tc>
          <w:tcPr>
            <w:tcW w:w="1280" w:type="dxa"/>
            <w:vAlign w:val="bottom"/>
          </w:tcPr>
          <w:p>
            <w:pPr>
              <w:jc w:val="right"/>
              <w:spacing w:after="0"/>
              <w:rPr>
                <w:sz w:val="20"/>
                <w:szCs w:val="20"/>
                <w:color w:val="auto"/>
              </w:rPr>
            </w:pPr>
            <w:r>
              <w:rPr>
                <w:rFonts w:ascii="Arial" w:cs="Arial" w:eastAsia="Arial" w:hAnsi="Arial"/>
                <w:sz w:val="13"/>
                <w:szCs w:val="13"/>
                <w:color w:val="auto"/>
              </w:rPr>
              <w:t>3,251,213</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 (the "2026 Notes")</w:t>
            </w:r>
          </w:p>
        </w:tc>
        <w:tc>
          <w:tcPr>
            <w:tcW w:w="2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July 2026</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2.875 %</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2.875 %</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500,000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Senior Secured Revolving Loan</w:t>
            </w: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76"/>
              <w:spacing w:after="0"/>
              <w:rPr>
                <w:sz w:val="20"/>
                <w:szCs w:val="20"/>
                <w:color w:val="auto"/>
              </w:rPr>
            </w:pPr>
            <w:r>
              <w:rPr>
                <w:rFonts w:ascii="Arial" w:cs="Arial" w:eastAsia="Arial" w:hAnsi="Arial"/>
                <w:sz w:val="13"/>
                <w:szCs w:val="13"/>
                <w:color w:val="auto"/>
              </w:rPr>
              <w:t>6.720 %</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55,000</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 (the "2027 Notes")*</w:t>
            </w:r>
          </w:p>
        </w:tc>
        <w:tc>
          <w:tcPr>
            <w:tcW w:w="2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May 2027</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5.809 %</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750,000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Senior Secured Notes (the "2029 Notes")*</w:t>
            </w:r>
          </w:p>
        </w:tc>
        <w:tc>
          <w:tcPr>
            <w:tcW w:w="2260" w:type="dxa"/>
            <w:vAlign w:val="bottom"/>
            <w:gridSpan w:val="2"/>
          </w:tcPr>
          <w:p>
            <w:pPr>
              <w:jc w:val="right"/>
              <w:ind w:right="380"/>
              <w:spacing w:after="0"/>
              <w:rPr>
                <w:sz w:val="20"/>
                <w:szCs w:val="20"/>
                <w:color w:val="auto"/>
              </w:rPr>
            </w:pPr>
            <w:r>
              <w:rPr>
                <w:rFonts w:ascii="Arial" w:cs="Arial" w:eastAsia="Arial" w:hAnsi="Arial"/>
                <w:sz w:val="13"/>
                <w:szCs w:val="13"/>
                <w:color w:val="auto"/>
              </w:rPr>
              <w:t>May 2029</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5.849 %</w:t>
            </w:r>
          </w:p>
        </w:tc>
        <w:tc>
          <w:tcPr>
            <w:tcW w:w="14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750,000</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Senior Secured Notes (the "2034 Notes")*</w:t>
            </w:r>
          </w:p>
        </w:tc>
        <w:tc>
          <w:tcPr>
            <w:tcW w:w="22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May 2034</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6.000 %</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500,000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540" w:type="dxa"/>
            <w:vAlign w:val="bottom"/>
          </w:tcPr>
          <w:p>
            <w:pPr>
              <w:ind w:left="20"/>
              <w:spacing w:after="0"/>
              <w:rPr>
                <w:sz w:val="20"/>
                <w:szCs w:val="20"/>
                <w:color w:val="auto"/>
              </w:rPr>
            </w:pPr>
            <w:r>
              <w:rPr>
                <w:rFonts w:ascii="Arial" w:cs="Arial" w:eastAsia="Arial" w:hAnsi="Arial"/>
                <w:sz w:val="13"/>
                <w:szCs w:val="13"/>
                <w:color w:val="auto"/>
              </w:rPr>
              <w:t>Total debt</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3,446,450</w:t>
            </w:r>
          </w:p>
        </w:tc>
        <w:tc>
          <w:tcPr>
            <w:tcW w:w="1280" w:type="dxa"/>
            <w:vAlign w:val="bottom"/>
          </w:tcPr>
          <w:p>
            <w:pPr>
              <w:jc w:val="right"/>
              <w:spacing w:after="0"/>
              <w:rPr>
                <w:sz w:val="20"/>
                <w:szCs w:val="20"/>
                <w:color w:val="auto"/>
              </w:rPr>
            </w:pPr>
            <w:r>
              <w:rPr>
                <w:rFonts w:ascii="Arial" w:cs="Arial" w:eastAsia="Arial" w:hAnsi="Arial"/>
                <w:sz w:val="13"/>
                <w:szCs w:val="13"/>
                <w:color w:val="auto"/>
              </w:rPr>
              <w:t>3,806,213</w:t>
            </w: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current portion of debt</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(29,762)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(110,150)</w:t>
            </w:r>
          </w:p>
        </w:tc>
      </w:tr>
      <w:tr>
        <w:trPr>
          <w:trHeight w:val="160"/>
        </w:trPr>
        <w:tc>
          <w:tcPr>
            <w:tcW w:w="3540" w:type="dxa"/>
            <w:vAlign w:val="bottom"/>
          </w:tcPr>
          <w:p>
            <w:pPr>
              <w:ind w:left="20"/>
              <w:spacing w:after="0"/>
              <w:rPr>
                <w:sz w:val="20"/>
                <w:szCs w:val="20"/>
                <w:color w:val="auto"/>
              </w:rPr>
            </w:pPr>
            <w:r>
              <w:rPr>
                <w:rFonts w:ascii="Arial" w:cs="Arial" w:eastAsia="Arial" w:hAnsi="Arial"/>
                <w:sz w:val="13"/>
                <w:szCs w:val="13"/>
                <w:color w:val="auto"/>
              </w:rPr>
              <w:t>Total long-term debt</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3,416,688</w:t>
            </w:r>
          </w:p>
        </w:tc>
        <w:tc>
          <w:tcPr>
            <w:tcW w:w="1280" w:type="dxa"/>
            <w:vAlign w:val="bottom"/>
          </w:tcPr>
          <w:p>
            <w:pPr>
              <w:jc w:val="right"/>
              <w:spacing w:after="0"/>
              <w:rPr>
                <w:sz w:val="20"/>
                <w:szCs w:val="20"/>
                <w:color w:val="auto"/>
              </w:rPr>
            </w:pPr>
            <w:r>
              <w:rPr>
                <w:rFonts w:ascii="Arial" w:cs="Arial" w:eastAsia="Arial" w:hAnsi="Arial"/>
                <w:sz w:val="13"/>
                <w:szCs w:val="13"/>
                <w:color w:val="auto"/>
              </w:rPr>
              <w:t>3,696,063</w:t>
            </w: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debt issuance costs and debt discount</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(20,290)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(30,624)</w:t>
            </w:r>
          </w:p>
        </w:tc>
      </w:tr>
      <w:tr>
        <w:trPr>
          <w:trHeight w:val="16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long-term debt, net</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3,396,398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3,665,439</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3"/>
                <w:szCs w:val="13"/>
                <w:color w:val="auto"/>
              </w:rPr>
              <w:t>*Issued 8 May 2024</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40"/>
        </w:trPr>
        <w:tc>
          <w:tcPr>
            <w:tcW w:w="5800" w:type="dxa"/>
            <w:vAlign w:val="bottom"/>
            <w:gridSpan w:val="3"/>
          </w:tcPr>
          <w:p>
            <w:pPr>
              <w:spacing w:after="0"/>
              <w:rPr>
                <w:sz w:val="20"/>
                <w:szCs w:val="20"/>
                <w:color w:val="auto"/>
              </w:rPr>
            </w:pPr>
            <w:r>
              <w:rPr>
                <w:rFonts w:ascii="Arial" w:cs="Arial" w:eastAsia="Arial" w:hAnsi="Arial"/>
                <w:sz w:val="13"/>
                <w:szCs w:val="13"/>
                <w:color w:val="auto"/>
                <w:w w:val="97"/>
              </w:rPr>
              <w:t>As of 31 December 2024, the contractual maturities of the Company's debt obligations were as follows: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3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 maturities of debt:</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59"/>
        </w:trPr>
        <w:tc>
          <w:tcPr>
            <w:tcW w:w="3540" w:type="dxa"/>
            <w:vAlign w:val="bottom"/>
          </w:tcPr>
          <w:p>
            <w:pPr>
              <w:ind w:left="20"/>
              <w:spacing w:after="0"/>
              <w:rPr>
                <w:sz w:val="20"/>
                <w:szCs w:val="20"/>
                <w:color w:val="auto"/>
              </w:rPr>
            </w:pPr>
            <w:r>
              <w:rPr>
                <w:rFonts w:ascii="Arial" w:cs="Arial" w:eastAsia="Arial" w:hAnsi="Arial"/>
                <w:sz w:val="13"/>
                <w:szCs w:val="13"/>
                <w:color w:val="auto"/>
              </w:rPr>
              <w:t>2025</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29,762</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529,762</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2027</w:t>
            </w: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779,762</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857,164</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2029 and thereafter</w:t>
            </w:r>
          </w:p>
        </w:tc>
        <w:tc>
          <w:tcPr>
            <w:tcW w:w="1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1,250,000</w:t>
            </w:r>
          </w:p>
        </w:tc>
      </w:tr>
      <w:tr>
        <w:trPr>
          <w:trHeight w:val="187"/>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3,446,450</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280"/>
          </w:cols>
          <w:pgMar w:left="300" w:top="698"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proceeds from the issuance were used to repay a portion of the senior secured term loan outstanding under the Senior Secured Credit Facilities and to pay fees, costs and expenses related to the offering.</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Interest on the New Notes is payable on 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May and 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November of each year, having commenced on 8 November 2024. Unless previously redeemed, the 2027 Notes will mature on 8 May 2027, the 2029 Notes will mature on 8 May 2029 and the 2034 Notes will mature on 8 May 2034.</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1 July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1 July 2021, ICON entered into a credit agreement providing for a senior secured term loan facility of $5,515 million and a senior secured revolving loan facility in an initial aggregate principal amount of $300 million (the "Senior Secured Credit Facilities"). On 2 May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31 December 2024, the applicable margin is 2.0% (which reflects the Third Amendment). The senior secured term loan facility is subject to a floor of 0.50%.</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utilisation fees dependent on the proportion of the facility drawn.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280"/>
          </w:cols>
          <w:pgMar w:left="300" w:top="698"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loan facility contains a financial covenant that requires ICON to maintain a Total Net Leverage Ratio (as defined in the Senior Secured Credit Facilities) of 5.75:1.00 prior to June 30, 2023 and 4.50:1.00 on and after June 30, 2023, subject to a step-down of 0.50:1.00 following a Material Acquisition (as defined in the Senior Secured Credit Facilities), which will be tested at the end of any fiscal quarter only if amounts are drawn under the revolving credit loan facility (excluding cash collateralised and backstopped letters of credit) in excess of 30% of the revolving commitments.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Principal repayments, comprising mandatory and voluntary repayments, during the year ended 31 December 2024 and 31 December 2023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Principal repayments</w:t>
            </w:r>
          </w:p>
        </w:tc>
        <w:tc>
          <w:tcPr>
            <w:tcW w:w="4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r>
      <w:tr>
        <w:trPr>
          <w:trHeight w:val="160"/>
        </w:trPr>
        <w:tc>
          <w:tcPr>
            <w:tcW w:w="4980" w:type="dxa"/>
            <w:vAlign w:val="bottom"/>
          </w:tcPr>
          <w:p>
            <w:pPr>
              <w:spacing w:after="0"/>
              <w:rPr>
                <w:sz w:val="13"/>
                <w:szCs w:val="13"/>
                <w:color w:val="auto"/>
              </w:rPr>
            </w:pPr>
          </w:p>
        </w:tc>
        <w:tc>
          <w:tcPr>
            <w:tcW w:w="49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w:t>
            </w:r>
          </w:p>
        </w:tc>
        <w:tc>
          <w:tcPr>
            <w:tcW w:w="4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(275,000)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Quarter 2</w:t>
            </w:r>
          </w:p>
        </w:tc>
        <w:tc>
          <w:tcPr>
            <w:tcW w:w="4960" w:type="dxa"/>
            <w:vAlign w:val="bottom"/>
          </w:tcPr>
          <w:p>
            <w:pPr>
              <w:jc w:val="right"/>
              <w:ind w:right="116"/>
              <w:spacing w:after="0"/>
              <w:rPr>
                <w:sz w:val="20"/>
                <w:szCs w:val="20"/>
                <w:color w:val="auto"/>
              </w:rPr>
            </w:pPr>
            <w:r>
              <w:rPr>
                <w:rFonts w:ascii="Arial" w:cs="Arial" w:eastAsia="Arial" w:hAnsi="Arial"/>
                <w:sz w:val="13"/>
                <w:szCs w:val="13"/>
                <w:color w:val="auto"/>
              </w:rPr>
              <w:t>(2,014,882)</w:t>
            </w:r>
          </w:p>
        </w:tc>
        <w:tc>
          <w:tcPr>
            <w:tcW w:w="1320" w:type="dxa"/>
            <w:vAlign w:val="bottom"/>
          </w:tcPr>
          <w:p>
            <w:pPr>
              <w:jc w:val="right"/>
              <w:spacing w:after="0"/>
              <w:rPr>
                <w:sz w:val="20"/>
                <w:szCs w:val="20"/>
                <w:color w:val="auto"/>
              </w:rPr>
            </w:pPr>
            <w:r>
              <w:rPr>
                <w:rFonts w:ascii="Arial" w:cs="Arial" w:eastAsia="Arial" w:hAnsi="Arial"/>
                <w:sz w:val="13"/>
                <w:szCs w:val="13"/>
                <w:color w:val="auto"/>
              </w:rPr>
              <w:t>(150,000)</w:t>
            </w: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w:t>
            </w:r>
          </w:p>
        </w:tc>
        <w:tc>
          <w:tcPr>
            <w:tcW w:w="4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(7,441)</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r>
      <w:tr>
        <w:trPr>
          <w:trHeight w:val="16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w:t>
            </w:r>
          </w:p>
        </w:tc>
        <w:tc>
          <w:tcPr>
            <w:tcW w:w="49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(7,440)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r>
      <w:tr>
        <w:trPr>
          <w:trHeight w:val="185"/>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(2,304,763)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(950,000)</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4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voluntary repayments made during the year resulted in an accelerated charge associated with previously capitalised fees of $16.9 million (31 December 2023: $7.9 million ).</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the Company drew down $318.0 million (31 December 2023: $370.0 million) of the senior secured revolving loan facility and repaid $373.0 million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(31 December 2023: $315.0 million) as shown below. As at 31 December 2024, $nil (31 December 2023: $55.0 million) was drawn under the senior secured revolving loan facility.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Drawdown</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Repayment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Closing Balance</w:t>
            </w:r>
          </w:p>
        </w:tc>
      </w:tr>
      <w:tr>
        <w:trPr>
          <w:trHeight w:val="160"/>
        </w:trPr>
        <w:tc>
          <w:tcPr>
            <w:tcW w:w="3900" w:type="dxa"/>
            <w:vAlign w:val="bottom"/>
          </w:tcPr>
          <w:p>
            <w:pPr>
              <w:spacing w:after="0"/>
              <w:rPr>
                <w:sz w:val="13"/>
                <w:szCs w:val="13"/>
                <w:color w:val="auto"/>
              </w:rPr>
            </w:pP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 2023</w:t>
            </w:r>
          </w:p>
        </w:tc>
        <w:tc>
          <w:tcPr>
            <w:tcW w:w="47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(100,000)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w:t>
            </w: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Quarter 2, 2023</w:t>
            </w:r>
          </w:p>
        </w:tc>
        <w:tc>
          <w:tcPr>
            <w:tcW w:w="4780" w:type="dxa"/>
            <w:vAlign w:val="bottom"/>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(80,000)</w:t>
            </w:r>
          </w:p>
        </w:tc>
        <w:tc>
          <w:tcPr>
            <w:tcW w:w="126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1"/>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 2023</w:t>
            </w:r>
          </w:p>
        </w:tc>
        <w:tc>
          <w:tcPr>
            <w:tcW w:w="47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75,000</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r>
      <w:tr>
        <w:trPr>
          <w:trHeight w:val="16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 2023</w:t>
            </w:r>
          </w:p>
        </w:tc>
        <w:tc>
          <w:tcPr>
            <w:tcW w:w="47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65,000</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(85,000)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55,000</w:t>
            </w:r>
          </w:p>
        </w:tc>
      </w:tr>
      <w:tr>
        <w:trPr>
          <w:trHeight w:val="16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drawdown / (repayments) in 2023</w:t>
            </w:r>
          </w:p>
        </w:tc>
        <w:tc>
          <w:tcPr>
            <w:tcW w:w="47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370,000</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(315,000)</w:t>
            </w:r>
          </w:p>
        </w:tc>
        <w:tc>
          <w:tcPr>
            <w:tcW w:w="1260" w:type="dxa"/>
            <w:vAlign w:val="bottom"/>
            <w:tcBorders>
              <w:bottom w:val="single" w:sz="8" w:color="auto"/>
            </w:tcBorders>
            <w:shd w:val="clear" w:color="auto" w:fill="CCEEFF"/>
          </w:tcPr>
          <w:p>
            <w:pPr>
              <w:spacing w:after="0"/>
              <w:rPr>
                <w:sz w:val="13"/>
                <w:szCs w:val="13"/>
                <w:color w:val="auto"/>
              </w:rPr>
            </w:pPr>
          </w:p>
        </w:tc>
      </w:tr>
      <w:tr>
        <w:trPr>
          <w:trHeight w:val="160"/>
        </w:trPr>
        <w:tc>
          <w:tcPr>
            <w:tcW w:w="3900" w:type="dxa"/>
            <w:vAlign w:val="bottom"/>
          </w:tcPr>
          <w:p>
            <w:pPr>
              <w:ind w:left="20"/>
              <w:spacing w:after="0"/>
              <w:rPr>
                <w:sz w:val="20"/>
                <w:szCs w:val="20"/>
                <w:color w:val="auto"/>
              </w:rPr>
            </w:pPr>
            <w:r>
              <w:rPr>
                <w:rFonts w:ascii="Arial" w:cs="Arial" w:eastAsia="Arial" w:hAnsi="Arial"/>
                <w:sz w:val="13"/>
                <w:szCs w:val="13"/>
                <w:color w:val="auto"/>
              </w:rPr>
              <w:t>Quarter 1, 2024</w:t>
            </w:r>
          </w:p>
        </w:tc>
        <w:tc>
          <w:tcPr>
            <w:tcW w:w="4780" w:type="dxa"/>
            <w:vAlign w:val="bottom"/>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(55,000)</w:t>
            </w:r>
          </w:p>
        </w:tc>
        <w:tc>
          <w:tcPr>
            <w:tcW w:w="126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1"/>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2, 2024</w:t>
            </w:r>
          </w:p>
        </w:tc>
        <w:tc>
          <w:tcPr>
            <w:tcW w:w="47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143,000</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(193,000)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Quarter 3, 2024</w:t>
            </w:r>
          </w:p>
        </w:tc>
        <w:tc>
          <w:tcPr>
            <w:tcW w:w="4780" w:type="dxa"/>
            <w:vAlign w:val="bottom"/>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(50,000)</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Quarter 4, 2024</w:t>
            </w:r>
          </w:p>
        </w:tc>
        <w:tc>
          <w:tcPr>
            <w:tcW w:w="47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75,000</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(75,000)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drawdown / (repayments) in 2024</w:t>
            </w:r>
          </w:p>
        </w:tc>
        <w:tc>
          <w:tcPr>
            <w:tcW w:w="47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318,000</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(373,000)</w:t>
            </w:r>
          </w:p>
        </w:tc>
        <w:tc>
          <w:tcPr>
            <w:tcW w:w="1260" w:type="dxa"/>
            <w:vAlign w:val="bottom"/>
            <w:tcBorders>
              <w:bottom w:val="single" w:sz="8" w:color="auto"/>
            </w:tcBorders>
          </w:tcPr>
          <w:p>
            <w:pPr>
              <w:spacing w:after="0"/>
              <w:rPr>
                <w:sz w:val="13"/>
                <w:szCs w:val="13"/>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65"/>
        </w:trPr>
        <w:tc>
          <w:tcPr>
            <w:tcW w:w="3900" w:type="dxa"/>
            <w:vAlign w:val="bottom"/>
          </w:tcPr>
          <w:p>
            <w:pPr>
              <w:spacing w:after="0"/>
              <w:rPr>
                <w:sz w:val="24"/>
                <w:szCs w:val="24"/>
                <w:color w:val="auto"/>
              </w:rPr>
            </w:pPr>
          </w:p>
        </w:tc>
        <w:tc>
          <w:tcPr>
            <w:tcW w:w="4780" w:type="dxa"/>
            <w:vAlign w:val="bottom"/>
          </w:tcPr>
          <w:p>
            <w:pPr>
              <w:jc w:val="right"/>
              <w:ind w:right="2896"/>
              <w:spacing w:after="0"/>
              <w:rPr>
                <w:sz w:val="20"/>
                <w:szCs w:val="20"/>
                <w:color w:val="auto"/>
              </w:rPr>
            </w:pPr>
            <w:r>
              <w:rPr>
                <w:rFonts w:ascii="Arial" w:cs="Arial" w:eastAsia="Arial" w:hAnsi="Arial"/>
                <w:sz w:val="13"/>
                <w:szCs w:val="13"/>
                <w:color w:val="auto"/>
              </w:rPr>
              <w:t>93</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2026 Notes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(the "2026 Notes") in a private offering (the “Offering”). The 2026 Notes will mature on 15 July 2026.</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Debt</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estimated fair value of the Company’s debt as at 31 December 2024 was $3,469.2 million (31 December 2023: $3,793.5 million). The fair values of the senior secured term loan facility, the 2026 Notes and the New Notes were determined based on Level 2 inputs, which are based on rates at which the debt is traded among financial institutions. The fair value of the senior secured revolving loan facility approximates its carrying value due to the short term duration.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previously entered into interest rate cap and swap agreements for purposes of managing its exposure to interest rate fluctuations. These financial derivative agreements were designated as Cash Flow Hedges.</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During the year, the Company’s exposure to interest rate fluctuations significantly reduced with the voluntary and mandatory repayments of the senior secured term loan facility. Given this reduction and the repricing of the Senior Secured Credit facilities, the Company closed the interest rate cap and swap agreements. Refer to </w:t>
      </w:r>
      <w:r>
        <w:rPr>
          <w:rFonts w:ascii="Arial" w:cs="Arial" w:eastAsia="Arial" w:hAnsi="Arial"/>
          <w:sz w:val="12"/>
          <w:szCs w:val="12"/>
          <w:i w:val="1"/>
          <w:iCs w:val="1"/>
          <w:color w:val="auto"/>
        </w:rPr>
        <w:t>note 24 - Financial Instruments</w:t>
      </w:r>
      <w:r>
        <w:rPr>
          <w:rFonts w:ascii="Arial" w:cs="Arial" w:eastAsia="Arial" w:hAnsi="Arial"/>
          <w:sz w:val="12"/>
          <w:szCs w:val="12"/>
          <w:color w:val="auto"/>
        </w:rPr>
        <w:t xml:space="preserve"> for related information and</w:t>
      </w:r>
    </w:p>
    <w:p>
      <w:pPr>
        <w:spacing w:after="0"/>
        <w:rPr>
          <w:sz w:val="20"/>
          <w:szCs w:val="20"/>
          <w:color w:val="auto"/>
        </w:rPr>
      </w:pPr>
      <w:r>
        <w:rPr>
          <w:rFonts w:ascii="Arial" w:cs="Arial" w:eastAsia="Arial" w:hAnsi="Arial"/>
          <w:sz w:val="13"/>
          <w:szCs w:val="13"/>
          <w:color w:val="auto"/>
        </w:rPr>
        <w:t>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Debt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net debt by category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156"/>
              <w:spacing w:after="0" w:line="138" w:lineRule="exact"/>
              <w:rPr>
                <w:sz w:val="20"/>
                <w:szCs w:val="20"/>
                <w:color w:val="auto"/>
              </w:rPr>
            </w:pPr>
            <w:r>
              <w:rPr>
                <w:rFonts w:ascii="Arial" w:cs="Arial" w:eastAsia="Arial" w:hAnsi="Arial"/>
                <w:sz w:val="13"/>
                <w:szCs w:val="13"/>
                <w:b w:val="1"/>
                <w:bCs w:val="1"/>
                <w:color w:val="auto"/>
              </w:rPr>
              <w:t>1 Jan</w:t>
            </w:r>
          </w:p>
        </w:tc>
        <w:tc>
          <w:tcPr>
            <w:tcW w:w="1300" w:type="dxa"/>
            <w:vAlign w:val="bottom"/>
            <w:tcBorders>
              <w:top w:val="single" w:sz="8" w:color="auto"/>
            </w:tcBorders>
            <w:shd w:val="clear" w:color="auto" w:fill="CCEEFF"/>
          </w:tcPr>
          <w:p>
            <w:pPr>
              <w:jc w:val="right"/>
              <w:ind w:right="216"/>
              <w:spacing w:after="0" w:line="138" w:lineRule="exact"/>
              <w:rPr>
                <w:sz w:val="20"/>
                <w:szCs w:val="20"/>
                <w:color w:val="auto"/>
              </w:rPr>
            </w:pPr>
            <w:r>
              <w:rPr>
                <w:rFonts w:ascii="Arial" w:cs="Arial" w:eastAsia="Arial" w:hAnsi="Arial"/>
                <w:sz w:val="13"/>
                <w:szCs w:val="13"/>
                <w:b w:val="1"/>
                <w:bCs w:val="1"/>
                <w:color w:val="auto"/>
              </w:rPr>
              <w:t>Net cash inflow/</w:t>
            </w:r>
          </w:p>
        </w:tc>
        <w:tc>
          <w:tcPr>
            <w:tcW w:w="2620" w:type="dxa"/>
            <w:vAlign w:val="bottom"/>
            <w:tcBorders>
              <w:top w:val="single" w:sz="8" w:color="auto"/>
            </w:tcBorders>
            <w:gridSpan w:val="2"/>
            <w:shd w:val="clear" w:color="auto" w:fill="CCEEFF"/>
          </w:tcPr>
          <w:p>
            <w:pPr>
              <w:jc w:val="right"/>
              <w:ind w:right="236"/>
              <w:spacing w:after="0" w:line="138" w:lineRule="exact"/>
              <w:rPr>
                <w:sz w:val="20"/>
                <w:szCs w:val="20"/>
                <w:color w:val="auto"/>
              </w:rPr>
            </w:pPr>
            <w:r>
              <w:rPr>
                <w:rFonts w:ascii="Arial" w:cs="Arial" w:eastAsia="Arial" w:hAnsi="Arial"/>
                <w:sz w:val="13"/>
                <w:szCs w:val="13"/>
                <w:b w:val="1"/>
                <w:bCs w:val="1"/>
                <w:color w:val="auto"/>
              </w:rPr>
              <w:t>Other non-cash Effects of exchange</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 2024</w:t>
            </w:r>
          </w:p>
        </w:tc>
        <w:tc>
          <w:tcPr>
            <w:tcW w:w="0" w:type="dxa"/>
            <w:vAlign w:val="bottom"/>
          </w:tcPr>
          <w:p>
            <w:pPr>
              <w:spacing w:after="0"/>
              <w:rPr>
                <w:sz w:val="1"/>
                <w:szCs w:val="1"/>
                <w:color w:val="auto"/>
              </w:rPr>
            </w:pPr>
          </w:p>
        </w:tc>
      </w:tr>
      <w:tr>
        <w:trPr>
          <w:trHeight w:val="170"/>
        </w:trPr>
        <w:tc>
          <w:tcPr>
            <w:tcW w:w="4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2024</w:t>
            </w:r>
          </w:p>
        </w:tc>
        <w:tc>
          <w:tcPr>
            <w:tcW w:w="13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(outflow)</w:t>
            </w:r>
          </w:p>
        </w:tc>
        <w:tc>
          <w:tcPr>
            <w:tcW w:w="1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adjustments</w:t>
            </w: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rates</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ind w:left="760"/>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and cash equivalents</w:t>
            </w:r>
          </w:p>
        </w:tc>
        <w:tc>
          <w:tcPr>
            <w:tcW w:w="1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378,102</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182,679</w:t>
            </w:r>
          </w:p>
        </w:tc>
        <w:tc>
          <w:tcPr>
            <w:tcW w:w="134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(21,996)</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538,785</w:t>
            </w:r>
          </w:p>
        </w:tc>
        <w:tc>
          <w:tcPr>
            <w:tcW w:w="0" w:type="dxa"/>
            <w:vAlign w:val="bottom"/>
          </w:tcPr>
          <w:p>
            <w:pPr>
              <w:spacing w:after="0"/>
              <w:rPr>
                <w:sz w:val="1"/>
                <w:szCs w:val="1"/>
                <w:color w:val="auto"/>
              </w:rPr>
            </w:pPr>
          </w:p>
        </w:tc>
      </w:tr>
      <w:tr>
        <w:trPr>
          <w:trHeight w:val="16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1,954</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(1,954)</w:t>
            </w:r>
          </w:p>
        </w:tc>
        <w:tc>
          <w:tcPr>
            <w:tcW w:w="134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cash and cash equivalents</w:t>
            </w:r>
          </w:p>
        </w:tc>
        <w:tc>
          <w:tcPr>
            <w:tcW w:w="1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380,056</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180,725</w:t>
            </w:r>
          </w:p>
        </w:tc>
        <w:tc>
          <w:tcPr>
            <w:tcW w:w="13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(21,996)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538,785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 Jan</w:t>
            </w:r>
          </w:p>
        </w:tc>
        <w:tc>
          <w:tcPr>
            <w:tcW w:w="96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(Drawn</w:t>
            </w:r>
          </w:p>
        </w:tc>
        <w:tc>
          <w:tcPr>
            <w:tcW w:w="13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Net cash (inflow)/</w:t>
            </w:r>
          </w:p>
        </w:tc>
        <w:tc>
          <w:tcPr>
            <w:tcW w:w="13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 non-cash</w:t>
            </w:r>
          </w:p>
        </w:tc>
        <w:tc>
          <w:tcPr>
            <w:tcW w:w="128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Effect of</w:t>
            </w: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14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down)/</w:t>
            </w:r>
          </w:p>
        </w:tc>
        <w:tc>
          <w:tcPr>
            <w:tcW w:w="1300" w:type="dxa"/>
            <w:vAlign w:val="bottom"/>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 2024</w:t>
            </w:r>
          </w:p>
        </w:tc>
        <w:tc>
          <w:tcPr>
            <w:tcW w:w="0" w:type="dxa"/>
            <w:vAlign w:val="bottom"/>
          </w:tcPr>
          <w:p>
            <w:pPr>
              <w:spacing w:after="0"/>
              <w:rPr>
                <w:sz w:val="1"/>
                <w:szCs w:val="1"/>
                <w:color w:val="auto"/>
              </w:rPr>
            </w:pPr>
          </w:p>
        </w:tc>
      </w:tr>
      <w:tr>
        <w:trPr>
          <w:trHeight w:val="170"/>
        </w:trPr>
        <w:tc>
          <w:tcPr>
            <w:tcW w:w="4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repaid</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outflow</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adjustments</w:t>
            </w:r>
          </w:p>
        </w:tc>
        <w:tc>
          <w:tcPr>
            <w:tcW w:w="1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exchange rates</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128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(162,735)</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47,730</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(66,130)</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4,267</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(176,868)</w:t>
            </w:r>
          </w:p>
        </w:tc>
        <w:tc>
          <w:tcPr>
            <w:tcW w:w="0" w:type="dxa"/>
            <w:vAlign w:val="bottom"/>
          </w:tcPr>
          <w:p>
            <w:pPr>
              <w:spacing w:after="0"/>
              <w:rPr>
                <w:sz w:val="1"/>
                <w:szCs w:val="1"/>
                <w:color w:val="auto"/>
              </w:rPr>
            </w:pPr>
          </w:p>
        </w:tc>
      </w:tr>
      <w:tr>
        <w:trPr>
          <w:trHeight w:val="16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Credit Facilities, 2026 Notes &amp; New Notes</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(3,775,589)</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360,283</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12,679</w:t>
            </w:r>
          </w:p>
        </w:tc>
        <w:tc>
          <w:tcPr>
            <w:tcW w:w="13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(23,533)</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(3,426,160)</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borrowings and lease liabilities</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(3,938,324)</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408,013</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12,679</w:t>
            </w:r>
          </w:p>
        </w:tc>
        <w:tc>
          <w:tcPr>
            <w:tcW w:w="13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(89,663)</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4,267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(3,603,028)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280"/>
          </w:cols>
          <w:pgMar w:left="300" w:top="698"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 Share capital</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3"/>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No. of Ordinary Shares</w:t>
            </w:r>
          </w:p>
        </w:tc>
        <w:tc>
          <w:tcPr>
            <w:tcW w:w="20" w:type="dxa"/>
            <w:vAlign w:val="bottom"/>
          </w:tcPr>
          <w:p>
            <w:pPr>
              <w:spacing w:after="0"/>
              <w:rPr>
                <w:sz w:val="14"/>
                <w:szCs w:val="14"/>
                <w:color w:val="auto"/>
              </w:rPr>
            </w:pPr>
          </w:p>
        </w:tc>
      </w:tr>
      <w:tr>
        <w:trPr>
          <w:trHeight w:val="15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3"/>
                <w:szCs w:val="13"/>
                <w:color w:val="auto"/>
              </w:rPr>
            </w:pPr>
          </w:p>
        </w:tc>
      </w:tr>
      <w:tr>
        <w:trPr>
          <w:trHeight w:val="353"/>
        </w:trPr>
        <w:tc>
          <w:tcPr>
            <w:tcW w:w="6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r>
      <w:tr>
        <w:trPr>
          <w:trHeight w:val="127"/>
        </w:trPr>
        <w:tc>
          <w:tcPr>
            <w:tcW w:w="6640" w:type="dxa"/>
            <w:vAlign w:val="bottom"/>
            <w:shd w:val="clear" w:color="auto" w:fill="CCEEFF"/>
          </w:tcPr>
          <w:p>
            <w:pPr>
              <w:spacing w:after="0"/>
              <w:rPr>
                <w:sz w:val="11"/>
                <w:szCs w:val="11"/>
                <w:color w:val="auto"/>
              </w:rPr>
            </w:pPr>
          </w:p>
        </w:tc>
        <w:tc>
          <w:tcPr>
            <w:tcW w:w="3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4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640" w:type="dxa"/>
            <w:vAlign w:val="bottom"/>
            <w:tcBorders>
              <w:bottom w:val="single" w:sz="8" w:color="auto"/>
            </w:tcBorders>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2024</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664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8"/>
        </w:trPr>
        <w:tc>
          <w:tcPr>
            <w:tcW w:w="6640" w:type="dxa"/>
            <w:vAlign w:val="bottom"/>
          </w:tcPr>
          <w:p>
            <w:pPr>
              <w:ind w:left="20"/>
              <w:spacing w:after="0"/>
              <w:rPr>
                <w:sz w:val="20"/>
                <w:szCs w:val="20"/>
                <w:color w:val="auto"/>
              </w:rPr>
            </w:pPr>
            <w:r>
              <w:rPr>
                <w:rFonts w:ascii="Arial" w:cs="Arial" w:eastAsia="Arial" w:hAnsi="Arial"/>
                <w:sz w:val="13"/>
                <w:szCs w:val="13"/>
                <w:color w:val="auto"/>
              </w:rPr>
              <w:t>80,756,860 (31 December 2023: 82,495,086) ordinary shares of €0.06 each</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6,586</w:t>
            </w:r>
          </w:p>
        </w:tc>
        <w:tc>
          <w:tcPr>
            <w:tcW w:w="1440" w:type="dxa"/>
            <w:vAlign w:val="bottom"/>
          </w:tcPr>
          <w:p>
            <w:pPr>
              <w:jc w:val="right"/>
              <w:spacing w:after="0"/>
              <w:rPr>
                <w:sz w:val="20"/>
                <w:szCs w:val="20"/>
                <w:color w:val="auto"/>
              </w:rPr>
            </w:pPr>
            <w:r>
              <w:rPr>
                <w:rFonts w:ascii="Arial" w:cs="Arial" w:eastAsia="Arial" w:hAnsi="Arial"/>
                <w:sz w:val="13"/>
                <w:szCs w:val="13"/>
                <w:color w:val="auto"/>
              </w:rPr>
              <w:t>6,699</w:t>
            </w:r>
          </w:p>
        </w:tc>
        <w:tc>
          <w:tcPr>
            <w:tcW w:w="20" w:type="dxa"/>
            <w:vAlign w:val="bottom"/>
          </w:tcPr>
          <w:p>
            <w:pPr>
              <w:spacing w:after="0"/>
              <w:rPr>
                <w:sz w:val="15"/>
                <w:szCs w:val="15"/>
                <w:color w:val="auto"/>
              </w:rPr>
            </w:pPr>
          </w:p>
        </w:tc>
      </w:tr>
      <w:tr>
        <w:trPr>
          <w:trHeight w:val="24"/>
        </w:trPr>
        <w:tc>
          <w:tcPr>
            <w:tcW w:w="6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66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6,699</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20</w:t>
            </w:r>
          </w:p>
        </w:tc>
        <w:tc>
          <w:tcPr>
            <w:tcW w:w="144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5"/>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6,586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6,699</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10" w:lineRule="exact"/>
        <w:rPr>
          <w:sz w:val="20"/>
          <w:szCs w:val="20"/>
          <w:color w:val="auto"/>
        </w:rPr>
      </w:pPr>
    </w:p>
    <w:p>
      <w:pPr>
        <w:ind w:left="300" w:hanging="295"/>
        <w:spacing w:after="0"/>
        <w:tabs>
          <w:tab w:leader="none" w:pos="300"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Employee share based payments</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2024, 311,040 options were exercised by employees at an average exercise price of $116.31 per share for total proceeds of $36.2 million. During the year ended 31 December 2024, 120,458 ordinary shares were issued in respect of certain RSUs and 9,975 ordinary shares were issued in respect of PSUs previously awarded by the Company.</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2023, 535,705 options were exercised by employees at an average exercise price of $95.12 per share for total proceeds of $51.0 million. During the year ended 31 December 2023, 188,800 ordinary shares were issued in respect of certain RSUs and 47,026 ordinary shares were issued in respect of PSUs previously awarded by the Company.</w:t>
      </w:r>
    </w:p>
    <w:p>
      <w:pPr>
        <w:spacing w:after="0" w:line="95" w:lineRule="exact"/>
        <w:rPr>
          <w:sz w:val="20"/>
          <w:szCs w:val="20"/>
          <w:color w:val="auto"/>
        </w:rPr>
      </w:pPr>
    </w:p>
    <w:p>
      <w:pPr>
        <w:ind w:left="300" w:hanging="295"/>
        <w:spacing w:after="0"/>
        <w:tabs>
          <w:tab w:leader="none" w:pos="30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Share repurchase programme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can acquire up to 10% of its outstanding ordinary shares (by way of redemption), in accordance with Irish law and the Company’s constitutional documents through open market share acquisitions. A resolution was passed at the Company’s Annual General Meeting (“AGM”) on 23 July 2024, which renewed the authorisation for the Directors to purchase (buyback) up to 10% of the outstanding shares in the Company.</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20 February 2024, the Company's Board of Directors authorised a new buyback programme of up to $500.0 million of the outstanding ordinary shares of the Company. On 22 October 2024, the Company's Board of Directors authorised an additional buyback programme of up to $250.0 million of the outstanding ordinary shares of the Company.</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2,179,699 ordinary shares were redeemed by the Company under this buyback programme for a total consideration of $500.0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No ordinary shares were redeemed by the Company during the year ended 31 December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280"/>
          </w:cols>
          <w:pgMar w:left="300" w:top="698"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 Share capital </w:t>
      </w:r>
      <w:r>
        <w:rPr>
          <w:rFonts w:ascii="Arial" w:cs="Arial" w:eastAsia="Arial" w:hAnsi="Arial"/>
          <w:sz w:val="13"/>
          <w:szCs w:val="13"/>
          <w:b w:val="1"/>
          <w:bCs w:val="1"/>
          <w:i w:val="1"/>
          <w:iCs w:val="1"/>
          <w:color w:val="auto"/>
        </w:rPr>
        <w:t>(continued)</w:t>
      </w: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Under the repurchase programme, a broker purchased or may purchase the Company's shares from time to time on the open market or in privately negotiated transactions in accordance with agreed terms and limitations. The programme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programme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Capital and reserves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7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6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360" w:type="dxa"/>
            <w:vAlign w:val="bottom"/>
          </w:tcPr>
          <w:p>
            <w:pPr>
              <w:spacing w:after="0"/>
              <w:rPr>
                <w:sz w:val="13"/>
                <w:szCs w:val="13"/>
                <w:color w:val="auto"/>
              </w:rPr>
            </w:pPr>
          </w:p>
        </w:tc>
        <w:tc>
          <w:tcPr>
            <w:tcW w:w="47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559,804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523,646</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1,304</w:t>
            </w:r>
          </w:p>
        </w:tc>
        <w:tc>
          <w:tcPr>
            <w:tcW w:w="1140" w:type="dxa"/>
            <w:vAlign w:val="bottom"/>
          </w:tcPr>
          <w:p>
            <w:pPr>
              <w:jc w:val="right"/>
              <w:spacing w:after="0"/>
              <w:rPr>
                <w:sz w:val="20"/>
                <w:szCs w:val="20"/>
                <w:color w:val="auto"/>
              </w:rPr>
            </w:pPr>
            <w:r>
              <w:rPr>
                <w:rFonts w:ascii="Arial" w:cs="Arial" w:eastAsia="Arial" w:hAnsi="Arial"/>
                <w:sz w:val="13"/>
                <w:szCs w:val="13"/>
                <w:color w:val="auto"/>
              </w:rPr>
              <w:t>1,162</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331,838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354,183</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16,454</w:t>
            </w:r>
          </w:p>
        </w:tc>
        <w:tc>
          <w:tcPr>
            <w:tcW w:w="1140" w:type="dxa"/>
            <w:vAlign w:val="bottom"/>
          </w:tcPr>
          <w:p>
            <w:pPr>
              <w:jc w:val="right"/>
              <w:spacing w:after="0"/>
              <w:rPr>
                <w:sz w:val="20"/>
                <w:szCs w:val="20"/>
                <w:color w:val="auto"/>
              </w:rPr>
            </w:pPr>
            <w:r>
              <w:rPr>
                <w:rFonts w:ascii="Arial" w:cs="Arial" w:eastAsia="Arial" w:hAnsi="Arial"/>
                <w:sz w:val="13"/>
                <w:szCs w:val="13"/>
                <w:color w:val="auto"/>
              </w:rPr>
              <w:t>10,183</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reserve</w:t>
            </w:r>
          </w:p>
        </w:tc>
        <w:tc>
          <w:tcPr>
            <w:tcW w:w="4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(233,771)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(148,844)</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47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3,244,215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2,919,591</w:t>
            </w:r>
          </w:p>
        </w:tc>
      </w:tr>
      <w:tr>
        <w:trPr>
          <w:trHeight w:val="16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9,576,039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9,316,116</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3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2024, 2,179,699 ordinary shares were repurchased and cancelled by the Group (2023: Nil).</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their respective period the related services are received, with a corresponding increase in equity. Details of options, RSU's and PSU's granted under their respective plans and the terms attaching thereto are provided in note 11 to the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Group has recognised a non-distributable reserve of $7.9 million in accordance with agreements made between the Group and Enterprise Ireland, an Irish government agency. The requirement for these non-distributable reserves will expire between the period 2025 and 2029. In addition,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entered into two interest rate cap agreements and an interest rate swap agreement to limit its exposure to changes in the variable interest rate on its Senior Secured Credit Facilities. The interest rate caps and swap are accounted for as cash flow hedges and were considered effective hedges on application of the provisions of IFRS 9. The effective portion of the hedges for the year ended 31 December 2024 is recorded as a movement of $4.6 million (31 December 2023: $1.6 million) within Other Reserves.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reserve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As at 31 December 2024, this amounted to a cumulative loss of $233.8 million (2023: loss of $148.8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280"/>
          </w:cols>
          <w:pgMar w:left="300" w:top="698"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ind w:left="320" w:hanging="315"/>
        <w:spacing w:after="0"/>
        <w:tabs>
          <w:tab w:leader="none" w:pos="32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Capital and reserves </w:t>
      </w:r>
      <w:r>
        <w:rPr>
          <w:rFonts w:ascii="Arial" w:cs="Arial" w:eastAsia="Arial" w:hAnsi="Arial"/>
          <w:sz w:val="13"/>
          <w:szCs w:val="13"/>
          <w:b w:val="1"/>
          <w:bCs w:val="1"/>
          <w:i w:val="1"/>
          <w:iCs w:val="1"/>
          <w:color w:val="auto"/>
        </w:rPr>
        <w:t>(continued)</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addition to the profit for the financial year the Group has also recognised the re-measurement of the defined benefit liabilities in this reserve. In 2024, the Group recognised a re-measurement loss on the defined benefit liabilities of $6.3 million (31 December 2023: a re-measurement gain of $0.5 million). The Group has recognised a credit of $53.6 million (2023: $91.5 million) in respect of exercised and expired share-based awards that have been transferred from the share-based payment reserve. Further during the year ended 31 December 2024, 2,179,699 ordinary shares were redeemed by the Company under this buyback programme for a total consideration of $500.0 million which was recorded within retained earnings.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280"/>
          </w:cols>
          <w:pgMar w:left="300" w:top="698"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ind w:left="320" w:hanging="315"/>
        <w:spacing w:after="0"/>
        <w:tabs>
          <w:tab w:leader="none" w:pos="32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categorises the carrying value of financial assets and liabilities into the categorisations as presented by IFRS 9 as of 31 December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Amortised Cost</w:t>
            </w: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FVOCI</w:t>
            </w:r>
          </w:p>
        </w:tc>
        <w:tc>
          <w:tcPr>
            <w:tcW w:w="14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FVTPL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220" w:type="dxa"/>
            <w:vAlign w:val="bottom"/>
          </w:tcPr>
          <w:p>
            <w:pPr>
              <w:spacing w:after="0"/>
              <w:rPr>
                <w:sz w:val="13"/>
                <w:szCs w:val="13"/>
                <w:color w:val="auto"/>
              </w:rPr>
            </w:pPr>
          </w:p>
        </w:tc>
        <w:tc>
          <w:tcPr>
            <w:tcW w:w="31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40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57,948</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57,948</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1,401,989</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1,401,989</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Unbilled revenue (contract assets)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1,286,274</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1,286,274</w:t>
            </w:r>
          </w:p>
        </w:tc>
      </w:tr>
      <w:tr>
        <w:trPr>
          <w:trHeight w:val="17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538,785</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538,785</w:t>
            </w:r>
          </w:p>
        </w:tc>
      </w:tr>
      <w:tr>
        <w:trPr>
          <w:trHeight w:val="16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3,227,048</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57,948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3,284,996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422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3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3,426,160</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3,426,160</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24,084</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24,084</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176,868</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176,868</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173,025</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173,025</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 (contract liabilities)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1,614,758</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1,614,758</w:t>
            </w:r>
          </w:p>
        </w:tc>
      </w:tr>
      <w:tr>
        <w:trPr>
          <w:trHeight w:val="17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833,616</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833,616</w:t>
            </w:r>
          </w:p>
        </w:tc>
      </w:tr>
      <w:tr>
        <w:trPr>
          <w:trHeight w:val="185"/>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6,248,511</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6,248,511</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categorises the carrying value of financial assets and liabilities into the categorisations as presented by IFRS 9 as of 31 December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Amortised Cost</w:t>
            </w: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FVOCI</w:t>
            </w:r>
          </w:p>
        </w:tc>
        <w:tc>
          <w:tcPr>
            <w:tcW w:w="14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FVTPL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220" w:type="dxa"/>
            <w:vAlign w:val="bottom"/>
          </w:tcPr>
          <w:p>
            <w:pPr>
              <w:spacing w:after="0"/>
              <w:rPr>
                <w:sz w:val="13"/>
                <w:szCs w:val="13"/>
                <w:color w:val="auto"/>
              </w:rPr>
            </w:pPr>
          </w:p>
        </w:tc>
        <w:tc>
          <w:tcPr>
            <w:tcW w:w="31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40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422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312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46,804</w:t>
            </w:r>
          </w:p>
        </w:tc>
        <w:tc>
          <w:tcPr>
            <w:tcW w:w="1060" w:type="dxa"/>
            <w:vAlign w:val="bottom"/>
          </w:tcPr>
          <w:p>
            <w:pPr>
              <w:jc w:val="right"/>
              <w:spacing w:after="0"/>
              <w:rPr>
                <w:sz w:val="20"/>
                <w:szCs w:val="20"/>
                <w:color w:val="auto"/>
              </w:rPr>
            </w:pPr>
            <w:r>
              <w:rPr>
                <w:rFonts w:ascii="Arial" w:cs="Arial" w:eastAsia="Arial" w:hAnsi="Arial"/>
                <w:sz w:val="13"/>
                <w:szCs w:val="13"/>
                <w:color w:val="auto"/>
              </w:rPr>
              <w:t>46,804</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1,790,322</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1,790,322</w:t>
            </w:r>
          </w:p>
        </w:tc>
      </w:tr>
      <w:tr>
        <w:trPr>
          <w:trHeight w:val="169"/>
        </w:trPr>
        <w:tc>
          <w:tcPr>
            <w:tcW w:w="4220" w:type="dxa"/>
            <w:vAlign w:val="bottom"/>
          </w:tcPr>
          <w:p>
            <w:pPr>
              <w:ind w:left="20"/>
              <w:spacing w:after="0"/>
              <w:rPr>
                <w:sz w:val="20"/>
                <w:szCs w:val="20"/>
                <w:color w:val="auto"/>
              </w:rPr>
            </w:pPr>
            <w:r>
              <w:rPr>
                <w:rFonts w:ascii="Arial" w:cs="Arial" w:eastAsia="Arial" w:hAnsi="Arial"/>
                <w:sz w:val="13"/>
                <w:szCs w:val="13"/>
                <w:color w:val="auto"/>
              </w:rPr>
              <w:t>Unbilled revenue (contract assets)</w:t>
            </w:r>
          </w:p>
        </w:tc>
        <w:tc>
          <w:tcPr>
            <w:tcW w:w="3120" w:type="dxa"/>
            <w:vAlign w:val="bottom"/>
          </w:tcPr>
          <w:p>
            <w:pPr>
              <w:jc w:val="right"/>
              <w:ind w:right="536"/>
              <w:spacing w:after="0"/>
              <w:rPr>
                <w:sz w:val="20"/>
                <w:szCs w:val="20"/>
                <w:color w:val="auto"/>
              </w:rPr>
            </w:pPr>
            <w:r>
              <w:rPr>
                <w:rFonts w:ascii="Arial" w:cs="Arial" w:eastAsia="Arial" w:hAnsi="Arial"/>
                <w:sz w:val="13"/>
                <w:szCs w:val="13"/>
                <w:color w:val="auto"/>
              </w:rPr>
              <w:t>951,936</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951,936</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1,954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r>
      <w:tr>
        <w:trPr>
          <w:trHeight w:val="16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378,102</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378,102</w:t>
            </w:r>
          </w:p>
        </w:tc>
      </w:tr>
      <w:tr>
        <w:trPr>
          <w:trHeight w:val="187"/>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3,120,360</w:t>
            </w: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48,758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3,169,118</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4220" w:type="dxa"/>
            <w:vAlign w:val="bottom"/>
          </w:tcPr>
          <w:p>
            <w:pPr>
              <w:ind w:left="20"/>
              <w:spacing w:after="0"/>
              <w:rPr>
                <w:sz w:val="20"/>
                <w:szCs w:val="20"/>
                <w:color w:val="auto"/>
              </w:rPr>
            </w:pPr>
            <w:r>
              <w:rPr>
                <w:rFonts w:ascii="Arial" w:cs="Arial" w:eastAsia="Arial" w:hAnsi="Arial"/>
                <w:sz w:val="13"/>
                <w:szCs w:val="13"/>
                <w:color w:val="auto"/>
              </w:rPr>
              <w:t>Bank credit lines and loan facilities</w:t>
            </w:r>
          </w:p>
        </w:tc>
        <w:tc>
          <w:tcPr>
            <w:tcW w:w="3120" w:type="dxa"/>
            <w:vAlign w:val="bottom"/>
          </w:tcPr>
          <w:p>
            <w:pPr>
              <w:jc w:val="right"/>
              <w:ind w:right="536"/>
              <w:spacing w:after="0"/>
              <w:rPr>
                <w:sz w:val="20"/>
                <w:szCs w:val="20"/>
                <w:color w:val="auto"/>
              </w:rPr>
            </w:pPr>
            <w:r>
              <w:rPr>
                <w:rFonts w:ascii="Arial" w:cs="Arial" w:eastAsia="Arial" w:hAnsi="Arial"/>
                <w:sz w:val="13"/>
                <w:szCs w:val="13"/>
                <w:color w:val="auto"/>
              </w:rPr>
              <w:t>3,775,589</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3,775,589</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8,758</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r>
      <w:tr>
        <w:trPr>
          <w:trHeight w:val="169"/>
        </w:trPr>
        <w:tc>
          <w:tcPr>
            <w:tcW w:w="422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3120" w:type="dxa"/>
            <w:vAlign w:val="bottom"/>
          </w:tcPr>
          <w:p>
            <w:pPr>
              <w:jc w:val="right"/>
              <w:ind w:right="536"/>
              <w:spacing w:after="0"/>
              <w:rPr>
                <w:sz w:val="20"/>
                <w:szCs w:val="20"/>
                <w:color w:val="auto"/>
              </w:rPr>
            </w:pPr>
            <w:r>
              <w:rPr>
                <w:rFonts w:ascii="Arial" w:cs="Arial" w:eastAsia="Arial" w:hAnsi="Arial"/>
                <w:sz w:val="13"/>
                <w:szCs w:val="13"/>
                <w:color w:val="auto"/>
              </w:rPr>
              <w:t>162,735</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162,735</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131,584</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131,584</w:t>
            </w:r>
          </w:p>
        </w:tc>
      </w:tr>
      <w:tr>
        <w:trPr>
          <w:trHeight w:val="169"/>
        </w:trPr>
        <w:tc>
          <w:tcPr>
            <w:tcW w:w="4220" w:type="dxa"/>
            <w:vAlign w:val="bottom"/>
          </w:tcPr>
          <w:p>
            <w:pPr>
              <w:ind w:left="20"/>
              <w:spacing w:after="0"/>
              <w:rPr>
                <w:sz w:val="20"/>
                <w:szCs w:val="20"/>
                <w:color w:val="auto"/>
              </w:rPr>
            </w:pPr>
            <w:r>
              <w:rPr>
                <w:rFonts w:ascii="Arial" w:cs="Arial" w:eastAsia="Arial" w:hAnsi="Arial"/>
                <w:sz w:val="13"/>
                <w:szCs w:val="13"/>
                <w:color w:val="auto"/>
              </w:rPr>
              <w:t>Unearned revenue (contract liabilities)</w:t>
            </w:r>
          </w:p>
        </w:tc>
        <w:tc>
          <w:tcPr>
            <w:tcW w:w="3120" w:type="dxa"/>
            <w:vAlign w:val="bottom"/>
          </w:tcPr>
          <w:p>
            <w:pPr>
              <w:jc w:val="right"/>
              <w:ind w:right="536"/>
              <w:spacing w:after="0"/>
              <w:rPr>
                <w:sz w:val="20"/>
                <w:szCs w:val="20"/>
                <w:color w:val="auto"/>
              </w:rPr>
            </w:pPr>
            <w:r>
              <w:rPr>
                <w:rFonts w:ascii="Arial" w:cs="Arial" w:eastAsia="Arial" w:hAnsi="Arial"/>
                <w:sz w:val="13"/>
                <w:szCs w:val="13"/>
                <w:color w:val="auto"/>
              </w:rPr>
              <w:t>1,654,507</w:t>
            </w: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1,654,507</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instruments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2,411</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w:t>
            </w:r>
          </w:p>
        </w:tc>
      </w:tr>
      <w:tr>
        <w:trPr>
          <w:trHeight w:val="16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862,865</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862,865</w:t>
            </w:r>
          </w:p>
        </w:tc>
      </w:tr>
      <w:tr>
        <w:trPr>
          <w:trHeight w:val="187"/>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6,596,038</w:t>
            </w: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2,411</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6,598,449</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2"/>
          <w:szCs w:val="12"/>
          <w:i w:val="1"/>
          <w:iCs w:val="1"/>
          <w:color w:val="auto"/>
        </w:rPr>
        <w:t>Accrued and other liabilities excludes interest on bank credit lines and loan facilities, short term lease liabilities and derivative instruments, all of which are presented separately above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60"/>
          </w:cols>
          <w:pgMar w:left="300" w:top="69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Board of Directors have overall responsibility for the establishment and oversight of the Group’s risk management framework. The Group is exposed to various financial risks in the normal course of its business. The principal financial risks to which it is exposed include credit risks related to the creditworthiness of its customers and counterparties, with which it invests surplus cash funds, liquidity risk associated with the availability of sufficient financial resources to meet liabilities as they fall due, foreign currency risks, including both translation and transaction risk, and interest rate risk.</w:t>
      </w:r>
    </w:p>
    <w:p>
      <w:pPr>
        <w:spacing w:after="0" w:line="48"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unbilled receivables and other receivables.</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Credit risk is managed on a group basis. The ratings required for banks and financial institutions are a minimum rating of BBB+ for overnight maturities and a minimum of A- for any bank deposits greater than overnight and up to three months.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their financial position, past experience and other factors. The compliance with credit terms is regularly monitored by line management.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Revenues on long term contracts are recognised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The Group also contracts on a "fee-for-service" or "time and materials" basis.</w:t>
      </w:r>
    </w:p>
    <w:p>
      <w:pPr>
        <w:spacing w:after="0" w:line="10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Contract periods may range from several weeks to several years depending on the nature of the work to be performed. In many cases, an upfront portion of the contract fee is paid at the time the study or trial is started. The balance of the contract fee is generally payable in instalments over the study or trial duration and may be based on the completion of certain performance targets or "milestones", on units delivered, or on a fixed monthly payment schedule. Instalment payments may be based on key metrics for example target patient enrollment progress or delivery of the study database.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progress towards completion for clinical service contracts is measured based on total project costs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While no customers individually contributed more than 10% of our revenues during the years ended 31 December 2024 and 31 December 2023, our top five customers represented 25.0% and 26.8% of our revenues respectively, our largest customer represented 7.7% and 8.9% of our revenues, respectively, and our top twenty five customers represented 62.2% and 62.9% of our revenues, respectively. The addition of new customer accounts, particularly large and mid-tier pharma customers and biotech customers have resulted in a reduction in the concentration of revenues from our top five customers.</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2024 was as follows: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280"/>
          </w:cols>
          <w:pgMar w:left="300" w:top="698"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400" w:type="dxa"/>
            <w:vAlign w:val="bottom"/>
          </w:tcPr>
          <w:p>
            <w:pPr>
              <w:jc w:val="right"/>
              <w:ind w:right="636"/>
              <w:spacing w:after="0" w:line="118" w:lineRule="exact"/>
              <w:rPr>
                <w:sz w:val="20"/>
                <w:szCs w:val="20"/>
                <w:color w:val="auto"/>
              </w:rPr>
            </w:pPr>
            <w:r>
              <w:rPr>
                <w:rFonts w:ascii="Arial" w:cs="Arial" w:eastAsia="Arial" w:hAnsi="Arial"/>
                <w:sz w:val="13"/>
                <w:szCs w:val="13"/>
                <w:b w:val="1"/>
                <w:bCs w:val="1"/>
                <w:color w:val="auto"/>
              </w:rPr>
              <w:t>31 December</w:t>
            </w:r>
          </w:p>
        </w:tc>
        <w:tc>
          <w:tcPr>
            <w:tcW w:w="114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7"/>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4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4100" w:type="dxa"/>
            <w:vAlign w:val="bottom"/>
            <w:shd w:val="clear" w:color="auto" w:fill="CCEEFF"/>
          </w:tcPr>
          <w:p>
            <w:pPr>
              <w:spacing w:after="0"/>
              <w:rPr>
                <w:sz w:val="13"/>
                <w:szCs w:val="13"/>
                <w:color w:val="auto"/>
              </w:rPr>
            </w:pPr>
          </w:p>
        </w:tc>
        <w:tc>
          <w:tcPr>
            <w:tcW w:w="340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4100" w:type="dxa"/>
            <w:vAlign w:val="bottom"/>
          </w:tcPr>
          <w:p>
            <w:pPr>
              <w:ind w:left="20"/>
              <w:spacing w:after="0"/>
              <w:rPr>
                <w:sz w:val="20"/>
                <w:szCs w:val="20"/>
                <w:color w:val="auto"/>
              </w:rPr>
            </w:pPr>
            <w:r>
              <w:rPr>
                <w:rFonts w:ascii="Arial" w:cs="Arial" w:eastAsia="Arial" w:hAnsi="Arial"/>
                <w:sz w:val="13"/>
                <w:szCs w:val="13"/>
                <w:color w:val="auto"/>
              </w:rPr>
              <w:t>Europe</w:t>
            </w:r>
          </w:p>
        </w:tc>
        <w:tc>
          <w:tcPr>
            <w:tcW w:w="3400" w:type="dxa"/>
            <w:vAlign w:val="bottom"/>
          </w:tcPr>
          <w:p>
            <w:pPr>
              <w:jc w:val="right"/>
              <w:ind w:right="676"/>
              <w:spacing w:after="0"/>
              <w:rPr>
                <w:sz w:val="20"/>
                <w:szCs w:val="20"/>
                <w:color w:val="auto"/>
              </w:rPr>
            </w:pPr>
            <w:r>
              <w:rPr>
                <w:rFonts w:ascii="Arial" w:cs="Arial" w:eastAsia="Arial" w:hAnsi="Arial"/>
                <w:sz w:val="13"/>
                <w:szCs w:val="13"/>
                <w:color w:val="auto"/>
              </w:rPr>
              <w:t>1,160,281</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1,184,454</w:t>
            </w:r>
          </w:p>
        </w:tc>
        <w:tc>
          <w:tcPr>
            <w:tcW w:w="1780" w:type="dxa"/>
            <w:vAlign w:val="bottom"/>
          </w:tcPr>
          <w:p>
            <w:pPr>
              <w:jc w:val="right"/>
              <w:ind w:right="616"/>
              <w:spacing w:after="0"/>
              <w:rPr>
                <w:sz w:val="20"/>
                <w:szCs w:val="20"/>
                <w:color w:val="auto"/>
              </w:rPr>
            </w:pPr>
            <w:r>
              <w:rPr>
                <w:rFonts w:ascii="Arial" w:cs="Arial" w:eastAsia="Arial" w:hAnsi="Arial"/>
                <w:sz w:val="13"/>
                <w:szCs w:val="13"/>
                <w:color w:val="auto"/>
              </w:rPr>
              <w:t>662,343</w:t>
            </w:r>
          </w:p>
        </w:tc>
        <w:tc>
          <w:tcPr>
            <w:tcW w:w="860" w:type="dxa"/>
            <w:vAlign w:val="bottom"/>
          </w:tcPr>
          <w:p>
            <w:pPr>
              <w:jc w:val="right"/>
              <w:spacing w:after="0"/>
              <w:rPr>
                <w:sz w:val="20"/>
                <w:szCs w:val="20"/>
                <w:color w:val="auto"/>
              </w:rPr>
            </w:pPr>
            <w:r>
              <w:rPr>
                <w:rFonts w:ascii="Arial" w:cs="Arial" w:eastAsia="Arial" w:hAnsi="Arial"/>
                <w:sz w:val="13"/>
                <w:szCs w:val="13"/>
                <w:color w:val="auto"/>
              </w:rPr>
              <w:t>402,797</w:t>
            </w:r>
          </w:p>
        </w:tc>
      </w:tr>
      <w:tr>
        <w:trPr>
          <w:trHeight w:val="171"/>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230,019</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566,497</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530,048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472,368</w:t>
            </w:r>
          </w:p>
        </w:tc>
      </w:tr>
      <w:tr>
        <w:trPr>
          <w:trHeight w:val="16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 of World</w:t>
            </w:r>
          </w:p>
        </w:tc>
        <w:tc>
          <w:tcPr>
            <w:tcW w:w="3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47,353</w:t>
            </w: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70,904</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93,883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76,771</w:t>
            </w:r>
          </w:p>
        </w:tc>
      </w:tr>
      <w:tr>
        <w:trPr>
          <w:trHeight w:val="162"/>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balance</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1,437,653</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1,821,855</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1,286,274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951,936</w:t>
            </w:r>
          </w:p>
        </w:tc>
      </w:tr>
      <w:tr>
        <w:trPr>
          <w:trHeight w:val="16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for credit losses</w:t>
            </w: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(35,664)</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(31,533)</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1,401,989</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1,790,322</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1,286,274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951,936</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spacing w:after="0" w:line="18" w:lineRule="exact"/>
        <w:rPr>
          <w:sz w:val="20"/>
          <w:szCs w:val="20"/>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other receivables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contract assets and other receivables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2024. The historical loss rates are adjusted to reflect current and forward-looking information on macroeconomic factors affecting the ability of the customers to settle receivables. The group has identified the GDP and the unemployment rate of the countries in which it sells its services to be the most relevant factors, and accordingly adjusts the historical loss rates based on expected changes in these factors. See </w:t>
      </w:r>
      <w:r>
        <w:rPr>
          <w:rFonts w:ascii="Arial" w:cs="Arial" w:eastAsia="Arial" w:hAnsi="Arial"/>
          <w:sz w:val="13"/>
          <w:szCs w:val="13"/>
          <w:i w:val="1"/>
          <w:iCs w:val="1"/>
          <w:color w:val="auto"/>
        </w:rPr>
        <w:t>note 16 - Accounts receivable, unbilled services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assets) and unearned revenue (contract liabilities) </w:t>
      </w:r>
      <w:r>
        <w:rPr>
          <w:rFonts w:ascii="Arial" w:cs="Arial" w:eastAsia="Arial" w:hAnsi="Arial"/>
          <w:sz w:val="13"/>
          <w:szCs w:val="13"/>
          <w:color w:val="auto"/>
        </w:rPr>
        <w:t>for assessment of the allowance for credit losses for both trade receivables and contract assets.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Trade receivables, other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other receivables and contract assets are presented as net impairment losses within operating profit. Subsequent recoveries of amounts previously written off are credited against the same line item.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2024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2"/>
                <w:szCs w:val="12"/>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540" w:type="dxa"/>
            <w:vAlign w:val="bottom"/>
          </w:tcPr>
          <w:p>
            <w:pPr>
              <w:spacing w:after="0"/>
              <w:rPr>
                <w:sz w:val="13"/>
                <w:szCs w:val="13"/>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46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r>
      <w:tr>
        <w:trPr>
          <w:trHeight w:val="17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538,785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378,102</w:t>
            </w:r>
          </w:p>
        </w:tc>
      </w:tr>
      <w:tr>
        <w:trPr>
          <w:trHeight w:val="16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538,785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380,056</w:t>
            </w:r>
          </w:p>
        </w:tc>
      </w:tr>
      <w:tr>
        <w:trPr>
          <w:trHeight w:val="16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9,582,625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9,322,815</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 other growth opportunities and Share Buy Backs. The CRO industry 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280"/>
          </w:cols>
          <w:pgMar w:left="300" w:top="698"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generally not capital intensive. The Group primarily finances its operations and growth through cash flows from operations, together with amounts drawn under negotiated facilities as required.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190" w:lineRule="exact"/>
        <w:rPr>
          <w:sz w:val="20"/>
          <w:szCs w:val="20"/>
          <w:color w:val="auto"/>
        </w:rPr>
      </w:pPr>
    </w:p>
    <w:p>
      <w:pPr>
        <w:ind w:left="500" w:hanging="304"/>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spacing w:after="0" w:line="17" w:lineRule="exact"/>
        <w:rPr>
          <w:rFonts w:ascii="Arial" w:cs="Arial" w:eastAsia="Arial" w:hAnsi="Arial"/>
          <w:sz w:val="13"/>
          <w:szCs w:val="13"/>
          <w:color w:val="auto"/>
        </w:rPr>
      </w:pPr>
    </w:p>
    <w:p>
      <w:pPr>
        <w:ind w:left="500" w:hanging="304"/>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spacing w:after="0" w:line="9" w:lineRule="exact"/>
        <w:rPr>
          <w:rFonts w:ascii="Arial" w:cs="Arial" w:eastAsia="Arial" w:hAnsi="Arial"/>
          <w:sz w:val="13"/>
          <w:szCs w:val="13"/>
          <w:color w:val="auto"/>
        </w:rPr>
      </w:pPr>
    </w:p>
    <w:p>
      <w:pPr>
        <w:ind w:left="500" w:hanging="304"/>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21 Bank credit lines and loan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ICON, merged with and into PRA Health Sciences, Inc., the parent of PRA Health Sciences ("the Acquisition" and "the Merger"). In conjunction with the completion of the merger,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to the Senior Secured Credit Facilities, the Company, issued $500 million in aggregate principal amount of 2.875% senior secured notes in a private offering (the "2026 Notes"). On 2 May 2023, the Company agreed with its lenders to increase the aggregate principal amount of the senior secured revolving loan facility from $300 million to $500 million.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 senior secured term loan facility and senior secured revolving credit facility</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14 March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utilisation fee increased by 15 basis points, dependent on amount utilised.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 repayment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2024, the Company made mandatory and voluntary principal repayments of $2,304.8 million (31 December 2023: mandatory and voluntary principal repayments of $950.0 million) of the senior secured term loan facility. The voluntary repayments made during the year ended 31 December 2024 resulted in an accelerated charge associated with previously capitalised fees of $16.9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 addition, during the year ended 31 December 2024, the Company drew $318.0 million (31 December 2023: $370.0 million) of the senior secured revolving loan facility and repaid $373.0 million</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(31 December 2023: $315.0 million). At 31 December 2024, $nil was drawn under the senior secured revolving loan facility (31 December 2023: $55.0 million). Refer to note 13. Bank credit lines, loan facilities and notes for further details on the Company's Senior Secured Credit Facilities.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280"/>
          </w:cols>
          <w:pgMar w:left="300" w:top="698"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Year ended </w:t>
      </w:r>
      <w:r>
        <w:rPr>
          <w:rFonts w:ascii="Arial" w:cs="Arial" w:eastAsia="Arial" w:hAnsi="Arial"/>
          <w:sz w:val="13"/>
          <w:szCs w:val="13"/>
          <w:color w:val="auto"/>
        </w:rPr>
        <w:t>31 December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b w:val="1"/>
                <w:bCs w:val="1"/>
                <w:color w:val="auto"/>
              </w:rPr>
              <w:t>Carrying</w:t>
            </w:r>
          </w:p>
        </w:tc>
        <w:tc>
          <w:tcPr>
            <w:tcW w:w="1460" w:type="dxa"/>
            <w:vAlign w:val="bottom"/>
            <w:shd w:val="clear" w:color="auto" w:fill="CCEEFF"/>
          </w:tcPr>
          <w:p>
            <w:pPr>
              <w:jc w:val="right"/>
              <w:ind w:right="237"/>
              <w:spacing w:after="0"/>
              <w:rPr>
                <w:sz w:val="20"/>
                <w:szCs w:val="20"/>
                <w:color w:val="auto"/>
              </w:rPr>
            </w:pPr>
            <w:r>
              <w:rPr>
                <w:rFonts w:ascii="Arial" w:cs="Arial" w:eastAsia="Arial" w:hAnsi="Arial"/>
                <w:sz w:val="12"/>
                <w:szCs w:val="12"/>
                <w:b w:val="1"/>
                <w:bCs w:val="1"/>
                <w:color w:val="auto"/>
              </w:rPr>
              <w:t>Contractual cash</w:t>
            </w:r>
          </w:p>
        </w:tc>
        <w:tc>
          <w:tcPr>
            <w:tcW w:w="1340" w:type="dxa"/>
            <w:vAlign w:val="bottom"/>
            <w:shd w:val="clear" w:color="auto" w:fill="CCEEFF"/>
          </w:tcPr>
          <w:p>
            <w:pPr>
              <w:jc w:val="right"/>
              <w:ind w:right="337"/>
              <w:spacing w:after="0"/>
              <w:rPr>
                <w:sz w:val="20"/>
                <w:szCs w:val="20"/>
                <w:color w:val="auto"/>
              </w:rPr>
            </w:pPr>
            <w:r>
              <w:rPr>
                <w:rFonts w:ascii="Arial" w:cs="Arial" w:eastAsia="Arial" w:hAnsi="Arial"/>
                <w:sz w:val="12"/>
                <w:szCs w:val="12"/>
                <w:b w:val="1"/>
                <w:bCs w:val="1"/>
                <w:color w:val="auto"/>
              </w:rPr>
              <w:t>Less than</w:t>
            </w:r>
          </w:p>
        </w:tc>
        <w:tc>
          <w:tcPr>
            <w:tcW w:w="1240" w:type="dxa"/>
            <w:vAlign w:val="bottom"/>
            <w:vMerge w:val="restart"/>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1-2 years</w:t>
            </w:r>
          </w:p>
        </w:tc>
        <w:tc>
          <w:tcPr>
            <w:tcW w:w="1280" w:type="dxa"/>
            <w:vAlign w:val="bottom"/>
            <w:vMerge w:val="restart"/>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2-5 years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2"/>
                <w:szCs w:val="12"/>
                <w:b w:val="1"/>
                <w:bCs w:val="1"/>
                <w:color w:val="auto"/>
              </w:rPr>
              <w:t>amount</w:t>
            </w:r>
          </w:p>
        </w:tc>
        <w:tc>
          <w:tcPr>
            <w:tcW w:w="14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2"/>
                <w:szCs w:val="12"/>
                <w:b w:val="1"/>
                <w:bCs w:val="1"/>
                <w:color w:val="auto"/>
              </w:rPr>
              <w:t>flows</w:t>
            </w:r>
          </w:p>
        </w:tc>
        <w:tc>
          <w:tcPr>
            <w:tcW w:w="13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2"/>
                <w:szCs w:val="12"/>
                <w:b w:val="1"/>
                <w:bCs w:val="1"/>
                <w:color w:val="auto"/>
              </w:rPr>
              <w:t>1 year</w:t>
            </w:r>
          </w:p>
        </w:tc>
        <w:tc>
          <w:tcPr>
            <w:tcW w:w="1240" w:type="dxa"/>
            <w:vAlign w:val="bottom"/>
            <w:tcBorders>
              <w:bottom w:val="single" w:sz="8" w:color="auto"/>
            </w:tcBorders>
            <w:vMerge w:val="continue"/>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(3,426,160)</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(3,446,450)</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(29,762)</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(529,762)</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(2,386,926)</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(24,084)</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(793,683)</w:t>
            </w:r>
          </w:p>
        </w:tc>
        <w:tc>
          <w:tcPr>
            <w:tcW w:w="1340" w:type="dxa"/>
            <w:vAlign w:val="bottom"/>
          </w:tcPr>
          <w:p>
            <w:pPr>
              <w:jc w:val="right"/>
              <w:ind w:right="317"/>
              <w:spacing w:after="0"/>
              <w:rPr>
                <w:sz w:val="20"/>
                <w:szCs w:val="20"/>
                <w:color w:val="auto"/>
              </w:rPr>
            </w:pPr>
            <w:r>
              <w:rPr>
                <w:rFonts w:ascii="Arial" w:cs="Arial" w:eastAsia="Arial" w:hAnsi="Arial"/>
                <w:sz w:val="13"/>
                <w:szCs w:val="13"/>
                <w:color w:val="auto"/>
              </w:rPr>
              <w:t>(191,319)</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(180,918)</w:t>
            </w:r>
          </w:p>
        </w:tc>
        <w:tc>
          <w:tcPr>
            <w:tcW w:w="1280" w:type="dxa"/>
            <w:vAlign w:val="bottom"/>
          </w:tcPr>
          <w:p>
            <w:pPr>
              <w:jc w:val="right"/>
              <w:ind w:right="257"/>
              <w:spacing w:after="0"/>
              <w:rPr>
                <w:sz w:val="20"/>
                <w:szCs w:val="20"/>
                <w:color w:val="auto"/>
              </w:rPr>
            </w:pPr>
            <w:r>
              <w:rPr>
                <w:rFonts w:ascii="Arial" w:cs="Arial" w:eastAsia="Arial" w:hAnsi="Arial"/>
                <w:sz w:val="13"/>
                <w:szCs w:val="13"/>
                <w:color w:val="auto"/>
              </w:rPr>
              <w:t>(290,863)</w:t>
            </w:r>
          </w:p>
        </w:tc>
        <w:tc>
          <w:tcPr>
            <w:tcW w:w="980" w:type="dxa"/>
            <w:vAlign w:val="bottom"/>
          </w:tcPr>
          <w:p>
            <w:pPr>
              <w:jc w:val="right"/>
              <w:spacing w:after="0"/>
              <w:rPr>
                <w:sz w:val="20"/>
                <w:szCs w:val="20"/>
                <w:color w:val="auto"/>
              </w:rPr>
            </w:pPr>
            <w:r>
              <w:rPr>
                <w:rFonts w:ascii="Arial" w:cs="Arial" w:eastAsia="Arial" w:hAnsi="Arial"/>
                <w:sz w:val="13"/>
                <w:szCs w:val="13"/>
                <w:color w:val="auto"/>
              </w:rPr>
              <w:t>(130,583)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(176,868)</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(199,674)</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(42,931)</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(38,445)</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(73,251)</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(45,047)</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(80,514)</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(80,514)</w:t>
            </w:r>
          </w:p>
        </w:tc>
        <w:tc>
          <w:tcPr>
            <w:tcW w:w="13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(80,514)</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(173,025)</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(173,025)</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(173,025)</w:t>
            </w: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97"/>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(833,575)</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(833,575)</w:t>
            </w: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(833,575)</w:t>
            </w: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(4,714,226)</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(5,526,921)</w:t>
            </w:r>
          </w:p>
        </w:tc>
        <w:tc>
          <w:tcPr>
            <w:tcW w:w="134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2"/>
                <w:szCs w:val="12"/>
                <w:b w:val="1"/>
                <w:bCs w:val="1"/>
                <w:color w:val="auto"/>
              </w:rPr>
              <w:t>(1,270,612)</w:t>
            </w:r>
          </w:p>
        </w:tc>
        <w:tc>
          <w:tcPr>
            <w:tcW w:w="12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(749,125)</w:t>
            </w:r>
          </w:p>
        </w:tc>
        <w:tc>
          <w:tcPr>
            <w:tcW w:w="12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(2,751,040)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(756,144)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380" w:type="dxa"/>
            <w:vAlign w:val="bottom"/>
          </w:tcPr>
          <w:p>
            <w:pPr>
              <w:spacing w:after="0"/>
              <w:rPr>
                <w:sz w:val="20"/>
                <w:szCs w:val="20"/>
                <w:color w:val="auto"/>
              </w:rPr>
            </w:pPr>
            <w:r>
              <w:rPr>
                <w:rFonts w:ascii="Arial" w:cs="Arial" w:eastAsia="Arial" w:hAnsi="Arial"/>
                <w:sz w:val="13"/>
                <w:szCs w:val="13"/>
                <w:i w:val="1"/>
                <w:iCs w:val="1"/>
                <w:color w:val="auto"/>
              </w:rPr>
              <w:t>Year ended 31 December 2023</w:t>
            </w: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Carrying</w:t>
            </w:r>
          </w:p>
        </w:tc>
        <w:tc>
          <w:tcPr>
            <w:tcW w:w="146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Contractual cash</w:t>
            </w:r>
          </w:p>
        </w:tc>
        <w:tc>
          <w:tcPr>
            <w:tcW w:w="1340" w:type="dxa"/>
            <w:vAlign w:val="bottom"/>
            <w:shd w:val="clear" w:color="auto" w:fill="CCEEFF"/>
          </w:tcPr>
          <w:p>
            <w:pPr>
              <w:jc w:val="right"/>
              <w:ind w:right="337"/>
              <w:spacing w:after="0"/>
              <w:rPr>
                <w:sz w:val="20"/>
                <w:szCs w:val="20"/>
                <w:color w:val="auto"/>
              </w:rPr>
            </w:pPr>
            <w:r>
              <w:rPr>
                <w:rFonts w:ascii="Arial" w:cs="Arial" w:eastAsia="Arial" w:hAnsi="Arial"/>
                <w:sz w:val="12"/>
                <w:szCs w:val="12"/>
                <w:b w:val="1"/>
                <w:bCs w:val="1"/>
                <w:color w:val="auto"/>
              </w:rPr>
              <w:t>Less than</w:t>
            </w:r>
          </w:p>
        </w:tc>
        <w:tc>
          <w:tcPr>
            <w:tcW w:w="124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1-2 years</w:t>
            </w:r>
          </w:p>
        </w:tc>
        <w:tc>
          <w:tcPr>
            <w:tcW w:w="128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2-5 years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59"/>
        </w:trPr>
        <w:tc>
          <w:tcPr>
            <w:tcW w:w="33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4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flows</w:t>
            </w:r>
          </w:p>
        </w:tc>
        <w:tc>
          <w:tcPr>
            <w:tcW w:w="13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2"/>
                <w:szCs w:val="12"/>
                <w:b w:val="1"/>
                <w:bCs w:val="1"/>
                <w:color w:val="auto"/>
              </w:rPr>
              <w:t>1 year</w:t>
            </w:r>
          </w:p>
        </w:tc>
        <w:tc>
          <w:tcPr>
            <w:tcW w:w="1240" w:type="dxa"/>
            <w:vAlign w:val="bottom"/>
            <w:tcBorders>
              <w:bottom w:val="single" w:sz="8" w:color="auto"/>
            </w:tcBorders>
            <w:vMerge w:val="continue"/>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(3,775,589)</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(3,806,213)</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(110,150)</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(55,150)</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(3,640,913)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(8,758)</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(1,179,097)</w:t>
            </w:r>
          </w:p>
        </w:tc>
        <w:tc>
          <w:tcPr>
            <w:tcW w:w="1340" w:type="dxa"/>
            <w:vAlign w:val="bottom"/>
          </w:tcPr>
          <w:p>
            <w:pPr>
              <w:jc w:val="right"/>
              <w:ind w:right="317"/>
              <w:spacing w:after="0"/>
              <w:rPr>
                <w:sz w:val="20"/>
                <w:szCs w:val="20"/>
                <w:color w:val="auto"/>
              </w:rPr>
            </w:pPr>
            <w:r>
              <w:rPr>
                <w:rFonts w:ascii="Arial" w:cs="Arial" w:eastAsia="Arial" w:hAnsi="Arial"/>
                <w:sz w:val="13"/>
                <w:szCs w:val="13"/>
                <w:color w:val="auto"/>
              </w:rPr>
              <w:t>(272,501)</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(267,396)</w:t>
            </w:r>
          </w:p>
        </w:tc>
        <w:tc>
          <w:tcPr>
            <w:tcW w:w="1280" w:type="dxa"/>
            <w:vAlign w:val="bottom"/>
          </w:tcPr>
          <w:p>
            <w:pPr>
              <w:jc w:val="right"/>
              <w:ind w:right="257"/>
              <w:spacing w:after="0"/>
              <w:rPr>
                <w:sz w:val="20"/>
                <w:szCs w:val="20"/>
                <w:color w:val="auto"/>
              </w:rPr>
            </w:pPr>
            <w:r>
              <w:rPr>
                <w:rFonts w:ascii="Arial" w:cs="Arial" w:eastAsia="Arial" w:hAnsi="Arial"/>
                <w:sz w:val="13"/>
                <w:szCs w:val="13"/>
                <w:color w:val="auto"/>
              </w:rPr>
              <w:t>(639,200)</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(162,735)</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(176,926)</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(40,894)</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(34,585)</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(67,449)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(33,998)</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(28,358)</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(28,358)</w:t>
            </w:r>
          </w:p>
        </w:tc>
        <w:tc>
          <w:tcPr>
            <w:tcW w:w="13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(28,358)</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(131,584)</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(131,584)</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(131,584)</w:t>
            </w: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(865,233)</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(865,233)</w:t>
            </w: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(865,233)</w:t>
            </w: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(4,972,257)</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(6,187,411)</w:t>
            </w:r>
          </w:p>
        </w:tc>
        <w:tc>
          <w:tcPr>
            <w:tcW w:w="134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b w:val="1"/>
                <w:bCs w:val="1"/>
                <w:color w:val="auto"/>
              </w:rPr>
              <w:t>(1,420,362)</w:t>
            </w:r>
          </w:p>
        </w:tc>
        <w:tc>
          <w:tcPr>
            <w:tcW w:w="12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(357,131)</w:t>
            </w:r>
          </w:p>
        </w:tc>
        <w:tc>
          <w:tcPr>
            <w:tcW w:w="12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(4,347,562)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(62,356)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deferred government grants (2024: $0.6 million and 2023: $0.9 million).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**Accrued and other liabilities excludes interest on senior notes presented separately above, deferred government grants (2024: </w:t>
      </w:r>
      <w:r>
        <w:rPr>
          <w:rFonts w:ascii="Arial" w:cs="Arial" w:eastAsia="Arial" w:hAnsi="Arial"/>
          <w:sz w:val="12"/>
          <w:szCs w:val="12"/>
          <w:color w:val="auto"/>
        </w:rPr>
        <w:t>$0.04 million</w:t>
      </w:r>
      <w:r>
        <w:rPr>
          <w:rFonts w:ascii="Arial" w:cs="Arial" w:eastAsia="Arial" w:hAnsi="Arial"/>
          <w:sz w:val="12"/>
          <w:szCs w:val="12"/>
          <w:i w:val="1"/>
          <w:iCs w:val="1"/>
          <w:color w:val="auto"/>
        </w:rPr>
        <w:t xml:space="preserve"> and 2023: </w:t>
      </w:r>
      <w:r>
        <w:rPr>
          <w:rFonts w:ascii="Arial" w:cs="Arial" w:eastAsia="Arial" w:hAnsi="Arial"/>
          <w:sz w:val="12"/>
          <w:szCs w:val="12"/>
          <w:color w:val="auto"/>
        </w:rPr>
        <w:t>$0.04 million</w:t>
      </w:r>
      <w:r>
        <w:rPr>
          <w:rFonts w:ascii="Arial" w:cs="Arial" w:eastAsia="Arial" w:hAnsi="Arial"/>
          <w:sz w:val="12"/>
          <w:szCs w:val="12"/>
          <w:i w:val="1"/>
          <w:iCs w:val="1"/>
          <w:color w:val="auto"/>
        </w:rPr>
        <w:t>) and current lease liabilities (2024:</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$36.8 million </w:t>
      </w:r>
      <w:r>
        <w:rPr>
          <w:rFonts w:ascii="Times New Roman" w:cs="Times New Roman" w:eastAsia="Times New Roman" w:hAnsi="Times New Roman"/>
          <w:sz w:val="14"/>
          <w:szCs w:val="14"/>
          <w:color w:val="auto"/>
        </w:rPr>
        <w:t>and</w:t>
      </w:r>
      <w:r>
        <w:rPr>
          <w:rFonts w:ascii="Arial" w:cs="Arial" w:eastAsia="Arial" w:hAnsi="Arial"/>
          <w:sz w:val="13"/>
          <w:szCs w:val="13"/>
          <w:color w:val="auto"/>
        </w:rPr>
        <w:t xml:space="preserve"> </w:t>
      </w:r>
      <w:r>
        <w:rPr>
          <w:rFonts w:ascii="Arial" w:cs="Arial" w:eastAsia="Arial" w:hAnsi="Arial"/>
          <w:sz w:val="13"/>
          <w:szCs w:val="13"/>
          <w:i w:val="1"/>
          <w:iCs w:val="1"/>
          <w:color w:val="auto"/>
        </w:rPr>
        <w:t>2023</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$36.4 million</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to includes both foreign currency translation risk and foreign currency transaction risk.</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Although domiciled in Ireland, the Group reports its results in U.S. dollars. As a consequence, the results of our non-U.S. based operations, when translated into U.S. dollars, could be affected by fluctuations in exchange rates between the U.S. dollar and the currencies of those operations.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Group is also subject to foreign currency transaction exposures as the currency in which its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The Group regularly reviews its foreign currency exposures and usually negotiates currency fluctuation clauses in its contracts which allow for price negotiation if certain exchange rate triggers occur. We had no open foreign currency contracts at 31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280"/>
          </w:cols>
          <w:pgMar w:left="300" w:top="698"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4"/>
        </w:trPr>
        <w:tc>
          <w:tcPr>
            <w:tcW w:w="4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70"/>
        </w:trPr>
        <w:tc>
          <w:tcPr>
            <w:tcW w:w="47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Average Rate</w:t>
            </w:r>
          </w:p>
        </w:tc>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Closing Rate</w:t>
            </w:r>
          </w:p>
        </w:tc>
      </w:tr>
      <w:tr>
        <w:trPr>
          <w:trHeight w:val="170"/>
        </w:trPr>
        <w:tc>
          <w:tcPr>
            <w:tcW w:w="4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left="996"/>
              <w:spacing w:after="0"/>
              <w:rPr>
                <w:sz w:val="20"/>
                <w:szCs w:val="20"/>
                <w:color w:val="auto"/>
              </w:rPr>
            </w:pPr>
            <w:r>
              <w:rPr>
                <w:rFonts w:ascii="Arial" w:cs="Arial" w:eastAsia="Arial" w:hAnsi="Arial"/>
                <w:sz w:val="13"/>
                <w:szCs w:val="13"/>
                <w:b w:val="1"/>
                <w:bCs w:val="1"/>
                <w:color w:val="auto"/>
                <w:w w:val="96"/>
              </w:rPr>
              <w:t>2024</w:t>
            </w:r>
          </w:p>
        </w:tc>
        <w:tc>
          <w:tcPr>
            <w:tcW w:w="198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96"/>
              </w:rPr>
              <w:t>2024</w:t>
            </w:r>
          </w:p>
        </w:tc>
        <w:tc>
          <w:tcPr>
            <w:tcW w:w="196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w w:val="96"/>
              </w:rPr>
              <w:t>2023</w:t>
            </w:r>
          </w:p>
        </w:tc>
      </w:tr>
      <w:tr>
        <w:trPr>
          <w:trHeight w:val="16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Euro:USD</w:t>
            </w:r>
          </w:p>
        </w:tc>
        <w:tc>
          <w:tcPr>
            <w:tcW w:w="1580" w:type="dxa"/>
            <w:vAlign w:val="bottom"/>
            <w:shd w:val="clear" w:color="auto" w:fill="CCEEFF"/>
          </w:tcPr>
          <w:p>
            <w:pPr>
              <w:jc w:val="center"/>
              <w:ind w:left="996"/>
              <w:spacing w:after="0"/>
              <w:rPr>
                <w:sz w:val="20"/>
                <w:szCs w:val="20"/>
                <w:color w:val="auto"/>
              </w:rPr>
            </w:pPr>
            <w:r>
              <w:rPr>
                <w:rFonts w:ascii="Arial" w:cs="Arial" w:eastAsia="Arial" w:hAnsi="Arial"/>
                <w:sz w:val="13"/>
                <w:szCs w:val="13"/>
                <w:color w:val="auto"/>
              </w:rPr>
              <w:t>1.0854</w:t>
            </w:r>
          </w:p>
        </w:tc>
        <w:tc>
          <w:tcPr>
            <w:tcW w:w="1980" w:type="dxa"/>
            <w:vAlign w:val="bottom"/>
            <w:shd w:val="clear" w:color="auto" w:fill="CCEEFF"/>
          </w:tcPr>
          <w:p>
            <w:pPr>
              <w:jc w:val="center"/>
              <w:ind w:left="416"/>
              <w:spacing w:after="0"/>
              <w:rPr>
                <w:sz w:val="20"/>
                <w:szCs w:val="20"/>
                <w:color w:val="auto"/>
              </w:rPr>
            </w:pPr>
            <w:r>
              <w:rPr>
                <w:rFonts w:ascii="Arial" w:cs="Arial" w:eastAsia="Arial" w:hAnsi="Arial"/>
                <w:sz w:val="13"/>
                <w:szCs w:val="13"/>
                <w:color w:val="auto"/>
                <w:w w:val="95"/>
              </w:rPr>
              <w:t>1.0795</w:t>
            </w:r>
          </w:p>
        </w:tc>
        <w:tc>
          <w:tcPr>
            <w:tcW w:w="1000" w:type="dxa"/>
            <w:vAlign w:val="bottom"/>
            <w:shd w:val="clear" w:color="auto" w:fill="CCEEFF"/>
          </w:tcPr>
          <w:p>
            <w:pPr>
              <w:jc w:val="center"/>
              <w:ind w:left="396"/>
              <w:spacing w:after="0"/>
              <w:rPr>
                <w:sz w:val="20"/>
                <w:szCs w:val="20"/>
                <w:color w:val="auto"/>
              </w:rPr>
            </w:pPr>
            <w:r>
              <w:rPr>
                <w:rFonts w:ascii="Arial" w:cs="Arial" w:eastAsia="Arial" w:hAnsi="Arial"/>
                <w:sz w:val="13"/>
                <w:szCs w:val="13"/>
                <w:color w:val="auto"/>
                <w:w w:val="95"/>
              </w:rPr>
              <w:t>1.0354</w:t>
            </w:r>
          </w:p>
        </w:tc>
        <w:tc>
          <w:tcPr>
            <w:tcW w:w="1960" w:type="dxa"/>
            <w:vAlign w:val="bottom"/>
            <w:shd w:val="clear" w:color="auto" w:fill="CCEEFF"/>
          </w:tcPr>
          <w:p>
            <w:pPr>
              <w:jc w:val="center"/>
              <w:ind w:left="416"/>
              <w:spacing w:after="0"/>
              <w:rPr>
                <w:sz w:val="20"/>
                <w:szCs w:val="20"/>
                <w:color w:val="auto"/>
              </w:rPr>
            </w:pPr>
            <w:r>
              <w:rPr>
                <w:rFonts w:ascii="Arial" w:cs="Arial" w:eastAsia="Arial" w:hAnsi="Arial"/>
                <w:sz w:val="13"/>
                <w:szCs w:val="13"/>
                <w:color w:val="auto"/>
              </w:rPr>
              <w:t>1.1039</w:t>
            </w:r>
          </w:p>
        </w:tc>
      </w:tr>
      <w:tr>
        <w:trPr>
          <w:trHeight w:val="167"/>
        </w:trPr>
        <w:tc>
          <w:tcPr>
            <w:tcW w:w="4740" w:type="dxa"/>
            <w:vAlign w:val="bottom"/>
          </w:tcPr>
          <w:p>
            <w:pPr>
              <w:ind w:left="20"/>
              <w:spacing w:after="0"/>
              <w:rPr>
                <w:sz w:val="20"/>
                <w:szCs w:val="20"/>
                <w:color w:val="auto"/>
              </w:rPr>
            </w:pPr>
            <w:r>
              <w:rPr>
                <w:rFonts w:ascii="Arial" w:cs="Arial" w:eastAsia="Arial" w:hAnsi="Arial"/>
                <w:sz w:val="13"/>
                <w:szCs w:val="13"/>
                <w:color w:val="auto"/>
              </w:rPr>
              <w:t>Pound Sterling:USD</w:t>
            </w:r>
          </w:p>
        </w:tc>
        <w:tc>
          <w:tcPr>
            <w:tcW w:w="1580" w:type="dxa"/>
            <w:vAlign w:val="bottom"/>
          </w:tcPr>
          <w:p>
            <w:pPr>
              <w:jc w:val="center"/>
              <w:ind w:left="996"/>
              <w:spacing w:after="0"/>
              <w:rPr>
                <w:sz w:val="20"/>
                <w:szCs w:val="20"/>
                <w:color w:val="auto"/>
              </w:rPr>
            </w:pPr>
            <w:r>
              <w:rPr>
                <w:rFonts w:ascii="Arial" w:cs="Arial" w:eastAsia="Arial" w:hAnsi="Arial"/>
                <w:sz w:val="13"/>
                <w:szCs w:val="13"/>
                <w:color w:val="auto"/>
              </w:rPr>
              <w:t>1.2809</w:t>
            </w:r>
          </w:p>
        </w:tc>
        <w:tc>
          <w:tcPr>
            <w:tcW w:w="1980" w:type="dxa"/>
            <w:vAlign w:val="bottom"/>
          </w:tcPr>
          <w:p>
            <w:pPr>
              <w:jc w:val="center"/>
              <w:ind w:left="416"/>
              <w:spacing w:after="0"/>
              <w:rPr>
                <w:sz w:val="20"/>
                <w:szCs w:val="20"/>
                <w:color w:val="auto"/>
              </w:rPr>
            </w:pPr>
            <w:r>
              <w:rPr>
                <w:rFonts w:ascii="Arial" w:cs="Arial" w:eastAsia="Arial" w:hAnsi="Arial"/>
                <w:sz w:val="13"/>
                <w:szCs w:val="13"/>
                <w:color w:val="auto"/>
                <w:w w:val="95"/>
              </w:rPr>
              <w:t>1.2382</w:t>
            </w:r>
          </w:p>
        </w:tc>
        <w:tc>
          <w:tcPr>
            <w:tcW w:w="1000" w:type="dxa"/>
            <w:vAlign w:val="bottom"/>
          </w:tcPr>
          <w:p>
            <w:pPr>
              <w:jc w:val="center"/>
              <w:ind w:left="396"/>
              <w:spacing w:after="0"/>
              <w:rPr>
                <w:sz w:val="20"/>
                <w:szCs w:val="20"/>
                <w:color w:val="auto"/>
              </w:rPr>
            </w:pPr>
            <w:r>
              <w:rPr>
                <w:rFonts w:ascii="Arial" w:cs="Arial" w:eastAsia="Arial" w:hAnsi="Arial"/>
                <w:sz w:val="13"/>
                <w:szCs w:val="13"/>
                <w:color w:val="auto"/>
                <w:w w:val="95"/>
              </w:rPr>
              <w:t>1.2516</w:t>
            </w:r>
          </w:p>
        </w:tc>
        <w:tc>
          <w:tcPr>
            <w:tcW w:w="1960" w:type="dxa"/>
            <w:vAlign w:val="bottom"/>
          </w:tcPr>
          <w:p>
            <w:pPr>
              <w:jc w:val="center"/>
              <w:ind w:left="416"/>
              <w:spacing w:after="0"/>
              <w:rPr>
                <w:sz w:val="20"/>
                <w:szCs w:val="20"/>
                <w:color w:val="auto"/>
              </w:rPr>
            </w:pPr>
            <w:r>
              <w:rPr>
                <w:rFonts w:ascii="Arial" w:cs="Arial" w:eastAsia="Arial" w:hAnsi="Arial"/>
                <w:sz w:val="13"/>
                <w:szCs w:val="13"/>
                <w:color w:val="auto"/>
              </w:rPr>
              <w:t>1.2731</w:t>
            </w:r>
          </w:p>
        </w:tc>
      </w:tr>
    </w:tbl>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$71.0 million, $6.8 million and $86.5 million respectively (31 December 2023: $104.4 million, $25.0 million and $72.1 million respectively) as a consequence of the retranslation of foreign currency denominated financial assets and liabilities at those dates.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Group is exposed to interest rate risk in respect of its cash and cash equivalents and available for sale investments. The Group's treasury function actively manages its available cash resources and invests surplus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As the Group has variable rate debt, fluctuations in interest rates affect its business. The Group attempts to minimise interest rate risk by issuing fixed term debt to provide a mix of fixed and floating rate debt in the Group's debt portfolio. At 31 December 2024, 73% of the Group's outstanding debt is at a fixed interest rate (31 December 2023: 13%).</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During the year, the Group's exposure to interest rate fluctuations significantly reduced with the voluntary and mandatory repayments of the senior secured term loan facility (refer to note 21. </w:t>
      </w:r>
      <w:r>
        <w:rPr>
          <w:rFonts w:ascii="Arial" w:cs="Arial" w:eastAsia="Arial" w:hAnsi="Arial"/>
          <w:sz w:val="13"/>
          <w:szCs w:val="13"/>
          <w:i w:val="1"/>
          <w:iCs w:val="1"/>
          <w:color w:val="auto"/>
        </w:rPr>
        <w:t>Bank</w:t>
      </w:r>
      <w:r>
        <w:rPr>
          <w:rFonts w:ascii="Arial" w:cs="Arial" w:eastAsia="Arial" w:hAnsi="Arial"/>
          <w:sz w:val="13"/>
          <w:szCs w:val="13"/>
          <w:color w:val="auto"/>
        </w:rPr>
        <w:t xml:space="preserve"> </w:t>
      </w:r>
      <w:r>
        <w:rPr>
          <w:rFonts w:ascii="Arial" w:cs="Arial" w:eastAsia="Arial" w:hAnsi="Arial"/>
          <w:sz w:val="13"/>
          <w:szCs w:val="13"/>
          <w:i w:val="1"/>
          <w:iCs w:val="1"/>
          <w:color w:val="auto"/>
        </w:rPr>
        <w:t>credit lines, loan facilities and notes</w:t>
      </w:r>
      <w:r>
        <w:rPr>
          <w:rFonts w:ascii="Arial" w:cs="Arial" w:eastAsia="Arial" w:hAnsi="Arial"/>
          <w:sz w:val="13"/>
          <w:szCs w:val="13"/>
          <w:color w:val="auto"/>
        </w:rPr>
        <w:t>). Given this reduction and the repricing of the Senior Secured Credit facilities, the Company closed the 2022 Caps and 2022 Swap agreements.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regularly evaluates its debt arrangements, as well as market conditions, and explores the opportunity to modify its existing arrangements or pursue additional financing arrangements that may result in the issuance of new debt securities.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the net interest payable of a 1% movement in market interest rates.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5100" w:type="dxa"/>
            <w:vAlign w:val="bottom"/>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Income</w:t>
            </w:r>
          </w:p>
        </w:tc>
        <w:tc>
          <w:tcPr>
            <w:tcW w:w="11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Interest Costs*</w:t>
            </w:r>
          </w:p>
        </w:tc>
        <w:tc>
          <w:tcPr>
            <w:tcW w:w="780" w:type="dxa"/>
            <w:vAlign w:val="bottom"/>
            <w:tcBorders>
              <w:bottom w:val="single" w:sz="8" w:color="auto"/>
            </w:tcBorders>
            <w:shd w:val="clear" w:color="auto" w:fill="CCEEFF"/>
          </w:tcPr>
          <w:p>
            <w:pPr>
              <w:spacing w:after="0"/>
              <w:rPr>
                <w:sz w:val="14"/>
                <w:szCs w:val="14"/>
                <w:color w:val="auto"/>
              </w:rPr>
            </w:pPr>
          </w:p>
        </w:tc>
      </w:tr>
      <w:tr>
        <w:trPr>
          <w:trHeight w:val="160"/>
        </w:trPr>
        <w:tc>
          <w:tcPr>
            <w:tcW w:w="22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2023</w:t>
            </w:r>
          </w:p>
        </w:tc>
        <w:tc>
          <w:tcPr>
            <w:tcW w:w="17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220" w:type="dxa"/>
            <w:vAlign w:val="bottom"/>
            <w:shd w:val="clear" w:color="auto" w:fill="CCEEFF"/>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228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$’000</w:t>
            </w:r>
          </w:p>
        </w:tc>
        <w:tc>
          <w:tcPr>
            <w:tcW w:w="172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As reported</w:t>
            </w:r>
          </w:p>
        </w:tc>
        <w:tc>
          <w:tcPr>
            <w:tcW w:w="2280" w:type="dxa"/>
            <w:vAlign w:val="bottom"/>
          </w:tcPr>
          <w:p>
            <w:pPr>
              <w:jc w:val="right"/>
              <w:ind w:right="796"/>
              <w:spacing w:after="0"/>
              <w:rPr>
                <w:sz w:val="20"/>
                <w:szCs w:val="20"/>
                <w:color w:val="auto"/>
              </w:rPr>
            </w:pPr>
            <w:r>
              <w:rPr>
                <w:rFonts w:ascii="Arial" w:cs="Arial" w:eastAsia="Arial" w:hAnsi="Arial"/>
                <w:sz w:val="13"/>
                <w:szCs w:val="13"/>
                <w:b w:val="1"/>
                <w:bCs w:val="1"/>
                <w:color w:val="auto"/>
              </w:rPr>
              <w:t>8,609</w:t>
            </w:r>
          </w:p>
        </w:tc>
        <w:tc>
          <w:tcPr>
            <w:tcW w:w="1160" w:type="dxa"/>
            <w:vAlign w:val="bottom"/>
          </w:tcPr>
          <w:p>
            <w:pPr>
              <w:jc w:val="right"/>
              <w:ind w:right="456"/>
              <w:spacing w:after="0"/>
              <w:rPr>
                <w:sz w:val="20"/>
                <w:szCs w:val="20"/>
                <w:color w:val="auto"/>
              </w:rPr>
            </w:pPr>
            <w:r>
              <w:rPr>
                <w:rFonts w:ascii="Arial" w:cs="Arial" w:eastAsia="Arial" w:hAnsi="Arial"/>
                <w:sz w:val="13"/>
                <w:szCs w:val="13"/>
                <w:color w:val="auto"/>
              </w:rPr>
              <w:t>5,014</w:t>
            </w:r>
          </w:p>
        </w:tc>
        <w:tc>
          <w:tcPr>
            <w:tcW w:w="1720" w:type="dxa"/>
            <w:vAlign w:val="bottom"/>
          </w:tcPr>
          <w:p>
            <w:pPr>
              <w:jc w:val="right"/>
              <w:ind w:right="696"/>
              <w:spacing w:after="0"/>
              <w:rPr>
                <w:sz w:val="20"/>
                <w:szCs w:val="20"/>
                <w:color w:val="auto"/>
              </w:rPr>
            </w:pPr>
            <w:r>
              <w:rPr>
                <w:rFonts w:ascii="Arial" w:cs="Arial" w:eastAsia="Arial" w:hAnsi="Arial"/>
                <w:sz w:val="13"/>
                <w:szCs w:val="13"/>
                <w:color w:val="auto"/>
              </w:rPr>
              <w:t>237,237</w:t>
            </w:r>
          </w:p>
        </w:tc>
        <w:tc>
          <w:tcPr>
            <w:tcW w:w="780" w:type="dxa"/>
            <w:vAlign w:val="bottom"/>
          </w:tcPr>
          <w:p>
            <w:pPr>
              <w:jc w:val="right"/>
              <w:spacing w:after="0"/>
              <w:rPr>
                <w:sz w:val="20"/>
                <w:szCs w:val="20"/>
                <w:color w:val="auto"/>
              </w:rPr>
            </w:pPr>
            <w:r>
              <w:rPr>
                <w:rFonts w:ascii="Arial" w:cs="Arial" w:eastAsia="Arial" w:hAnsi="Arial"/>
                <w:sz w:val="13"/>
                <w:szCs w:val="13"/>
                <w:color w:val="auto"/>
              </w:rPr>
              <w:t>336,699</w:t>
            </w:r>
          </w:p>
        </w:tc>
      </w:tr>
      <w:tr>
        <w:trPr>
          <w:trHeight w:val="170"/>
        </w:trPr>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22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13,639</w:t>
            </w:r>
          </w:p>
        </w:tc>
        <w:tc>
          <w:tcPr>
            <w:tcW w:w="116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8,073</w:t>
            </w:r>
          </w:p>
        </w:tc>
        <w:tc>
          <w:tcPr>
            <w:tcW w:w="172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254,987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376,036</w:t>
            </w:r>
          </w:p>
        </w:tc>
      </w:tr>
      <w:tr>
        <w:trPr>
          <w:trHeight w:val="170"/>
        </w:trPr>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5"/>
              </w:rPr>
              <w:t>1%</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Decrease</w:t>
            </w:r>
          </w:p>
        </w:tc>
        <w:tc>
          <w:tcPr>
            <w:tcW w:w="228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3,579</w:t>
            </w: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1,953</w:t>
            </w:r>
          </w:p>
        </w:tc>
        <w:tc>
          <w:tcPr>
            <w:tcW w:w="172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219,487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297,362</w:t>
            </w:r>
          </w:p>
        </w:tc>
      </w:tr>
    </w:tbl>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2024, 73% of the interest costs fixed due to the 2026 Notes and New Notes. $23.5 million financing fees have been allocated to interest cost which are not impacted by a change in interest rate. Interest Costs excludes interest on lease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Group previously entered into interest rate cap and swap agreements for purposes of managing its exposure to interest rate fluctuations.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29 November 2022, the Group entered into two interest rate cap agreements ("2022 Caps") with an initial total notional value of $2,101 million to limit its exposure to changes in the variable interest rate on its Senior Secured Credit Facilities. Interest on the 2022 Caps began accruing on 30 December 2022 and the interest rate caps were due to expire on 31 December 2024. Under the terms of the interest rate caps, the Group had paid a fixed rate of 0.42% and received a variable rate equal to the amount that the three-month SOFR rate exceeds 4.75%.</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280"/>
          </w:cols>
          <w:pgMar w:left="300" w:top="698"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29 November 2022, the Group entered into an interest rate swap agreement ("2022 Swap") with an initial notional value of $1,101 million to limit its exposure to changes in the variable interest rate on its Senior Secured Credit Facilities. Interest on the 2022 Swap was due to begin accruing on 31 December 2024 and the interest rate swap was due to expire on 30 September 2026. Under the terms of the interest rate swap, the Group would have paid a fixed rate of 3.4% and would have received a variable rate of interest equal to the three-month SOFR on the 2022 Swap.</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2022 Caps and the 2022 Swap were designated as cash flow hedges. Gains and losses were initially reported as a component of other comprehensive income/loss and subsequently recognised in net income.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 xml:space="preserve">During the year, the Group’s exposure to interest rate fluctuations significantly reduced with the voluntary and mandatory repayments of the senior secured term loan facility (refer to </w:t>
      </w:r>
      <w:r>
        <w:rPr>
          <w:rFonts w:ascii="Arial" w:cs="Arial" w:eastAsia="Arial" w:hAnsi="Arial"/>
          <w:sz w:val="13"/>
          <w:szCs w:val="13"/>
          <w:i w:val="1"/>
          <w:iCs w:val="1"/>
          <w:color w:val="auto"/>
        </w:rPr>
        <w:t>note 21 Bank credit</w:t>
      </w:r>
      <w:r>
        <w:rPr>
          <w:rFonts w:ascii="Arial" w:cs="Arial" w:eastAsia="Arial" w:hAnsi="Arial"/>
          <w:sz w:val="13"/>
          <w:szCs w:val="13"/>
          <w:color w:val="auto"/>
        </w:rPr>
        <w:t xml:space="preserve"> </w:t>
      </w:r>
      <w:r>
        <w:rPr>
          <w:rFonts w:ascii="Arial" w:cs="Arial" w:eastAsia="Arial" w:hAnsi="Arial"/>
          <w:sz w:val="13"/>
          <w:szCs w:val="13"/>
          <w:i w:val="1"/>
          <w:iCs w:val="1"/>
          <w:color w:val="auto"/>
        </w:rPr>
        <w:t>lines and loan facilities</w:t>
      </w:r>
      <w:r>
        <w:rPr>
          <w:rFonts w:ascii="Arial" w:cs="Arial" w:eastAsia="Arial" w:hAnsi="Arial"/>
          <w:sz w:val="13"/>
          <w:szCs w:val="13"/>
          <w:color w:val="auto"/>
        </w:rPr>
        <w:t>). Given this reduction and the repricing of the Senior Secured Credit facilities, the Group closed the 2022 Caps and 2022 Swap agreements.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fair value of the Group’s derivative financial instruments at 31 December 2024 amount to $nil. The fair value of the Group’s derivative financial instruments at 31 December 2023 on a gross basis, are summarised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48195"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31 December 2024</w:t>
            </w:r>
          </w:p>
        </w:tc>
        <w:tc>
          <w:tcPr>
            <w:tcW w:w="1040" w:type="dxa"/>
            <w:vAlign w:val="bottom"/>
            <w:tcBorders>
              <w:bottom w:val="single" w:sz="8" w:color="auto"/>
            </w:tcBorders>
          </w:tcPr>
          <w:p>
            <w:pPr>
              <w:spacing w:after="0"/>
              <w:rPr>
                <w:sz w:val="14"/>
                <w:szCs w:val="14"/>
                <w:color w:val="auto"/>
              </w:rPr>
            </w:pPr>
          </w:p>
        </w:tc>
      </w:tr>
      <w:tr>
        <w:trPr>
          <w:trHeight w:val="160"/>
        </w:trPr>
        <w:tc>
          <w:tcPr>
            <w:tcW w:w="3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Asset</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Liability</w:t>
            </w: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9"/>
              </w:rPr>
              <w:t>Notional</w:t>
            </w:r>
          </w:p>
        </w:tc>
      </w:tr>
      <w:tr>
        <w:trPr>
          <w:trHeight w:val="160"/>
        </w:trPr>
        <w:tc>
          <w:tcPr>
            <w:tcW w:w="4880" w:type="dxa"/>
            <w:vAlign w:val="bottom"/>
            <w:gridSpan w:val="2"/>
          </w:tcPr>
          <w:p>
            <w:pPr>
              <w:ind w:left="4420"/>
              <w:spacing w:after="0"/>
              <w:rPr>
                <w:sz w:val="20"/>
                <w:szCs w:val="20"/>
                <w:color w:val="auto"/>
              </w:rPr>
            </w:pPr>
            <w:r>
              <w:rPr>
                <w:rFonts w:ascii="Arial" w:cs="Arial" w:eastAsia="Arial" w:hAnsi="Arial"/>
                <w:sz w:val="13"/>
                <w:szCs w:val="13"/>
                <w:b w:val="1"/>
                <w:bCs w:val="1"/>
                <w:color w:val="auto"/>
              </w:rPr>
              <w:t>$'000</w:t>
            </w:r>
          </w:p>
        </w:tc>
        <w:tc>
          <w:tcPr>
            <w:tcW w:w="300" w:type="dxa"/>
            <w:vAlign w:val="bottom"/>
          </w:tcPr>
          <w:p>
            <w:pPr>
              <w:spacing w:after="0"/>
              <w:rPr>
                <w:sz w:val="13"/>
                <w:szCs w:val="13"/>
                <w:color w:val="auto"/>
              </w:rPr>
            </w:pPr>
          </w:p>
        </w:tc>
        <w:tc>
          <w:tcPr>
            <w:tcW w:w="1360" w:type="dxa"/>
            <w:vAlign w:val="bottom"/>
          </w:tcPr>
          <w:p>
            <w:pPr>
              <w:jc w:val="center"/>
              <w:ind w:right="96"/>
              <w:spacing w:after="0"/>
              <w:rPr>
                <w:sz w:val="20"/>
                <w:szCs w:val="20"/>
                <w:color w:val="auto"/>
              </w:rPr>
            </w:pPr>
            <w:r>
              <w:rPr>
                <w:rFonts w:ascii="Arial" w:cs="Arial" w:eastAsia="Arial" w:hAnsi="Arial"/>
                <w:sz w:val="13"/>
                <w:szCs w:val="13"/>
                <w:b w:val="1"/>
                <w:bCs w:val="1"/>
                <w:color w:val="auto"/>
                <w:w w:val="99"/>
              </w:rPr>
              <w:t>$'000</w:t>
            </w:r>
          </w:p>
        </w:tc>
        <w:tc>
          <w:tcPr>
            <w:tcW w:w="10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r>
      <w:tr>
        <w:trPr>
          <w:trHeight w:val="167"/>
        </w:trPr>
        <w:tc>
          <w:tcPr>
            <w:tcW w:w="4880" w:type="dxa"/>
            <w:vAlign w:val="bottom"/>
            <w:gridSpan w:val="2"/>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880" w:type="dxa"/>
            <w:vAlign w:val="bottom"/>
            <w:gridSpan w:val="2"/>
          </w:tcPr>
          <w:p>
            <w:pPr>
              <w:ind w:left="20"/>
              <w:spacing w:after="0"/>
              <w:rPr>
                <w:sz w:val="20"/>
                <w:szCs w:val="20"/>
                <w:color w:val="auto"/>
              </w:rPr>
            </w:pPr>
            <w:r>
              <w:rPr>
                <w:rFonts w:ascii="Arial" w:cs="Arial" w:eastAsia="Arial" w:hAnsi="Arial"/>
                <w:sz w:val="13"/>
                <w:szCs w:val="13"/>
                <w:color w:val="auto"/>
              </w:rPr>
              <w:t>Interest Rate Caps</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360" w:type="dxa"/>
            <w:vAlign w:val="bottom"/>
          </w:tcPr>
          <w:p>
            <w:pPr>
              <w:ind w:left="1020"/>
              <w:spacing w:after="0"/>
              <w:rPr>
                <w:sz w:val="20"/>
                <w:szCs w:val="20"/>
                <w:color w:val="auto"/>
              </w:rPr>
            </w:pPr>
            <w:r>
              <w:rPr>
                <w:rFonts w:ascii="Arial" w:cs="Arial" w:eastAsia="Arial" w:hAnsi="Arial"/>
                <w:sz w:val="13"/>
                <w:szCs w:val="13"/>
                <w:color w:val="auto"/>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87"/>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Interest Rate Swap</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Total derivatives designated as hedging instruments</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-598805</wp:posOffset>
            </wp:positionV>
            <wp:extent cx="714819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4819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4819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 December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rPr>
              <w:t>Asset</w:t>
            </w: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color w:val="auto"/>
              </w:rPr>
              <w:t>Liability</w:t>
            </w:r>
          </w:p>
        </w:tc>
        <w:tc>
          <w:tcPr>
            <w:tcW w:w="10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Notional</w:t>
            </w:r>
          </w:p>
        </w:tc>
      </w:tr>
      <w:tr>
        <w:trPr>
          <w:trHeight w:val="158"/>
        </w:trPr>
        <w:tc>
          <w:tcPr>
            <w:tcW w:w="1360" w:type="dxa"/>
            <w:vAlign w:val="bottom"/>
          </w:tcPr>
          <w:p>
            <w:pPr>
              <w:ind w:left="460"/>
              <w:spacing w:after="0"/>
              <w:rPr>
                <w:sz w:val="20"/>
                <w:szCs w:val="20"/>
                <w:color w:val="auto"/>
              </w:rPr>
            </w:pPr>
            <w:r>
              <w:rPr>
                <w:rFonts w:ascii="Arial" w:cs="Arial" w:eastAsia="Arial" w:hAnsi="Arial"/>
                <w:sz w:val="13"/>
                <w:szCs w:val="13"/>
                <w:color w:val="auto"/>
              </w:rPr>
              <w:t>$'000</w:t>
            </w:r>
          </w:p>
        </w:tc>
        <w:tc>
          <w:tcPr>
            <w:tcW w:w="1200" w:type="dxa"/>
            <w:vAlign w:val="bottom"/>
          </w:tcPr>
          <w:p>
            <w:pPr>
              <w:jc w:val="right"/>
              <w:ind w:right="536"/>
              <w:spacing w:after="0"/>
              <w:rPr>
                <w:sz w:val="20"/>
                <w:szCs w:val="20"/>
                <w:color w:val="auto"/>
              </w:rPr>
            </w:pPr>
            <w:r>
              <w:rPr>
                <w:rFonts w:ascii="Arial" w:cs="Arial" w:eastAsia="Arial" w:hAnsi="Arial"/>
                <w:sz w:val="13"/>
                <w:szCs w:val="13"/>
                <w:color w:val="auto"/>
              </w:rPr>
              <w:t>$'000</w:t>
            </w:r>
          </w:p>
        </w:tc>
        <w:tc>
          <w:tcPr>
            <w:tcW w:w="1040" w:type="dxa"/>
            <w:vAlign w:val="bottom"/>
          </w:tcPr>
          <w:p>
            <w:pPr>
              <w:jc w:val="right"/>
              <w:ind w:right="376"/>
              <w:spacing w:after="0"/>
              <w:rPr>
                <w:sz w:val="20"/>
                <w:szCs w:val="20"/>
                <w:color w:val="auto"/>
              </w:rPr>
            </w:pPr>
            <w:r>
              <w:rPr>
                <w:rFonts w:ascii="Arial" w:cs="Arial" w:eastAsia="Arial" w:hAnsi="Arial"/>
                <w:sz w:val="13"/>
                <w:szCs w:val="13"/>
                <w:color w:val="auto"/>
              </w:rPr>
              <w:t>$'000</w:t>
            </w:r>
          </w:p>
        </w:tc>
      </w:tr>
      <w:tr>
        <w:trPr>
          <w:trHeight w:val="340"/>
        </w:trPr>
        <w:tc>
          <w:tcPr>
            <w:tcW w:w="1360" w:type="dxa"/>
            <w:vAlign w:val="bottom"/>
          </w:tcPr>
          <w:p>
            <w:pPr>
              <w:ind w:left="102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6"/>
              <w:spacing w:after="0"/>
              <w:rPr>
                <w:sz w:val="20"/>
                <w:szCs w:val="20"/>
                <w:color w:val="auto"/>
              </w:rPr>
            </w:pPr>
            <w:r>
              <w:rPr>
                <w:rFonts w:ascii="Arial" w:cs="Arial" w:eastAsia="Arial" w:hAnsi="Arial"/>
                <w:sz w:val="13"/>
                <w:szCs w:val="13"/>
                <w:color w:val="auto"/>
              </w:rPr>
              <w:t>1,871</w:t>
            </w:r>
          </w:p>
        </w:tc>
        <w:tc>
          <w:tcPr>
            <w:tcW w:w="1040" w:type="dxa"/>
            <w:vAlign w:val="bottom"/>
          </w:tcPr>
          <w:p>
            <w:pPr>
              <w:jc w:val="right"/>
              <w:spacing w:after="0"/>
              <w:rPr>
                <w:sz w:val="20"/>
                <w:szCs w:val="20"/>
                <w:color w:val="auto"/>
              </w:rPr>
            </w:pPr>
            <w:r>
              <w:rPr>
                <w:rFonts w:ascii="Arial" w:cs="Arial" w:eastAsia="Arial" w:hAnsi="Arial"/>
                <w:sz w:val="13"/>
                <w:szCs w:val="13"/>
                <w:color w:val="auto"/>
              </w:rPr>
              <w:t>1,600,606</w:t>
            </w:r>
          </w:p>
        </w:tc>
      </w:tr>
      <w:tr>
        <w:trPr>
          <w:trHeight w:val="187"/>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540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1,100,606</w:t>
            </w:r>
          </w:p>
        </w:tc>
      </w:tr>
      <w:tr>
        <w:trPr>
          <w:trHeight w:val="171"/>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2,411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2,701,212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80"/>
            <w:col w:w="3620"/>
          </w:cols>
          <w:pgMar w:left="300" w:top="698" w:right="3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2024, 73% of the Company's outstanding debt is at a fixed interest rate (31 December 2023: 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the Company recognised a gain of $5.0 million (31 December 2023: $1.6 million) within other comprehensive income/loss after a reclassification of</w:t>
      </w:r>
    </w:p>
    <w:p>
      <w:pPr>
        <w:spacing w:after="0"/>
        <w:rPr>
          <w:sz w:val="20"/>
          <w:szCs w:val="20"/>
          <w:color w:val="auto"/>
        </w:rPr>
      </w:pPr>
      <w:r>
        <w:rPr>
          <w:rFonts w:ascii="Arial" w:cs="Arial" w:eastAsia="Arial" w:hAnsi="Arial"/>
          <w:sz w:val="13"/>
          <w:szCs w:val="13"/>
          <w:color w:val="auto"/>
        </w:rPr>
        <w:t>$13.9 million (31 December 2023: $2.4 million) from other comprehensive income/loss to the Consolidated Statement of Profit and Loss.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9"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fair value of financial assets together with the carrying amounts shown in the Statement of Financial Position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b w:val="1"/>
                <w:bCs w:val="1"/>
                <w:color w:val="auto"/>
                <w:w w:val="96"/>
              </w:rPr>
              <w:t>31 December 2024</w:t>
            </w:r>
          </w:p>
        </w:tc>
        <w:tc>
          <w:tcPr>
            <w:tcW w:w="7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c>
          <w:tcPr>
            <w:tcW w:w="7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260" w:type="dxa"/>
            <w:vAlign w:val="bottom"/>
          </w:tcPr>
          <w:p>
            <w:pPr>
              <w:jc w:val="right"/>
              <w:ind w:right="216"/>
              <w:spacing w:after="0" w:line="118" w:lineRule="exact"/>
              <w:rPr>
                <w:sz w:val="20"/>
                <w:szCs w:val="20"/>
                <w:color w:val="auto"/>
              </w:rPr>
            </w:pPr>
            <w:r>
              <w:rPr>
                <w:rFonts w:ascii="Arial" w:cs="Arial" w:eastAsia="Arial" w:hAnsi="Arial"/>
                <w:sz w:val="13"/>
                <w:szCs w:val="13"/>
                <w:b w:val="1"/>
                <w:bCs w:val="1"/>
                <w:color w:val="auto"/>
              </w:rPr>
              <w:t>Carrying</w:t>
            </w: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jc w:val="right"/>
              <w:ind w:right="236"/>
              <w:spacing w:after="0" w:line="118" w:lineRule="exact"/>
              <w:rPr>
                <w:sz w:val="20"/>
                <w:szCs w:val="20"/>
                <w:color w:val="auto"/>
              </w:rPr>
            </w:pPr>
            <w:r>
              <w:rPr>
                <w:rFonts w:ascii="Arial" w:cs="Arial" w:eastAsia="Arial" w:hAnsi="Arial"/>
                <w:sz w:val="13"/>
                <w:szCs w:val="13"/>
                <w:color w:val="auto"/>
              </w:rPr>
              <w:t>Carrying</w:t>
            </w:r>
          </w:p>
        </w:tc>
        <w:tc>
          <w:tcPr>
            <w:tcW w:w="1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c>
          <w:tcPr>
            <w:tcW w:w="138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Level 1</w:t>
            </w: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w w:val="95"/>
              </w:rPr>
              <w:t>Level 2</w:t>
            </w:r>
          </w:p>
        </w:tc>
        <w:tc>
          <w:tcPr>
            <w:tcW w:w="98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1040" w:type="dxa"/>
            <w:vAlign w:val="bottom"/>
          </w:tcPr>
          <w:p>
            <w:pPr>
              <w:jc w:val="right"/>
              <w:ind w:right="196"/>
              <w:spacing w:after="0"/>
              <w:rPr>
                <w:sz w:val="20"/>
                <w:szCs w:val="20"/>
                <w:color w:val="auto"/>
              </w:rPr>
            </w:pPr>
            <w:r>
              <w:rPr>
                <w:rFonts w:ascii="Arial" w:cs="Arial" w:eastAsia="Arial" w:hAnsi="Arial"/>
                <w:sz w:val="13"/>
                <w:szCs w:val="13"/>
                <w:color w:val="auto"/>
              </w:rPr>
              <w:t>Amount</w:t>
            </w:r>
          </w:p>
        </w:tc>
        <w:tc>
          <w:tcPr>
            <w:tcW w:w="1360" w:type="dxa"/>
            <w:vAlign w:val="bottom"/>
            <w:vMerge w:val="restart"/>
          </w:tcPr>
          <w:p>
            <w:pPr>
              <w:jc w:val="right"/>
              <w:ind w:right="536"/>
              <w:spacing w:after="0"/>
              <w:rPr>
                <w:sz w:val="20"/>
                <w:szCs w:val="20"/>
                <w:color w:val="auto"/>
              </w:rPr>
            </w:pPr>
            <w:r>
              <w:rPr>
                <w:rFonts w:ascii="Arial" w:cs="Arial" w:eastAsia="Arial" w:hAnsi="Arial"/>
                <w:sz w:val="13"/>
                <w:szCs w:val="13"/>
                <w:color w:val="auto"/>
              </w:rPr>
              <w:t>Level 1</w:t>
            </w: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color w:val="auto"/>
              </w:rPr>
              <w:t>Level 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71"/>
        </w:trPr>
        <w:tc>
          <w:tcPr>
            <w:tcW w:w="30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$’000</w:t>
            </w:r>
          </w:p>
        </w:tc>
        <w:tc>
          <w:tcPr>
            <w:tcW w:w="136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Financial assets at fair value through other</w:t>
            </w: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380" w:type="dxa"/>
            <w:vAlign w:val="bottom"/>
            <w:vMerge w:val="restart"/>
            <w:shd w:val="clear" w:color="auto" w:fill="CCEEFF"/>
          </w:tcPr>
          <w:p>
            <w:pPr>
              <w:ind w:left="620"/>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rPr>
              <w:t>1,954</w:t>
            </w:r>
          </w:p>
        </w:tc>
        <w:tc>
          <w:tcPr>
            <w:tcW w:w="1360" w:type="dxa"/>
            <w:vAlign w:val="bottom"/>
            <w:vMerge w:val="restart"/>
            <w:shd w:val="clear" w:color="auto" w:fill="CCEEFF"/>
          </w:tcPr>
          <w:p>
            <w:pPr>
              <w:jc w:val="right"/>
              <w:ind w:right="576"/>
              <w:spacing w:after="0"/>
              <w:rPr>
                <w:sz w:val="20"/>
                <w:szCs w:val="20"/>
                <w:color w:val="auto"/>
              </w:rPr>
            </w:pPr>
            <w:r>
              <w:rPr>
                <w:rFonts w:ascii="Arial" w:cs="Arial" w:eastAsia="Arial" w:hAnsi="Arial"/>
                <w:sz w:val="13"/>
                <w:szCs w:val="13"/>
                <w:color w:val="auto"/>
              </w:rPr>
              <w:t>1,954</w:t>
            </w:r>
          </w:p>
        </w:tc>
        <w:tc>
          <w:tcPr>
            <w:tcW w:w="74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0"/>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26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020" w:type="dxa"/>
            <w:vAlign w:val="bottom"/>
            <w:vMerge w:val="continue"/>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tcPr>
          <w:p>
            <w:pPr>
              <w:ind w:left="20"/>
              <w:spacing w:after="0" w:line="170" w:lineRule="exact"/>
              <w:rPr>
                <w:sz w:val="20"/>
                <w:szCs w:val="20"/>
                <w:color w:val="auto"/>
              </w:rPr>
            </w:pPr>
            <w:r>
              <w:rPr>
                <w:rFonts w:ascii="Arial" w:cs="Arial" w:eastAsia="Arial" w:hAnsi="Arial"/>
                <w:sz w:val="13"/>
                <w:szCs w:val="13"/>
                <w:color w:val="auto"/>
                <w:w w:val="98"/>
              </w:rPr>
              <w:t>Financial assets at fair value through profit and loss</w:t>
            </w:r>
            <w:r>
              <w:rPr>
                <w:rFonts w:ascii="Arial" w:cs="Arial" w:eastAsia="Arial" w:hAnsi="Arial"/>
                <w:sz w:val="16"/>
                <w:szCs w:val="16"/>
                <w:color w:val="auto"/>
                <w:w w:val="98"/>
                <w:vertAlign w:val="superscript"/>
              </w:rPr>
              <w:t>1</w:t>
            </w: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54,448</w:t>
            </w:r>
          </w:p>
        </w:tc>
        <w:tc>
          <w:tcPr>
            <w:tcW w:w="13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54,448</w:t>
            </w: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46,804</w:t>
            </w: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46,804</w:t>
            </w:r>
          </w:p>
        </w:tc>
        <w:tc>
          <w:tcPr>
            <w:tcW w:w="0" w:type="dxa"/>
            <w:vAlign w:val="bottom"/>
          </w:tcPr>
          <w:p>
            <w:pPr>
              <w:spacing w:after="0"/>
              <w:rPr>
                <w:sz w:val="1"/>
                <w:szCs w:val="1"/>
                <w:color w:val="auto"/>
              </w:rPr>
            </w:pPr>
          </w:p>
        </w:tc>
      </w:tr>
      <w:tr>
        <w:trPr>
          <w:trHeight w:val="160"/>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2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54,448</w:t>
            </w:r>
          </w:p>
        </w:tc>
        <w:tc>
          <w:tcPr>
            <w:tcW w:w="13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54,448</w:t>
            </w:r>
          </w:p>
        </w:tc>
        <w:tc>
          <w:tcPr>
            <w:tcW w:w="1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48,758</w:t>
            </w:r>
          </w:p>
        </w:tc>
        <w:tc>
          <w:tcPr>
            <w:tcW w:w="13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1,954</w:t>
            </w:r>
          </w:p>
        </w:tc>
        <w:tc>
          <w:tcPr>
            <w:tcW w:w="7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46,804</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liabilities measured at fair value</w:t>
            </w:r>
          </w:p>
        </w:tc>
        <w:tc>
          <w:tcPr>
            <w:tcW w:w="1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Derivative instruments at fair value through other</w:t>
            </w:r>
          </w:p>
        </w:tc>
        <w:tc>
          <w:tcPr>
            <w:tcW w:w="1260" w:type="dxa"/>
            <w:vAlign w:val="bottom"/>
            <w:vMerge w:val="restart"/>
          </w:tcPr>
          <w:p>
            <w:pPr>
              <w:jc w:val="right"/>
              <w:ind w:right="216"/>
              <w:spacing w:after="0"/>
              <w:rPr>
                <w:sz w:val="20"/>
                <w:szCs w:val="20"/>
                <w:color w:val="auto"/>
              </w:rPr>
            </w:pPr>
            <w:r>
              <w:rPr>
                <w:rFonts w:ascii="Arial" w:cs="Arial" w:eastAsia="Arial" w:hAnsi="Arial"/>
                <w:sz w:val="13"/>
                <w:szCs w:val="13"/>
                <w:color w:val="auto"/>
              </w:rPr>
              <w:t>—</w:t>
            </w:r>
          </w:p>
        </w:tc>
        <w:tc>
          <w:tcPr>
            <w:tcW w:w="1380" w:type="dxa"/>
            <w:vAlign w:val="bottom"/>
            <w:vMerge w:val="restart"/>
          </w:tcPr>
          <w:p>
            <w:pPr>
              <w:ind w:left="6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236"/>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96"/>
              <w:spacing w:after="0"/>
              <w:rPr>
                <w:sz w:val="20"/>
                <w:szCs w:val="20"/>
                <w:color w:val="auto"/>
              </w:rPr>
            </w:pPr>
            <w:r>
              <w:rPr>
                <w:rFonts w:ascii="Arial" w:cs="Arial" w:eastAsia="Arial" w:hAnsi="Arial"/>
                <w:sz w:val="13"/>
                <w:szCs w:val="13"/>
                <w:color w:val="auto"/>
              </w:rPr>
              <w:t>(2,411)</w:t>
            </w:r>
          </w:p>
        </w:tc>
        <w:tc>
          <w:tcPr>
            <w:tcW w:w="1360" w:type="dxa"/>
            <w:vAlign w:val="bottom"/>
            <w:vMerge w:val="restart"/>
          </w:tcPr>
          <w:p>
            <w:pPr>
              <w:jc w:val="right"/>
              <w:ind w:right="576"/>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color w:val="auto"/>
              </w:rPr>
              <w:t>(2,411)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3020" w:type="dxa"/>
            <w:vAlign w:val="bottom"/>
            <w:vMerge w:val="restart"/>
          </w:tcPr>
          <w:p>
            <w:pPr>
              <w:ind w:left="20"/>
              <w:spacing w:after="0"/>
              <w:rPr>
                <w:sz w:val="20"/>
                <w:szCs w:val="20"/>
                <w:color w:val="auto"/>
              </w:rPr>
            </w:pPr>
            <w:r>
              <w:rPr>
                <w:rFonts w:ascii="Arial" w:cs="Arial" w:eastAsia="Arial" w:hAnsi="Arial"/>
                <w:sz w:val="13"/>
                <w:szCs w:val="13"/>
                <w:color w:val="auto"/>
              </w:rPr>
              <w:t>comprehensive income</w:t>
            </w:r>
          </w:p>
        </w:tc>
        <w:tc>
          <w:tcPr>
            <w:tcW w:w="12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02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2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(2,411)</w:t>
            </w:r>
          </w:p>
        </w:tc>
        <w:tc>
          <w:tcPr>
            <w:tcW w:w="13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(2,411)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Relates to investments in equity excluding investments in equity securities recorded at cost of $3.5 million.</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280"/>
          </w:cols>
          <w:pgMar w:left="300" w:top="698" w:right="31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Profit and Loss. The fair value of long-term financial assets meet the definition of equity securities without readily determinable fair values and are measured on the basis of level 3 inputs as the funds are not traded on an exchange and data is not published in respect of the funds. The valuation model is based on the net asset value of the fund as prepared by an independent appraiser.</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carrying values of accounts payable, accrued and other liabilities and provisions and other non-current liabilities are carried at amortised cost and assumed to be approximate to their fair values. Each category of asset and liability has remained within the same level of hierarchy as the prior year as there has been no change in the extent to which the inputs used in measuring fair value are or are not observable within the market.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7"/>
        </w:trPr>
        <w:tc>
          <w:tcPr>
            <w:tcW w:w="75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170"/>
        </w:trPr>
        <w:tc>
          <w:tcPr>
            <w:tcW w:w="752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7520" w:type="dxa"/>
            <w:vAlign w:val="bottom"/>
          </w:tcPr>
          <w:p>
            <w:pPr>
              <w:spacing w:after="0"/>
              <w:rPr>
                <w:sz w:val="13"/>
                <w:szCs w:val="13"/>
                <w:color w:val="auto"/>
              </w:rPr>
            </w:pPr>
          </w:p>
        </w:tc>
        <w:tc>
          <w:tcPr>
            <w:tcW w:w="24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24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46,804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32,631</w:t>
            </w: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color w:val="auto"/>
              </w:rPr>
              <w:t>Additions/(payments)/other movements during the year</w:t>
            </w:r>
          </w:p>
        </w:tc>
        <w:tc>
          <w:tcPr>
            <w:tcW w:w="2440" w:type="dxa"/>
            <w:vAlign w:val="bottom"/>
          </w:tcPr>
          <w:p>
            <w:pPr>
              <w:jc w:val="right"/>
              <w:ind w:right="176"/>
              <w:spacing w:after="0"/>
              <w:rPr>
                <w:sz w:val="20"/>
                <w:szCs w:val="20"/>
                <w:color w:val="auto"/>
              </w:rPr>
            </w:pPr>
            <w:r>
              <w:rPr>
                <w:rFonts w:ascii="Arial" w:cs="Arial" w:eastAsia="Arial" w:hAnsi="Arial"/>
                <w:sz w:val="13"/>
                <w:szCs w:val="13"/>
                <w:b w:val="1"/>
                <w:bCs w:val="1"/>
                <w:color w:val="auto"/>
              </w:rPr>
              <w:t>10,971</w:t>
            </w:r>
          </w:p>
        </w:tc>
        <w:tc>
          <w:tcPr>
            <w:tcW w:w="1300" w:type="dxa"/>
            <w:vAlign w:val="bottom"/>
          </w:tcPr>
          <w:p>
            <w:pPr>
              <w:jc w:val="right"/>
              <w:spacing w:after="0"/>
              <w:rPr>
                <w:sz w:val="20"/>
                <w:szCs w:val="20"/>
                <w:color w:val="auto"/>
              </w:rPr>
            </w:pPr>
            <w:r>
              <w:rPr>
                <w:rFonts w:ascii="Arial" w:cs="Arial" w:eastAsia="Arial" w:hAnsi="Arial"/>
                <w:sz w:val="13"/>
                <w:szCs w:val="13"/>
                <w:color w:val="auto"/>
              </w:rPr>
              <w:t>13,954</w:t>
            </w:r>
          </w:p>
        </w:tc>
      </w:tr>
      <w:tr>
        <w:trPr>
          <w:trHeight w:val="170"/>
        </w:trPr>
        <w:tc>
          <w:tcPr>
            <w:tcW w:w="7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Increase in fair value</w:t>
            </w:r>
          </w:p>
        </w:tc>
        <w:tc>
          <w:tcPr>
            <w:tcW w:w="2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(3,327)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6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Closing balance</w:t>
            </w:r>
          </w:p>
        </w:tc>
        <w:tc>
          <w:tcPr>
            <w:tcW w:w="24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54,448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46,804</w:t>
            </w: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280"/>
          </w:cols>
          <w:pgMar w:left="300" w:top="698"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25. Leases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Group has recorded the following for right-of-use assets: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24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Premises</w:t>
            </w: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Motor vehicles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9"/>
        </w:trPr>
        <w:tc>
          <w:tcPr>
            <w:tcW w:w="4240" w:type="dxa"/>
            <w:vAlign w:val="bottom"/>
          </w:tcPr>
          <w:p>
            <w:pPr>
              <w:spacing w:after="0"/>
              <w:rPr>
                <w:sz w:val="13"/>
                <w:szCs w:val="13"/>
                <w:color w:val="auto"/>
              </w:rPr>
            </w:pPr>
          </w:p>
        </w:tc>
        <w:tc>
          <w:tcPr>
            <w:tcW w:w="2820" w:type="dxa"/>
            <w:vAlign w:val="bottom"/>
          </w:tcPr>
          <w:p>
            <w:pPr>
              <w:jc w:val="right"/>
              <w:ind w:right="336"/>
              <w:spacing w:after="0"/>
              <w:rPr>
                <w:sz w:val="20"/>
                <w:szCs w:val="20"/>
                <w:color w:val="auto"/>
              </w:rPr>
            </w:pPr>
            <w:r>
              <w:rPr>
                <w:rFonts w:ascii="Arial" w:cs="Arial" w:eastAsia="Arial" w:hAnsi="Arial"/>
                <w:sz w:val="13"/>
                <w:szCs w:val="13"/>
                <w:color w:val="auto"/>
              </w:rPr>
              <w:t>$'000</w:t>
            </w:r>
          </w:p>
        </w:tc>
        <w:tc>
          <w:tcPr>
            <w:tcW w:w="1380" w:type="dxa"/>
            <w:vAlign w:val="bottom"/>
          </w:tcPr>
          <w:p>
            <w:pPr>
              <w:jc w:val="right"/>
              <w:ind w:right="236"/>
              <w:spacing w:after="0"/>
              <w:rPr>
                <w:sz w:val="20"/>
                <w:szCs w:val="20"/>
                <w:color w:val="auto"/>
              </w:rPr>
            </w:pPr>
            <w:r>
              <w:rPr>
                <w:rFonts w:ascii="Arial" w:cs="Arial" w:eastAsia="Arial" w:hAnsi="Arial"/>
                <w:sz w:val="13"/>
                <w:szCs w:val="13"/>
                <w:color w:val="auto"/>
              </w:rPr>
              <w:t>$'000</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2024</w:t>
            </w:r>
          </w:p>
        </w:tc>
        <w:tc>
          <w:tcPr>
            <w:tcW w:w="28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33,933</w:t>
            </w:r>
          </w:p>
        </w:tc>
        <w:tc>
          <w:tcPr>
            <w:tcW w:w="13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119</w:t>
            </w: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6,962</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41,014</w:t>
            </w: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color w:val="auto"/>
              </w:rPr>
              <w:t>Right-of-use assets at 31 December 2024</w:t>
            </w:r>
          </w:p>
        </w:tc>
        <w:tc>
          <w:tcPr>
            <w:tcW w:w="2820" w:type="dxa"/>
            <w:vAlign w:val="bottom"/>
          </w:tcPr>
          <w:p>
            <w:pPr>
              <w:jc w:val="right"/>
              <w:ind w:right="376"/>
              <w:spacing w:after="0"/>
              <w:rPr>
                <w:sz w:val="20"/>
                <w:szCs w:val="20"/>
                <w:color w:val="auto"/>
              </w:rPr>
            </w:pPr>
            <w:r>
              <w:rPr>
                <w:rFonts w:ascii="Arial" w:cs="Arial" w:eastAsia="Arial" w:hAnsi="Arial"/>
                <w:sz w:val="13"/>
                <w:szCs w:val="13"/>
                <w:color w:val="auto"/>
              </w:rPr>
              <w:t>133,640</w:t>
            </w:r>
          </w:p>
        </w:tc>
        <w:tc>
          <w:tcPr>
            <w:tcW w:w="1380" w:type="dxa"/>
            <w:vAlign w:val="bottom"/>
          </w:tcPr>
          <w:p>
            <w:pPr>
              <w:jc w:val="right"/>
              <w:ind w:right="276"/>
              <w:spacing w:after="0"/>
              <w:rPr>
                <w:sz w:val="20"/>
                <w:szCs w:val="20"/>
                <w:color w:val="auto"/>
              </w:rPr>
            </w:pPr>
            <w:r>
              <w:rPr>
                <w:rFonts w:ascii="Arial" w:cs="Arial" w:eastAsia="Arial" w:hAnsi="Arial"/>
                <w:sz w:val="13"/>
                <w:szCs w:val="13"/>
                <w:color w:val="auto"/>
              </w:rPr>
              <w:t>84</w:t>
            </w:r>
          </w:p>
        </w:tc>
        <w:tc>
          <w:tcPr>
            <w:tcW w:w="1680" w:type="dxa"/>
            <w:vAlign w:val="bottom"/>
          </w:tcPr>
          <w:p>
            <w:pPr>
              <w:jc w:val="right"/>
              <w:ind w:right="476"/>
              <w:spacing w:after="0"/>
              <w:rPr>
                <w:sz w:val="20"/>
                <w:szCs w:val="20"/>
                <w:color w:val="auto"/>
              </w:rPr>
            </w:pPr>
            <w:r>
              <w:rPr>
                <w:rFonts w:ascii="Arial" w:cs="Arial" w:eastAsia="Arial" w:hAnsi="Arial"/>
                <w:sz w:val="13"/>
                <w:szCs w:val="13"/>
                <w:color w:val="auto"/>
              </w:rPr>
              <w:t>9,581</w:t>
            </w:r>
          </w:p>
        </w:tc>
        <w:tc>
          <w:tcPr>
            <w:tcW w:w="1000" w:type="dxa"/>
            <w:vAlign w:val="bottom"/>
          </w:tcPr>
          <w:p>
            <w:pPr>
              <w:jc w:val="right"/>
              <w:spacing w:after="0"/>
              <w:rPr>
                <w:sz w:val="20"/>
                <w:szCs w:val="20"/>
                <w:color w:val="auto"/>
              </w:rPr>
            </w:pPr>
            <w:r>
              <w:rPr>
                <w:rFonts w:ascii="Arial" w:cs="Arial" w:eastAsia="Arial" w:hAnsi="Arial"/>
                <w:sz w:val="13"/>
                <w:szCs w:val="13"/>
                <w:color w:val="auto"/>
              </w:rPr>
              <w:t>143,305</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2023</w:t>
            </w:r>
          </w:p>
        </w:tc>
        <w:tc>
          <w:tcPr>
            <w:tcW w:w="28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38,728</w:t>
            </w:r>
          </w:p>
        </w:tc>
        <w:tc>
          <w:tcPr>
            <w:tcW w:w="13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200</w:t>
            </w: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3,054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41,982</w:t>
            </w:r>
          </w:p>
        </w:tc>
      </w:tr>
      <w:tr>
        <w:trPr>
          <w:trHeight w:val="16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2023</w:t>
            </w:r>
          </w:p>
        </w:tc>
        <w:tc>
          <w:tcPr>
            <w:tcW w:w="28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123,378</w:t>
            </w: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444</w:t>
            </w: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13,442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137,264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2024 were $64.8 million (2023: $37.7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2024 was 6.56 years years (2023: 6.72 years years).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2024, as a result of office consolidations, certain Right-of-use assets have been impaired to the extent they are considered onerous and an impairment loss of $13.8 million was recorded (2023: $8.7 million) - s</w:t>
      </w:r>
      <w:r>
        <w:rPr>
          <w:rFonts w:ascii="Arial" w:cs="Arial" w:eastAsia="Arial" w:hAnsi="Arial"/>
          <w:sz w:val="13"/>
          <w:szCs w:val="13"/>
          <w:i w:val="1"/>
          <w:iCs w:val="1"/>
          <w:color w:val="auto"/>
        </w:rPr>
        <w:t>ee note 9 Exceptional items.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Set out below are the carrying amounts of lease liabilities at each reporting date. Current lease liabilities have been included in accrued and other liabilities on the balance sheet.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Borders>
              <w:bottom w:val="single" w:sz="8" w:color="auto"/>
            </w:tcBorders>
            <w:shd w:val="clear" w:color="auto" w:fill="CCEEFF"/>
          </w:tcPr>
          <w:p>
            <w:pPr>
              <w:spacing w:after="0"/>
              <w:rPr>
                <w:sz w:val="14"/>
                <w:szCs w:val="14"/>
                <w:color w:val="auto"/>
              </w:rPr>
            </w:pPr>
          </w:p>
        </w:tc>
        <w:tc>
          <w:tcPr>
            <w:tcW w:w="722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4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68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36,783</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36,414</w:t>
            </w:r>
          </w:p>
        </w:tc>
      </w:tr>
      <w:tr>
        <w:trPr>
          <w:trHeight w:val="170"/>
        </w:trPr>
        <w:tc>
          <w:tcPr>
            <w:tcW w:w="7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Non-Current</w:t>
            </w:r>
          </w:p>
        </w:tc>
        <w:tc>
          <w:tcPr>
            <w:tcW w:w="2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140,085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126,321</w:t>
            </w:r>
          </w:p>
        </w:tc>
      </w:tr>
      <w:tr>
        <w:trPr>
          <w:trHeight w:val="185"/>
        </w:trPr>
        <w:tc>
          <w:tcPr>
            <w:tcW w:w="7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176,868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162,735</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72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21"/>
        </w:trPr>
        <w:tc>
          <w:tcPr>
            <w:tcW w:w="7260" w:type="dxa"/>
            <w:vAlign w:val="bottom"/>
            <w:gridSpan w:val="2"/>
          </w:tcPr>
          <w:p>
            <w:pPr>
              <w:spacing w:after="0"/>
              <w:rPr>
                <w:sz w:val="20"/>
                <w:szCs w:val="20"/>
                <w:color w:val="auto"/>
              </w:rPr>
            </w:pPr>
            <w:r>
              <w:rPr>
                <w:rFonts w:ascii="Arial" w:cs="Arial" w:eastAsia="Arial" w:hAnsi="Arial"/>
                <w:sz w:val="13"/>
                <w:szCs w:val="13"/>
                <w:color w:val="auto"/>
              </w:rPr>
              <w:t>Total lease payments for the year ended 31 December 2024 were $47.7 million (2023: $53.8 million).</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6"/>
        </w:trPr>
        <w:tc>
          <w:tcPr>
            <w:tcW w:w="726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non-cancelable leases as of 31 December 2024 were as follows:</w:t>
            </w:r>
          </w:p>
        </w:tc>
        <w:tc>
          <w:tcPr>
            <w:tcW w:w="26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5"/>
        </w:trPr>
        <w:tc>
          <w:tcPr>
            <w:tcW w:w="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0"/>
        </w:trPr>
        <w:tc>
          <w:tcPr>
            <w:tcW w:w="40" w:type="dxa"/>
            <w:vAlign w:val="bottom"/>
          </w:tcPr>
          <w:p>
            <w:pPr>
              <w:spacing w:after="0"/>
              <w:rPr>
                <w:sz w:val="14"/>
                <w:szCs w:val="14"/>
                <w:color w:val="auto"/>
              </w:rPr>
            </w:pPr>
          </w:p>
        </w:tc>
        <w:tc>
          <w:tcPr>
            <w:tcW w:w="722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59"/>
        </w:trPr>
        <w:tc>
          <w:tcPr>
            <w:tcW w:w="4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42,931</w:t>
            </w:r>
          </w:p>
        </w:tc>
      </w:tr>
      <w:tr>
        <w:trPr>
          <w:trHeight w:val="169"/>
        </w:trPr>
        <w:tc>
          <w:tcPr>
            <w:tcW w:w="7260" w:type="dxa"/>
            <w:vAlign w:val="bottom"/>
            <w:gridSpan w:val="2"/>
          </w:tcPr>
          <w:p>
            <w:pPr>
              <w:ind w:left="60"/>
              <w:spacing w:after="0"/>
              <w:rPr>
                <w:sz w:val="20"/>
                <w:szCs w:val="20"/>
                <w:color w:val="auto"/>
              </w:rPr>
            </w:pPr>
            <w:r>
              <w:rPr>
                <w:rFonts w:ascii="Arial" w:cs="Arial" w:eastAsia="Arial" w:hAnsi="Arial"/>
                <w:sz w:val="13"/>
                <w:szCs w:val="13"/>
                <w:color w:val="auto"/>
              </w:rPr>
              <w:t>2026</w:t>
            </w:r>
          </w:p>
        </w:tc>
        <w:tc>
          <w:tcPr>
            <w:tcW w:w="26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38,445</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31,257</w:t>
            </w:r>
          </w:p>
        </w:tc>
      </w:tr>
      <w:tr>
        <w:trPr>
          <w:trHeight w:val="169"/>
        </w:trPr>
        <w:tc>
          <w:tcPr>
            <w:tcW w:w="7260" w:type="dxa"/>
            <w:vAlign w:val="bottom"/>
            <w:gridSpan w:val="2"/>
          </w:tcPr>
          <w:p>
            <w:pPr>
              <w:ind w:left="60"/>
              <w:spacing w:after="0"/>
              <w:rPr>
                <w:sz w:val="20"/>
                <w:szCs w:val="20"/>
                <w:color w:val="auto"/>
              </w:rPr>
            </w:pPr>
            <w:r>
              <w:rPr>
                <w:rFonts w:ascii="Arial" w:cs="Arial" w:eastAsia="Arial" w:hAnsi="Arial"/>
                <w:sz w:val="13"/>
                <w:szCs w:val="13"/>
                <w:color w:val="auto"/>
              </w:rPr>
              <w:t>2028</w:t>
            </w:r>
          </w:p>
        </w:tc>
        <w:tc>
          <w:tcPr>
            <w:tcW w:w="26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24,156</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17,838</w:t>
            </w:r>
          </w:p>
        </w:tc>
      </w:tr>
      <w:tr>
        <w:trPr>
          <w:trHeight w:val="169"/>
        </w:trPr>
        <w:tc>
          <w:tcPr>
            <w:tcW w:w="40" w:type="dxa"/>
            <w:vAlign w:val="bottom"/>
          </w:tcPr>
          <w:p>
            <w:pPr>
              <w:spacing w:after="0"/>
              <w:rPr>
                <w:sz w:val="14"/>
                <w:szCs w:val="14"/>
                <w:color w:val="auto"/>
              </w:rPr>
            </w:pP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2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45,047</w:t>
            </w:r>
          </w:p>
        </w:tc>
      </w:tr>
      <w:tr>
        <w:trPr>
          <w:trHeight w:val="162"/>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future minimum lease payments</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199,674</w:t>
            </w:r>
          </w:p>
        </w:tc>
      </w:tr>
      <w:tr>
        <w:trPr>
          <w:trHeight w:val="169"/>
        </w:trPr>
        <w:tc>
          <w:tcPr>
            <w:tcW w:w="40" w:type="dxa"/>
            <w:vAlign w:val="bottom"/>
          </w:tcPr>
          <w:p>
            <w:pPr>
              <w:spacing w:after="0"/>
              <w:rPr>
                <w:sz w:val="14"/>
                <w:szCs w:val="14"/>
                <w:color w:val="auto"/>
              </w:rPr>
            </w:pP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imputed interest</w:t>
            </w:r>
          </w:p>
        </w:tc>
        <w:tc>
          <w:tcPr>
            <w:tcW w:w="2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(22,806)</w:t>
            </w:r>
          </w:p>
        </w:tc>
      </w:tr>
      <w:tr>
        <w:trPr>
          <w:trHeight w:val="185"/>
        </w:trPr>
        <w:tc>
          <w:tcPr>
            <w:tcW w:w="40" w:type="dxa"/>
            <w:vAlign w:val="bottom"/>
          </w:tcPr>
          <w:p>
            <w:pPr>
              <w:spacing w:after="0"/>
              <w:rPr>
                <w:sz w:val="15"/>
                <w:szCs w:val="15"/>
                <w:color w:val="auto"/>
              </w:rPr>
            </w:pPr>
          </w:p>
        </w:tc>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176,868</w:t>
            </w:r>
          </w:p>
        </w:tc>
      </w:tr>
      <w:tr>
        <w:trPr>
          <w:trHeight w:val="20"/>
        </w:trPr>
        <w:tc>
          <w:tcPr>
            <w:tcW w:w="40" w:type="dxa"/>
            <w:vAlign w:val="bottom"/>
          </w:tcPr>
          <w:p>
            <w:pPr>
              <w:spacing w:after="0" w:line="20" w:lineRule="exact"/>
              <w:rPr>
                <w:sz w:val="1"/>
                <w:szCs w:val="1"/>
                <w:color w:val="auto"/>
              </w:rPr>
            </w:pPr>
          </w:p>
        </w:tc>
        <w:tc>
          <w:tcPr>
            <w:tcW w:w="72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80"/>
          </w:cols>
          <w:pgMar w:left="300" w:top="698"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25. Leases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5300" w:type="dxa"/>
            <w:vAlign w:val="bottom"/>
          </w:tcPr>
          <w:p>
            <w:pPr>
              <w:spacing w:after="0"/>
              <w:rPr>
                <w:sz w:val="13"/>
                <w:szCs w:val="13"/>
                <w:color w:val="auto"/>
              </w:rPr>
            </w:pPr>
          </w:p>
        </w:tc>
        <w:tc>
          <w:tcPr>
            <w:tcW w:w="46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41,014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41,982</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5,379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4,172</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Of the total cost of $46.4 million incurred in the year ended 31 December 2024, $33.3 million is recorded within other operating expenses, $7.7 million is recorded within direct costs and $5.4 million is recorded within finance costs. During 2024, the Group had income from sub-leases of $1.6 million.</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Of the total cost of $46.2 million incurred in the year ended 31 December 2023, $34.9 million is recorded within other operating expenses, $7.1 million is recorded within direct costs and $4.2 million is recorded within finance costs. During 2023, the Group had income from sub-leases of $1.1 million.</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Commitments and contingencies</w:t>
      </w:r>
    </w:p>
    <w:p>
      <w:pPr>
        <w:spacing w:after="0" w:line="203"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2024 and 31 December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shd w:val="clear" w:color="auto" w:fill="CCEEFF"/>
          </w:tcPr>
          <w:p>
            <w:pPr>
              <w:spacing w:after="0"/>
              <w:rPr>
                <w:sz w:val="13"/>
                <w:szCs w:val="13"/>
                <w:color w:val="auto"/>
              </w:rPr>
            </w:pPr>
          </w:p>
        </w:tc>
        <w:tc>
          <w:tcPr>
            <w:tcW w:w="52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900" w:type="dxa"/>
            <w:vAlign w:val="bottom"/>
            <w:tcBorders>
              <w:bottom w:val="single" w:sz="8" w:color="auto"/>
            </w:tcBorders>
            <w:shd w:val="clear" w:color="auto" w:fill="CCEEFF"/>
          </w:tcPr>
          <w:p>
            <w:pPr>
              <w:spacing w:after="0"/>
              <w:rPr>
                <w:sz w:val="14"/>
                <w:szCs w:val="14"/>
                <w:color w:val="auto"/>
              </w:rPr>
            </w:pP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4900" w:type="dxa"/>
            <w:vAlign w:val="bottom"/>
          </w:tcPr>
          <w:p>
            <w:pPr>
              <w:spacing w:after="0"/>
              <w:rPr>
                <w:sz w:val="13"/>
                <w:szCs w:val="13"/>
                <w:color w:val="auto"/>
              </w:rPr>
            </w:pPr>
          </w:p>
        </w:tc>
        <w:tc>
          <w:tcPr>
            <w:tcW w:w="52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Contracted for</w:t>
            </w: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128,639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101,653</w:t>
            </w:r>
          </w:p>
        </w:tc>
      </w:tr>
      <w:tr>
        <w:trPr>
          <w:trHeight w:val="16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128,639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101,653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00" w:hanging="295"/>
        <w:spacing w:after="0"/>
        <w:tabs>
          <w:tab w:leader="none" w:pos="30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Payments due by period</w:t>
            </w:r>
          </w:p>
        </w:tc>
        <w:tc>
          <w:tcPr>
            <w:tcW w:w="1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20" w:type="dxa"/>
            <w:vAlign w:val="bottom"/>
          </w:tcPr>
          <w:p>
            <w:pPr>
              <w:spacing w:after="0"/>
              <w:rPr>
                <w:sz w:val="10"/>
                <w:szCs w:val="10"/>
                <w:color w:val="auto"/>
              </w:rPr>
            </w:pPr>
          </w:p>
        </w:tc>
        <w:tc>
          <w:tcPr>
            <w:tcW w:w="282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340" w:type="dxa"/>
            <w:vAlign w:val="bottom"/>
          </w:tcPr>
          <w:p>
            <w:pPr>
              <w:jc w:val="right"/>
              <w:ind w:right="1016"/>
              <w:spacing w:after="0" w:line="118" w:lineRule="exact"/>
              <w:rPr>
                <w:sz w:val="20"/>
                <w:szCs w:val="20"/>
                <w:color w:val="auto"/>
              </w:rPr>
            </w:pPr>
            <w:r>
              <w:rPr>
                <w:rFonts w:ascii="Arial" w:cs="Arial" w:eastAsia="Arial" w:hAnsi="Arial"/>
                <w:sz w:val="13"/>
                <w:szCs w:val="13"/>
                <w:b w:val="1"/>
                <w:bCs w:val="1"/>
                <w:color w:val="auto"/>
              </w:rPr>
              <w:t>Less than</w:t>
            </w:r>
          </w:p>
        </w:tc>
        <w:tc>
          <w:tcPr>
            <w:tcW w:w="136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70"/>
        </w:trPr>
        <w:tc>
          <w:tcPr>
            <w:tcW w:w="35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rPr>
              <w:t>1 year</w:t>
            </w: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0"/>
        </w:trPr>
        <w:tc>
          <w:tcPr>
            <w:tcW w:w="3520" w:type="dxa"/>
            <w:vAlign w:val="bottom"/>
            <w:shd w:val="clear" w:color="auto" w:fill="CCEEFF"/>
          </w:tcPr>
          <w:p>
            <w:pPr>
              <w:spacing w:after="0"/>
              <w:rPr>
                <w:sz w:val="13"/>
                <w:szCs w:val="13"/>
                <w:color w:val="auto"/>
              </w:rPr>
            </w:pPr>
          </w:p>
        </w:tc>
        <w:tc>
          <w:tcPr>
            <w:tcW w:w="28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340" w:type="dxa"/>
            <w:vAlign w:val="bottom"/>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rPr>
              <w:t>$’000</w:t>
            </w:r>
          </w:p>
        </w:tc>
        <w:tc>
          <w:tcPr>
            <w:tcW w:w="13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Capital commitments</w:t>
            </w:r>
          </w:p>
        </w:tc>
        <w:tc>
          <w:tcPr>
            <w:tcW w:w="28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128,639</w:t>
            </w:r>
          </w:p>
        </w:tc>
        <w:tc>
          <w:tcPr>
            <w:tcW w:w="234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color w:val="auto"/>
              </w:rPr>
              <w:t>117,697</w:t>
            </w: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10,942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128,639</w:t>
            </w:r>
          </w:p>
        </w:tc>
        <w:tc>
          <w:tcPr>
            <w:tcW w:w="23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117,697</w:t>
            </w: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10,942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entered into subscription agreements with a number of funds (see note 18 Financial asset investments). During the year ended 31 December 2024, capital totalling $13.1 million had been advanced under the terms of the subscription agreements (2023: $14.0 million). The Company had committed to future investments of $102.2 million in respect of these funds. The timing of the commitment is not specified in the subscription agreements.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80"/>
          </w:cols>
          <w:pgMar w:left="300" w:top="698"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4" w:lineRule="exact"/>
        <w:rPr>
          <w:sz w:val="20"/>
          <w:szCs w:val="20"/>
          <w:color w:val="auto"/>
        </w:rPr>
      </w:pPr>
    </w:p>
    <w:p>
      <w:pPr>
        <w:ind w:left="300" w:hanging="295"/>
        <w:spacing w:after="0"/>
        <w:tabs>
          <w:tab w:leader="none" w:pos="30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(i) Guarantees in respect of borrowings of subsidiaries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ICON plc and certain other subsidiaries within the Group have guaranteed the Senior Secured Credit Facilities and Senior Secured Notes as set out in </w:t>
      </w:r>
      <w:r>
        <w:rPr>
          <w:rFonts w:ascii="Arial" w:cs="Arial" w:eastAsia="Arial" w:hAnsi="Arial"/>
          <w:sz w:val="13"/>
          <w:szCs w:val="13"/>
          <w:i w:val="1"/>
          <w:iCs w:val="1"/>
          <w:color w:val="auto"/>
        </w:rPr>
        <w:t>note 21 Bank credit lines and loan facilities.</w:t>
      </w:r>
      <w:r>
        <w:rPr>
          <w:rFonts w:ascii="Arial" w:cs="Arial" w:eastAsia="Arial" w:hAnsi="Arial"/>
          <w:sz w:val="13"/>
          <w:szCs w:val="13"/>
          <w:color w:val="auto"/>
        </w:rPr>
        <w:t xml:space="preserve"> The Group does not expect any material loss to arise from these guarantees.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(ii) Section 357 Guarantees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in respect of the whole of the financial year ending 31 December 2024 for the subsidiary companies listed below. These subsidiaries are availing of the exemption under Section 357 of the Companies Act not to file statutory financial statements.</w:t>
      </w:r>
    </w:p>
    <w:p>
      <w:pPr>
        <w:spacing w:after="0" w:line="146" w:lineRule="exact"/>
        <w:rPr>
          <w:sz w:val="20"/>
          <w:szCs w:val="20"/>
          <w:color w:val="auto"/>
        </w:rPr>
      </w:pP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Clinical Research Limited</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1020" w:hanging="552"/>
        <w:spacing w:after="0" w:line="221" w:lineRule="auto"/>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1020" w:hanging="552"/>
        <w:spacing w:after="0" w:line="221" w:lineRule="auto"/>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1020" w:hanging="552"/>
        <w:spacing w:after="0" w:line="221" w:lineRule="auto"/>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Accellacare Limited</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ind w:left="1020" w:hanging="552"/>
        <w:spacing w:after="0" w:line="221" w:lineRule="auto"/>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Clinical Global Holdings Unlimited Company</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Operational Financing Unlimited Company</w:t>
      </w:r>
    </w:p>
    <w:p>
      <w:pPr>
        <w:ind w:left="1020" w:hanging="552"/>
        <w:spacing w:after="0" w:line="221" w:lineRule="auto"/>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Operational Holdings Unlimited Company</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Clinical Research Holdings (Ireland) Unlimited Company</w:t>
      </w:r>
    </w:p>
    <w:p>
      <w:pPr>
        <w:ind w:left="1020" w:hanging="552"/>
        <w:spacing w:after="0"/>
        <w:tabs>
          <w:tab w:leader="none" w:pos="10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ICON Investments Six Designated Activity Company</w:t>
      </w:r>
    </w:p>
    <w:p>
      <w:pPr>
        <w:spacing w:after="0" w:line="220" w:lineRule="exact"/>
        <w:rPr>
          <w:rFonts w:ascii="Arial" w:cs="Arial" w:eastAsia="Arial" w:hAnsi="Arial"/>
          <w:sz w:val="13"/>
          <w:szCs w:val="13"/>
          <w:color w:val="auto"/>
        </w:rPr>
      </w:pPr>
    </w:p>
    <w:p>
      <w:pPr>
        <w:ind w:left="320" w:hanging="315"/>
        <w:spacing w:after="0"/>
        <w:tabs>
          <w:tab w:leader="none" w:pos="32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does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unfavourable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favour.</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its Chief Executive Officer, and its former Chief Financial Officer have been named as defendants in two class action lawsuits involving similar claims, filed in the United States District Court for the Eastern District of New York on 10 February 2025 (Shing v. ICON plc, et al.) and 2 April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Company intends to defend these lawsuits vigorously.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280"/>
          </w:cols>
          <w:pgMar w:left="300" w:top="698"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ind w:left="320" w:hanging="315"/>
        <w:spacing w:after="0"/>
        <w:tabs>
          <w:tab w:leader="none" w:pos="32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00" w:lineRule="exact"/>
        <w:rPr>
          <w:sz w:val="20"/>
          <w:szCs w:val="20"/>
          <w:color w:val="auto"/>
        </w:rPr>
      </w:pPr>
    </w:p>
    <w:p>
      <w:pPr>
        <w:spacing w:after="0" w:line="204"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2024 and 2023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47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240" w:type="dxa"/>
            <w:vAlign w:val="bottom"/>
          </w:tcPr>
          <w:p>
            <w:pPr>
              <w:spacing w:after="0"/>
              <w:rPr>
                <w:sz w:val="13"/>
                <w:szCs w:val="13"/>
                <w:color w:val="auto"/>
              </w:rPr>
            </w:pPr>
          </w:p>
        </w:tc>
        <w:tc>
          <w:tcPr>
            <w:tcW w:w="47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Salary and fees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3,145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Bonus</w:t>
            </w:r>
          </w:p>
        </w:tc>
        <w:tc>
          <w:tcPr>
            <w:tcW w:w="474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1,578</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benefits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76</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Pension contributions</w:t>
            </w:r>
          </w:p>
        </w:tc>
        <w:tc>
          <w:tcPr>
            <w:tcW w:w="4740" w:type="dxa"/>
            <w:vAlign w:val="bottom"/>
          </w:tcPr>
          <w:p>
            <w:pPr>
              <w:jc w:val="right"/>
              <w:ind w:right="456"/>
              <w:spacing w:after="0"/>
              <w:rPr>
                <w:sz w:val="20"/>
                <w:szCs w:val="20"/>
                <w:color w:val="auto"/>
              </w:rPr>
            </w:pPr>
            <w:r>
              <w:rPr>
                <w:rFonts w:ascii="Arial" w:cs="Arial" w:eastAsia="Arial" w:hAnsi="Arial"/>
                <w:sz w:val="13"/>
                <w:szCs w:val="13"/>
                <w:color w:val="auto"/>
              </w:rPr>
              <w:t>207</w:t>
            </w:r>
          </w:p>
        </w:tc>
        <w:tc>
          <w:tcPr>
            <w:tcW w:w="1280" w:type="dxa"/>
            <w:vAlign w:val="bottom"/>
          </w:tcPr>
          <w:p>
            <w:pPr>
              <w:jc w:val="right"/>
              <w:spacing w:after="0"/>
              <w:rPr>
                <w:sz w:val="20"/>
                <w:szCs w:val="20"/>
                <w:color w:val="auto"/>
              </w:rPr>
            </w:pPr>
            <w:r>
              <w:rPr>
                <w:rFonts w:ascii="Arial" w:cs="Arial" w:eastAsia="Arial" w:hAnsi="Arial"/>
                <w:sz w:val="13"/>
                <w:szCs w:val="13"/>
                <w:color w:val="auto"/>
              </w:rPr>
              <w:t>198</w:t>
            </w:r>
          </w:p>
        </w:tc>
      </w:tr>
      <w:tr>
        <w:trPr>
          <w:trHeight w:val="17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 expense</w:t>
            </w:r>
          </w:p>
        </w:tc>
        <w:tc>
          <w:tcPr>
            <w:tcW w:w="47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4,717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8,583</w:t>
            </w:r>
          </w:p>
        </w:tc>
      </w:tr>
      <w:tr>
        <w:trPr>
          <w:trHeight w:val="16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8,145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13,312</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2024 are set out in </w:t>
      </w:r>
      <w:r>
        <w:rPr>
          <w:rFonts w:ascii="Arial" w:cs="Arial" w:eastAsia="Arial" w:hAnsi="Arial"/>
          <w:sz w:val="13"/>
          <w:szCs w:val="13"/>
          <w:i w:val="1"/>
          <w:iCs w:val="1"/>
          <w:color w:val="auto"/>
        </w:rPr>
        <w:t>note 10 Payroll and related benefits</w:t>
      </w:r>
      <w:r>
        <w:rPr>
          <w:rFonts w:ascii="Arial" w:cs="Arial" w:eastAsia="Arial" w:hAnsi="Arial"/>
          <w:sz w:val="13"/>
          <w:szCs w:val="13"/>
          <w:color w:val="auto"/>
        </w:rPr>
        <w:t>.</w:t>
      </w:r>
    </w:p>
    <w:p>
      <w:pPr>
        <w:spacing w:after="0" w:line="159" w:lineRule="exact"/>
        <w:rPr>
          <w:sz w:val="20"/>
          <w:szCs w:val="20"/>
          <w:color w:val="auto"/>
        </w:rPr>
      </w:pPr>
    </w:p>
    <w:p>
      <w:pPr>
        <w:ind w:left="280" w:hanging="275"/>
        <w:spacing w:after="0"/>
        <w:tabs>
          <w:tab w:leader="none" w:pos="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subsidiaries of the Group earned revenue of $0.3 million (31 December 2023: $0.2 million) from Corvus Pharmaceuticals. Dr. Linda Grais serves as a Director and shareholder of</w:t>
      </w:r>
    </w:p>
    <w:p>
      <w:pPr>
        <w:spacing w:after="0"/>
        <w:rPr>
          <w:sz w:val="20"/>
          <w:szCs w:val="20"/>
          <w:color w:val="auto"/>
        </w:rPr>
      </w:pPr>
      <w:r>
        <w:rPr>
          <w:rFonts w:ascii="Arial" w:cs="Arial" w:eastAsia="Arial" w:hAnsi="Arial"/>
          <w:sz w:val="13"/>
          <w:szCs w:val="13"/>
          <w:color w:val="auto"/>
        </w:rPr>
        <w:t>Corvus Pharmaceuticals. At 31 December 2024, $0.1 million (31 December 2023: $0.1 million) was noted as due from Corvus Pharmaceuticals .</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subsidiaries of the Group earned revenue of $nil (31 December 2023: $0.05 million) from Afimmune Limited. Dr. John Climax is Chief Executive Officer and a Director and shareholder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 Afimmune Limited. At 31 December 2024, $0.1 million was noted as due from Afimmune Limited (31 December 2023: $0.05 million).</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29.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Group has evaluated subsequent events from the Balance Sheet date through 29 April 2025, the date at which the consolidated financial statements were available to be issued.</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18 February, 2025, the Company's Board of Directors authorised an additional buyback programme of up to $750.0 million of the outstanding ordinary shares of the Company. Along with unutilised amounts under the previous authorisations, this permited the Company to repurchase up to $1 billion worth of ordinary shares.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 Repurchases under the share buyback programme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During March 2025, 1,360,537 ordinary shares were redeemed by the Company under this buyback programme for a total consideration of $250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 has determined that there are no other items to disclose.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280"/>
          </w:cols>
          <w:pgMar w:left="300" w:top="698"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2024 the Group had the following principal subsidiary undertakings: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800" w:type="dxa"/>
            <w:vAlign w:val="bottom"/>
            <w:shd w:val="clear" w:color="auto" w:fill="CCEEFF"/>
          </w:tcPr>
          <w:p>
            <w:pPr>
              <w:ind w:left="102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2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2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S.A.</w:t>
            </w:r>
          </w:p>
        </w:tc>
        <w:tc>
          <w:tcPr>
            <w:tcW w:w="3480" w:type="dxa"/>
            <w:vAlign w:val="bottom"/>
          </w:tcPr>
          <w:p>
            <w:pPr>
              <w:ind w:left="420"/>
              <w:spacing w:after="0" w:line="118" w:lineRule="exact"/>
              <w:rPr>
                <w:sz w:val="20"/>
                <w:szCs w:val="20"/>
                <w:color w:val="auto"/>
              </w:rPr>
            </w:pPr>
            <w:r>
              <w:rPr>
                <w:rFonts w:ascii="Arial" w:cs="Arial" w:eastAsia="Arial" w:hAnsi="Arial"/>
                <w:sz w:val="13"/>
                <w:szCs w:val="13"/>
                <w:color w:val="auto"/>
              </w:rPr>
              <w:t>Cecilia Grierson 255, Floor 6°</w:t>
            </w:r>
          </w:p>
        </w:tc>
        <w:tc>
          <w:tcPr>
            <w:tcW w:w="2800" w:type="dxa"/>
            <w:vAlign w:val="bottom"/>
          </w:tcPr>
          <w:p>
            <w:pPr>
              <w:ind w:left="102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City of Buenos Aires</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C1107CPE</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Argentina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S.A.</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Cecilia Grierson 255, Floor 6°</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City of Buenos Aires</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C1107CPE</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Argentina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Pty Limited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C/- ICON Clinical Research Pty Ltd.</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Suite 201, Level 2</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2-4 Lyon Park Road</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Macquarie Park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NSW 2113</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PTY Limited</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Suite 201,</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Level 2, 2-4 Lyon Park Road,</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Macquarie Park</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NSW 2113</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Medpass International Pty Ltd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Level 2,</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Pier 8, Shop 9,</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23 Hickson Road,</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Millers Point,</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NSW 2000</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Pty Ltd</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Suite 104, Level 1,</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109 Oxford Street, Bondi Junction,</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NSW 2022, Sydney,</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Austria GmbH</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Pyrkergasse 10/6</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1190 Vienna</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Austria GmbH</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Tegetthoffstraße 7</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1010 Vienna, Austria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IMP-Logistics Bel, FLLC</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28, Malinina st. bld.4,</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Liter A 1-2/k,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Office #3,</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Minsk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Republic of Belarus 220101</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Belgium B.V.</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Kardinaal Mercierplein 2</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2800 Mechelen</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Belgium</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RPS Bermuda, Ltd.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Victoria Place, 5th Floor</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31 Victoria Street</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Hamilton HM 10 Bermuda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Pesquisas Clínicas Ltda.</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Av. Ibirapuera 2332,</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shd w:val="clear" w:color="auto" w:fill="CCEEFF"/>
          </w:tcPr>
          <w:p>
            <w:pPr>
              <w:ind w:left="1020"/>
              <w:spacing w:after="0" w:line="128" w:lineRule="exact"/>
              <w:rPr>
                <w:sz w:val="20"/>
                <w:szCs w:val="20"/>
                <w:color w:val="auto"/>
              </w:rPr>
            </w:pPr>
            <w:r>
              <w:rPr>
                <w:rFonts w:ascii="Arial" w:cs="Arial" w:eastAsia="Arial" w:hAnsi="Arial"/>
                <w:sz w:val="13"/>
                <w:szCs w:val="13"/>
                <w:color w:val="auto"/>
              </w:rPr>
              <w:t>services</w:t>
            </w: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São Paulo, SP,</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Brazil,</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CEP 04028-003</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Ltda.</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Av. Ibirapuera 2332,</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São Paulo, SP,</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Brazil,</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CEP 04028-003</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220" w:type="dxa"/>
            <w:vAlign w:val="bottom"/>
          </w:tcPr>
          <w:p>
            <w:pPr>
              <w:ind w:left="20"/>
              <w:spacing w:after="0" w:line="130" w:lineRule="exact"/>
              <w:rPr>
                <w:sz w:val="20"/>
                <w:szCs w:val="20"/>
                <w:color w:val="auto"/>
              </w:rPr>
            </w:pPr>
            <w:r>
              <w:rPr>
                <w:rFonts w:ascii="Arial" w:cs="Arial" w:eastAsia="Arial" w:hAnsi="Arial"/>
                <w:sz w:val="13"/>
                <w:szCs w:val="13"/>
                <w:color w:val="auto"/>
              </w:rPr>
              <w:t>RPS do Brasil Serviços de Pesquisas Ltda.</w:t>
            </w:r>
          </w:p>
        </w:tc>
        <w:tc>
          <w:tcPr>
            <w:tcW w:w="3480" w:type="dxa"/>
            <w:vAlign w:val="bottom"/>
          </w:tcPr>
          <w:p>
            <w:pPr>
              <w:ind w:left="420"/>
              <w:spacing w:after="0" w:line="130" w:lineRule="exact"/>
              <w:rPr>
                <w:sz w:val="20"/>
                <w:szCs w:val="20"/>
                <w:color w:val="auto"/>
              </w:rPr>
            </w:pPr>
            <w:r>
              <w:rPr>
                <w:rFonts w:ascii="Arial" w:cs="Arial" w:eastAsia="Arial" w:hAnsi="Arial"/>
                <w:sz w:val="13"/>
                <w:szCs w:val="13"/>
                <w:color w:val="auto"/>
              </w:rPr>
              <w:t>Av. Ibirapuera 2332,</w:t>
            </w:r>
          </w:p>
        </w:tc>
        <w:tc>
          <w:tcPr>
            <w:tcW w:w="2800" w:type="dxa"/>
            <w:vAlign w:val="bottom"/>
          </w:tcPr>
          <w:p>
            <w:pPr>
              <w:ind w:left="102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39"/>
        </w:trPr>
        <w:tc>
          <w:tcPr>
            <w:tcW w:w="3220" w:type="dxa"/>
            <w:vAlign w:val="bottom"/>
          </w:tcPr>
          <w:p>
            <w:pPr>
              <w:spacing w:after="0"/>
              <w:rPr>
                <w:sz w:val="12"/>
                <w:szCs w:val="12"/>
                <w:color w:val="auto"/>
              </w:rPr>
            </w:pPr>
          </w:p>
        </w:tc>
        <w:tc>
          <w:tcPr>
            <w:tcW w:w="3480" w:type="dxa"/>
            <w:vAlign w:val="bottom"/>
          </w:tcPr>
          <w:p>
            <w:pPr>
              <w:ind w:left="420"/>
              <w:spacing w:after="0" w:line="139" w:lineRule="exact"/>
              <w:rPr>
                <w:sz w:val="20"/>
                <w:szCs w:val="20"/>
                <w:color w:val="auto"/>
              </w:rPr>
            </w:pPr>
            <w:r>
              <w:rPr>
                <w:rFonts w:ascii="Arial" w:cs="Arial" w:eastAsia="Arial" w:hAnsi="Arial"/>
                <w:sz w:val="13"/>
                <w:szCs w:val="13"/>
                <w:color w:val="auto"/>
              </w:rPr>
              <w:t>São Paulo, SP,</w:t>
            </w:r>
          </w:p>
        </w:tc>
        <w:tc>
          <w:tcPr>
            <w:tcW w:w="2800" w:type="dxa"/>
            <w:vAlign w:val="bottom"/>
          </w:tcPr>
          <w:p>
            <w:pPr>
              <w:spacing w:after="0"/>
              <w:rPr>
                <w:sz w:val="12"/>
                <w:szCs w:val="12"/>
                <w:color w:val="auto"/>
              </w:rPr>
            </w:pPr>
          </w:p>
        </w:tc>
        <w:tc>
          <w:tcPr>
            <w:tcW w:w="17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48195" cy="431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ind w:left="3640"/>
        <w:spacing w:after="0" w:line="204" w:lineRule="auto"/>
        <w:rPr>
          <w:sz w:val="20"/>
          <w:szCs w:val="20"/>
          <w:color w:val="auto"/>
        </w:rPr>
      </w:pPr>
      <w:r>
        <w:rPr>
          <w:rFonts w:ascii="Arial" w:cs="Arial" w:eastAsia="Arial" w:hAnsi="Arial"/>
          <w:sz w:val="13"/>
          <w:szCs w:val="13"/>
          <w:color w:val="auto"/>
        </w:rPr>
        <w:t>Brazil,</w:t>
      </w:r>
    </w:p>
    <w:p>
      <w:pPr>
        <w:ind w:left="3640"/>
        <w:spacing w:after="0"/>
        <w:rPr>
          <w:sz w:val="20"/>
          <w:szCs w:val="20"/>
          <w:color w:val="auto"/>
        </w:rPr>
      </w:pPr>
      <w:r>
        <w:rPr>
          <w:rFonts w:ascii="Arial" w:cs="Arial" w:eastAsia="Arial" w:hAnsi="Arial"/>
          <w:sz w:val="13"/>
          <w:szCs w:val="13"/>
          <w:color w:val="auto"/>
        </w:rPr>
        <w:t>CEP 04028-003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260"/>
          </w:cols>
          <w:pgMar w:left="300" w:top="69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9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RPS China Inc.</w:t>
            </w:r>
          </w:p>
        </w:tc>
        <w:tc>
          <w:tcPr>
            <w:tcW w:w="394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c/o Tricor Services BVI Limited</w:t>
            </w:r>
          </w:p>
        </w:tc>
        <w:tc>
          <w:tcPr>
            <w:tcW w:w="1920" w:type="dxa"/>
            <w:vAlign w:val="bottom"/>
            <w:shd w:val="clear" w:color="auto" w:fill="CCEEFF"/>
          </w:tcPr>
          <w:p>
            <w:pPr>
              <w:ind w:left="140"/>
              <w:spacing w:after="0" w:line="118"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P.O. Box 3340</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Road Town</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Tortola, British Virgin Islands</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Bulgaria EOOD</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51b Bulgaria Blvd., Floor 4</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Sofia,</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Bulgaria 1404</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EOOD</w:t>
            </w:r>
          </w:p>
        </w:tc>
        <w:tc>
          <w:tcPr>
            <w:tcW w:w="3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2A, Saborna Str.,</w:t>
            </w:r>
          </w:p>
        </w:tc>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4th floor, Sofia – 1000,</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Republic of Bulgaria</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KCR CRO Ltd.</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Shipchenski Prohod Blvd., 9,</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4th floor, office 9,</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Sofia,</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Slatina region, 1574,</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640" w:type="dxa"/>
            <w:vAlign w:val="bottom"/>
          </w:tcPr>
          <w:p>
            <w:pPr>
              <w:spacing w:after="0"/>
              <w:rPr>
                <w:sz w:val="14"/>
                <w:szCs w:val="14"/>
                <w:color w:val="auto"/>
              </w:rPr>
            </w:pPr>
          </w:p>
        </w:tc>
        <w:tc>
          <w:tcPr>
            <w:tcW w:w="3940" w:type="dxa"/>
            <w:vAlign w:val="bottom"/>
          </w:tcPr>
          <w:p>
            <w:pPr>
              <w:spacing w:after="0" w:line="170" w:lineRule="exact"/>
              <w:rPr>
                <w:sz w:val="20"/>
                <w:szCs w:val="20"/>
                <w:color w:val="auto"/>
              </w:rPr>
            </w:pPr>
            <w:r>
              <w:rPr>
                <w:rFonts w:ascii="Arial" w:cs="Arial" w:eastAsia="Arial" w:hAnsi="Arial"/>
                <w:sz w:val="13"/>
                <w:szCs w:val="13"/>
                <w:color w:val="auto"/>
              </w:rPr>
              <w:t>Bulgaria</w:t>
            </w:r>
            <w:r>
              <w:rPr>
                <w:rFonts w:ascii="Arial" w:cs="Arial" w:eastAsia="Arial" w:hAnsi="Arial"/>
                <w:sz w:val="16"/>
                <w:szCs w:val="16"/>
                <w:color w:val="auto"/>
                <w:vertAlign w:val="superscript"/>
              </w:rPr>
              <w:t>9</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Services de Recherche Pharmaceutique Srl</w:t>
            </w: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1741 Lower Water Street,</w:t>
            </w:r>
          </w:p>
        </w:tc>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Suite 600</w:t>
            </w:r>
          </w:p>
        </w:tc>
        <w:tc>
          <w:tcPr>
            <w:tcW w:w="19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59"/>
        </w:trPr>
        <w:tc>
          <w:tcPr>
            <w:tcW w:w="36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Halifax,</w:t>
            </w:r>
          </w:p>
        </w:tc>
        <w:tc>
          <w:tcPr>
            <w:tcW w:w="19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59"/>
        </w:trPr>
        <w:tc>
          <w:tcPr>
            <w:tcW w:w="36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Nova Scotia B3J 0J2,</w:t>
            </w:r>
          </w:p>
        </w:tc>
        <w:tc>
          <w:tcPr>
            <w:tcW w:w="19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71"/>
        </w:trPr>
        <w:tc>
          <w:tcPr>
            <w:tcW w:w="364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Canada</w:t>
            </w:r>
          </w:p>
        </w:tc>
        <w:tc>
          <w:tcPr>
            <w:tcW w:w="19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3065613 Nova Scotia Company</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1741 Lower Water Street,</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Suite 600</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Halifax,</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Nova Scotia B3J 0J2,</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Canada</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(Canada) Inc.</w:t>
            </w:r>
          </w:p>
        </w:tc>
        <w:tc>
          <w:tcPr>
            <w:tcW w:w="3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1, Place Ville Marie,</w:t>
            </w:r>
          </w:p>
        </w:tc>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3000,</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Montréal QC H3B 4N8,</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Canada</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ULC</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1741 Lower Water Street,</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Suite 600</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Halifax,</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Nova Scotia B3J 0J2,</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Canada</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6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Oxford Outcomes LTD.</w:t>
            </w: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19th Floor</w:t>
            </w:r>
          </w:p>
        </w:tc>
        <w:tc>
          <w:tcPr>
            <w:tcW w:w="19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885 West Georgia Street</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Vancouver BC V6C 3H4</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Canada</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Life Sciences Canada Inc.</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3455 North Service Road</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Unit #400</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Burlington ON L7N 3G2</w:t>
            </w:r>
          </w:p>
        </w:tc>
        <w:tc>
          <w:tcPr>
            <w:tcW w:w="19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640" w:type="dxa"/>
            <w:vAlign w:val="bottom"/>
          </w:tcPr>
          <w:p>
            <w:pPr>
              <w:spacing w:after="0"/>
              <w:rPr>
                <w:sz w:val="14"/>
                <w:szCs w:val="14"/>
                <w:color w:val="auto"/>
              </w:rPr>
            </w:pPr>
          </w:p>
        </w:tc>
        <w:tc>
          <w:tcPr>
            <w:tcW w:w="3940" w:type="dxa"/>
            <w:vAlign w:val="bottom"/>
          </w:tcPr>
          <w:p>
            <w:pPr>
              <w:spacing w:after="0" w:line="170" w:lineRule="exact"/>
              <w:rPr>
                <w:sz w:val="20"/>
                <w:szCs w:val="20"/>
                <w:color w:val="auto"/>
              </w:rPr>
            </w:pPr>
            <w:r>
              <w:rPr>
                <w:rFonts w:ascii="Arial" w:cs="Arial" w:eastAsia="Arial" w:hAnsi="Arial"/>
                <w:sz w:val="13"/>
                <w:szCs w:val="13"/>
                <w:color w:val="auto"/>
              </w:rPr>
              <w:t>Canada</w:t>
            </w:r>
            <w:r>
              <w:rPr>
                <w:rFonts w:ascii="Arial" w:cs="Arial" w:eastAsia="Arial" w:hAnsi="Arial"/>
                <w:sz w:val="16"/>
                <w:szCs w:val="16"/>
                <w:color w:val="auto"/>
                <w:vertAlign w:val="superscript"/>
              </w:rPr>
              <w:t>3</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Chile Limitada</w:t>
            </w: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Avenida Mariano Sánchez Fontecilla 310</w:t>
            </w:r>
          </w:p>
        </w:tc>
        <w:tc>
          <w:tcPr>
            <w:tcW w:w="19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Las Condes</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Santiago</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Región Metropolitana</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7550296</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Chile</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Chile SpA</w:t>
            </w:r>
          </w:p>
        </w:tc>
        <w:tc>
          <w:tcPr>
            <w:tcW w:w="3940" w:type="dxa"/>
            <w:vAlign w:val="bottom"/>
          </w:tcPr>
          <w:p>
            <w:pPr>
              <w:spacing w:after="0" w:line="128" w:lineRule="exact"/>
              <w:rPr>
                <w:sz w:val="20"/>
                <w:szCs w:val="20"/>
                <w:color w:val="auto"/>
              </w:rPr>
            </w:pPr>
            <w:r>
              <w:rPr>
                <w:rFonts w:ascii="Arial" w:cs="Arial" w:eastAsia="Arial" w:hAnsi="Arial"/>
                <w:sz w:val="13"/>
                <w:szCs w:val="13"/>
                <w:color w:val="auto"/>
              </w:rPr>
              <w:t>Miraflores 222 piso 28</w:t>
            </w:r>
          </w:p>
        </w:tc>
        <w:tc>
          <w:tcPr>
            <w:tcW w:w="192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Santiago, Chile</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China, Inc.</w:t>
            </w:r>
          </w:p>
        </w:tc>
        <w:tc>
          <w:tcPr>
            <w:tcW w:w="3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Room 301, Floor 3, Building No. 5, Hongda Industrial Park, No. 8</w:t>
            </w:r>
          </w:p>
        </w:tc>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Hongda North Road, Beijing Economic-Technological Development</w:t>
            </w:r>
          </w:p>
        </w:tc>
        <w:tc>
          <w:tcPr>
            <w:tcW w:w="19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Area, Beijing, China</w:t>
            </w:r>
          </w:p>
        </w:tc>
        <w:tc>
          <w:tcPr>
            <w:tcW w:w="1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640" w:type="dxa"/>
            <w:vAlign w:val="bottom"/>
          </w:tcPr>
          <w:p>
            <w:pPr>
              <w:spacing w:after="0"/>
              <w:rPr>
                <w:sz w:val="24"/>
                <w:szCs w:val="24"/>
                <w:color w:val="auto"/>
              </w:rPr>
            </w:pPr>
          </w:p>
        </w:tc>
        <w:tc>
          <w:tcPr>
            <w:tcW w:w="3940" w:type="dxa"/>
            <w:vAlign w:val="bottom"/>
          </w:tcPr>
          <w:p>
            <w:pPr>
              <w:ind w:left="1900"/>
              <w:spacing w:after="0"/>
              <w:rPr>
                <w:sz w:val="20"/>
                <w:szCs w:val="20"/>
                <w:color w:val="auto"/>
              </w:rPr>
            </w:pPr>
            <w:r>
              <w:rPr>
                <w:rFonts w:ascii="Arial" w:cs="Arial" w:eastAsia="Arial" w:hAnsi="Arial"/>
                <w:sz w:val="13"/>
                <w:szCs w:val="13"/>
                <w:color w:val="auto"/>
              </w:rPr>
              <w:t>111</w:t>
            </w: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36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37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2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(Beijing No.2) Co., Ltd</w:t>
            </w:r>
          </w:p>
        </w:tc>
        <w:tc>
          <w:tcPr>
            <w:tcW w:w="3720" w:type="dxa"/>
            <w:vAlign w:val="bottom"/>
          </w:tcPr>
          <w:p>
            <w:pPr>
              <w:ind w:left="220"/>
              <w:spacing w:after="0" w:line="118" w:lineRule="exact"/>
              <w:rPr>
                <w:sz w:val="20"/>
                <w:szCs w:val="20"/>
                <w:color w:val="auto"/>
              </w:rPr>
            </w:pPr>
            <w:r>
              <w:rPr>
                <w:rFonts w:ascii="Arial" w:cs="Arial" w:eastAsia="Arial" w:hAnsi="Arial"/>
                <w:sz w:val="13"/>
                <w:szCs w:val="13"/>
                <w:color w:val="auto"/>
              </w:rPr>
              <w:t>Floor 2, Building 5,</w:t>
            </w:r>
          </w:p>
        </w:tc>
        <w:tc>
          <w:tcPr>
            <w:tcW w:w="2360" w:type="dxa"/>
            <w:vAlign w:val="bottom"/>
          </w:tcPr>
          <w:p>
            <w:pPr>
              <w:ind w:left="5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Hongda Industrial park,</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No. 8, Hongda North Road,</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Beijing Economic-Technological Development Area,</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Beijing, China</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(Beijing) Co., Ltd</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Floor 1</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Building No. 5,</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No. 8 Hongda North Road,</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Beijing Economic-Technologies</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Developement Zone,</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Beijing, China</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Colombia Ltda.</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Calle 116 No. 7 – 15</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Torre Cusezar Oficina 1002</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Bogotá</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Cundinamarca</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Colombia</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110111</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Costa Rica, LTDA.</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Sabana Business Center, piso 11</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Bulevar Rohrmoser y Calle 68</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San José,</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Costa Rica 10108</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ICON Research Ltd.</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Radnicka cesta 80,</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Zagreb,</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Croatia</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 Research Associates d.o.o. za klinicka ispitivanja</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(BDO)</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Radnička cesta 180,</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10 000 Zagreb, Croatia</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Czech Republic s.r.o.</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V parku 2335/20,</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Chodov, Praha 4</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PSČ 148 00</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Czech Republic</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s.r.o.</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V parku 2335/20,</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Praha 4 - Chodov,</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PSČ 148 00</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Czech Republic</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KCR Czech Republic a.s., in liquidation</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Purkyňova 74/2, Nové Město, 110 00 Prague 1,</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Czech Republic</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Denmark ApS</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c/o BuusMark Advokater</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Sankt Ols Gade 4</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4000 Roskilde</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Denmark</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Nordic Countries A/S</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c/o BuusMark Advokater</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Sankt Ols Gade 4</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4000 Roskilde</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Denmark</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Egypt Limited Liability Company</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40 Road 254, Shell Building,</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5th Floor</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Degla, Maadi,</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11431 Cairo,</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Egypt</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RPS Estonia OÜ</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Pärnu road 22</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10141 Tallinn, Republic of Estonia</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Baltics OÜ</w:t>
            </w:r>
          </w:p>
        </w:tc>
        <w:tc>
          <w:tcPr>
            <w:tcW w:w="372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Harju maakond, Tallinn,</w:t>
            </w:r>
          </w:p>
        </w:tc>
        <w:tc>
          <w:tcPr>
            <w:tcW w:w="23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Pohja-Tallinna Iinnaosa,</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72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Pohja pst 25, 10415,</w:t>
            </w:r>
          </w:p>
        </w:tc>
        <w:tc>
          <w:tcPr>
            <w:tcW w:w="23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Estonia</w:t>
            </w:r>
          </w:p>
        </w:tc>
        <w:tc>
          <w:tcPr>
            <w:tcW w:w="23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Finland Oy</w:t>
            </w: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c/o BDO Oy, Tax and Legal</w:t>
            </w:r>
          </w:p>
        </w:tc>
        <w:tc>
          <w:tcPr>
            <w:tcW w:w="236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Porkkalankatu 3</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720" w:type="dxa"/>
            <w:vAlign w:val="bottom"/>
          </w:tcPr>
          <w:p>
            <w:pPr>
              <w:ind w:left="220"/>
              <w:spacing w:after="0" w:line="128" w:lineRule="exact"/>
              <w:rPr>
                <w:sz w:val="20"/>
                <w:szCs w:val="20"/>
                <w:color w:val="auto"/>
              </w:rPr>
            </w:pPr>
            <w:r>
              <w:rPr>
                <w:rFonts w:ascii="Arial" w:cs="Arial" w:eastAsia="Arial" w:hAnsi="Arial"/>
                <w:sz w:val="13"/>
                <w:szCs w:val="13"/>
                <w:color w:val="auto"/>
              </w:rPr>
              <w:t>00180 HELSINKI</w:t>
            </w:r>
          </w:p>
        </w:tc>
        <w:tc>
          <w:tcPr>
            <w:tcW w:w="23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42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Arial" w:cs="Arial" w:eastAsia="Arial" w:hAnsi="Arial"/>
                <w:sz w:val="13"/>
                <w:szCs w:val="13"/>
                <w:color w:val="auto"/>
              </w:rPr>
              <w:t>Finland</w:t>
            </w:r>
          </w:p>
        </w:tc>
        <w:tc>
          <w:tcPr>
            <w:tcW w:w="2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420" w:type="dxa"/>
            <w:vAlign w:val="bottom"/>
          </w:tcPr>
          <w:p>
            <w:pPr>
              <w:spacing w:after="0"/>
              <w:rPr>
                <w:sz w:val="24"/>
                <w:szCs w:val="24"/>
                <w:color w:val="auto"/>
              </w:rPr>
            </w:pPr>
          </w:p>
        </w:tc>
        <w:tc>
          <w:tcPr>
            <w:tcW w:w="3720" w:type="dxa"/>
            <w:vAlign w:val="bottom"/>
          </w:tcPr>
          <w:p>
            <w:pPr>
              <w:ind w:left="2120"/>
              <w:spacing w:after="0"/>
              <w:rPr>
                <w:sz w:val="20"/>
                <w:szCs w:val="20"/>
                <w:color w:val="auto"/>
              </w:rPr>
            </w:pPr>
            <w:r>
              <w:rPr>
                <w:rFonts w:ascii="Arial" w:cs="Arial" w:eastAsia="Arial" w:hAnsi="Arial"/>
                <w:sz w:val="13"/>
                <w:szCs w:val="13"/>
                <w:color w:val="auto"/>
              </w:rPr>
              <w:t>112</w:t>
            </w: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26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DOCS International Finland Oy</w:t>
            </w:r>
          </w:p>
        </w:tc>
        <w:tc>
          <w:tcPr>
            <w:tcW w:w="360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Mannerheimintie 12B,</w:t>
            </w:r>
          </w:p>
        </w:tc>
        <w:tc>
          <w:tcPr>
            <w:tcW w:w="2260" w:type="dxa"/>
            <w:vAlign w:val="bottom"/>
            <w:shd w:val="clear" w:color="auto" w:fill="CCEEFF"/>
          </w:tcPr>
          <w:p>
            <w:pPr>
              <w:ind w:left="4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00100 Helsinki</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Finland</w:t>
            </w:r>
          </w:p>
        </w:tc>
        <w:tc>
          <w:tcPr>
            <w:tcW w:w="2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France S.A.S.</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55 Avenue des Champs Pierreux</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Immeuble le Capitole</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92000 Nanterre</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640" w:type="dxa"/>
            <w:vAlign w:val="bottom"/>
          </w:tcPr>
          <w:p>
            <w:pPr>
              <w:spacing w:after="0"/>
              <w:rPr>
                <w:sz w:val="14"/>
                <w:szCs w:val="14"/>
                <w:color w:val="auto"/>
              </w:rPr>
            </w:pPr>
          </w:p>
        </w:tc>
        <w:tc>
          <w:tcPr>
            <w:tcW w:w="3600" w:type="dxa"/>
            <w:vAlign w:val="bottom"/>
          </w:tcPr>
          <w:p>
            <w:pPr>
              <w:spacing w:after="0" w:line="170" w:lineRule="exact"/>
              <w:rPr>
                <w:sz w:val="20"/>
                <w:szCs w:val="20"/>
                <w:color w:val="auto"/>
              </w:rPr>
            </w:pPr>
            <w:r>
              <w:rPr>
                <w:rFonts w:ascii="Arial" w:cs="Arial" w:eastAsia="Arial" w:hAnsi="Arial"/>
                <w:sz w:val="13"/>
                <w:szCs w:val="13"/>
                <w:color w:val="auto"/>
              </w:rPr>
              <w:t>France</w:t>
            </w:r>
            <w:r>
              <w:rPr>
                <w:rFonts w:ascii="Arial" w:cs="Arial" w:eastAsia="Arial" w:hAnsi="Arial"/>
                <w:sz w:val="16"/>
                <w:szCs w:val="16"/>
                <w:color w:val="auto"/>
                <w:vertAlign w:val="superscript"/>
              </w:rPr>
              <w:t>4</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Clinical Research S.A.R.L.</w:t>
            </w: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55 Avenue des Champs Pierreux</w:t>
            </w:r>
          </w:p>
        </w:tc>
        <w:tc>
          <w:tcPr>
            <w:tcW w:w="2260" w:type="dxa"/>
            <w:vAlign w:val="bottom"/>
            <w:shd w:val="clear" w:color="auto" w:fill="CCEEFF"/>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Immeuble le Capitole</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92000 Nanterre</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221"/>
        </w:trPr>
        <w:tc>
          <w:tcPr>
            <w:tcW w:w="36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France</w:t>
            </w:r>
            <w:r>
              <w:rPr>
                <w:rFonts w:ascii="Arial" w:cs="Arial" w:eastAsia="Arial" w:hAnsi="Arial"/>
                <w:sz w:val="16"/>
                <w:szCs w:val="16"/>
                <w:color w:val="auto"/>
                <w:vertAlign w:val="superscript"/>
              </w:rPr>
              <w:t>5</w:t>
            </w:r>
          </w:p>
        </w:tc>
        <w:tc>
          <w:tcPr>
            <w:tcW w:w="2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330"/>
        </w:trPr>
        <w:tc>
          <w:tcPr>
            <w:tcW w:w="364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Mapi Research Trust</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27 rue de la Villette,</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6</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69003 Lyon,</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France</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France SAS</w:t>
            </w:r>
          </w:p>
        </w:tc>
        <w:tc>
          <w:tcPr>
            <w:tcW w:w="3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55 Avenue des Champs Pierreux</w:t>
            </w:r>
          </w:p>
        </w:tc>
        <w:tc>
          <w:tcPr>
            <w:tcW w:w="226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Immeuble le Capitole</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92000 Nanterre</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221"/>
        </w:trPr>
        <w:tc>
          <w:tcPr>
            <w:tcW w:w="36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France</w:t>
            </w:r>
            <w:r>
              <w:rPr>
                <w:rFonts w:ascii="Arial" w:cs="Arial" w:eastAsia="Arial" w:hAnsi="Arial"/>
                <w:sz w:val="16"/>
                <w:szCs w:val="16"/>
                <w:color w:val="auto"/>
                <w:vertAlign w:val="superscript"/>
              </w:rPr>
              <w:t>7</w:t>
            </w:r>
          </w:p>
        </w:tc>
        <w:tc>
          <w:tcPr>
            <w:tcW w:w="2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39"/>
        </w:trPr>
        <w:tc>
          <w:tcPr>
            <w:tcW w:w="36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IMP Logistics Georgia LLC</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Mtatsminda District</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Freedom Square N4 (Plot 66/4)</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Tbilisi, Georgia</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Georgia LLC</w:t>
            </w:r>
          </w:p>
        </w:tc>
        <w:tc>
          <w:tcPr>
            <w:tcW w:w="3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42-42a (Building No. 1)</w:t>
            </w:r>
          </w:p>
        </w:tc>
        <w:tc>
          <w:tcPr>
            <w:tcW w:w="226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Alexander Kazbegi Avenue</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Vake-Saburtalo District</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Tbilisi, Georgia</w:t>
            </w:r>
          </w:p>
        </w:tc>
        <w:tc>
          <w:tcPr>
            <w:tcW w:w="2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KCR LLC</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Georgia, Tbilisi, Didube District, Davit Aghmashenebeli</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Avenue, N 61,</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640" w:type="dxa"/>
            <w:vAlign w:val="bottom"/>
          </w:tcPr>
          <w:p>
            <w:pPr>
              <w:spacing w:after="0"/>
              <w:rPr>
                <w:sz w:val="14"/>
                <w:szCs w:val="14"/>
                <w:color w:val="auto"/>
              </w:rPr>
            </w:pPr>
          </w:p>
        </w:tc>
        <w:tc>
          <w:tcPr>
            <w:tcW w:w="3600" w:type="dxa"/>
            <w:vAlign w:val="bottom"/>
          </w:tcPr>
          <w:p>
            <w:pPr>
              <w:spacing w:after="0" w:line="170" w:lineRule="exact"/>
              <w:rPr>
                <w:sz w:val="20"/>
                <w:szCs w:val="20"/>
                <w:color w:val="auto"/>
              </w:rPr>
            </w:pPr>
            <w:r>
              <w:rPr>
                <w:rFonts w:ascii="Arial" w:cs="Arial" w:eastAsia="Arial" w:hAnsi="Arial"/>
                <w:sz w:val="13"/>
                <w:szCs w:val="13"/>
                <w:color w:val="auto"/>
              </w:rPr>
              <w:t>Georgia</w:t>
            </w:r>
            <w:r>
              <w:rPr>
                <w:rFonts w:ascii="Arial" w:cs="Arial" w:eastAsia="Arial" w:hAnsi="Arial"/>
                <w:sz w:val="16"/>
                <w:szCs w:val="16"/>
                <w:color w:val="auto"/>
                <w:vertAlign w:val="superscript"/>
              </w:rPr>
              <w:t>8</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Clinical Research Germany GmbH</w:t>
            </w: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Heinrich-Hertz-Straße 26</w:t>
            </w:r>
          </w:p>
        </w:tc>
        <w:tc>
          <w:tcPr>
            <w:tcW w:w="2260" w:type="dxa"/>
            <w:vAlign w:val="bottom"/>
            <w:shd w:val="clear" w:color="auto" w:fill="CCEEFF"/>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63225</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Langen</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Hessen</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c>
          <w:tcPr>
            <w:tcW w:w="2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Oncacare (Germany) GmbH</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Heinrich-Hertz-Straße 26</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63225</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Langen</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Hessen</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Germany</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6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Averion Europe GmbH i.L</w:t>
            </w: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Konrad-Zuse-Platz 11</w:t>
            </w:r>
          </w:p>
        </w:tc>
        <w:tc>
          <w:tcPr>
            <w:tcW w:w="2260" w:type="dxa"/>
            <w:vAlign w:val="bottom"/>
            <w:shd w:val="clear" w:color="auto" w:fill="CCEEFF"/>
          </w:tcPr>
          <w:p>
            <w:pPr>
              <w:ind w:left="48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81829 München</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67"/>
        </w:trPr>
        <w:tc>
          <w:tcPr>
            <w:tcW w:w="3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c>
          <w:tcPr>
            <w:tcW w:w="2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30"/>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KCR Placement GmbH</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Am Kupfergraben 4 - 4 a,</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Pergamon Palais,</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10117 Berlin,</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Germany</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GmbH</w:t>
            </w:r>
          </w:p>
        </w:tc>
        <w:tc>
          <w:tcPr>
            <w:tcW w:w="3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Am Kupfergraben 4-4a,</w:t>
            </w:r>
          </w:p>
        </w:tc>
        <w:tc>
          <w:tcPr>
            <w:tcW w:w="226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Pergamon Palais,</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10117, Berlin,</w:t>
            </w:r>
          </w:p>
        </w:tc>
        <w:tc>
          <w:tcPr>
            <w:tcW w:w="2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c>
          <w:tcPr>
            <w:tcW w:w="2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Greece A.E.</w:t>
            </w: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81 Ifigeneias Street</w:t>
            </w:r>
          </w:p>
        </w:tc>
        <w:tc>
          <w:tcPr>
            <w:tcW w:w="226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Nea Ionia 142 31</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Attikis,</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600" w:type="dxa"/>
            <w:vAlign w:val="bottom"/>
          </w:tcPr>
          <w:p>
            <w:pPr>
              <w:spacing w:after="0" w:line="128" w:lineRule="exact"/>
              <w:rPr>
                <w:sz w:val="20"/>
                <w:szCs w:val="20"/>
                <w:color w:val="auto"/>
              </w:rPr>
            </w:pPr>
            <w:r>
              <w:rPr>
                <w:rFonts w:ascii="Arial" w:cs="Arial" w:eastAsia="Arial" w:hAnsi="Arial"/>
                <w:sz w:val="13"/>
                <w:szCs w:val="13"/>
                <w:color w:val="auto"/>
              </w:rPr>
              <w:t>Athens,</w:t>
            </w:r>
          </w:p>
        </w:tc>
        <w:tc>
          <w:tcPr>
            <w:tcW w:w="2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Greece</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64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Guatemala, S.A.</w:t>
            </w:r>
          </w:p>
        </w:tc>
        <w:tc>
          <w:tcPr>
            <w:tcW w:w="3600" w:type="dxa"/>
            <w:vAlign w:val="bottom"/>
          </w:tcPr>
          <w:p>
            <w:pPr>
              <w:spacing w:after="0" w:line="130" w:lineRule="exact"/>
              <w:rPr>
                <w:sz w:val="20"/>
                <w:szCs w:val="20"/>
                <w:color w:val="auto"/>
              </w:rPr>
            </w:pPr>
            <w:r>
              <w:rPr>
                <w:rFonts w:ascii="Arial" w:cs="Arial" w:eastAsia="Arial" w:hAnsi="Arial"/>
                <w:sz w:val="13"/>
                <w:szCs w:val="13"/>
                <w:color w:val="auto"/>
              </w:rPr>
              <w:t>5 Avenida 5-55, Zona 14</w:t>
            </w:r>
          </w:p>
        </w:tc>
        <w:tc>
          <w:tcPr>
            <w:tcW w:w="2260" w:type="dxa"/>
            <w:vAlign w:val="bottom"/>
          </w:tcPr>
          <w:p>
            <w:pPr>
              <w:ind w:left="48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39"/>
        </w:trPr>
        <w:tc>
          <w:tcPr>
            <w:tcW w:w="3640" w:type="dxa"/>
            <w:vAlign w:val="bottom"/>
          </w:tcPr>
          <w:p>
            <w:pPr>
              <w:spacing w:after="0"/>
              <w:rPr>
                <w:sz w:val="12"/>
                <w:szCs w:val="12"/>
                <w:color w:val="auto"/>
              </w:rPr>
            </w:pPr>
          </w:p>
        </w:tc>
        <w:tc>
          <w:tcPr>
            <w:tcW w:w="3600" w:type="dxa"/>
            <w:vAlign w:val="bottom"/>
          </w:tcPr>
          <w:p>
            <w:pPr>
              <w:spacing w:after="0" w:line="139" w:lineRule="exact"/>
              <w:rPr>
                <w:sz w:val="20"/>
                <w:szCs w:val="20"/>
                <w:color w:val="auto"/>
              </w:rPr>
            </w:pPr>
            <w:r>
              <w:rPr>
                <w:rFonts w:ascii="Arial" w:cs="Arial" w:eastAsia="Arial" w:hAnsi="Arial"/>
                <w:sz w:val="13"/>
                <w:szCs w:val="13"/>
                <w:color w:val="auto"/>
              </w:rPr>
              <w:t>Edificio Europlaza World Business Center</w:t>
            </w:r>
          </w:p>
        </w:tc>
        <w:tc>
          <w:tcPr>
            <w:tcW w:w="2260" w:type="dxa"/>
            <w:vAlign w:val="bottom"/>
          </w:tcPr>
          <w:p>
            <w:pPr>
              <w:spacing w:after="0"/>
              <w:rPr>
                <w:sz w:val="12"/>
                <w:szCs w:val="12"/>
                <w:color w:val="auto"/>
              </w:rPr>
            </w:pPr>
          </w:p>
        </w:tc>
        <w:tc>
          <w:tcPr>
            <w:tcW w:w="17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431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ind w:left="3640"/>
        <w:spacing w:after="0" w:line="204" w:lineRule="auto"/>
        <w:rPr>
          <w:sz w:val="20"/>
          <w:szCs w:val="20"/>
          <w:color w:val="auto"/>
        </w:rPr>
      </w:pPr>
      <w:r>
        <w:rPr>
          <w:rFonts w:ascii="Arial" w:cs="Arial" w:eastAsia="Arial" w:hAnsi="Arial"/>
          <w:sz w:val="13"/>
          <w:szCs w:val="13"/>
          <w:color w:val="auto"/>
        </w:rPr>
        <w:t>Torre II, Nivel 9</w:t>
      </w:r>
    </w:p>
    <w:p>
      <w:pPr>
        <w:ind w:left="3640"/>
        <w:spacing w:after="0" w:line="204" w:lineRule="auto"/>
        <w:rPr>
          <w:sz w:val="20"/>
          <w:szCs w:val="20"/>
          <w:color w:val="auto"/>
        </w:rPr>
      </w:pPr>
      <w:r>
        <w:rPr>
          <w:rFonts w:ascii="Arial" w:cs="Arial" w:eastAsia="Arial" w:hAnsi="Arial"/>
          <w:sz w:val="13"/>
          <w:szCs w:val="13"/>
          <w:color w:val="auto"/>
        </w:rPr>
        <w:t>Guatemala City,</w:t>
      </w:r>
    </w:p>
    <w:p>
      <w:pPr>
        <w:ind w:left="3640"/>
        <w:spacing w:after="0"/>
        <w:rPr>
          <w:sz w:val="20"/>
          <w:szCs w:val="20"/>
          <w:color w:val="auto"/>
        </w:rPr>
      </w:pPr>
      <w:r>
        <w:rPr>
          <w:rFonts w:ascii="Arial" w:cs="Arial" w:eastAsia="Arial" w:hAnsi="Arial"/>
          <w:sz w:val="13"/>
          <w:szCs w:val="13"/>
          <w:color w:val="auto"/>
        </w:rPr>
        <w:t>Guatemala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260"/>
          </w:cols>
          <w:pgMar w:left="300" w:top="69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520" w:type="dxa"/>
            <w:vAlign w:val="bottom"/>
            <w:shd w:val="clear" w:color="auto" w:fill="CCEEFF"/>
          </w:tcPr>
          <w:p>
            <w:pPr>
              <w:ind w:left="560"/>
              <w:spacing w:after="0"/>
              <w:rPr>
                <w:sz w:val="20"/>
                <w:szCs w:val="20"/>
                <w:color w:val="auto"/>
              </w:rPr>
            </w:pPr>
            <w:r>
              <w:rPr>
                <w:rFonts w:ascii="Arial" w:cs="Arial" w:eastAsia="Arial" w:hAnsi="Arial"/>
                <w:sz w:val="13"/>
                <w:szCs w:val="13"/>
                <w:b w:val="1"/>
                <w:bCs w:val="1"/>
                <w:color w:val="auto"/>
              </w:rPr>
              <w:t>Nature of business</w:t>
            </w:r>
          </w:p>
        </w:tc>
        <w:tc>
          <w:tcPr>
            <w:tcW w:w="15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6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spacing w:after="0"/>
              <w:rPr>
                <w:sz w:val="14"/>
                <w:szCs w:val="14"/>
                <w:color w:val="auto"/>
              </w:rPr>
            </w:pPr>
          </w:p>
        </w:tc>
        <w:tc>
          <w:tcPr>
            <w:tcW w:w="25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60" w:type="dxa"/>
            <w:vAlign w:val="bottom"/>
          </w:tcPr>
          <w:p>
            <w:pPr>
              <w:ind w:left="20"/>
              <w:spacing w:after="0" w:line="118" w:lineRule="exact"/>
              <w:rPr>
                <w:sz w:val="20"/>
                <w:szCs w:val="20"/>
                <w:color w:val="auto"/>
              </w:rPr>
            </w:pPr>
            <w:r>
              <w:rPr>
                <w:rFonts w:ascii="Arial" w:cs="Arial" w:eastAsia="Arial" w:hAnsi="Arial"/>
                <w:sz w:val="13"/>
                <w:szCs w:val="13"/>
                <w:color w:val="auto"/>
              </w:rPr>
              <w:t>PRA Health Sciences (Hong Kong) Limited</w:t>
            </w:r>
          </w:p>
        </w:tc>
        <w:tc>
          <w:tcPr>
            <w:tcW w:w="3600" w:type="dxa"/>
            <w:vAlign w:val="bottom"/>
          </w:tcPr>
          <w:p>
            <w:pPr>
              <w:ind w:left="80"/>
              <w:spacing w:after="0" w:line="118" w:lineRule="exact"/>
              <w:rPr>
                <w:sz w:val="20"/>
                <w:szCs w:val="20"/>
                <w:color w:val="auto"/>
              </w:rPr>
            </w:pPr>
            <w:r>
              <w:rPr>
                <w:rFonts w:ascii="Arial" w:cs="Arial" w:eastAsia="Arial" w:hAnsi="Arial"/>
                <w:sz w:val="13"/>
                <w:szCs w:val="13"/>
                <w:color w:val="auto"/>
              </w:rPr>
              <w:t>Unit 4321 &amp; 4336A, 43/F</w:t>
            </w:r>
          </w:p>
        </w:tc>
        <w:tc>
          <w:tcPr>
            <w:tcW w:w="2520" w:type="dxa"/>
            <w:vAlign w:val="bottom"/>
          </w:tcPr>
          <w:p>
            <w:pPr>
              <w:ind w:left="560"/>
              <w:spacing w:after="0" w:line="118" w:lineRule="exact"/>
              <w:rPr>
                <w:sz w:val="20"/>
                <w:szCs w:val="20"/>
                <w:color w:val="auto"/>
              </w:rPr>
            </w:pPr>
            <w:r>
              <w:rPr>
                <w:rFonts w:ascii="Arial" w:cs="Arial" w:eastAsia="Arial" w:hAnsi="Arial"/>
                <w:sz w:val="13"/>
                <w:szCs w:val="13"/>
                <w:color w:val="auto"/>
              </w:rPr>
              <w:t>Clinical research services</w:t>
            </w:r>
          </w:p>
        </w:tc>
        <w:tc>
          <w:tcPr>
            <w:tcW w:w="1580" w:type="dxa"/>
            <w:vAlign w:val="bottom"/>
          </w:tcPr>
          <w:p>
            <w:pPr>
              <w:ind w:left="14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AIA Tower, 183 Electric Road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North Point, Hong Kong</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Hong Kong Limited</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Unit 4333 &amp; 4335C, 43/F</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Clinical research services</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AIA Tower, 183 Electric Road</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North Point, Hong Kong</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w w:val="99"/>
              </w:rPr>
              <w:t>Pharmaceutical Research Associates Hungary Research and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Szepvolgyi ut 39</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Clinical research</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Development Ltd.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HU-1037 Budapest</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7"/>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Hungary</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30"/>
        </w:trPr>
        <w:tc>
          <w:tcPr>
            <w:tcW w:w="356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Limited Liability Company</w:t>
            </w:r>
          </w:p>
        </w:tc>
        <w:tc>
          <w:tcPr>
            <w:tcW w:w="3600" w:type="dxa"/>
            <w:vAlign w:val="bottom"/>
          </w:tcPr>
          <w:p>
            <w:pPr>
              <w:ind w:left="80"/>
              <w:spacing w:after="0" w:line="130" w:lineRule="exact"/>
              <w:rPr>
                <w:sz w:val="20"/>
                <w:szCs w:val="20"/>
                <w:color w:val="auto"/>
              </w:rPr>
            </w:pPr>
            <w:r>
              <w:rPr>
                <w:rFonts w:ascii="Arial" w:cs="Arial" w:eastAsia="Arial" w:hAnsi="Arial"/>
                <w:sz w:val="13"/>
                <w:szCs w:val="13"/>
                <w:color w:val="auto"/>
              </w:rPr>
              <w:t>Szepvolgyi ut 39</w:t>
            </w:r>
          </w:p>
        </w:tc>
        <w:tc>
          <w:tcPr>
            <w:tcW w:w="2520" w:type="dxa"/>
            <w:vAlign w:val="bottom"/>
          </w:tcPr>
          <w:p>
            <w:pPr>
              <w:ind w:left="560"/>
              <w:spacing w:after="0" w:line="130" w:lineRule="exact"/>
              <w:rPr>
                <w:sz w:val="20"/>
                <w:szCs w:val="20"/>
                <w:color w:val="auto"/>
              </w:rPr>
            </w:pPr>
            <w:r>
              <w:rPr>
                <w:rFonts w:ascii="Arial" w:cs="Arial" w:eastAsia="Arial" w:hAnsi="Arial"/>
                <w:sz w:val="13"/>
                <w:szCs w:val="13"/>
                <w:color w:val="auto"/>
              </w:rPr>
              <w:t>Clinical research</w:t>
            </w:r>
          </w:p>
        </w:tc>
        <w:tc>
          <w:tcPr>
            <w:tcW w:w="1580" w:type="dxa"/>
            <w:vAlign w:val="bottom"/>
          </w:tcPr>
          <w:p>
            <w:pPr>
              <w:ind w:left="14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HU-1037 Budapest</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Hungary</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Iceland ehf.</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Skipholti 50D</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Clinical research services</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105 Reykjavik, Iceland</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India Private Limited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Level 3, Level 4, Block 1,</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Clinical research services</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Prestige Blue Chip Software Park</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Municipal No 9, Hosur Road,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Adugodi, Madiwala Range, Ward No 63,</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Bangalore – 560029</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Karnataka</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India Private Limited</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CHENNAI ONE IT PARK ITE/ITES SEZ North Block</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Clinical research</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Block B, 4th Floor, Thoraipakkam</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Chennai</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Tamil Nadu-TN</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600097</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India</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Limited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South County Business Park,</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Clinical research services</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Property Development (Ireland)</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South County Business Park,</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Property management company</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Limited</w:t>
            </w: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ICON Holdings Clinical Research International Limited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South County Business Park,</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Investment holding company</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Five Unlimited Company</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South County Business Park,</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Investment holding</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shd w:val="clear" w:color="auto" w:fill="CCEEFF"/>
          </w:tcPr>
          <w:p>
            <w:pPr>
              <w:ind w:left="560"/>
              <w:spacing w:after="0" w:line="128" w:lineRule="exact"/>
              <w:rPr>
                <w:sz w:val="20"/>
                <w:szCs w:val="20"/>
                <w:color w:val="auto"/>
              </w:rPr>
            </w:pPr>
            <w:r>
              <w:rPr>
                <w:rFonts w:ascii="Arial" w:cs="Arial" w:eastAsia="Arial" w:hAnsi="Arial"/>
                <w:sz w:val="13"/>
                <w:szCs w:val="13"/>
                <w:color w:val="auto"/>
              </w:rPr>
              <w:t>and financing</w:t>
            </w: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shd w:val="clear" w:color="auto" w:fill="CCEEFF"/>
          </w:tcPr>
          <w:p>
            <w:pPr>
              <w:ind w:left="560"/>
              <w:spacing w:after="0" w:line="128" w:lineRule="exact"/>
              <w:rPr>
                <w:sz w:val="20"/>
                <w:szCs w:val="20"/>
                <w:color w:val="auto"/>
              </w:rPr>
            </w:pPr>
            <w:r>
              <w:rPr>
                <w:rFonts w:ascii="Arial" w:cs="Arial" w:eastAsia="Arial" w:hAnsi="Arial"/>
                <w:sz w:val="13"/>
                <w:szCs w:val="13"/>
                <w:color w:val="auto"/>
              </w:rPr>
              <w:t>company</w:t>
            </w: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Four Unlimited Company</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South County Business Park,</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Investment holding</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and financing</w:t>
            </w: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company</w:t>
            </w: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Holdings Unlimited Company</w:t>
            </w:r>
          </w:p>
        </w:tc>
        <w:tc>
          <w:tcPr>
            <w:tcW w:w="3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South County Business Park,</w:t>
            </w:r>
          </w:p>
        </w:tc>
        <w:tc>
          <w:tcPr>
            <w:tcW w:w="2520" w:type="dxa"/>
            <w:vAlign w:val="bottom"/>
            <w:shd w:val="clear" w:color="auto" w:fill="CCEEFF"/>
          </w:tcPr>
          <w:p>
            <w:pPr>
              <w:ind w:left="560"/>
              <w:spacing w:after="0" w:line="129" w:lineRule="exact"/>
              <w:rPr>
                <w:sz w:val="20"/>
                <w:szCs w:val="20"/>
                <w:color w:val="auto"/>
              </w:rPr>
            </w:pPr>
            <w:r>
              <w:rPr>
                <w:rFonts w:ascii="Arial" w:cs="Arial" w:eastAsia="Arial" w:hAnsi="Arial"/>
                <w:sz w:val="13"/>
                <w:szCs w:val="13"/>
                <w:color w:val="auto"/>
              </w:rPr>
              <w:t>Investment holding company</w:t>
            </w:r>
          </w:p>
        </w:tc>
        <w:tc>
          <w:tcPr>
            <w:tcW w:w="15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60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Accellacare Limited</w:t>
            </w: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South County Business Park,</w:t>
            </w:r>
          </w:p>
        </w:tc>
        <w:tc>
          <w:tcPr>
            <w:tcW w:w="2520" w:type="dxa"/>
            <w:vAlign w:val="bottom"/>
          </w:tcPr>
          <w:p>
            <w:pPr>
              <w:ind w:left="560"/>
              <w:spacing w:after="0" w:line="128" w:lineRule="exact"/>
              <w:rPr>
                <w:sz w:val="20"/>
                <w:szCs w:val="20"/>
                <w:color w:val="auto"/>
              </w:rPr>
            </w:pPr>
            <w:r>
              <w:rPr>
                <w:rFonts w:ascii="Arial" w:cs="Arial" w:eastAsia="Arial" w:hAnsi="Arial"/>
                <w:sz w:val="13"/>
                <w:szCs w:val="13"/>
                <w:color w:val="auto"/>
              </w:rPr>
              <w:t>Clinical research services</w:t>
            </w:r>
          </w:p>
        </w:tc>
        <w:tc>
          <w:tcPr>
            <w:tcW w:w="1580" w:type="dxa"/>
            <w:vAlign w:val="bottom"/>
          </w:tcPr>
          <w:p>
            <w:pPr>
              <w:ind w:left="1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Leopardstown,</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Dublin 18</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600" w:type="dxa"/>
            <w:vAlign w:val="bottom"/>
          </w:tcPr>
          <w:p>
            <w:pPr>
              <w:ind w:left="80"/>
              <w:spacing w:after="0" w:line="128" w:lineRule="exact"/>
              <w:rPr>
                <w:sz w:val="20"/>
                <w:szCs w:val="20"/>
                <w:color w:val="auto"/>
              </w:rPr>
            </w:pPr>
            <w:r>
              <w:rPr>
                <w:rFonts w:ascii="Arial" w:cs="Arial" w:eastAsia="Arial" w:hAnsi="Arial"/>
                <w:sz w:val="13"/>
                <w:szCs w:val="13"/>
                <w:color w:val="auto"/>
              </w:rPr>
              <w:t>Republic of Ireland</w:t>
            </w:r>
          </w:p>
        </w:tc>
        <w:tc>
          <w:tcPr>
            <w:tcW w:w="2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7"/>
        </w:trPr>
        <w:tc>
          <w:tcPr>
            <w:tcW w:w="356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D18 X5R3</w:t>
            </w: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84"/>
        </w:trPr>
        <w:tc>
          <w:tcPr>
            <w:tcW w:w="3560" w:type="dxa"/>
            <w:vAlign w:val="bottom"/>
          </w:tcPr>
          <w:p>
            <w:pPr>
              <w:spacing w:after="0"/>
              <w:rPr>
                <w:sz w:val="24"/>
                <w:szCs w:val="24"/>
                <w:color w:val="auto"/>
              </w:rPr>
            </w:pPr>
          </w:p>
        </w:tc>
        <w:tc>
          <w:tcPr>
            <w:tcW w:w="3600" w:type="dxa"/>
            <w:vAlign w:val="bottom"/>
          </w:tcPr>
          <w:p>
            <w:pPr>
              <w:ind w:left="1980"/>
              <w:spacing w:after="0"/>
              <w:rPr>
                <w:sz w:val="20"/>
                <w:szCs w:val="20"/>
                <w:color w:val="auto"/>
              </w:rPr>
            </w:pPr>
            <w:r>
              <w:rPr>
                <w:rFonts w:ascii="Arial" w:cs="Arial" w:eastAsia="Arial" w:hAnsi="Arial"/>
                <w:sz w:val="13"/>
                <w:szCs w:val="13"/>
                <w:color w:val="auto"/>
              </w:rPr>
              <w:t>114</w:t>
            </w: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80" w:type="dxa"/>
            <w:vAlign w:val="bottom"/>
            <w:shd w:val="clear" w:color="auto" w:fill="CCEEFF"/>
          </w:tcPr>
          <w:p>
            <w:pPr>
              <w:ind w:left="2300"/>
              <w:spacing w:after="0"/>
              <w:rPr>
                <w:sz w:val="20"/>
                <w:szCs w:val="20"/>
                <w:color w:val="auto"/>
              </w:rPr>
            </w:pPr>
            <w:r>
              <w:rPr>
                <w:rFonts w:ascii="Arial" w:cs="Arial" w:eastAsia="Arial" w:hAnsi="Arial"/>
                <w:sz w:val="13"/>
                <w:szCs w:val="13"/>
                <w:b w:val="1"/>
                <w:bCs w:val="1"/>
                <w:color w:val="auto"/>
              </w:rPr>
              <w:t>Nature of business</w:t>
            </w:r>
          </w:p>
        </w:tc>
        <w:tc>
          <w:tcPr>
            <w:tcW w:w="15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c>
          <w:tcPr>
            <w:tcW w:w="0" w:type="dxa"/>
            <w:vAlign w:val="bottom"/>
          </w:tcPr>
          <w:p>
            <w:pPr>
              <w:spacing w:after="0"/>
              <w:rPr>
                <w:sz w:val="1"/>
                <w:szCs w:val="1"/>
                <w:color w:val="auto"/>
              </w:rPr>
            </w:pP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4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c>
          <w:tcPr>
            <w:tcW w:w="0" w:type="dxa"/>
            <w:vAlign w:val="bottom"/>
          </w:tcPr>
          <w:p>
            <w:pPr>
              <w:spacing w:after="0"/>
              <w:rPr>
                <w:sz w:val="1"/>
                <w:szCs w:val="1"/>
                <w:color w:val="auto"/>
              </w:rPr>
            </w:pP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(LR) Limited</w:t>
            </w:r>
          </w:p>
        </w:tc>
        <w:tc>
          <w:tcPr>
            <w:tcW w:w="17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18" w:lineRule="exact"/>
              <w:rPr>
                <w:sz w:val="20"/>
                <w:szCs w:val="20"/>
                <w:color w:val="auto"/>
              </w:rPr>
            </w:pPr>
            <w:r>
              <w:rPr>
                <w:rFonts w:ascii="Arial" w:cs="Arial" w:eastAsia="Arial" w:hAnsi="Arial"/>
                <w:sz w:val="13"/>
                <w:szCs w:val="13"/>
                <w:color w:val="auto"/>
              </w:rPr>
              <w:t>Clinical research services</w:t>
            </w:r>
          </w:p>
        </w:tc>
        <w:tc>
          <w:tcPr>
            <w:tcW w:w="1560" w:type="dxa"/>
            <w:vAlign w:val="bottom"/>
            <w:shd w:val="clear" w:color="auto" w:fill="CCEEFF"/>
          </w:tcPr>
          <w:p>
            <w:pPr>
              <w:ind w:left="120"/>
              <w:spacing w:after="0" w:line="11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Global Holdings Unlimited Company</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company</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100%</w:t>
            </w:r>
            <w:r>
              <w:rPr>
                <w:rFonts w:ascii="Arial" w:cs="Arial" w:eastAsia="Arial" w:hAnsi="Arial"/>
                <w:sz w:val="16"/>
                <w:szCs w:val="16"/>
                <w:color w:val="auto"/>
                <w:vertAlign w:val="superscript"/>
              </w:rPr>
              <w:t>2</w:t>
            </w:r>
          </w:p>
        </w:tc>
        <w:tc>
          <w:tcPr>
            <w:tcW w:w="0" w:type="dxa"/>
            <w:vAlign w:val="bottom"/>
          </w:tcPr>
          <w:p>
            <w:pPr>
              <w:spacing w:after="0"/>
              <w:rPr>
                <w:sz w:val="1"/>
                <w:szCs w:val="1"/>
                <w:color w:val="auto"/>
              </w:rPr>
            </w:pPr>
          </w:p>
        </w:tc>
      </w:tr>
      <w:tr>
        <w:trPr>
          <w:trHeight w:val="130"/>
        </w:trPr>
        <w:tc>
          <w:tcPr>
            <w:tcW w:w="364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Property Holdings (Ireland) Limited</w:t>
            </w:r>
          </w:p>
        </w:tc>
        <w:tc>
          <w:tcPr>
            <w:tcW w:w="1780" w:type="dxa"/>
            <w:vAlign w:val="bottom"/>
          </w:tcPr>
          <w:p>
            <w:pPr>
              <w:spacing w:after="0" w:line="130"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30" w:lineRule="exact"/>
              <w:rPr>
                <w:sz w:val="20"/>
                <w:szCs w:val="20"/>
                <w:color w:val="auto"/>
              </w:rPr>
            </w:pPr>
            <w:r>
              <w:rPr>
                <w:rFonts w:ascii="Arial" w:cs="Arial" w:eastAsia="Arial" w:hAnsi="Arial"/>
                <w:sz w:val="13"/>
                <w:szCs w:val="13"/>
                <w:color w:val="auto"/>
              </w:rPr>
              <w:t>Property management company</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Operational Financing Unlimited Company</w:t>
            </w:r>
          </w:p>
        </w:tc>
        <w:tc>
          <w:tcPr>
            <w:tcW w:w="17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 and financing</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Operational Holdings Unlimited Company</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company</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Limited</w:t>
            </w:r>
          </w:p>
        </w:tc>
        <w:tc>
          <w:tcPr>
            <w:tcW w:w="17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Clinical research</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Six Designated Activity Company</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w:t>
            </w:r>
          </w:p>
        </w:tc>
        <w:tc>
          <w:tcPr>
            <w:tcW w:w="1560" w:type="dxa"/>
            <w:vAlign w:val="bottom"/>
          </w:tcPr>
          <w:p>
            <w:pPr>
              <w:ind w:left="12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and financing</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ICON Clinical Research Holdings (Ireland) Unlimited Company</w:t>
            </w:r>
          </w:p>
        </w:tc>
        <w:tc>
          <w:tcPr>
            <w:tcW w:w="17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 company</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Global Treasury Unlimited Company</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and financing</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Israel Ltd.</w:t>
            </w:r>
          </w:p>
        </w:tc>
        <w:tc>
          <w:tcPr>
            <w:tcW w:w="17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Building E, 13th Floor</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Clinical research services</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 Haharash Street</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Hod Hasharon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4524402 Israel</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Israel Ltd.</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Building E, 13th Floor</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Clinical research services</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4 Haharash Street</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Hod Hasharon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4524402 Israel</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Italy S.r.l.</w:t>
            </w:r>
          </w:p>
        </w:tc>
        <w:tc>
          <w:tcPr>
            <w:tcW w:w="17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Via Porlezza, No. 12</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Clinical research services</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Milan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20123</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Italy</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Oncacare Italy S.r.l</w:t>
            </w: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Via Benigno Crespi, n. 19</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Clinical research</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20159</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1780" w:type="dxa"/>
            <w:vAlign w:val="bottom"/>
          </w:tcPr>
          <w:p>
            <w:pPr>
              <w:spacing w:after="0" w:line="128" w:lineRule="exact"/>
              <w:rPr>
                <w:sz w:val="20"/>
                <w:szCs w:val="20"/>
                <w:color w:val="auto"/>
              </w:rPr>
            </w:pPr>
            <w:r>
              <w:rPr>
                <w:rFonts w:ascii="Arial" w:cs="Arial" w:eastAsia="Arial" w:hAnsi="Arial"/>
                <w:sz w:val="13"/>
                <w:szCs w:val="13"/>
                <w:color w:val="auto"/>
              </w:rPr>
              <w:t>Milano</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Italy</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4"/>
        </w:trPr>
        <w:tc>
          <w:tcPr>
            <w:tcW w:w="3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115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68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Nature of business</w:t>
            </w:r>
          </w:p>
        </w:tc>
        <w:tc>
          <w:tcPr>
            <w:tcW w:w="1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Clinical Research GK</w:t>
            </w:r>
          </w:p>
        </w:tc>
        <w:tc>
          <w:tcPr>
            <w:tcW w:w="342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1-3 Kyutaro-machi 4-chome,</w:t>
            </w:r>
          </w:p>
        </w:tc>
        <w:tc>
          <w:tcPr>
            <w:tcW w:w="2680" w:type="dxa"/>
            <w:vAlign w:val="bottom"/>
            <w:shd w:val="clear" w:color="auto" w:fill="CCEEFF"/>
          </w:tcPr>
          <w:p>
            <w:pPr>
              <w:ind w:left="660"/>
              <w:spacing w:after="0" w:line="118" w:lineRule="exact"/>
              <w:rPr>
                <w:sz w:val="20"/>
                <w:szCs w:val="20"/>
                <w:color w:val="auto"/>
              </w:rPr>
            </w:pPr>
            <w:r>
              <w:rPr>
                <w:rFonts w:ascii="Arial" w:cs="Arial" w:eastAsia="Arial" w:hAnsi="Arial"/>
                <w:sz w:val="13"/>
                <w:szCs w:val="13"/>
                <w:color w:val="auto"/>
              </w:rPr>
              <w:t>Clinical research</w:t>
            </w:r>
          </w:p>
        </w:tc>
        <w:tc>
          <w:tcPr>
            <w:tcW w:w="1520" w:type="dxa"/>
            <w:vAlign w:val="bottom"/>
            <w:shd w:val="clear" w:color="auto" w:fill="CCEEFF"/>
          </w:tcPr>
          <w:p>
            <w:pPr>
              <w:ind w:left="8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Chuo-ku,</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Osaka 541-0056</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Limited</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22 Grenville Street</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Investment holding company</w:t>
            </w:r>
          </w:p>
        </w:tc>
        <w:tc>
          <w:tcPr>
            <w:tcW w:w="1520" w:type="dxa"/>
            <w:vAlign w:val="bottom"/>
          </w:tcPr>
          <w:p>
            <w:pPr>
              <w:ind w:left="8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St Helier</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JE4 8PX</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Jersey</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Kenya Limited</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LR No. 1870/1/176, ALN House,</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Eldama Ravine Close,</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off Eldama Ravine Road, Westlands</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PO Box 764, Sarit Centre, Nairobi, Kenya 00606</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Latvia SIA</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Blaumaņa iela 22</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1011 Riga,</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Latvia</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UAB RPS Lithuania</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Upês street 21,</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LT-08128 Vilnius,</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Lithuania</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Luxembourg S.à r.l.</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61, rue de Rollingergrund</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Holding and Investment Company</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L-2440</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Luxembourg</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Malaysia Sdn. Bhd.</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Level 13, Menara 1 Sentrum</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201, Jalan Tun Sambanthan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Brickfields</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50470 Kuala Lumpur</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Wilayah Persekutuan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Malaysia</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CRO Malaysia Sdn. Bhd.</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Level 11</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1 Sentral</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Jalan Rakyat</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Kuala Lumpur Sentral</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50470 Kuala Lumpur</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Malaysia</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México, S. de R.L. de C.V.</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Ave. Insurgentes Sur No. 1602, Desp. 502</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Holding company</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Col. Credito Constructor Mexico</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Benito Juarez, Distrito Federal</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C.P. 03940 Mexico</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Research Servicios, S. de R.L. de C.V.</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Ave. Insurgentes Sur No. 1602, Desp. 502</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Col. Credito Constructor Mexico</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Benito Juarez, Distrito Federal</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C.P. 03940 Mexico</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México, S.A. de C.V.</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 Barranca del Muerto 329 3rd Floor</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Col. San Jose Insugentes</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03900 Mexico D.F.</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Mexico S. de R.L. de C.</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Avenida Insurgentes Sur 1271</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V.</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Piso 16</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Interior 1601</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Colonia Extremadura Insurgentes</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CP 03740</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Benito Juarez</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CDMX</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Mexico</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B.V.</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Van Swietenlaan 6</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9728 NZ, Groningen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The Netherlands</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Netherlands B.V.</w:t>
            </w: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Eduard van Beinumstraat 28,</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3"/>
                <w:szCs w:val="13"/>
                <w:color w:val="auto"/>
              </w:rPr>
              <w:t>2 Amsterdam Tower, 12e verdieping, 1077CZ</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Amsterdam, The Netherlands</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Group B.V.</w:t>
            </w:r>
          </w:p>
        </w:tc>
        <w:tc>
          <w:tcPr>
            <w:tcW w:w="34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Van Swietenlaan 6</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9728 NZ, Groningen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The Netherlands</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581"/>
        </w:trPr>
        <w:tc>
          <w:tcPr>
            <w:tcW w:w="3640" w:type="dxa"/>
            <w:vAlign w:val="bottom"/>
          </w:tcPr>
          <w:p>
            <w:pPr>
              <w:spacing w:after="0"/>
              <w:rPr>
                <w:sz w:val="24"/>
                <w:szCs w:val="24"/>
                <w:color w:val="auto"/>
              </w:rPr>
            </w:pPr>
          </w:p>
        </w:tc>
        <w:tc>
          <w:tcPr>
            <w:tcW w:w="3420" w:type="dxa"/>
            <w:vAlign w:val="bottom"/>
          </w:tcPr>
          <w:p>
            <w:pPr>
              <w:ind w:left="1900"/>
              <w:spacing w:after="0"/>
              <w:rPr>
                <w:sz w:val="20"/>
                <w:szCs w:val="20"/>
                <w:color w:val="auto"/>
              </w:rPr>
            </w:pPr>
            <w:r>
              <w:rPr>
                <w:rFonts w:ascii="Arial" w:cs="Arial" w:eastAsia="Arial" w:hAnsi="Arial"/>
                <w:sz w:val="13"/>
                <w:szCs w:val="13"/>
                <w:color w:val="auto"/>
              </w:rPr>
              <w:t>116</w:t>
            </w: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00" w:type="dxa"/>
            <w:vAlign w:val="bottom"/>
          </w:tcPr>
          <w:p>
            <w:pPr>
              <w:ind w:left="20"/>
              <w:spacing w:after="0" w:line="118" w:lineRule="exact"/>
              <w:rPr>
                <w:sz w:val="20"/>
                <w:szCs w:val="20"/>
                <w:color w:val="auto"/>
              </w:rPr>
            </w:pPr>
            <w:r>
              <w:rPr>
                <w:rFonts w:ascii="Arial" w:cs="Arial" w:eastAsia="Arial" w:hAnsi="Arial"/>
                <w:sz w:val="13"/>
                <w:szCs w:val="13"/>
                <w:color w:val="auto"/>
              </w:rPr>
              <w:t>PRA International Operations B.V.</w:t>
            </w:r>
          </w:p>
        </w:tc>
        <w:tc>
          <w:tcPr>
            <w:tcW w:w="3880" w:type="dxa"/>
            <w:vAlign w:val="bottom"/>
          </w:tcPr>
          <w:p>
            <w:pPr>
              <w:ind w:left="140"/>
              <w:spacing w:after="0" w:line="118" w:lineRule="exact"/>
              <w:rPr>
                <w:sz w:val="20"/>
                <w:szCs w:val="20"/>
                <w:color w:val="auto"/>
              </w:rPr>
            </w:pPr>
            <w:r>
              <w:rPr>
                <w:rFonts w:ascii="Arial" w:cs="Arial" w:eastAsia="Arial" w:hAnsi="Arial"/>
                <w:sz w:val="13"/>
                <w:szCs w:val="13"/>
                <w:color w:val="auto"/>
              </w:rPr>
              <w:t>Van Swietenlaan 6</w:t>
            </w:r>
          </w:p>
        </w:tc>
        <w:tc>
          <w:tcPr>
            <w:tcW w:w="2120" w:type="dxa"/>
            <w:vAlign w:val="bottom"/>
          </w:tcPr>
          <w:p>
            <w:pPr>
              <w:ind w:left="34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9728 NZ, Groningen</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The Netherlands</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New Zealand Limited</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Anthony Harper</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Level 9, Anthony Harper Tower</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62 Worcester Boulevard</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Christchurch</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8140 NZ</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Zealand</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(New Zealand) Limited</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Anthony Harper</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Level 9, Anthony Harper Tower</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62 Worcester Boulevard</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Christchurch</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8140 NZ</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New Zealand</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500" w:type="dxa"/>
            <w:vAlign w:val="bottom"/>
          </w:tcPr>
          <w:p>
            <w:pPr>
              <w:ind w:left="20"/>
              <w:spacing w:after="0" w:line="130" w:lineRule="exact"/>
              <w:rPr>
                <w:sz w:val="20"/>
                <w:szCs w:val="20"/>
                <w:color w:val="auto"/>
              </w:rPr>
            </w:pPr>
            <w:r>
              <w:rPr>
                <w:rFonts w:ascii="Arial" w:cs="Arial" w:eastAsia="Arial" w:hAnsi="Arial"/>
                <w:sz w:val="13"/>
                <w:szCs w:val="13"/>
                <w:color w:val="auto"/>
              </w:rPr>
              <w:t>RPS Research Norway AS</w:t>
            </w:r>
          </w:p>
        </w:tc>
        <w:tc>
          <w:tcPr>
            <w:tcW w:w="3880" w:type="dxa"/>
            <w:vAlign w:val="bottom"/>
          </w:tcPr>
          <w:p>
            <w:pPr>
              <w:ind w:left="140"/>
              <w:spacing w:after="0" w:line="130" w:lineRule="exact"/>
              <w:rPr>
                <w:sz w:val="20"/>
                <w:szCs w:val="20"/>
                <w:color w:val="auto"/>
              </w:rPr>
            </w:pPr>
            <w:r>
              <w:rPr>
                <w:rFonts w:ascii="Arial" w:cs="Arial" w:eastAsia="Arial" w:hAnsi="Arial"/>
                <w:sz w:val="13"/>
                <w:szCs w:val="13"/>
                <w:color w:val="auto"/>
              </w:rPr>
              <w:t>c/o EconPartner AS</w:t>
            </w:r>
          </w:p>
        </w:tc>
        <w:tc>
          <w:tcPr>
            <w:tcW w:w="2120" w:type="dxa"/>
            <w:vAlign w:val="bottom"/>
          </w:tcPr>
          <w:p>
            <w:pPr>
              <w:ind w:left="34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Dronning Mauds gate 15</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0250 Oslo, Norway</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Panama Inc.</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Urbanización Nuevo Reparto el Carmen No. 58</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Calle Primera, Edificio Moreno &amp; Moreno. Local Planta Baja,</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Distrito de Panamá, Panamá</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Perú S.A.</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Av. Paseo de la República 5895</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Oficina 606</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Miraflores</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Lima 18</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Perú</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Perú S.A.C.</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Av. Paseo de la República 5895</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Oficina 606</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Miraflores</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Lima 18</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Perú</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RPS Research Philippines, Inc.</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24th Floor Salcedo Towers,</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169 H.V. Dela Costa Street,</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Salcedo Village,</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Makati City,</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Philippines 1227</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Services Philippines, Inc.</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24th Floor Salcedo Towers,</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169 H.V. Dela Costa Street,</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Salcedo Village,</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Makati City,</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Philippines 1227</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Sp. z o.o.</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Proximo 1</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ul. Prosta 68</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Warsaw</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Poland</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Symphony Clinical Research Sp z.o.o.</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ul. Potokowa 26</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80-283</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Gdansk</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Poland</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Poland Sp z o.o.</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Proximo 1</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ul. Prosta 68</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Warsaw</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Poland</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Curandus Sp z o.o.</w:t>
            </w:r>
          </w:p>
        </w:tc>
        <w:tc>
          <w:tcPr>
            <w:tcW w:w="38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ul. Postępu 6,</w:t>
            </w:r>
          </w:p>
        </w:tc>
        <w:tc>
          <w:tcPr>
            <w:tcW w:w="212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02-676 Warsaw,</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line="170" w:lineRule="exact"/>
              <w:rPr>
                <w:sz w:val="20"/>
                <w:szCs w:val="20"/>
                <w:color w:val="auto"/>
              </w:rPr>
            </w:pPr>
            <w:r>
              <w:rPr>
                <w:rFonts w:ascii="Arial" w:cs="Arial" w:eastAsia="Arial" w:hAnsi="Arial"/>
                <w:sz w:val="13"/>
                <w:szCs w:val="13"/>
                <w:color w:val="auto"/>
              </w:rPr>
              <w:t>Poland</w:t>
            </w:r>
            <w:r>
              <w:rPr>
                <w:rFonts w:ascii="Arial" w:cs="Arial" w:eastAsia="Arial" w:hAnsi="Arial"/>
                <w:sz w:val="16"/>
                <w:szCs w:val="16"/>
                <w:color w:val="auto"/>
                <w:vertAlign w:val="superscript"/>
              </w:rPr>
              <w:t>10</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KCR S.A.</w:t>
            </w: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ul. Postępu 6,</w:t>
            </w:r>
          </w:p>
        </w:tc>
        <w:tc>
          <w:tcPr>
            <w:tcW w:w="212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3880" w:type="dxa"/>
            <w:vAlign w:val="bottom"/>
          </w:tcPr>
          <w:p>
            <w:pPr>
              <w:ind w:left="140"/>
              <w:spacing w:after="0" w:line="128" w:lineRule="exact"/>
              <w:rPr>
                <w:sz w:val="20"/>
                <w:szCs w:val="20"/>
                <w:color w:val="auto"/>
              </w:rPr>
            </w:pPr>
            <w:r>
              <w:rPr>
                <w:rFonts w:ascii="Arial" w:cs="Arial" w:eastAsia="Arial" w:hAnsi="Arial"/>
                <w:sz w:val="13"/>
                <w:szCs w:val="13"/>
                <w:color w:val="auto"/>
              </w:rPr>
              <w:t>02-676 Warsaw,</w:t>
            </w:r>
          </w:p>
        </w:tc>
        <w:tc>
          <w:tcPr>
            <w:tcW w:w="2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500" w:type="dxa"/>
            <w:vAlign w:val="bottom"/>
          </w:tcPr>
          <w:p>
            <w:pPr>
              <w:spacing w:after="0"/>
              <w:rPr>
                <w:sz w:val="14"/>
                <w:szCs w:val="14"/>
                <w:color w:val="auto"/>
              </w:rPr>
            </w:pPr>
          </w:p>
        </w:tc>
        <w:tc>
          <w:tcPr>
            <w:tcW w:w="3880" w:type="dxa"/>
            <w:vAlign w:val="bottom"/>
          </w:tcPr>
          <w:p>
            <w:pPr>
              <w:ind w:left="140"/>
              <w:spacing w:after="0" w:line="170" w:lineRule="exact"/>
              <w:rPr>
                <w:sz w:val="20"/>
                <w:szCs w:val="20"/>
                <w:color w:val="auto"/>
              </w:rPr>
            </w:pPr>
            <w:r>
              <w:rPr>
                <w:rFonts w:ascii="Arial" w:cs="Arial" w:eastAsia="Arial" w:hAnsi="Arial"/>
                <w:sz w:val="13"/>
                <w:szCs w:val="13"/>
                <w:color w:val="auto"/>
              </w:rPr>
              <w:t>Poland</w:t>
            </w:r>
            <w:r>
              <w:rPr>
                <w:rFonts w:ascii="Arial" w:cs="Arial" w:eastAsia="Arial" w:hAnsi="Arial"/>
                <w:sz w:val="16"/>
                <w:szCs w:val="16"/>
                <w:color w:val="auto"/>
                <w:vertAlign w:val="superscript"/>
              </w:rPr>
              <w:t>11</w:t>
            </w: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7"/>
        </w:trPr>
        <w:tc>
          <w:tcPr>
            <w:tcW w:w="3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KCR Placement Sp z o.o.</w:t>
            </w: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ul. Postępu 6,</w:t>
            </w:r>
          </w:p>
        </w:tc>
        <w:tc>
          <w:tcPr>
            <w:tcW w:w="212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388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02-676 Warsaw,</w:t>
            </w:r>
          </w:p>
        </w:tc>
        <w:tc>
          <w:tcPr>
            <w:tcW w:w="2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3880" w:type="dxa"/>
            <w:vAlign w:val="bottom"/>
            <w:shd w:val="clear" w:color="auto" w:fill="CCEEFF"/>
          </w:tcPr>
          <w:p>
            <w:pPr>
              <w:ind w:left="140"/>
              <w:spacing w:after="0" w:line="170" w:lineRule="exact"/>
              <w:rPr>
                <w:sz w:val="20"/>
                <w:szCs w:val="20"/>
                <w:color w:val="auto"/>
              </w:rPr>
            </w:pPr>
            <w:r>
              <w:rPr>
                <w:rFonts w:ascii="Arial" w:cs="Arial" w:eastAsia="Arial" w:hAnsi="Arial"/>
                <w:sz w:val="13"/>
                <w:szCs w:val="13"/>
                <w:color w:val="auto"/>
              </w:rPr>
              <w:t>Poland</w:t>
            </w:r>
            <w:r>
              <w:rPr>
                <w:rFonts w:ascii="Arial" w:cs="Arial" w:eastAsia="Arial" w:hAnsi="Arial"/>
                <w:sz w:val="16"/>
                <w:szCs w:val="16"/>
                <w:color w:val="auto"/>
                <w:vertAlign w:val="superscript"/>
              </w:rPr>
              <w:t>12</w:t>
            </w:r>
          </w:p>
        </w:tc>
        <w:tc>
          <w:tcPr>
            <w:tcW w:w="2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500" w:type="dxa"/>
            <w:vAlign w:val="bottom"/>
          </w:tcPr>
          <w:p>
            <w:pPr>
              <w:spacing w:after="0"/>
              <w:rPr>
                <w:sz w:val="24"/>
                <w:szCs w:val="24"/>
                <w:color w:val="auto"/>
              </w:rPr>
            </w:pPr>
          </w:p>
        </w:tc>
        <w:tc>
          <w:tcPr>
            <w:tcW w:w="3880" w:type="dxa"/>
            <w:vAlign w:val="bottom"/>
          </w:tcPr>
          <w:p>
            <w:pPr>
              <w:ind w:left="2040"/>
              <w:spacing w:after="0"/>
              <w:rPr>
                <w:sz w:val="20"/>
                <w:szCs w:val="20"/>
                <w:color w:val="auto"/>
              </w:rPr>
            </w:pPr>
            <w:r>
              <w:rPr>
                <w:rFonts w:ascii="Arial" w:cs="Arial" w:eastAsia="Arial" w:hAnsi="Arial"/>
                <w:sz w:val="13"/>
                <w:szCs w:val="13"/>
                <w:color w:val="auto"/>
              </w:rPr>
              <w:t>117</w:t>
            </w: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0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8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3"/>
                <w:szCs w:val="13"/>
                <w:color w:val="auto"/>
              </w:rPr>
              <w:t>PRA International Portugal, Unipessoal, Lda.</w:t>
            </w:r>
          </w:p>
        </w:tc>
        <w:tc>
          <w:tcPr>
            <w:tcW w:w="3820" w:type="dxa"/>
            <w:vAlign w:val="bottom"/>
          </w:tcPr>
          <w:p>
            <w:pPr>
              <w:spacing w:after="0" w:line="118" w:lineRule="exact"/>
              <w:rPr>
                <w:sz w:val="20"/>
                <w:szCs w:val="20"/>
                <w:color w:val="auto"/>
              </w:rPr>
            </w:pPr>
            <w:r>
              <w:rPr>
                <w:rFonts w:ascii="Arial" w:cs="Arial" w:eastAsia="Arial" w:hAnsi="Arial"/>
                <w:sz w:val="13"/>
                <w:szCs w:val="13"/>
                <w:color w:val="auto"/>
              </w:rPr>
              <w:t>Av. da Republica, 50-10</w:t>
            </w:r>
          </w:p>
        </w:tc>
        <w:tc>
          <w:tcPr>
            <w:tcW w:w="2040" w:type="dxa"/>
            <w:vAlign w:val="bottom"/>
          </w:tcPr>
          <w:p>
            <w:pPr>
              <w:ind w:left="2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1069-211,</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Lisboa,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Portugal</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Puerto Rico, Inc.</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257 Calle Tetuan</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2nd Floor</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San Juan</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00901</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Puerto Rico</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Romania S.R.L.</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8th Floor, Sky Tower</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246c Caleca Floresca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Bucharest 14476</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Romania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S.R.L.</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8th Floor,</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246c Caleca Floresca, Sector 1,</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Bucharest 14476</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67"/>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Romania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30"/>
        </w:trPr>
        <w:tc>
          <w:tcPr>
            <w:tcW w:w="364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color w:val="auto"/>
              </w:rPr>
              <w:t>Joint Stock Company IMP Logistics</w:t>
            </w:r>
          </w:p>
        </w:tc>
        <w:tc>
          <w:tcPr>
            <w:tcW w:w="382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8, Energetikov str, v. Lesnoy Gorodok Odintsovsky city disctrict</w:t>
            </w:r>
          </w:p>
        </w:tc>
        <w:tc>
          <w:tcPr>
            <w:tcW w:w="2040" w:type="dxa"/>
            <w:vAlign w:val="bottom"/>
            <w:shd w:val="clear" w:color="auto" w:fill="CCEEFF"/>
          </w:tcPr>
          <w:p>
            <w:pPr>
              <w:ind w:left="26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Moscow region Russia 143080</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(Rus) LLC</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Premises 2/4, 9 Zemlyanoy Val,</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Moscow, 105064,</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Russian Federation</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LLC</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Premises 2/4, 9 Zemlyanoy Val,</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Moscow, 105064,</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Russian Federation</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doo Beograd</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4th Floor,</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Bulevar Zorana Djindjica 64a,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11070 Belgrade,</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Serbia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Pharmaceutical Research Associates doo Beograd</w:t>
            </w:r>
            <w:r>
              <w:rPr>
                <w:rFonts w:ascii="Arial" w:cs="Arial" w:eastAsia="Arial" w:hAnsi="Arial"/>
                <w:sz w:val="14"/>
                <w:szCs w:val="14"/>
                <w:color w:val="auto"/>
                <w:vertAlign w:val="superscript"/>
              </w:rPr>
              <w:t>13</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19th Avenue</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Vladimira Popovica 38-40</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Belgrade, 11070</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line="170" w:lineRule="exact"/>
              <w:rPr>
                <w:sz w:val="20"/>
                <w:szCs w:val="20"/>
                <w:color w:val="auto"/>
              </w:rPr>
            </w:pPr>
            <w:r>
              <w:rPr>
                <w:rFonts w:ascii="Arial" w:cs="Arial" w:eastAsia="Arial" w:hAnsi="Arial"/>
                <w:sz w:val="13"/>
                <w:szCs w:val="13"/>
                <w:color w:val="auto"/>
              </w:rPr>
              <w:t>Serbia</w:t>
            </w:r>
            <w:r>
              <w:rPr>
                <w:rFonts w:ascii="Arial" w:cs="Arial" w:eastAsia="Arial" w:hAnsi="Arial"/>
                <w:sz w:val="16"/>
                <w:szCs w:val="16"/>
                <w:color w:val="auto"/>
                <w:vertAlign w:val="superscript"/>
              </w:rPr>
              <w:t>14</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Singapore Pte. Ltd.</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#02-06/10,</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21 Biopolis Road</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Nucleos,</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Singapore 138567</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(Pte) Limited</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30 Loyang Way</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#02/12</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Loyang Industrial Estate</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508769</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Mapi Life Sciences Singapore Pte. Ltd.</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30 Loyang Way</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Dormant</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#02/12</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Loyang Industrial Estate</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508769</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Singapore</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SK s.r.o.</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Karadžičova 2 Bratislava -Old Town District</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Slovenská republika, 81109,</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Slovakia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Slovakia, s.r.o.</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Karadžičova 2 Bratislava -Old Town District</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Slovenská republika, 81109,</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Slovakia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s.r.o.</w:t>
            </w: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Jégého 8</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Bratislava 821 08</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Slovakia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PRA Pharmaceutical S A (Proprietary) Limited</w:t>
            </w: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2nd Floor Building 29 Highlands Estate</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Woodlands Office Park</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20 Woodlands Drive Woodmead</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3"/>
                <w:szCs w:val="13"/>
                <w:color w:val="auto"/>
              </w:rPr>
              <w:t>Gauteng 2191</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South Africa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640" w:type="dxa"/>
            <w:vAlign w:val="bottom"/>
          </w:tcPr>
          <w:p>
            <w:pPr>
              <w:spacing w:after="0"/>
              <w:rPr>
                <w:sz w:val="24"/>
                <w:szCs w:val="24"/>
                <w:color w:val="auto"/>
              </w:rPr>
            </w:pPr>
          </w:p>
        </w:tc>
        <w:tc>
          <w:tcPr>
            <w:tcW w:w="3820" w:type="dxa"/>
            <w:vAlign w:val="bottom"/>
          </w:tcPr>
          <w:p>
            <w:pPr>
              <w:ind w:left="1900"/>
              <w:spacing w:after="0"/>
              <w:rPr>
                <w:sz w:val="20"/>
                <w:szCs w:val="20"/>
                <w:color w:val="auto"/>
              </w:rPr>
            </w:pPr>
            <w:r>
              <w:rPr>
                <w:rFonts w:ascii="Arial" w:cs="Arial" w:eastAsia="Arial" w:hAnsi="Arial"/>
                <w:sz w:val="13"/>
                <w:szCs w:val="13"/>
                <w:color w:val="auto"/>
              </w:rPr>
              <w:t>118</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620" w:type="dxa"/>
            <w:vAlign w:val="bottom"/>
            <w:shd w:val="clear" w:color="auto" w:fill="CCEEFF"/>
          </w:tcPr>
          <w:p>
            <w:pPr>
              <w:ind w:left="84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24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RPS Research South Africa (Proprietary) Limited</w:t>
            </w:r>
          </w:p>
        </w:tc>
        <w:tc>
          <w:tcPr>
            <w:tcW w:w="324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15 Greenwich Grove</w:t>
            </w:r>
          </w:p>
        </w:tc>
        <w:tc>
          <w:tcPr>
            <w:tcW w:w="2620" w:type="dxa"/>
            <w:vAlign w:val="bottom"/>
            <w:shd w:val="clear" w:color="auto" w:fill="CCEEFF"/>
          </w:tcPr>
          <w:p>
            <w:pPr>
              <w:ind w:left="840"/>
              <w:spacing w:after="0" w:line="118"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Station Road</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Ronderbosch</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Western Cape</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7700</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South Africa</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Accellacare South Africa (PTY) LTD</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Block 29 Second Floor</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The Highlands Estate</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The Woodlands</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Woodlands Drive</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Woodmead, Gauteng</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2191</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Johannesburg</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South Africa</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Korea Yuhan Hoesa/ Mapi Korea LLC</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16th Floor</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396 Seocho-daero</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Seocho-gu</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Seoul 06619</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Republic of Korea</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Korea Limited</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142 Taeheran-ro</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Gangnam-gu,</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18th Floor (Yeoksam-dong, Capital Tower)</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Seoul</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Republic of Korea</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Korea Limited</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142 Taeheran-ro</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Gangnam-gu,</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18th Floor (Yeoksam-dong, Capital Tower)</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Seoul</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Republic of Korea</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ReSearch Ibérica, S.L.U.</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Avenida de Europa, 19</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Edificio 1, 2a Planta</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Pozuelo de Alarcon (Madrid)</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Spain 28224</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(Spain), S.L.</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Calle Josep Pla, Numero 2,</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Torre Diagonal Mar,</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Piso 11, Modulo 1,</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Barcelona, Spain</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Spain, S.L.</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Avenida de Europa, 19</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Edificio 1, 2a Planta</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Pozuelo de Alarcon (Madrid)</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Spain 28224</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España, S.L.</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Calle Josep Pla</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Numero 2, Torre Diagonal Mar</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Piso 11, Modulo 1</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Barcelona</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Spain</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España, S.A.U.</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Avenida de Europa, 19</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Edificio 1, 2a Planta</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Pozuelo de Alarcon (Madrid)</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Spain 28224</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S.L.U.</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Principe de Vergara 112,</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Fourth Floor,</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28002 Madrid,</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Spain</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Accellacare España S.L.</w:t>
            </w: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Calle Marques de Valdavia 103</w:t>
            </w:r>
          </w:p>
        </w:tc>
        <w:tc>
          <w:tcPr>
            <w:tcW w:w="262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Portal 5</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28100 Alcobendas</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spacing w:after="0" w:line="128" w:lineRule="exact"/>
              <w:rPr>
                <w:sz w:val="20"/>
                <w:szCs w:val="20"/>
                <w:color w:val="auto"/>
              </w:rPr>
            </w:pPr>
            <w:r>
              <w:rPr>
                <w:rFonts w:ascii="Arial" w:cs="Arial" w:eastAsia="Arial" w:hAnsi="Arial"/>
                <w:sz w:val="13"/>
                <w:szCs w:val="13"/>
                <w:color w:val="auto"/>
              </w:rPr>
              <w:t>Madrid</w:t>
            </w:r>
          </w:p>
        </w:tc>
        <w:tc>
          <w:tcPr>
            <w:tcW w:w="2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Spain</w:t>
            </w: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International Sweden AB</w:t>
            </w:r>
          </w:p>
        </w:tc>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Kolonivagen 1</w:t>
            </w:r>
          </w:p>
        </w:tc>
        <w:tc>
          <w:tcPr>
            <w:tcW w:w="262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SE-226 60 Lund,</w:t>
            </w:r>
          </w:p>
        </w:tc>
        <w:tc>
          <w:tcPr>
            <w:tcW w:w="2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2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640" w:type="dxa"/>
            <w:vAlign w:val="bottom"/>
          </w:tcPr>
          <w:p>
            <w:pPr>
              <w:spacing w:after="0"/>
              <w:rPr>
                <w:sz w:val="24"/>
                <w:szCs w:val="24"/>
                <w:color w:val="auto"/>
              </w:rPr>
            </w:pPr>
          </w:p>
        </w:tc>
        <w:tc>
          <w:tcPr>
            <w:tcW w:w="3240" w:type="dxa"/>
            <w:vAlign w:val="bottom"/>
          </w:tcPr>
          <w:p>
            <w:pPr>
              <w:ind w:left="1900"/>
              <w:spacing w:after="0"/>
              <w:rPr>
                <w:sz w:val="20"/>
                <w:szCs w:val="20"/>
                <w:color w:val="auto"/>
              </w:rPr>
            </w:pPr>
            <w:r>
              <w:rPr>
                <w:rFonts w:ascii="Arial" w:cs="Arial" w:eastAsia="Arial" w:hAnsi="Arial"/>
                <w:sz w:val="13"/>
                <w:szCs w:val="13"/>
                <w:color w:val="auto"/>
              </w:rPr>
              <w:t>119</w:t>
            </w:r>
          </w:p>
        </w:tc>
        <w:tc>
          <w:tcPr>
            <w:tcW w:w="26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760" w:type="dxa"/>
            <w:vAlign w:val="bottom"/>
            <w:shd w:val="clear" w:color="auto" w:fill="CCEEFF"/>
          </w:tcPr>
          <w:p>
            <w:pPr>
              <w:ind w:left="9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40" w:type="dxa"/>
            <w:vAlign w:val="bottom"/>
            <w:tcBorders>
              <w:bottom w:val="single" w:sz="8" w:color="auto"/>
            </w:tcBorders>
            <w:shd w:val="clear" w:color="auto" w:fill="CCEEFF"/>
          </w:tcPr>
          <w:p>
            <w:pPr>
              <w:spacing w:after="0"/>
              <w:rPr>
                <w:sz w:val="14"/>
                <w:szCs w:val="14"/>
                <w:color w:val="auto"/>
              </w:rPr>
            </w:pPr>
          </w:p>
        </w:tc>
        <w:tc>
          <w:tcPr>
            <w:tcW w:w="33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40" w:type="dxa"/>
            <w:vAlign w:val="bottom"/>
          </w:tcPr>
          <w:p>
            <w:pPr>
              <w:ind w:left="20"/>
              <w:spacing w:after="0" w:line="118" w:lineRule="exact"/>
              <w:rPr>
                <w:sz w:val="20"/>
                <w:szCs w:val="20"/>
                <w:color w:val="auto"/>
              </w:rPr>
            </w:pPr>
            <w:r>
              <w:rPr>
                <w:rFonts w:ascii="Arial" w:cs="Arial" w:eastAsia="Arial" w:hAnsi="Arial"/>
                <w:sz w:val="13"/>
                <w:szCs w:val="13"/>
                <w:color w:val="auto"/>
              </w:rPr>
              <w:t>DOCS International Sweden AB</w:t>
            </w:r>
          </w:p>
        </w:tc>
        <w:tc>
          <w:tcPr>
            <w:tcW w:w="3300" w:type="dxa"/>
            <w:vAlign w:val="bottom"/>
          </w:tcPr>
          <w:p>
            <w:pPr>
              <w:ind w:left="200"/>
              <w:spacing w:after="0" w:line="118" w:lineRule="exact"/>
              <w:rPr>
                <w:sz w:val="20"/>
                <w:szCs w:val="20"/>
                <w:color w:val="auto"/>
              </w:rPr>
            </w:pPr>
            <w:r>
              <w:rPr>
                <w:rFonts w:ascii="Arial" w:cs="Arial" w:eastAsia="Arial" w:hAnsi="Arial"/>
                <w:sz w:val="13"/>
                <w:szCs w:val="13"/>
                <w:color w:val="auto"/>
              </w:rPr>
              <w:t>Kolonivagen 1</w:t>
            </w:r>
          </w:p>
        </w:tc>
        <w:tc>
          <w:tcPr>
            <w:tcW w:w="2760" w:type="dxa"/>
            <w:vAlign w:val="bottom"/>
          </w:tcPr>
          <w:p>
            <w:pPr>
              <w:ind w:left="9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SE-226 60 Lund,</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Sweden</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Switzerland GmbH</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c/o Experfina AG</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Picassoplatz 8</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4052 Basel</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Switzerland</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(Switzerland) GmbH</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c/o Experfina AG</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Picassoplatz 8</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4052 Basel</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Switzerland</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Switzerland AG</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Lange Gasse 15</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Basel 4052</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Switzerland</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Taiwan Limited</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5th Floor No. 2, Sec 5</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Xinyi Road</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Xinyi District</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Taipei</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Taiwan</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Taiwan, Inc.</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Aurora Building, 5th Floor</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No. 2, Sec 5,</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Xinyi Road,</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Xinyi District,</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Taipei,</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Taiwan</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(Thailand) Limited</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1 Empire Tower,</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24th Floor, Unit 2408,</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South Sathorn Road,</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Yannawa, Sathorn,</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Bangkok, 10120</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Thailand</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(Thailand) Co., Ltd.</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24th Floor, Empire Tower, Tower 3</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Unit 2408, 1 South Sathorn Road</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Yannawa Sub-District,</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Sathorn District</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Bangkok 10120</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Thailand</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Ankara Klinik Arastirma Dis Ticaret Anonim Sirketi</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Söğütözü mah.</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Eskişehir Yolu Cad. 2176. SK No:9</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Posta Kodu:06510</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Çankaya Ankara</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Turkiye</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Turkey Sağlik Araştirma Ve Geliştirme Limited Şirketi</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Söğütözü Mah.</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2176 Cad. No: 9 İç Kapi No: 2</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Çankaya / Ankara,</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Turkey</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KCR CRO Ltd.</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3rd Floor Waverley House,</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7-12 Noel Street,</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London, United Kingdom W1F 8GQ</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LLC</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4th Floor,</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St. Poleva 24,</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Kiev,</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Ukraine, 03056</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IMP-Logistics Ukraine LLC</w:t>
            </w: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8,Viskozna</w:t>
            </w:r>
          </w:p>
        </w:tc>
        <w:tc>
          <w:tcPr>
            <w:tcW w:w="2760" w:type="dxa"/>
            <w:vAlign w:val="bottom"/>
          </w:tcPr>
          <w:p>
            <w:pPr>
              <w:ind w:left="980"/>
              <w:spacing w:after="0" w:line="128" w:lineRule="exact"/>
              <w:rPr>
                <w:sz w:val="20"/>
                <w:szCs w:val="20"/>
                <w:color w:val="auto"/>
              </w:rPr>
            </w:pPr>
            <w:r>
              <w:rPr>
                <w:rFonts w:ascii="Arial" w:cs="Arial" w:eastAsia="Arial" w:hAnsi="Arial"/>
                <w:sz w:val="13"/>
                <w:szCs w:val="13"/>
                <w:color w:val="auto"/>
              </w:rPr>
              <w:t>Logistics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3300" w:type="dxa"/>
            <w:vAlign w:val="bottom"/>
          </w:tcPr>
          <w:p>
            <w:pPr>
              <w:ind w:left="200"/>
              <w:spacing w:after="0" w:line="128" w:lineRule="exact"/>
              <w:rPr>
                <w:sz w:val="20"/>
                <w:szCs w:val="20"/>
                <w:color w:val="auto"/>
              </w:rPr>
            </w:pPr>
            <w:r>
              <w:rPr>
                <w:rFonts w:ascii="Arial" w:cs="Arial" w:eastAsia="Arial" w:hAnsi="Arial"/>
                <w:sz w:val="13"/>
                <w:szCs w:val="13"/>
                <w:color w:val="auto"/>
              </w:rPr>
              <w:t>st. Kyiv</w:t>
            </w:r>
          </w:p>
        </w:tc>
        <w:tc>
          <w:tcPr>
            <w:tcW w:w="27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3"/>
                <w:szCs w:val="13"/>
                <w:color w:val="auto"/>
              </w:rPr>
              <w:t>Ukraine 02094</w:t>
            </w:r>
          </w:p>
        </w:tc>
        <w:tc>
          <w:tcPr>
            <w:tcW w:w="2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Ukraine LLC</w:t>
            </w:r>
          </w:p>
        </w:tc>
        <w:tc>
          <w:tcPr>
            <w:tcW w:w="33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4th Floor,</w:t>
            </w:r>
          </w:p>
        </w:tc>
        <w:tc>
          <w:tcPr>
            <w:tcW w:w="276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St. Poleva 24,</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33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Kiev,</w:t>
            </w:r>
          </w:p>
        </w:tc>
        <w:tc>
          <w:tcPr>
            <w:tcW w:w="27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Ukraine, 03056</w:t>
            </w:r>
          </w:p>
        </w:tc>
        <w:tc>
          <w:tcPr>
            <w:tcW w:w="2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440" w:type="dxa"/>
            <w:vAlign w:val="bottom"/>
          </w:tcPr>
          <w:p>
            <w:pPr>
              <w:spacing w:after="0"/>
              <w:rPr>
                <w:sz w:val="24"/>
                <w:szCs w:val="24"/>
                <w:color w:val="auto"/>
              </w:rPr>
            </w:pPr>
          </w:p>
        </w:tc>
        <w:tc>
          <w:tcPr>
            <w:tcW w:w="3300" w:type="dxa"/>
            <w:vAlign w:val="bottom"/>
          </w:tcPr>
          <w:p>
            <w:pPr>
              <w:ind w:left="2100"/>
              <w:spacing w:after="0"/>
              <w:rPr>
                <w:sz w:val="20"/>
                <w:szCs w:val="20"/>
                <w:color w:val="auto"/>
              </w:rPr>
            </w:pPr>
            <w:r>
              <w:rPr>
                <w:rFonts w:ascii="Arial" w:cs="Arial" w:eastAsia="Arial" w:hAnsi="Arial"/>
                <w:sz w:val="13"/>
                <w:szCs w:val="13"/>
                <w:color w:val="auto"/>
              </w:rPr>
              <w:t>120</w:t>
            </w:r>
          </w:p>
        </w:tc>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080" w:type="dxa"/>
            <w:vAlign w:val="bottom"/>
            <w:shd w:val="clear" w:color="auto" w:fill="CCEEFF"/>
          </w:tcPr>
          <w:p>
            <w:pPr>
              <w:ind w:left="2220"/>
              <w:spacing w:after="0"/>
              <w:rPr>
                <w:sz w:val="20"/>
                <w:szCs w:val="20"/>
                <w:color w:val="auto"/>
              </w:rPr>
            </w:pPr>
            <w:r>
              <w:rPr>
                <w:rFonts w:ascii="Arial" w:cs="Arial" w:eastAsia="Arial" w:hAnsi="Arial"/>
                <w:sz w:val="13"/>
                <w:szCs w:val="13"/>
                <w:b w:val="1"/>
                <w:bCs w:val="1"/>
                <w:color w:val="auto"/>
              </w:rPr>
              <w:t>Nature of business</w:t>
            </w:r>
          </w:p>
        </w:tc>
        <w:tc>
          <w:tcPr>
            <w:tcW w:w="168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6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60" w:type="dxa"/>
            <w:vAlign w:val="bottom"/>
          </w:tcPr>
          <w:p>
            <w:pPr>
              <w:ind w:left="20"/>
              <w:spacing w:after="0" w:line="118" w:lineRule="exact"/>
              <w:rPr>
                <w:sz w:val="20"/>
                <w:szCs w:val="20"/>
                <w:color w:val="auto"/>
              </w:rPr>
            </w:pPr>
            <w:r>
              <w:rPr>
                <w:rFonts w:ascii="Arial" w:cs="Arial" w:eastAsia="Arial" w:hAnsi="Arial"/>
                <w:sz w:val="13"/>
                <w:szCs w:val="13"/>
                <w:color w:val="auto"/>
              </w:rPr>
              <w:t>Pharmaceutical Research Associates Ukraine LLC</w:t>
            </w:r>
          </w:p>
        </w:tc>
        <w:tc>
          <w:tcPr>
            <w:tcW w:w="2240" w:type="dxa"/>
            <w:vAlign w:val="bottom"/>
          </w:tcPr>
          <w:p>
            <w:pPr>
              <w:ind w:left="380"/>
              <w:spacing w:after="0" w:line="118" w:lineRule="exact"/>
              <w:rPr>
                <w:sz w:val="20"/>
                <w:szCs w:val="20"/>
                <w:color w:val="auto"/>
              </w:rPr>
            </w:pPr>
            <w:r>
              <w:rPr>
                <w:rFonts w:ascii="Arial" w:cs="Arial" w:eastAsia="Arial" w:hAnsi="Arial"/>
                <w:sz w:val="13"/>
                <w:szCs w:val="13"/>
                <w:color w:val="auto"/>
              </w:rPr>
              <w:t>4th Floor,</w:t>
            </w:r>
          </w:p>
        </w:tc>
        <w:tc>
          <w:tcPr>
            <w:tcW w:w="4080" w:type="dxa"/>
            <w:vAlign w:val="bottom"/>
          </w:tcPr>
          <w:p>
            <w:pPr>
              <w:ind w:left="2220"/>
              <w:spacing w:after="0" w:line="11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St. Poleva 24,</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Kiev,</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Ukraine, 03056</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Ukraine LLC</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7 Rusanovskii blvd.,</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02154 Kiev,</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Ukraine</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Accellacare UK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Limited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4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5 Limited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Dormant</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Holdings (U.K.)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Investment holding company</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MeDiNova Lakeside Clinical Research Limited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MeDiNova Merc (UK)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VSK (Kenilworth) Limited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Holding Company</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Improving Treatments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Aptiv Solutions (UK) Ltd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Dormant</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UK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(LR) Limited</w:t>
            </w:r>
          </w:p>
        </w:tc>
        <w:tc>
          <w:tcPr>
            <w:tcW w:w="224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shd w:val="clear" w:color="auto" w:fill="CCEEFF"/>
          </w:tcPr>
          <w:p>
            <w:pPr>
              <w:ind w:left="222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224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2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2 Limited</w:t>
            </w: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w w:val="98"/>
              </w:rPr>
              <w:t>500 South Oak Way Green Park</w:t>
            </w:r>
          </w:p>
        </w:tc>
        <w:tc>
          <w:tcPr>
            <w:tcW w:w="4080" w:type="dxa"/>
            <w:vAlign w:val="bottom"/>
          </w:tcPr>
          <w:p>
            <w:pPr>
              <w:ind w:left="222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Reading</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2240" w:type="dxa"/>
            <w:vAlign w:val="bottom"/>
          </w:tcPr>
          <w:p>
            <w:pPr>
              <w:ind w:left="380"/>
              <w:spacing w:after="0" w:line="128" w:lineRule="exact"/>
              <w:rPr>
                <w:sz w:val="20"/>
                <w:szCs w:val="20"/>
                <w:color w:val="auto"/>
              </w:rPr>
            </w:pPr>
            <w:r>
              <w:rPr>
                <w:rFonts w:ascii="Arial" w:cs="Arial" w:eastAsia="Arial" w:hAnsi="Arial"/>
                <w:sz w:val="13"/>
                <w:szCs w:val="13"/>
                <w:color w:val="auto"/>
              </w:rPr>
              <w:t>RG2 6AD</w:t>
            </w:r>
          </w:p>
        </w:tc>
        <w:tc>
          <w:tcPr>
            <w:tcW w:w="40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7"/>
        </w:trPr>
        <w:tc>
          <w:tcPr>
            <w:tcW w:w="326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Arial" w:cs="Arial" w:eastAsia="Arial" w:hAnsi="Arial"/>
                <w:sz w:val="13"/>
                <w:szCs w:val="13"/>
                <w:color w:val="auto"/>
              </w:rPr>
              <w:t>United Kingdom</w:t>
            </w:r>
          </w:p>
        </w:tc>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84"/>
        </w:trPr>
        <w:tc>
          <w:tcPr>
            <w:tcW w:w="3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80" w:type="dxa"/>
            <w:vAlign w:val="bottom"/>
          </w:tcPr>
          <w:p>
            <w:pPr>
              <w:ind w:left="40"/>
              <w:spacing w:after="0"/>
              <w:rPr>
                <w:sz w:val="20"/>
                <w:szCs w:val="20"/>
                <w:color w:val="auto"/>
              </w:rPr>
            </w:pPr>
            <w:r>
              <w:rPr>
                <w:rFonts w:ascii="Arial" w:cs="Arial" w:eastAsia="Arial" w:hAnsi="Arial"/>
                <w:sz w:val="13"/>
                <w:szCs w:val="13"/>
                <w:color w:val="auto"/>
              </w:rPr>
              <w:t>121</w:t>
            </w:r>
          </w:p>
        </w:tc>
        <w:tc>
          <w:tcPr>
            <w:tcW w:w="168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3980" w:type="dxa"/>
            <w:vAlign w:val="bottom"/>
            <w:shd w:val="clear" w:color="auto" w:fill="CCEEFF"/>
          </w:tcPr>
          <w:p>
            <w:pPr>
              <w:ind w:left="220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Clinical Research (U.K.) No. 3 Limited</w:t>
            </w:r>
          </w:p>
        </w:tc>
        <w:tc>
          <w:tcPr>
            <w:tcW w:w="18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shd w:val="clear" w:color="auto" w:fill="CCEEFF"/>
          </w:tcPr>
          <w:p>
            <w:pPr>
              <w:ind w:left="2200"/>
              <w:spacing w:after="0" w:line="118"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Development Solutions Limited</w:t>
            </w:r>
          </w:p>
        </w:tc>
        <w:tc>
          <w:tcPr>
            <w:tcW w:w="1880" w:type="dxa"/>
            <w:vAlign w:val="bottom"/>
          </w:tcPr>
          <w:p>
            <w:pPr>
              <w:spacing w:after="0" w:line="128"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United Kingdom</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(UK) Ltd</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IMP Logistics UK Limited</w:t>
            </w:r>
          </w:p>
        </w:tc>
        <w:tc>
          <w:tcPr>
            <w:tcW w:w="1880" w:type="dxa"/>
            <w:vAlign w:val="bottom"/>
          </w:tcPr>
          <w:p>
            <w:pPr>
              <w:spacing w:after="0" w:line="128" w:lineRule="exact"/>
              <w:rPr>
                <w:sz w:val="20"/>
                <w:szCs w:val="20"/>
                <w:color w:val="auto"/>
              </w:rPr>
            </w:pPr>
            <w:r>
              <w:rPr>
                <w:rFonts w:ascii="Arial" w:cs="Arial" w:eastAsia="Arial" w:hAnsi="Arial"/>
                <w:sz w:val="13"/>
                <w:szCs w:val="13"/>
                <w:color w:val="auto"/>
                <w:w w:val="97"/>
              </w:rPr>
              <w:t>Cannon Place, 78 Cannon Street</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London EC4N 6AF England</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Medeval Group Limited</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OncaCare (U.K.) Limited</w:t>
            </w:r>
          </w:p>
        </w:tc>
        <w:tc>
          <w:tcPr>
            <w:tcW w:w="1880" w:type="dxa"/>
            <w:vAlign w:val="bottom"/>
          </w:tcPr>
          <w:p>
            <w:pPr>
              <w:spacing w:after="0" w:line="128"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Dormant</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United Kingdom</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 Research Associates (UK) Limited</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Cannon Place,</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78 Cannon Street</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London EC4N 6AF England</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Sterling Synergy Systems Limited</w:t>
            </w: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Cannon Place,</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78 Cannon Street</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London EC4N 6AF England</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6 Limited</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9"/>
              </w:rPr>
              <w:t>500 South Oak Way Green Park</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Global S.A.</w:t>
            </w: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Plaza Cagancha 1145,</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4th Floor</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Montevideo,</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Uruguay 11100</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Latin America S.A</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Plaza Cagancha 1145,</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4th Floor</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Montevideo,</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Uruguay 11100</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KCR U.S., Inc.</w:t>
            </w: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30 Rowes Wharf,</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Suite 430,</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Boston, MA 02110,</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United States</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Human Behind Every Number, Inc.</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30 Rowes Wharf,</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15</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430,</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Boston, MA 02110,</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Early Phase Services, LLC</w:t>
            </w: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8307 Gault Lane,</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San Antonio,</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TX 78209-1015</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United States</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ClinStar LLC</w:t>
            </w: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4131 Parklake Avenue</w:t>
            </w:r>
          </w:p>
        </w:tc>
        <w:tc>
          <w:tcPr>
            <w:tcW w:w="3980" w:type="dxa"/>
            <w:vAlign w:val="bottom"/>
            <w:shd w:val="clear" w:color="auto" w:fill="CCEEFF"/>
          </w:tcPr>
          <w:p>
            <w:pPr>
              <w:ind w:left="22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600</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Raleigh, NC 27612,</w:t>
            </w:r>
          </w:p>
        </w:tc>
        <w:tc>
          <w:tcPr>
            <w:tcW w:w="39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39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Nextrials, Inc.</w:t>
            </w: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3980" w:type="dxa"/>
            <w:vAlign w:val="bottom"/>
          </w:tcPr>
          <w:p>
            <w:pPr>
              <w:ind w:left="22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88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39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United States</w:t>
            </w: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3"/>
                <w:szCs w:val="13"/>
                <w:color w:val="auto"/>
              </w:rPr>
              <w:t>122</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60" w:type="dxa"/>
            <w:vAlign w:val="bottom"/>
            <w:shd w:val="clear" w:color="auto" w:fill="CCEEFF"/>
          </w:tcPr>
          <w:p>
            <w:pPr>
              <w:ind w:left="24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Pharmaceutical Research Associates CIS, LLC</w:t>
            </w:r>
          </w:p>
        </w:tc>
        <w:tc>
          <w:tcPr>
            <w:tcW w:w="160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4131 Parklake Avenue</w:t>
            </w:r>
          </w:p>
        </w:tc>
        <w:tc>
          <w:tcPr>
            <w:tcW w:w="4260" w:type="dxa"/>
            <w:vAlign w:val="bottom"/>
            <w:shd w:val="clear" w:color="auto" w:fill="CCEEFF"/>
          </w:tcPr>
          <w:p>
            <w:pPr>
              <w:ind w:left="24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Eastern Europe, LLC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4131 Parklake Avenue</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Addplan, Inc.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Beacon Bioscience, Inc.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C4 MedSolutions, LLC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67"/>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30"/>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Care Innovations, Inc.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Care Innovations, LLC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CHC Group, LLC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CRI NewCo, Inc.</w:t>
            </w: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4131 Parklake Avenue</w:t>
            </w:r>
          </w:p>
        </w:tc>
        <w:tc>
          <w:tcPr>
            <w:tcW w:w="4260" w:type="dxa"/>
            <w:vAlign w:val="bottom"/>
            <w:shd w:val="clear" w:color="auto" w:fill="CCEEFF"/>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CRI Worldwide, LLC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4131 Parklake Avenue</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CRN Holdings, LLC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CRN North America, LLC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Global Pharmaceutical Strategies Group, LLC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Investments, LLC</w:t>
            </w: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Investment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1600" w:type="dxa"/>
            <w:vAlign w:val="bottom"/>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LLC</w:t>
            </w: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67"/>
        </w:trPr>
        <w:tc>
          <w:tcPr>
            <w:tcW w:w="36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30"/>
        </w:trPr>
        <w:tc>
          <w:tcPr>
            <w:tcW w:w="36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581"/>
        </w:trPr>
        <w:tc>
          <w:tcPr>
            <w:tcW w:w="3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Arial" w:cs="Arial" w:eastAsia="Arial" w:hAnsi="Arial"/>
                <w:sz w:val="13"/>
                <w:szCs w:val="13"/>
                <w:color w:val="auto"/>
              </w:rPr>
              <w:t>123</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40" w:type="dxa"/>
            <w:vAlign w:val="bottom"/>
            <w:shd w:val="clear" w:color="auto" w:fill="CCEEFF"/>
          </w:tcPr>
          <w:p>
            <w:pPr>
              <w:ind w:left="24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298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4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2980" w:type="dxa"/>
            <w:vAlign w:val="bottom"/>
          </w:tcPr>
          <w:p>
            <w:pPr>
              <w:ind w:left="20"/>
              <w:spacing w:after="0" w:line="118" w:lineRule="exact"/>
              <w:rPr>
                <w:sz w:val="20"/>
                <w:szCs w:val="20"/>
                <w:color w:val="auto"/>
              </w:rPr>
            </w:pPr>
            <w:r>
              <w:rPr>
                <w:rFonts w:ascii="Arial" w:cs="Arial" w:eastAsia="Arial" w:hAnsi="Arial"/>
                <w:sz w:val="13"/>
                <w:szCs w:val="13"/>
                <w:color w:val="auto"/>
              </w:rPr>
              <w:t>ICON Laboratory Services, Inc.</w:t>
            </w:r>
          </w:p>
        </w:tc>
        <w:tc>
          <w:tcPr>
            <w:tcW w:w="2280" w:type="dxa"/>
            <w:vAlign w:val="bottom"/>
          </w:tcPr>
          <w:p>
            <w:pPr>
              <w:ind w:left="660"/>
              <w:spacing w:after="0" w:line="118" w:lineRule="exact"/>
              <w:rPr>
                <w:sz w:val="20"/>
                <w:szCs w:val="20"/>
                <w:color w:val="auto"/>
              </w:rPr>
            </w:pPr>
            <w:r>
              <w:rPr>
                <w:rFonts w:ascii="Arial" w:cs="Arial" w:eastAsia="Arial" w:hAnsi="Arial"/>
                <w:sz w:val="13"/>
                <w:szCs w:val="13"/>
                <w:color w:val="auto"/>
              </w:rPr>
              <w:t>123 Smith Street,</w:t>
            </w:r>
          </w:p>
        </w:tc>
        <w:tc>
          <w:tcPr>
            <w:tcW w:w="4240" w:type="dxa"/>
            <w:vAlign w:val="bottom"/>
          </w:tcPr>
          <w:p>
            <w:pPr>
              <w:ind w:left="24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Farmingdale,</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NY 11735</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Tennessee,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ICON US Holdings Inc.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MMMM Consulting,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MMMM Group,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29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MolecularMD Corp.</w:t>
            </w: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Parallel 6, Inc.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Early Development Research,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9755 Ridge Drive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Lenexa, Kansas 66219,</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Inc.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Holdings,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4131 Parklake Avenue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PRA Receivables,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PriceSpective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PubsHub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29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ReSearch Pharmaceutical Services, Inc.</w:t>
            </w: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Source Healthcare Analytics,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Symphony Health Solutions Corporation</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2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124</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120" w:type="dxa"/>
            <w:vAlign w:val="bottom"/>
            <w:shd w:val="clear" w:color="auto" w:fill="CCEEFF"/>
          </w:tcPr>
          <w:p>
            <w:pPr>
              <w:ind w:left="234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spacing w:after="0"/>
              <w:rPr>
                <w:sz w:val="14"/>
                <w:szCs w:val="14"/>
                <w:color w:val="auto"/>
              </w:rPr>
            </w:pPr>
          </w:p>
        </w:tc>
        <w:tc>
          <w:tcPr>
            <w:tcW w:w="4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0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LP</w:t>
            </w:r>
          </w:p>
        </w:tc>
        <w:tc>
          <w:tcPr>
            <w:tcW w:w="2180" w:type="dxa"/>
            <w:vAlign w:val="bottom"/>
          </w:tcPr>
          <w:p>
            <w:pPr>
              <w:ind w:left="440"/>
              <w:spacing w:after="0" w:line="118" w:lineRule="exact"/>
              <w:rPr>
                <w:sz w:val="20"/>
                <w:szCs w:val="20"/>
                <w:color w:val="auto"/>
              </w:rPr>
            </w:pPr>
            <w:r>
              <w:rPr>
                <w:rFonts w:ascii="Arial" w:cs="Arial" w:eastAsia="Arial" w:hAnsi="Arial"/>
                <w:sz w:val="13"/>
                <w:szCs w:val="13"/>
                <w:color w:val="auto"/>
              </w:rPr>
              <w:t>731 Arbor Way</w:t>
            </w:r>
          </w:p>
        </w:tc>
        <w:tc>
          <w:tcPr>
            <w:tcW w:w="4120" w:type="dxa"/>
            <w:vAlign w:val="bottom"/>
          </w:tcPr>
          <w:p>
            <w:pPr>
              <w:ind w:left="234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International Medical Technical Consultants,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Oncacare, Inc.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International,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LLC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Roy RPS Holdings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RPS Global Holdings, LLC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Parent Holding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Sunset Hills, LLC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Clinical Resource Network,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Christie Clinic, LLC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101 West University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Champaign</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IL 61820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CRI International, LLC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DOCS Global, Inc.</w:t>
            </w: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200" w:type="dxa"/>
            <w:vAlign w:val="bottom"/>
          </w:tcPr>
          <w:p>
            <w:pPr>
              <w:ind w:left="20"/>
              <w:spacing w:after="0" w:line="130" w:lineRule="exact"/>
              <w:rPr>
                <w:sz w:val="20"/>
                <w:szCs w:val="20"/>
                <w:color w:val="auto"/>
              </w:rPr>
            </w:pPr>
            <w:r>
              <w:rPr>
                <w:rFonts w:ascii="Arial" w:cs="Arial" w:eastAsia="Arial" w:hAnsi="Arial"/>
                <w:sz w:val="13"/>
                <w:szCs w:val="13"/>
                <w:color w:val="auto"/>
              </w:rPr>
              <w:t>Managed Care Strategic Solutions, L.L.C.</w:t>
            </w:r>
          </w:p>
        </w:tc>
        <w:tc>
          <w:tcPr>
            <w:tcW w:w="2180" w:type="dxa"/>
            <w:vAlign w:val="bottom"/>
          </w:tcPr>
          <w:p>
            <w:pPr>
              <w:ind w:left="440"/>
              <w:spacing w:after="0" w:line="130" w:lineRule="exact"/>
              <w:rPr>
                <w:sz w:val="20"/>
                <w:szCs w:val="20"/>
                <w:color w:val="auto"/>
              </w:rPr>
            </w:pPr>
            <w:r>
              <w:rPr>
                <w:rFonts w:ascii="Arial" w:cs="Arial" w:eastAsia="Arial" w:hAnsi="Arial"/>
                <w:sz w:val="13"/>
                <w:szCs w:val="13"/>
                <w:color w:val="auto"/>
              </w:rPr>
              <w:t>731 Arbor Way</w:t>
            </w:r>
          </w:p>
        </w:tc>
        <w:tc>
          <w:tcPr>
            <w:tcW w:w="4120" w:type="dxa"/>
            <w:vAlign w:val="bottom"/>
          </w:tcPr>
          <w:p>
            <w:pPr>
              <w:ind w:left="234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18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US Inc.</w:t>
            </w:r>
          </w:p>
        </w:tc>
        <w:tc>
          <w:tcPr>
            <w:tcW w:w="21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1901 S. Hawthorne Road</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306</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Winston-Salem</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1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North Carolina 27103</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20" w:type="dxa"/>
            <w:vAlign w:val="bottom"/>
          </w:tcPr>
          <w:p>
            <w:pPr>
              <w:ind w:left="160"/>
              <w:spacing w:after="0"/>
              <w:rPr>
                <w:sz w:val="20"/>
                <w:szCs w:val="20"/>
                <w:color w:val="auto"/>
              </w:rPr>
            </w:pPr>
            <w:r>
              <w:rPr>
                <w:rFonts w:ascii="Arial" w:cs="Arial" w:eastAsia="Arial" w:hAnsi="Arial"/>
                <w:sz w:val="13"/>
                <w:szCs w:val="13"/>
                <w:color w:val="auto"/>
              </w:rPr>
              <w:t>125</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94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0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00" w:type="dxa"/>
            <w:vAlign w:val="bottom"/>
          </w:tcPr>
          <w:p>
            <w:pPr>
              <w:ind w:left="20"/>
              <w:spacing w:after="0" w:line="118" w:lineRule="exact"/>
              <w:rPr>
                <w:sz w:val="20"/>
                <w:szCs w:val="20"/>
                <w:color w:val="auto"/>
              </w:rPr>
            </w:pPr>
            <w:r>
              <w:rPr>
                <w:rFonts w:ascii="Arial" w:cs="Arial" w:eastAsia="Arial" w:hAnsi="Arial"/>
                <w:sz w:val="13"/>
                <w:szCs w:val="13"/>
                <w:color w:val="auto"/>
              </w:rPr>
              <w:t>Accellacare of Charlotte, LLC</w:t>
            </w:r>
          </w:p>
        </w:tc>
        <w:tc>
          <w:tcPr>
            <w:tcW w:w="4260" w:type="dxa"/>
            <w:vAlign w:val="bottom"/>
          </w:tcPr>
          <w:p>
            <w:pPr>
              <w:ind w:left="340"/>
              <w:spacing w:after="0" w:line="118" w:lineRule="exact"/>
              <w:rPr>
                <w:sz w:val="20"/>
                <w:szCs w:val="20"/>
                <w:color w:val="auto"/>
              </w:rPr>
            </w:pPr>
            <w:r>
              <w:rPr>
                <w:rFonts w:ascii="Arial" w:cs="Arial" w:eastAsia="Arial" w:hAnsi="Arial"/>
                <w:sz w:val="13"/>
                <w:szCs w:val="13"/>
                <w:color w:val="auto"/>
              </w:rPr>
              <w:t>4131 Parklake Avenue</w:t>
            </w:r>
          </w:p>
        </w:tc>
        <w:tc>
          <w:tcPr>
            <w:tcW w:w="1940" w:type="dxa"/>
            <w:vAlign w:val="bottom"/>
          </w:tcPr>
          <w:p>
            <w:pPr>
              <w:ind w:left="1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600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Raleigh, NC 27612,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Hickory,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221 13th Ave Place NW</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201</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Hickory</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North Carolina 28601</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Raleigh,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3700 Barrett Drive</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310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Raleigh NC 27609</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Rocky Mount,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901 N. Winstead Avenue</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Rocky Mount</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North Carolina 27804</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Salisbury,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410 Mocksville Avenue</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Salisbury</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North Carolina 28144</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Wilmington,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1907 Tradd Court</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Wilmington</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North Carolina 28401</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Winston-Salem,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1901 S. Hawthorne Road</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306</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Winston-Salem</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North Carolina 27103</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Complete Healthcare Communications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67"/>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30"/>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Complete Publication Solutions,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731 Arbor Way</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3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Accellacare of Charleston, LLC</w:t>
            </w: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180 Wingo Way</w:t>
            </w:r>
          </w:p>
        </w:tc>
        <w:tc>
          <w:tcPr>
            <w:tcW w:w="194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203</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Mt. Pleasant</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South Carolina 29464</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Bristol,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1958 West State Street</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Bristol</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Tennessee 37620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Lifetree Clinical Research, 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1255 East 3900 South</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Salt Lake City, UT 84124,</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Inc.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4131 Parklake Avenue</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600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Raleigh, NC 27612,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Government and Public Health Solutions, Inc.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Vietnam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Level 6 and 7, Me Linh Point Tower, No. 2 Ngo Duc Ke Street, Ben</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7"/>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Nghe Ward, District 1, Ho Chi Minh City, Vietnam</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300" w:type="dxa"/>
            <w:vAlign w:val="bottom"/>
          </w:tcPr>
          <w:p>
            <w:pPr>
              <w:spacing w:after="0"/>
              <w:rPr>
                <w:sz w:val="24"/>
                <w:szCs w:val="24"/>
                <w:color w:val="auto"/>
              </w:rPr>
            </w:pPr>
          </w:p>
        </w:tc>
        <w:tc>
          <w:tcPr>
            <w:tcW w:w="4260" w:type="dxa"/>
            <w:vAlign w:val="bottom"/>
          </w:tcPr>
          <w:p>
            <w:pPr>
              <w:ind w:left="2240"/>
              <w:spacing w:after="0"/>
              <w:rPr>
                <w:sz w:val="20"/>
                <w:szCs w:val="20"/>
                <w:color w:val="auto"/>
              </w:rPr>
            </w:pPr>
            <w:r>
              <w:rPr>
                <w:rFonts w:ascii="Arial" w:cs="Arial" w:eastAsia="Arial" w:hAnsi="Arial"/>
                <w:sz w:val="13"/>
                <w:szCs w:val="13"/>
                <w:color w:val="auto"/>
              </w:rPr>
              <w:t>126</w:t>
            </w:r>
          </w:p>
        </w:tc>
        <w:tc>
          <w:tcPr>
            <w:tcW w:w="19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ectPr>
          <w:pgSz w:w="11900" w:h="16838" w:orient="portrait"/>
          <w:cols w:equalWidth="0" w:num="1">
            <w:col w:w="10960"/>
          </w:cols>
          <w:pgMar w:left="300" w:top="697" w:right="63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2260"/>
        <w:spacing w:after="0"/>
        <w:rPr>
          <w:sz w:val="20"/>
          <w:szCs w:val="20"/>
          <w:color w:val="auto"/>
        </w:rPr>
      </w:pPr>
      <w:r>
        <w:rPr>
          <w:rFonts w:ascii="Arial" w:cs="Arial" w:eastAsia="Arial" w:hAnsi="Arial"/>
          <w:sz w:val="12"/>
          <w:szCs w:val="12"/>
          <w:b w:val="1"/>
          <w:bCs w:val="1"/>
          <w:color w:val="auto"/>
        </w:rPr>
        <w:t>Registered Office</w:t>
      </w:r>
      <w:r>
        <w:rPr>
          <w:rFonts w:ascii="Arial" w:cs="Arial" w:eastAsia="Arial" w:hAnsi="Arial"/>
          <w:sz w:val="7"/>
          <w:szCs w:val="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-81280</wp:posOffset>
            </wp:positionV>
            <wp:extent cx="7148195" cy="1435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43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of business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241" w:lineRule="auto"/>
        <w:rPr>
          <w:sz w:val="20"/>
          <w:szCs w:val="20"/>
          <w:color w:val="auto"/>
        </w:rPr>
      </w:pPr>
      <w:r>
        <w:rPr>
          <w:rFonts w:ascii="Arial" w:cs="Arial" w:eastAsia="Arial" w:hAnsi="Arial"/>
          <w:sz w:val="13"/>
          <w:szCs w:val="13"/>
          <w:b w:val="1"/>
          <w:bCs w:val="1"/>
          <w:color w:val="auto"/>
        </w:rPr>
        <w:t>Proportion held by Group</w:t>
      </w:r>
    </w:p>
    <w:p>
      <w:pPr>
        <w:spacing w:after="0" w:line="1" w:lineRule="exact"/>
        <w:rPr>
          <w:sz w:val="20"/>
          <w:szCs w:val="20"/>
          <w:color w:val="auto"/>
        </w:rPr>
      </w:pPr>
    </w:p>
    <w:p>
      <w:pPr>
        <w:sectPr>
          <w:pgSz w:w="11900" w:h="16838" w:orient="portrait"/>
          <w:cols w:equalWidth="0" w:num="4">
            <w:col w:w="2920" w:space="720"/>
            <w:col w:w="3360" w:space="720"/>
            <w:col w:w="1380" w:space="720"/>
            <w:col w:w="1140"/>
          </w:cols>
          <w:pgMar w:left="300" w:top="697" w:right="639" w:bottom="1440" w:gutter="0" w:footer="0" w:header="0"/>
          <w:type w:val="continuous"/>
        </w:sectPr>
      </w:pPr>
    </w:p>
    <w:p>
      <w:pPr>
        <w:ind w:left="80" w:hanging="61"/>
        <w:spacing w:after="0" w:line="191" w:lineRule="auto"/>
        <w:tabs>
          <w:tab w:leader="none" w:pos="80" w:val="left"/>
        </w:tabs>
        <w:numPr>
          <w:ilvl w:val="0"/>
          <w:numId w:val="72"/>
        </w:numPr>
        <w:rPr>
          <w:rFonts w:ascii="Arial" w:cs="Arial" w:eastAsia="Arial" w:hAnsi="Arial"/>
          <w:sz w:val="16"/>
          <w:szCs w:val="16"/>
          <w:color w:val="auto"/>
          <w:vertAlign w:val="superscript"/>
        </w:rPr>
      </w:pPr>
      <w:r>
        <w:rPr>
          <w:rFonts w:ascii="Arial" w:cs="Arial" w:eastAsia="Arial" w:hAnsi="Arial"/>
          <w:sz w:val="12"/>
          <w:szCs w:val="12"/>
          <w:color w:val="auto"/>
        </w:rPr>
        <w:t>Principal office address used for U.S. entities.</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Majority which is held directly by ICON plc.</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ICON Life Sciences Canada Inc. changed registered address as at 1 February 2025 to 5420 North Service Road, Suite 206, Burlington, ON L7L 6C7,Canada.</w:t>
      </w:r>
    </w:p>
    <w:p>
      <w:pPr>
        <w:ind w:left="20"/>
        <w:spacing w:after="0" w:line="196"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4</w:t>
      </w:r>
      <w:r>
        <w:rPr>
          <w:rFonts w:ascii="Arial" w:cs="Arial" w:eastAsia="Arial" w:hAnsi="Arial"/>
          <w:sz w:val="12"/>
          <w:szCs w:val="12"/>
          <w:color w:val="auto"/>
        </w:rPr>
        <w:t xml:space="preserve"> ReSearch Pharmaceutical Services France S.A.S. changed registered address as at 3 February 2025 to Tour Légende, Quartier de la Défense, 21 place de la Défense, Puteaux, 92800, France. </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ICON Clinical Research S.à.r.l. changed registered address as at 3 February 2025 to Tour Légende, Quartier de la Défense, 21 place de la Défense, Puteaux, 92800, France.</w:t>
      </w:r>
    </w:p>
    <w:p>
      <w:pPr>
        <w:spacing w:after="0" w:line="1" w:lineRule="exact"/>
        <w:rPr>
          <w:rFonts w:ascii="Arial" w:cs="Arial" w:eastAsia="Arial" w:hAnsi="Arial"/>
          <w:sz w:val="16"/>
          <w:szCs w:val="16"/>
          <w:color w:val="auto"/>
          <w:vertAlign w:val="superscript"/>
        </w:rPr>
      </w:pP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6</w:t>
      </w:r>
      <w:r>
        <w:rPr>
          <w:rFonts w:ascii="Arial" w:cs="Arial" w:eastAsia="Arial" w:hAnsi="Arial"/>
          <w:sz w:val="11"/>
          <w:szCs w:val="11"/>
          <w:color w:val="auto"/>
        </w:rPr>
        <w:t xml:space="preserve"> Mapi Research Trust is an association, its members are ICON Subsidiary entities.</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7</w:t>
      </w:r>
      <w:r>
        <w:rPr>
          <w:rFonts w:ascii="Arial" w:cs="Arial" w:eastAsia="Arial" w:hAnsi="Arial"/>
          <w:sz w:val="11"/>
          <w:szCs w:val="11"/>
          <w:color w:val="auto"/>
        </w:rPr>
        <w:t xml:space="preserve"> Oncacare France SAS changed registered address as at 3 February 2025 to Tour Légende, Quartier de la Défense, 21 place de la Défense, Puteaux, 92800, France.</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8</w:t>
      </w:r>
      <w:r>
        <w:rPr>
          <w:rFonts w:ascii="Arial" w:cs="Arial" w:eastAsia="Arial" w:hAnsi="Arial"/>
          <w:sz w:val="11"/>
          <w:szCs w:val="11"/>
          <w:color w:val="auto"/>
        </w:rPr>
        <w:t xml:space="preserve"> KCR LLC changed registered address as at 12 February 2025 to Mtatsminda District, Freedom Square N4, Tbilisi, Georgia.</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9</w:t>
      </w:r>
      <w:r>
        <w:rPr>
          <w:rFonts w:ascii="Arial" w:cs="Arial" w:eastAsia="Arial" w:hAnsi="Arial"/>
          <w:sz w:val="11"/>
          <w:szCs w:val="11"/>
          <w:color w:val="auto"/>
        </w:rPr>
        <w:t xml:space="preserve"> KCR CRO Ltd. changed registered address as at 28 March 2025 to 17 Henrik Ibsen Street, EM Building, Floor 3, Sofia, Bulgaria, 1407, Bulgaria.</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10</w:t>
      </w:r>
      <w:r>
        <w:rPr>
          <w:rFonts w:ascii="Arial" w:cs="Arial" w:eastAsia="Arial" w:hAnsi="Arial"/>
          <w:sz w:val="11"/>
          <w:szCs w:val="11"/>
          <w:color w:val="auto"/>
        </w:rPr>
        <w:t xml:space="preserve"> Curandus sp. Z o o. changed registered address as at 1 March 2025 to 68 Prosta Street, 00-838 Warsaw, Poland.</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11</w:t>
      </w:r>
      <w:r>
        <w:rPr>
          <w:rFonts w:ascii="Arial" w:cs="Arial" w:eastAsia="Arial" w:hAnsi="Arial"/>
          <w:sz w:val="11"/>
          <w:szCs w:val="11"/>
          <w:color w:val="auto"/>
        </w:rPr>
        <w:t xml:space="preserve"> KCR S.A. changed registered address as at 1 March 2025 to 68 Prosta Street, 00-838 Warsaw, Poland.</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12</w:t>
      </w:r>
      <w:r>
        <w:rPr>
          <w:rFonts w:ascii="Arial" w:cs="Arial" w:eastAsia="Arial" w:hAnsi="Arial"/>
          <w:sz w:val="11"/>
          <w:szCs w:val="11"/>
          <w:color w:val="auto"/>
        </w:rPr>
        <w:t xml:space="preserve"> KCR Placement Sp z.o.o registered address as at 1 March 2025 to 68 Prosta Street, 00-838 Warsaw, Poland.</w:t>
      </w:r>
    </w:p>
    <w:p>
      <w:pPr>
        <w:ind w:left="20"/>
        <w:spacing w:after="0" w:line="189" w:lineRule="auto"/>
        <w:rPr>
          <w:rFonts w:ascii="Arial" w:cs="Arial" w:eastAsia="Arial" w:hAnsi="Arial"/>
          <w:sz w:val="16"/>
          <w:szCs w:val="16"/>
          <w:color w:val="auto"/>
          <w:vertAlign w:val="superscript"/>
        </w:rPr>
      </w:pPr>
      <w:r>
        <w:rPr>
          <w:rFonts w:ascii="Arial" w:cs="Arial" w:eastAsia="Arial" w:hAnsi="Arial"/>
          <w:sz w:val="14"/>
          <w:szCs w:val="14"/>
          <w:color w:val="auto"/>
          <w:vertAlign w:val="superscript"/>
        </w:rPr>
        <w:t>13</w:t>
      </w:r>
      <w:r>
        <w:rPr>
          <w:rFonts w:ascii="Arial" w:cs="Arial" w:eastAsia="Arial" w:hAnsi="Arial"/>
          <w:sz w:val="11"/>
          <w:szCs w:val="11"/>
          <w:color w:val="auto"/>
        </w:rPr>
        <w:t xml:space="preserve"> Pharmaceutical Research Associates doo Belgrade changed its name to ICON Clinical doo Beograd as at 17 January 2025.</w:t>
      </w:r>
    </w:p>
    <w:p>
      <w:pPr>
        <w:ind w:left="20" w:right="1140"/>
        <w:spacing w:after="0" w:line="21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14</w:t>
      </w:r>
      <w:r>
        <w:rPr>
          <w:rFonts w:ascii="Arial" w:cs="Arial" w:eastAsia="Arial" w:hAnsi="Arial"/>
          <w:sz w:val="13"/>
          <w:szCs w:val="13"/>
          <w:color w:val="auto"/>
        </w:rPr>
        <w:t xml:space="preserve"> Pharmaceutical Research Associates doo Belgrade changed registered address as at 17 January 2025 to 4th Floor, Bulevar Zorana, Djindjica 64a, Belgrade, 11070, Serbia. </w:t>
      </w:r>
      <w:r>
        <w:rPr>
          <w:rFonts w:ascii="Arial" w:cs="Arial" w:eastAsia="Arial" w:hAnsi="Arial"/>
          <w:sz w:val="16"/>
          <w:szCs w:val="16"/>
          <w:color w:val="auto"/>
          <w:vertAlign w:val="superscript"/>
        </w:rPr>
        <w:t>15</w:t>
      </w:r>
      <w:r>
        <w:rPr>
          <w:rFonts w:ascii="Arial" w:cs="Arial" w:eastAsia="Arial" w:hAnsi="Arial"/>
          <w:sz w:val="13"/>
          <w:szCs w:val="13"/>
          <w:color w:val="auto"/>
        </w:rPr>
        <w:t xml:space="preserve"> Human Behind Every Number, Inc. is an Non-Governmental Organisation (NGO).</w:t>
      </w:r>
    </w:p>
    <w:p>
      <w:pPr>
        <w:spacing w:after="0" w:line="203"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0" w:lineRule="exact"/>
        <w:rPr>
          <w:rFonts w:ascii="Arial" w:cs="Arial" w:eastAsia="Arial" w:hAnsi="Arial"/>
          <w:sz w:val="13"/>
          <w:szCs w:val="13"/>
          <w:b w:val="1"/>
          <w:bCs w:val="1"/>
          <w:color w:val="auto"/>
        </w:rPr>
      </w:pPr>
    </w:p>
    <w:p>
      <w:pPr>
        <w:ind w:left="320"/>
        <w:spacing w:after="0"/>
        <w:rPr>
          <w:rFonts w:ascii="Arial" w:cs="Arial" w:eastAsia="Arial" w:hAnsi="Arial"/>
          <w:sz w:val="13"/>
          <w:szCs w:val="13"/>
          <w:b w:val="1"/>
          <w:bCs w:val="1"/>
          <w:color w:val="auto"/>
        </w:rPr>
      </w:pPr>
      <w:r>
        <w:rPr>
          <w:rFonts w:ascii="Arial" w:cs="Arial" w:eastAsia="Arial" w:hAnsi="Arial"/>
          <w:sz w:val="13"/>
          <w:szCs w:val="13"/>
          <w:color w:val="auto"/>
        </w:rPr>
        <w:t>The Board of Directors approved these financial statements on 29 April 2025.</w:t>
      </w: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0960"/>
          </w:cols>
          <w:pgMar w:left="300" w:top="697" w:right="6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color w:val="auto"/>
        </w:rPr>
        <w:t>Company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Borders>
              <w:bottom w:val="single" w:sz="8" w:color="auto"/>
            </w:tcBorders>
            <w:shd w:val="clear" w:color="auto" w:fill="CCEEFF"/>
          </w:tcPr>
          <w:p>
            <w:pPr>
              <w:spacing w:after="0"/>
              <w:rPr>
                <w:sz w:val="14"/>
                <w:szCs w:val="14"/>
                <w:color w:val="auto"/>
              </w:rPr>
            </w:pPr>
          </w:p>
        </w:tc>
        <w:tc>
          <w:tcPr>
            <w:tcW w:w="3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2023</w:t>
            </w:r>
          </w:p>
        </w:tc>
      </w:tr>
      <w:tr>
        <w:trPr>
          <w:trHeight w:val="160"/>
        </w:trPr>
        <w:tc>
          <w:tcPr>
            <w:tcW w:w="52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plant and equipment</w:t>
            </w:r>
          </w:p>
        </w:tc>
        <w:tc>
          <w:tcPr>
            <w:tcW w:w="328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506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Right-of-use assets</w:t>
            </w:r>
          </w:p>
        </w:tc>
        <w:tc>
          <w:tcPr>
            <w:tcW w:w="3280" w:type="dxa"/>
            <w:vAlign w:val="bottom"/>
          </w:tcPr>
          <w:p>
            <w:pPr>
              <w:jc w:val="right"/>
              <w:ind w:right="476"/>
              <w:spacing w:after="0"/>
              <w:rPr>
                <w:sz w:val="20"/>
                <w:szCs w:val="20"/>
                <w:color w:val="auto"/>
              </w:rPr>
            </w:pPr>
            <w:r>
              <w:rPr>
                <w:rFonts w:ascii="Arial" w:cs="Arial" w:eastAsia="Arial" w:hAnsi="Arial"/>
                <w:sz w:val="13"/>
                <w:szCs w:val="13"/>
                <w:i w:val="1"/>
                <w:iCs w:val="1"/>
                <w:color w:val="auto"/>
              </w:rPr>
              <w:t>8</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5,550</w:t>
            </w:r>
          </w:p>
        </w:tc>
        <w:tc>
          <w:tcPr>
            <w:tcW w:w="13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Investment in subsidiaries</w:t>
            </w:r>
          </w:p>
        </w:tc>
        <w:tc>
          <w:tcPr>
            <w:tcW w:w="328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7,115,418</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7,149,445</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Intangible assets</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15</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from subsidiary undertakings</w:t>
            </w:r>
          </w:p>
        </w:tc>
        <w:tc>
          <w:tcPr>
            <w:tcW w:w="328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10,852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Other non-current assets</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5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Deferred tax asset</w:t>
            </w:r>
          </w:p>
        </w:tc>
        <w:tc>
          <w:tcPr>
            <w:tcW w:w="32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3</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380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r>
      <w:tr>
        <w:trPr>
          <w:trHeight w:val="16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3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7,132,721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7,150,206</w:t>
            </w:r>
          </w:p>
        </w:tc>
      </w:tr>
      <w:tr>
        <w:trPr>
          <w:trHeight w:val="16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assets</w:t>
            </w:r>
          </w:p>
        </w:tc>
        <w:tc>
          <w:tcPr>
            <w:tcW w:w="3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Other current assets</w:t>
            </w:r>
          </w:p>
        </w:tc>
        <w:tc>
          <w:tcPr>
            <w:tcW w:w="3280" w:type="dxa"/>
            <w:vAlign w:val="bottom"/>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750</w:t>
            </w:r>
          </w:p>
        </w:tc>
        <w:tc>
          <w:tcPr>
            <w:tcW w:w="1300" w:type="dxa"/>
            <w:vAlign w:val="bottom"/>
          </w:tcPr>
          <w:p>
            <w:pPr>
              <w:jc w:val="right"/>
              <w:spacing w:after="0"/>
              <w:rPr>
                <w:sz w:val="20"/>
                <w:szCs w:val="20"/>
                <w:color w:val="auto"/>
              </w:rPr>
            </w:pPr>
            <w:r>
              <w:rPr>
                <w:rFonts w:ascii="Arial" w:cs="Arial" w:eastAsia="Arial" w:hAnsi="Arial"/>
                <w:sz w:val="13"/>
                <w:szCs w:val="13"/>
                <w:color w:val="auto"/>
              </w:rPr>
              <w:t>1,313</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from subsidiary undertakings</w:t>
            </w:r>
          </w:p>
        </w:tc>
        <w:tc>
          <w:tcPr>
            <w:tcW w:w="328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220,344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191,711</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Deferred tax asset</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5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3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10,485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8,433</w:t>
            </w:r>
          </w:p>
        </w:tc>
      </w:tr>
      <w:tr>
        <w:trPr>
          <w:trHeight w:val="16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3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231,579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201,459</w:t>
            </w:r>
          </w:p>
        </w:tc>
      </w:tr>
      <w:tr>
        <w:trPr>
          <w:trHeight w:val="107"/>
        </w:trPr>
        <w:tc>
          <w:tcPr>
            <w:tcW w:w="5200" w:type="dxa"/>
            <w:vAlign w:val="bottom"/>
            <w:tcBorders>
              <w:bottom w:val="single" w:sz="8" w:color="auto"/>
            </w:tcBorders>
            <w:shd w:val="clear" w:color="auto" w:fill="CCEEFF"/>
          </w:tcPr>
          <w:p>
            <w:pPr>
              <w:spacing w:after="0"/>
              <w:rPr>
                <w:sz w:val="9"/>
                <w:szCs w:val="9"/>
                <w:color w:val="auto"/>
              </w:rPr>
            </w:pPr>
          </w:p>
        </w:tc>
        <w:tc>
          <w:tcPr>
            <w:tcW w:w="328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3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7,364,300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7,351,665</w:t>
            </w:r>
          </w:p>
        </w:tc>
      </w:tr>
      <w:tr>
        <w:trPr>
          <w:trHeight w:val="149"/>
        </w:trPr>
        <w:tc>
          <w:tcPr>
            <w:tcW w:w="520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70"/>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capital</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6,586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6,699</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Share premium</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559,804</w:t>
            </w:r>
          </w:p>
        </w:tc>
        <w:tc>
          <w:tcPr>
            <w:tcW w:w="1300" w:type="dxa"/>
            <w:vAlign w:val="bottom"/>
          </w:tcPr>
          <w:p>
            <w:pPr>
              <w:jc w:val="right"/>
              <w:spacing w:after="0"/>
              <w:rPr>
                <w:sz w:val="20"/>
                <w:szCs w:val="20"/>
                <w:color w:val="auto"/>
              </w:rPr>
            </w:pPr>
            <w:r>
              <w:rPr>
                <w:rFonts w:ascii="Arial" w:cs="Arial" w:eastAsia="Arial" w:hAnsi="Arial"/>
                <w:sz w:val="13"/>
                <w:szCs w:val="13"/>
                <w:color w:val="auto"/>
              </w:rPr>
              <w:t>523,646</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Merger reserve</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5,656,195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Other undenominated capital</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1,304</w:t>
            </w:r>
          </w:p>
        </w:tc>
        <w:tc>
          <w:tcPr>
            <w:tcW w:w="1300" w:type="dxa"/>
            <w:vAlign w:val="bottom"/>
          </w:tcPr>
          <w:p>
            <w:pPr>
              <w:jc w:val="right"/>
              <w:spacing w:after="0"/>
              <w:rPr>
                <w:sz w:val="20"/>
                <w:szCs w:val="20"/>
                <w:color w:val="auto"/>
              </w:rPr>
            </w:pPr>
            <w:r>
              <w:rPr>
                <w:rFonts w:ascii="Arial" w:cs="Arial" w:eastAsia="Arial" w:hAnsi="Arial"/>
                <w:sz w:val="13"/>
                <w:szCs w:val="13"/>
                <w:color w:val="auto"/>
              </w:rPr>
              <w:t>1,162</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payment reserve</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270,550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282,520</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Other reserve</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27,405</w:t>
            </w:r>
          </w:p>
        </w:tc>
        <w:tc>
          <w:tcPr>
            <w:tcW w:w="1300" w:type="dxa"/>
            <w:vAlign w:val="bottom"/>
          </w:tcPr>
          <w:p>
            <w:pPr>
              <w:jc w:val="right"/>
              <w:spacing w:after="0"/>
              <w:rPr>
                <w:sz w:val="20"/>
                <w:szCs w:val="20"/>
                <w:color w:val="auto"/>
              </w:rPr>
            </w:pPr>
            <w:r>
              <w:rPr>
                <w:rFonts w:ascii="Arial" w:cs="Arial" w:eastAsia="Arial" w:hAnsi="Arial"/>
                <w:sz w:val="13"/>
                <w:szCs w:val="13"/>
                <w:color w:val="auto"/>
              </w:rPr>
              <w:t>27,405</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Foreign currency reserve</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(113,342)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(112,848)</w:t>
            </w:r>
          </w:p>
        </w:tc>
      </w:tr>
      <w:tr>
        <w:trPr>
          <w:trHeight w:val="170"/>
        </w:trPr>
        <w:tc>
          <w:tcPr>
            <w:tcW w:w="52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Retained earnings</w:t>
            </w:r>
          </w:p>
        </w:tc>
        <w:tc>
          <w:tcPr>
            <w:tcW w:w="3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927,650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949,128</w:t>
            </w:r>
          </w:p>
        </w:tc>
      </w:tr>
      <w:tr>
        <w:trPr>
          <w:trHeight w:val="16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equity holders</w:t>
            </w:r>
          </w:p>
        </w:tc>
        <w:tc>
          <w:tcPr>
            <w:tcW w:w="3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7,336,152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7,333,907</w:t>
            </w:r>
          </w:p>
        </w:tc>
      </w:tr>
      <w:tr>
        <w:trPr>
          <w:trHeight w:val="107"/>
        </w:trPr>
        <w:tc>
          <w:tcPr>
            <w:tcW w:w="52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3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Non-current other liabilities</w:t>
            </w:r>
          </w:p>
        </w:tc>
        <w:tc>
          <w:tcPr>
            <w:tcW w:w="32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5,579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3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5,579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3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32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1,160</w:t>
            </w:r>
          </w:p>
        </w:tc>
        <w:tc>
          <w:tcPr>
            <w:tcW w:w="1300" w:type="dxa"/>
            <w:vAlign w:val="bottom"/>
          </w:tcPr>
          <w:p>
            <w:pPr>
              <w:jc w:val="right"/>
              <w:spacing w:after="0"/>
              <w:rPr>
                <w:sz w:val="20"/>
                <w:szCs w:val="20"/>
                <w:color w:val="auto"/>
              </w:rPr>
            </w:pPr>
            <w:r>
              <w:rPr>
                <w:rFonts w:ascii="Arial" w:cs="Arial" w:eastAsia="Arial" w:hAnsi="Arial"/>
                <w:sz w:val="13"/>
                <w:szCs w:val="13"/>
                <w:color w:val="auto"/>
              </w:rPr>
              <w:t>269</w:t>
            </w:r>
          </w:p>
        </w:tc>
      </w:tr>
      <w:tr>
        <w:trPr>
          <w:trHeight w:val="170"/>
        </w:trPr>
        <w:tc>
          <w:tcPr>
            <w:tcW w:w="5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to subsidiary undertakings</w:t>
            </w:r>
          </w:p>
        </w:tc>
        <w:tc>
          <w:tcPr>
            <w:tcW w:w="328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3,433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r>
      <w:tr>
        <w:trPr>
          <w:trHeight w:val="170"/>
        </w:trPr>
        <w:tc>
          <w:tcPr>
            <w:tcW w:w="5200" w:type="dxa"/>
            <w:vAlign w:val="bottom"/>
          </w:tcPr>
          <w:p>
            <w:pPr>
              <w:ind w:left="80"/>
              <w:spacing w:after="0"/>
              <w:rPr>
                <w:sz w:val="20"/>
                <w:szCs w:val="20"/>
                <w:color w:val="auto"/>
              </w:rPr>
            </w:pPr>
            <w:r>
              <w:rPr>
                <w:rFonts w:ascii="Arial" w:cs="Arial" w:eastAsia="Arial" w:hAnsi="Arial"/>
                <w:sz w:val="13"/>
                <w:szCs w:val="13"/>
                <w:color w:val="auto"/>
              </w:rPr>
              <w:t>Accrued and other liabilities</w:t>
            </w:r>
          </w:p>
        </w:tc>
        <w:tc>
          <w:tcPr>
            <w:tcW w:w="328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7,301</w:t>
            </w:r>
          </w:p>
        </w:tc>
        <w:tc>
          <w:tcPr>
            <w:tcW w:w="1300" w:type="dxa"/>
            <w:vAlign w:val="bottom"/>
          </w:tcPr>
          <w:p>
            <w:pPr>
              <w:jc w:val="right"/>
              <w:spacing w:after="0"/>
              <w:rPr>
                <w:sz w:val="20"/>
                <w:szCs w:val="20"/>
                <w:color w:val="auto"/>
              </w:rPr>
            </w:pPr>
            <w:r>
              <w:rPr>
                <w:rFonts w:ascii="Arial" w:cs="Arial" w:eastAsia="Arial" w:hAnsi="Arial"/>
                <w:sz w:val="13"/>
                <w:szCs w:val="13"/>
                <w:color w:val="auto"/>
              </w:rPr>
              <w:t>16,517</w:t>
            </w:r>
          </w:p>
        </w:tc>
      </w:tr>
      <w:tr>
        <w:trPr>
          <w:trHeight w:val="170"/>
        </w:trPr>
        <w:tc>
          <w:tcPr>
            <w:tcW w:w="5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Current taxes payable</w:t>
            </w:r>
          </w:p>
        </w:tc>
        <w:tc>
          <w:tcPr>
            <w:tcW w:w="3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10,675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3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22,569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17,758</w:t>
            </w:r>
          </w:p>
        </w:tc>
      </w:tr>
      <w:tr>
        <w:trPr>
          <w:trHeight w:val="150"/>
        </w:trPr>
        <w:tc>
          <w:tcPr>
            <w:tcW w:w="520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r>
      <w:tr>
        <w:trPr>
          <w:trHeight w:val="16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3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28,148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17,758</w:t>
            </w:r>
          </w:p>
        </w:tc>
      </w:tr>
      <w:tr>
        <w:trPr>
          <w:trHeight w:val="162"/>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3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7,364,300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7,351,665</w:t>
            </w:r>
          </w:p>
        </w:tc>
      </w:tr>
    </w:tbl>
    <w:p>
      <w:pPr>
        <w:spacing w:after="0" w:line="57" w:lineRule="exact"/>
        <w:rPr>
          <w:sz w:val="20"/>
          <w:szCs w:val="20"/>
          <w:color w:val="auto"/>
        </w:rPr>
      </w:pPr>
    </w:p>
    <w:p>
      <w:pPr>
        <w:jc w:val="both"/>
        <w:spacing w:after="0" w:line="303" w:lineRule="auto"/>
        <w:rPr>
          <w:sz w:val="20"/>
          <w:szCs w:val="20"/>
          <w:color w:val="auto"/>
        </w:rPr>
      </w:pPr>
      <w:r>
        <w:rPr>
          <w:rFonts w:ascii="Arial" w:cs="Arial" w:eastAsia="Arial" w:hAnsi="Arial"/>
          <w:sz w:val="11"/>
          <w:szCs w:val="11"/>
          <w:i w:val="1"/>
          <w:iCs w:val="1"/>
          <w:color w:val="auto"/>
        </w:rPr>
        <w:t>As permitted by section 304 of the Companies Act, the Company has not presented a Company Statement of Profit and Loss. The profit for the 2024 financial year of the Company amounted to $425.3 million (2023: $9.0 million loss).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889"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1280"/>
          </w:cols>
          <w:pgMar w:left="300" w:top="889" w:right="31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 Unde-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Foreign</w:t>
            </w: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88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Based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20" w:type="dxa"/>
            <w:vAlign w:val="bottom"/>
            <w:vMerge w:val="continue"/>
            <w:shd w:val="clear" w:color="auto" w:fill="CCEEFF"/>
          </w:tcPr>
          <w:p>
            <w:pPr>
              <w:spacing w:after="0"/>
              <w:rPr>
                <w:sz w:val="11"/>
                <w:szCs w:val="11"/>
                <w:color w:val="auto"/>
              </w:rPr>
            </w:pP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nominated</w:t>
            </w:r>
          </w:p>
        </w:tc>
        <w:tc>
          <w:tcPr>
            <w:tcW w:w="7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Payment</w:t>
            </w:r>
          </w:p>
        </w:tc>
        <w:tc>
          <w:tcPr>
            <w:tcW w:w="66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Currency</w:t>
            </w:r>
          </w:p>
        </w:tc>
        <w:tc>
          <w:tcPr>
            <w:tcW w:w="7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2024</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82,495,086</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6,699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523,646</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282,520</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27,405</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(112,848)</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949,128</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7,333,907</w:t>
            </w:r>
          </w:p>
        </w:tc>
        <w:tc>
          <w:tcPr>
            <w:tcW w:w="0" w:type="dxa"/>
            <w:vAlign w:val="bottom"/>
          </w:tcPr>
          <w:p>
            <w:pPr>
              <w:spacing w:after="0"/>
              <w:rPr>
                <w:sz w:val="1"/>
                <w:szCs w:val="1"/>
                <w:color w:val="auto"/>
              </w:rPr>
            </w:pPr>
          </w:p>
        </w:tc>
      </w:tr>
      <w:tr>
        <w:trPr>
          <w:trHeight w:val="159"/>
        </w:trPr>
        <w:tc>
          <w:tcPr>
            <w:tcW w:w="360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425,295</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425,295</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(494)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loss</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(494)</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(494)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425,295</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424,801</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41,665</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41,665</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311,040</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36,158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36,178</w:t>
            </w: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7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Issue of restricted share units/ performance share units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130,433</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Repurchase of ordinary shares</w:t>
            </w:r>
          </w:p>
        </w:tc>
        <w:tc>
          <w:tcPr>
            <w:tcW w:w="1200" w:type="dxa"/>
            <w:vAlign w:val="bottom"/>
          </w:tcPr>
          <w:p>
            <w:pPr>
              <w:jc w:val="right"/>
              <w:ind w:right="96"/>
              <w:spacing w:after="0"/>
              <w:rPr>
                <w:sz w:val="20"/>
                <w:szCs w:val="20"/>
                <w:color w:val="auto"/>
              </w:rPr>
            </w:pPr>
            <w:r>
              <w:rPr>
                <w:rFonts w:ascii="Arial" w:cs="Arial" w:eastAsia="Arial" w:hAnsi="Arial"/>
                <w:sz w:val="13"/>
                <w:szCs w:val="13"/>
                <w:color w:val="auto"/>
              </w:rPr>
              <w:t>(2,179,699)</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(142)</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142</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(499,998)</w:t>
            </w:r>
          </w:p>
        </w:tc>
        <w:tc>
          <w:tcPr>
            <w:tcW w:w="700" w:type="dxa"/>
            <w:vAlign w:val="bottom"/>
          </w:tcPr>
          <w:p>
            <w:pPr>
              <w:jc w:val="right"/>
              <w:spacing w:after="0"/>
              <w:rPr>
                <w:sz w:val="20"/>
                <w:szCs w:val="20"/>
                <w:color w:val="auto"/>
              </w:rPr>
            </w:pPr>
            <w:r>
              <w:rPr>
                <w:rFonts w:ascii="Arial" w:cs="Arial" w:eastAsia="Arial" w:hAnsi="Arial"/>
                <w:sz w:val="13"/>
                <w:szCs w:val="13"/>
                <w:color w:val="auto"/>
              </w:rPr>
              <w:t>(499,998)</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repurchase costs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Transfer of exercised and expired share-based awards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(53,635)</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53,635</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(1,738,226)</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(113)</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36,158</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142</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(11,970)</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(446,773)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(422,556)</w:t>
            </w:r>
          </w:p>
        </w:tc>
        <w:tc>
          <w:tcPr>
            <w:tcW w:w="0" w:type="dxa"/>
            <w:vAlign w:val="bottom"/>
          </w:tcPr>
          <w:p>
            <w:pPr>
              <w:spacing w:after="0"/>
              <w:rPr>
                <w:sz w:val="1"/>
                <w:szCs w:val="1"/>
                <w:color w:val="auto"/>
              </w:rPr>
            </w:pPr>
          </w:p>
        </w:tc>
      </w:tr>
      <w:tr>
        <w:trPr>
          <w:trHeight w:val="16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2024</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80,756,860</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6,586</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559,804</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1,304</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270,550</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27,405</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(113,342)</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927,650</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7,336,152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1280"/>
          </w:cols>
          <w:pgMar w:left="300" w:top="889"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 Unde-</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Foreign</w:t>
            </w: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5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Number</w:t>
            </w:r>
          </w:p>
        </w:tc>
        <w:tc>
          <w:tcPr>
            <w:tcW w:w="6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88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continue"/>
            <w:shd w:val="clear" w:color="auto" w:fill="CCEEFF"/>
          </w:tcPr>
          <w:p>
            <w:pPr>
              <w:spacing w:after="0"/>
              <w:rPr>
                <w:sz w:val="11"/>
                <w:szCs w:val="11"/>
                <w:color w:val="auto"/>
              </w:rPr>
            </w:pP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56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nominated</w:t>
            </w:r>
          </w:p>
        </w:tc>
        <w:tc>
          <w:tcPr>
            <w:tcW w:w="74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0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Currency</w:t>
            </w:r>
          </w:p>
        </w:tc>
        <w:tc>
          <w:tcPr>
            <w:tcW w:w="7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of shares</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70"/>
        </w:trPr>
        <w:tc>
          <w:tcPr>
            <w:tcW w:w="3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2023</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81,723,555</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6,649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472,723</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1,162</w:t>
            </w: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326,803</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(114,392)</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866,648</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7,221,859</w:t>
            </w:r>
          </w:p>
        </w:tc>
        <w:tc>
          <w:tcPr>
            <w:tcW w:w="0" w:type="dxa"/>
            <w:vAlign w:val="bottom"/>
          </w:tcPr>
          <w:p>
            <w:pPr>
              <w:spacing w:after="0"/>
              <w:rPr>
                <w:sz w:val="1"/>
                <w:szCs w:val="1"/>
                <w:color w:val="auto"/>
              </w:rPr>
            </w:pPr>
          </w:p>
        </w:tc>
      </w:tr>
      <w:tr>
        <w:trPr>
          <w:trHeight w:val="159"/>
        </w:trPr>
        <w:tc>
          <w:tcPr>
            <w:tcW w:w="3560" w:type="dxa"/>
            <w:vAlign w:val="bottom"/>
          </w:tcPr>
          <w:p>
            <w:pPr>
              <w:ind w:left="20"/>
              <w:spacing w:after="0"/>
              <w:rPr>
                <w:sz w:val="20"/>
                <w:szCs w:val="20"/>
                <w:color w:val="auto"/>
              </w:rPr>
            </w:pPr>
            <w:r>
              <w:rPr>
                <w:rFonts w:ascii="Arial" w:cs="Arial" w:eastAsia="Arial" w:hAnsi="Arial"/>
                <w:sz w:val="13"/>
                <w:szCs w:val="13"/>
                <w:color w:val="auto"/>
              </w:rPr>
              <w:t>Loss for the year</w:t>
            </w:r>
          </w:p>
        </w:tc>
        <w:tc>
          <w:tcPr>
            <w:tcW w:w="11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(8,958)</w:t>
            </w:r>
          </w:p>
        </w:tc>
        <w:tc>
          <w:tcPr>
            <w:tcW w:w="700" w:type="dxa"/>
            <w:vAlign w:val="bottom"/>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loss for the year</w:t>
            </w: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(8,958)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(7,414)</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1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47,171</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47,171</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535,705</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50,923</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50,958</w:t>
            </w:r>
          </w:p>
        </w:tc>
        <w:tc>
          <w:tcPr>
            <w:tcW w:w="0" w:type="dxa"/>
            <w:vAlign w:val="bottom"/>
          </w:tcPr>
          <w:p>
            <w:pPr>
              <w:spacing w:after="0"/>
              <w:rPr>
                <w:sz w:val="1"/>
                <w:szCs w:val="1"/>
                <w:color w:val="auto"/>
              </w:rPr>
            </w:pPr>
          </w:p>
        </w:tc>
      </w:tr>
      <w:tr>
        <w:trPr>
          <w:trHeight w:val="169"/>
        </w:trPr>
        <w:tc>
          <w:tcPr>
            <w:tcW w:w="356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1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70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Issue of restricted share units/ performance share units</w:t>
            </w: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235,826</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3560" w:type="dxa"/>
            <w:vAlign w:val="bottom"/>
          </w:tcPr>
          <w:p>
            <w:pPr>
              <w:ind w:left="80"/>
              <w:spacing w:after="0"/>
              <w:rPr>
                <w:sz w:val="20"/>
                <w:szCs w:val="20"/>
                <w:color w:val="auto"/>
              </w:rPr>
            </w:pPr>
            <w:r>
              <w:rPr>
                <w:rFonts w:ascii="Arial" w:cs="Arial" w:eastAsia="Arial" w:hAnsi="Arial"/>
                <w:sz w:val="13"/>
                <w:szCs w:val="13"/>
                <w:color w:val="auto"/>
              </w:rPr>
              <w:t>Group reorganisation (note 2)</w:t>
            </w:r>
          </w:p>
        </w:tc>
        <w:tc>
          <w:tcPr>
            <w:tcW w:w="11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21,334</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21,334</w:t>
            </w:r>
          </w:p>
        </w:tc>
        <w:tc>
          <w:tcPr>
            <w:tcW w:w="0" w:type="dxa"/>
            <w:vAlign w:val="bottom"/>
          </w:tcPr>
          <w:p>
            <w:pPr>
              <w:spacing w:after="0"/>
              <w:rPr>
                <w:sz w:val="1"/>
                <w:szCs w:val="1"/>
                <w:color w:val="auto"/>
              </w:rPr>
            </w:pPr>
          </w:p>
        </w:tc>
      </w:tr>
      <w:tr>
        <w:trPr>
          <w:trHeight w:val="170"/>
        </w:trPr>
        <w:tc>
          <w:tcPr>
            <w:tcW w:w="3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Transfer of exercised and expired share-based awards</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(91,454)</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91,454</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771,531</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50,923</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(44,283)</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21,334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91,438</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119,462</w:t>
            </w:r>
          </w:p>
        </w:tc>
        <w:tc>
          <w:tcPr>
            <w:tcW w:w="0" w:type="dxa"/>
            <w:vAlign w:val="bottom"/>
          </w:tcPr>
          <w:p>
            <w:pPr>
              <w:spacing w:after="0"/>
              <w:rPr>
                <w:sz w:val="1"/>
                <w:szCs w:val="1"/>
                <w:color w:val="auto"/>
              </w:rPr>
            </w:pPr>
          </w:p>
        </w:tc>
      </w:tr>
      <w:tr>
        <w:trPr>
          <w:trHeight w:val="163"/>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31 December 2023</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82,495,086</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6,699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523,646</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1,162</w:t>
            </w: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282,520</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27,405</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(112,848)</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949,128</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7,333,907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1280"/>
          </w:cols>
          <w:pgMar w:left="300" w:top="888"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Notes to Company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00" w:type="dxa"/>
            <w:vAlign w:val="bottom"/>
          </w:tcPr>
          <w:p>
            <w:pPr>
              <w:ind w:left="260"/>
              <w:spacing w:after="0"/>
              <w:rPr>
                <w:sz w:val="20"/>
                <w:szCs w:val="20"/>
                <w:color w:val="auto"/>
              </w:rPr>
            </w:pPr>
            <w:r>
              <w:rPr>
                <w:rFonts w:ascii="Times New Roman" w:cs="Times New Roman" w:eastAsia="Times New Roman" w:hAnsi="Times New Roman"/>
                <w:sz w:val="3"/>
                <w:szCs w:val="3"/>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3"/>
                <w:szCs w:val="3"/>
                <w:color w:val="auto"/>
              </w:rPr>
              <w:t>PLC</w:t>
            </w:r>
          </w:p>
        </w:tc>
        <w:tc>
          <w:tcPr>
            <w:tcW w:w="3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
        </w:trPr>
        <w:tc>
          <w:tcPr>
            <w:tcW w:w="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0"/>
        </w:trPr>
        <w:tc>
          <w:tcPr>
            <w:tcW w:w="4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equipment</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276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At 1 January 2024</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390</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680</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730</w:t>
            </w:r>
          </w:p>
        </w:tc>
        <w:tc>
          <w:tcPr>
            <w:tcW w:w="920" w:type="dxa"/>
            <w:vAlign w:val="bottom"/>
          </w:tcPr>
          <w:p>
            <w:pPr>
              <w:jc w:val="right"/>
              <w:spacing w:after="0"/>
              <w:rPr>
                <w:sz w:val="20"/>
                <w:szCs w:val="20"/>
                <w:color w:val="auto"/>
              </w:rPr>
            </w:pPr>
            <w:r>
              <w:rPr>
                <w:rFonts w:ascii="Arial" w:cs="Arial" w:eastAsia="Arial" w:hAnsi="Arial"/>
                <w:sz w:val="13"/>
                <w:szCs w:val="13"/>
                <w:color w:val="auto"/>
              </w:rPr>
              <w:t>1,800</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2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w:t>
            </w:r>
          </w:p>
        </w:tc>
        <w:tc>
          <w:tcPr>
            <w:tcW w:w="21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283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(531)</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(531)</w:t>
            </w: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(27)</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2"/>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363</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166</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964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1,493</w:t>
            </w:r>
          </w:p>
        </w:tc>
      </w:tr>
      <w:tr>
        <w:trPr>
          <w:trHeight w:val="182"/>
        </w:trPr>
        <w:tc>
          <w:tcPr>
            <w:tcW w:w="4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3160" w:type="dxa"/>
            <w:vAlign w:val="bottom"/>
            <w:gridSpan w:val="2"/>
          </w:tcPr>
          <w:p>
            <w:pPr>
              <w:ind w:left="20"/>
              <w:spacing w:after="0"/>
              <w:rPr>
                <w:sz w:val="20"/>
                <w:szCs w:val="20"/>
                <w:color w:val="auto"/>
              </w:rPr>
            </w:pPr>
            <w:r>
              <w:rPr>
                <w:rFonts w:ascii="Arial" w:cs="Arial" w:eastAsia="Arial" w:hAnsi="Arial"/>
                <w:sz w:val="13"/>
                <w:szCs w:val="13"/>
                <w:b w:val="1"/>
                <w:bCs w:val="1"/>
                <w:color w:val="auto"/>
              </w:rPr>
              <w:t>Depreciation</w:t>
            </w: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 1 January 2024</w:t>
            </w:r>
          </w:p>
        </w:tc>
        <w:tc>
          <w:tcPr>
            <w:tcW w:w="3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384</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652</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453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Charge for the year</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1</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107</w:t>
            </w:r>
          </w:p>
        </w:tc>
        <w:tc>
          <w:tcPr>
            <w:tcW w:w="92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(531)</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169"/>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(29)</w:t>
            </w: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w:t>
            </w:r>
          </w:p>
        </w:tc>
        <w:tc>
          <w:tcPr>
            <w:tcW w:w="2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62"/>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356</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121</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510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987</w:t>
            </w:r>
          </w:p>
        </w:tc>
      </w:tr>
      <w:tr>
        <w:trPr>
          <w:trHeight w:val="182"/>
        </w:trPr>
        <w:tc>
          <w:tcPr>
            <w:tcW w:w="4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7</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45</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454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506</w:t>
            </w:r>
          </w:p>
        </w:tc>
      </w:tr>
      <w:tr>
        <w:trPr>
          <w:trHeight w:val="159"/>
        </w:trPr>
        <w:tc>
          <w:tcPr>
            <w:tcW w:w="4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At 31 December 2023</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277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2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33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200" w:type="dxa"/>
            <w:vAlign w:val="bottom"/>
          </w:tcPr>
          <w:p>
            <w:pPr>
              <w:jc w:val="center"/>
              <w:ind w:left="696"/>
              <w:spacing w:after="0"/>
              <w:rPr>
                <w:sz w:val="20"/>
                <w:szCs w:val="20"/>
                <w:color w:val="auto"/>
              </w:rPr>
            </w:pPr>
            <w:r>
              <w:rPr>
                <w:rFonts w:ascii="Arial" w:cs="Arial" w:eastAsia="Arial" w:hAnsi="Arial"/>
                <w:sz w:val="13"/>
                <w:szCs w:val="13"/>
                <w:b w:val="1"/>
                <w:bCs w:val="1"/>
                <w:color w:val="auto"/>
                <w:w w:val="98"/>
              </w:rPr>
              <w:t>$’000</w:t>
            </w:r>
          </w:p>
        </w:tc>
        <w:tc>
          <w:tcPr>
            <w:tcW w:w="960" w:type="dxa"/>
            <w:vAlign w:val="bottom"/>
          </w:tcPr>
          <w:p>
            <w:pPr>
              <w:ind w:left="640"/>
              <w:spacing w:after="0"/>
              <w:rPr>
                <w:sz w:val="20"/>
                <w:szCs w:val="20"/>
                <w:color w:val="auto"/>
              </w:rPr>
            </w:pPr>
            <w:r>
              <w:rPr>
                <w:rFonts w:ascii="Arial" w:cs="Arial" w:eastAsia="Arial" w:hAnsi="Arial"/>
                <w:sz w:val="13"/>
                <w:szCs w:val="13"/>
                <w:b w:val="1"/>
                <w:bCs w:val="1"/>
                <w:color w:val="auto"/>
                <w:w w:val="92"/>
              </w:rPr>
              <w:t>$’000</w:t>
            </w: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353</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630</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903</w:t>
            </w:r>
          </w:p>
        </w:tc>
        <w:tc>
          <w:tcPr>
            <w:tcW w:w="960" w:type="dxa"/>
            <w:vAlign w:val="bottom"/>
          </w:tcPr>
          <w:p>
            <w:pPr>
              <w:jc w:val="right"/>
              <w:spacing w:after="0"/>
              <w:rPr>
                <w:sz w:val="20"/>
                <w:szCs w:val="20"/>
                <w:color w:val="auto"/>
              </w:rPr>
            </w:pPr>
            <w:r>
              <w:rPr>
                <w:rFonts w:ascii="Arial" w:cs="Arial" w:eastAsia="Arial" w:hAnsi="Arial"/>
                <w:sz w:val="13"/>
                <w:szCs w:val="13"/>
                <w:color w:val="auto"/>
              </w:rPr>
              <w:t>1,886</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w:t>
            </w: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w:t>
            </w:r>
          </w:p>
        </w:tc>
        <w:tc>
          <w:tcPr>
            <w:tcW w:w="220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217</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255</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tcPr>
          <w:p>
            <w:pPr>
              <w:jc w:val="right"/>
              <w:ind w:right="116"/>
              <w:spacing w:after="0"/>
              <w:rPr>
                <w:sz w:val="20"/>
                <w:szCs w:val="20"/>
                <w:color w:val="auto"/>
              </w:rPr>
            </w:pPr>
            <w:r>
              <w:rPr>
                <w:rFonts w:ascii="Arial" w:cs="Arial" w:eastAsia="Arial" w:hAnsi="Arial"/>
                <w:sz w:val="13"/>
                <w:szCs w:val="13"/>
                <w:color w:val="auto"/>
              </w:rPr>
              <w:t>(10)</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(45)</w:t>
            </w:r>
          </w:p>
        </w:tc>
        <w:tc>
          <w:tcPr>
            <w:tcW w:w="2200" w:type="dxa"/>
            <w:vAlign w:val="bottom"/>
          </w:tcPr>
          <w:p>
            <w:pPr>
              <w:jc w:val="center"/>
              <w:ind w:left="676"/>
              <w:spacing w:after="0"/>
              <w:rPr>
                <w:sz w:val="20"/>
                <w:szCs w:val="20"/>
                <w:color w:val="auto"/>
              </w:rPr>
            </w:pPr>
            <w:r>
              <w:rPr>
                <w:rFonts w:ascii="Arial" w:cs="Arial" w:eastAsia="Arial" w:hAnsi="Arial"/>
                <w:sz w:val="13"/>
                <w:szCs w:val="13"/>
                <w:color w:val="auto"/>
                <w:w w:val="98"/>
              </w:rPr>
              <w:t>(460)</w:t>
            </w:r>
          </w:p>
        </w:tc>
        <w:tc>
          <w:tcPr>
            <w:tcW w:w="960" w:type="dxa"/>
            <w:vAlign w:val="bottom"/>
          </w:tcPr>
          <w:p>
            <w:pPr>
              <w:ind w:left="640"/>
              <w:spacing w:after="0"/>
              <w:rPr>
                <w:sz w:val="20"/>
                <w:szCs w:val="20"/>
                <w:color w:val="auto"/>
              </w:rPr>
            </w:pPr>
            <w:r>
              <w:rPr>
                <w:rFonts w:ascii="Arial" w:cs="Arial" w:eastAsia="Arial" w:hAnsi="Arial"/>
                <w:sz w:val="13"/>
                <w:szCs w:val="13"/>
                <w:color w:val="auto"/>
                <w:w w:val="98"/>
              </w:rPr>
              <w:t>(515)</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38</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66</w:t>
            </w:r>
          </w:p>
        </w:tc>
        <w:tc>
          <w:tcPr>
            <w:tcW w:w="22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390</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680</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730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1,800</w:t>
            </w:r>
          </w:p>
        </w:tc>
      </w:tr>
      <w:tr>
        <w:trPr>
          <w:trHeight w:val="182"/>
        </w:trPr>
        <w:tc>
          <w:tcPr>
            <w:tcW w:w="324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2023</w:t>
            </w:r>
          </w:p>
        </w:tc>
        <w:tc>
          <w:tcPr>
            <w:tcW w:w="3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348</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621</w:t>
            </w:r>
          </w:p>
        </w:tc>
        <w:tc>
          <w:tcPr>
            <w:tcW w:w="22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641</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8</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11</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65</w:t>
            </w:r>
          </w:p>
        </w:tc>
        <w:tc>
          <w:tcPr>
            <w:tcW w:w="9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(45)</w:t>
            </w:r>
          </w:p>
        </w:tc>
        <w:tc>
          <w:tcPr>
            <w:tcW w:w="2200" w:type="dxa"/>
            <w:vAlign w:val="bottom"/>
            <w:shd w:val="clear" w:color="auto" w:fill="CCEEFF"/>
          </w:tcPr>
          <w:p>
            <w:pPr>
              <w:jc w:val="center"/>
              <w:ind w:left="676"/>
              <w:spacing w:after="0"/>
              <w:rPr>
                <w:sz w:val="20"/>
                <w:szCs w:val="20"/>
                <w:color w:val="auto"/>
              </w:rPr>
            </w:pPr>
            <w:r>
              <w:rPr>
                <w:rFonts w:ascii="Arial" w:cs="Arial" w:eastAsia="Arial" w:hAnsi="Arial"/>
                <w:sz w:val="13"/>
                <w:szCs w:val="13"/>
                <w:color w:val="auto"/>
                <w:w w:val="98"/>
              </w:rPr>
              <w:t>(303)</w:t>
            </w: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8"/>
              </w:rPr>
              <w:t>(358)</w:t>
            </w:r>
          </w:p>
        </w:tc>
      </w:tr>
      <w:tr>
        <w:trPr>
          <w:trHeight w:val="16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38</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65</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50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r>
      <w:tr>
        <w:trPr>
          <w:trHeight w:val="162"/>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384</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652</w:t>
            </w:r>
          </w:p>
        </w:tc>
        <w:tc>
          <w:tcPr>
            <w:tcW w:w="22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453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1,489</w:t>
            </w:r>
          </w:p>
        </w:tc>
      </w:tr>
      <w:tr>
        <w:trPr>
          <w:trHeight w:val="182"/>
        </w:trPr>
        <w:tc>
          <w:tcPr>
            <w:tcW w:w="3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6</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28</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277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311</w:t>
            </w:r>
          </w:p>
        </w:tc>
      </w:tr>
      <w:tr>
        <w:trPr>
          <w:trHeight w:val="159"/>
        </w:trPr>
        <w:tc>
          <w:tcPr>
            <w:tcW w:w="32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2022</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5</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262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r>
      <w:tr>
        <w:trPr>
          <w:trHeight w:val="592"/>
        </w:trPr>
        <w:tc>
          <w:tcPr>
            <w:tcW w:w="3240" w:type="dxa"/>
            <w:vAlign w:val="bottom"/>
          </w:tcPr>
          <w:p>
            <w:pPr>
              <w:spacing w:after="0"/>
              <w:rPr>
                <w:sz w:val="24"/>
                <w:szCs w:val="24"/>
                <w:color w:val="auto"/>
              </w:rPr>
            </w:pPr>
          </w:p>
        </w:tc>
        <w:tc>
          <w:tcPr>
            <w:tcW w:w="3340" w:type="dxa"/>
            <w:vAlign w:val="bottom"/>
          </w:tcPr>
          <w:p>
            <w:pPr>
              <w:jc w:val="right"/>
              <w:ind w:right="756"/>
              <w:spacing w:after="0"/>
              <w:rPr>
                <w:sz w:val="20"/>
                <w:szCs w:val="20"/>
                <w:color w:val="auto"/>
              </w:rPr>
            </w:pPr>
            <w:r>
              <w:rPr>
                <w:rFonts w:ascii="Arial" w:cs="Arial" w:eastAsia="Arial" w:hAnsi="Arial"/>
                <w:sz w:val="13"/>
                <w:szCs w:val="13"/>
                <w:color w:val="auto"/>
              </w:rPr>
              <w:t>131</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shd w:val="clear" w:color="auto" w:fill="CCEEFF"/>
          </w:tcPr>
          <w:p>
            <w:pPr>
              <w:spacing w:after="0"/>
              <w:rPr>
                <w:sz w:val="16"/>
                <w:szCs w:val="16"/>
                <w:color w:val="auto"/>
              </w:rPr>
            </w:pP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82"/>
        </w:trPr>
        <w:tc>
          <w:tcPr>
            <w:tcW w:w="6320" w:type="dxa"/>
            <w:vAlign w:val="bottom"/>
            <w:tcBorders>
              <w:bottom w:val="single" w:sz="8" w:color="auto"/>
            </w:tcBorders>
            <w:shd w:val="clear" w:color="auto" w:fill="CCEEFF"/>
          </w:tcPr>
          <w:p>
            <w:pPr>
              <w:spacing w:after="0"/>
              <w:rPr>
                <w:sz w:val="15"/>
                <w:szCs w:val="15"/>
                <w:color w:val="auto"/>
              </w:rPr>
            </w:pP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92"/>
        </w:trPr>
        <w:tc>
          <w:tcPr>
            <w:tcW w:w="6320" w:type="dxa"/>
            <w:vAlign w:val="bottom"/>
          </w:tcPr>
          <w:p>
            <w:pPr>
              <w:spacing w:after="0"/>
              <w:rPr>
                <w:sz w:val="16"/>
                <w:szCs w:val="16"/>
                <w:color w:val="auto"/>
              </w:rPr>
            </w:pPr>
          </w:p>
        </w:tc>
        <w:tc>
          <w:tcPr>
            <w:tcW w:w="4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4680" w:type="dxa"/>
            <w:vAlign w:val="bottom"/>
            <w:shd w:val="clear" w:color="auto" w:fill="CCEEFF"/>
          </w:tcPr>
          <w:p>
            <w:pPr>
              <w:spacing w:after="0"/>
              <w:rPr>
                <w:sz w:val="15"/>
                <w:szCs w:val="15"/>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4680" w:type="dxa"/>
            <w:vAlign w:val="bottom"/>
          </w:tcPr>
          <w:p>
            <w:pPr>
              <w:jc w:val="right"/>
              <w:spacing w:after="0"/>
              <w:rPr>
                <w:sz w:val="20"/>
                <w:szCs w:val="20"/>
                <w:color w:val="auto"/>
              </w:rPr>
            </w:pPr>
            <w:r>
              <w:rPr>
                <w:rFonts w:ascii="Arial" w:cs="Arial" w:eastAsia="Arial" w:hAnsi="Arial"/>
                <w:sz w:val="13"/>
                <w:szCs w:val="13"/>
                <w:color w:val="auto"/>
              </w:rPr>
              <w:t>7,086,423</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265,086</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Redemptions</w:t>
            </w:r>
          </w:p>
        </w:tc>
        <w:tc>
          <w:tcPr>
            <w:tcW w:w="4680" w:type="dxa"/>
            <w:vAlign w:val="bottom"/>
          </w:tcPr>
          <w:p>
            <w:pPr>
              <w:jc w:val="right"/>
              <w:spacing w:after="0"/>
              <w:rPr>
                <w:sz w:val="20"/>
                <w:szCs w:val="20"/>
                <w:color w:val="auto"/>
              </w:rPr>
            </w:pPr>
            <w:r>
              <w:rPr>
                <w:rFonts w:ascii="Arial" w:cs="Arial" w:eastAsia="Arial" w:hAnsi="Arial"/>
                <w:sz w:val="13"/>
                <w:szCs w:val="13"/>
                <w:color w:val="auto"/>
              </w:rPr>
              <w:t>(105,936)</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41,832</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(137,960)</w:t>
            </w:r>
          </w:p>
        </w:tc>
      </w:tr>
      <w:tr>
        <w:trPr>
          <w:trHeight w:val="162"/>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2023</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7,149,445</w:t>
            </w:r>
          </w:p>
        </w:tc>
      </w:tr>
      <w:tr>
        <w:trPr>
          <w:trHeight w:val="192"/>
        </w:trPr>
        <w:tc>
          <w:tcPr>
            <w:tcW w:w="632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78,199</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Redemptions</w:t>
            </w:r>
          </w:p>
        </w:tc>
        <w:tc>
          <w:tcPr>
            <w:tcW w:w="4680" w:type="dxa"/>
            <w:vAlign w:val="bottom"/>
          </w:tcPr>
          <w:p>
            <w:pPr>
              <w:jc w:val="right"/>
              <w:spacing w:after="0"/>
              <w:rPr>
                <w:sz w:val="20"/>
                <w:szCs w:val="20"/>
                <w:color w:val="auto"/>
              </w:rPr>
            </w:pPr>
            <w:r>
              <w:rPr>
                <w:rFonts w:ascii="Arial" w:cs="Arial" w:eastAsia="Arial" w:hAnsi="Arial"/>
                <w:sz w:val="13"/>
                <w:szCs w:val="13"/>
                <w:color w:val="auto"/>
              </w:rPr>
              <w:t>(127,375)</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36,690</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(21,541)</w:t>
            </w:r>
          </w:p>
        </w:tc>
      </w:tr>
      <w:tr>
        <w:trPr>
          <w:trHeight w:val="187"/>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7,115,418</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14 March 2024, the Company subscribed for 43,000,000 Ordinary Shares of $1.00 each in the capital of the ICON Clinical Global Holdings Unlimited Company, in return for cash consideration of $43.0 million.</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8 May 2024, the Company subscribed for 14,000,000 Ordinary Shares of $1.00 each in the capital of ICON Investments Six Designated Activity Company in return for cash consideration of $14.0 million.</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27 August 2024, the Company transferred its interest in ICON Clinical International Limited, with a carrying value of $127.4 million, to ICON Holdings Unlimited Company in exchange for a loan note amounting to $127.4 million.</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30 September 2024, the Company subscribed for 21,199,164 Ordinary Shares of $1.00 each in the capital of ICON Clinical Global Holdings Unlimited Company in return for cash consideration of $21.2 million.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On 1 July 2023, the Company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Reserves in the Company Statement of Changes in Equity.</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26 July 2023, the Company subsequently contributed its interest in ICON Holdings Clinical Research International Limited to ICON Holdings Unlimited Company. The transaction resulted in ICON Holdings Clinical Research International Limited moving from a direct to indirect subsidiary and had no impact on the Company’s financial assets.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 October 2023, the Company transferred its interest in ICON Japan, with a carrying value of $3.1 million, to PRA Health Sciences KK in exchange for a loan note of amounting to $10.9 million. The transaction resulted in the Company recording a gain on disposal of $7.8 million in Other Reserves in the Company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1280"/>
          </w:cols>
          <w:pgMar w:left="300" w:top="697"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Deferred taxation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2024 and 31 December 2023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Deferred taxation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00" w:type="dxa"/>
            <w:vAlign w:val="bottom"/>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spacing w:after="0"/>
              <w:rPr>
                <w:sz w:val="14"/>
                <w:szCs w:val="14"/>
                <w:color w:val="auto"/>
              </w:rPr>
            </w:pPr>
          </w:p>
        </w:tc>
        <w:tc>
          <w:tcPr>
            <w:tcW w:w="1660" w:type="dxa"/>
            <w:vAlign w:val="bottom"/>
          </w:tcPr>
          <w:p>
            <w:pPr>
              <w:jc w:val="right"/>
              <w:ind w:right="316"/>
              <w:spacing w:after="0"/>
              <w:rPr>
                <w:sz w:val="20"/>
                <w:szCs w:val="20"/>
                <w:color w:val="auto"/>
              </w:rPr>
            </w:pPr>
            <w:r>
              <w:rPr>
                <w:rFonts w:ascii="Arial" w:cs="Arial" w:eastAsia="Arial" w:hAnsi="Arial"/>
                <w:sz w:val="13"/>
                <w:szCs w:val="13"/>
                <w:b w:val="1"/>
                <w:bCs w:val="1"/>
                <w:color w:val="auto"/>
              </w:rPr>
              <w:t>367</w:t>
            </w:r>
          </w:p>
        </w:tc>
        <w:tc>
          <w:tcPr>
            <w:tcW w:w="1160" w:type="dxa"/>
            <w:vAlign w:val="bottom"/>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 deferred taxation assets</w:t>
            </w:r>
          </w:p>
        </w:tc>
        <w:tc>
          <w:tcPr>
            <w:tcW w:w="3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34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 January 2024</w:t>
            </w:r>
          </w:p>
        </w:tc>
        <w:tc>
          <w:tcPr>
            <w:tcW w:w="166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Recognised in year</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jc w:val="right"/>
              <w:ind w:right="136"/>
              <w:spacing w:after="0"/>
              <w:rPr>
                <w:sz w:val="20"/>
                <w:szCs w:val="20"/>
                <w:color w:val="auto"/>
              </w:rPr>
            </w:pPr>
            <w:r>
              <w:rPr>
                <w:rFonts w:ascii="Arial" w:cs="Arial" w:eastAsia="Arial" w:hAnsi="Arial"/>
                <w:sz w:val="13"/>
                <w:szCs w:val="13"/>
                <w:color w:val="auto"/>
              </w:rPr>
              <w:t>387</w:t>
            </w:r>
          </w:p>
        </w:tc>
        <w:tc>
          <w:tcPr>
            <w:tcW w:w="1660" w:type="dxa"/>
            <w:vAlign w:val="bottom"/>
          </w:tcPr>
          <w:p>
            <w:pPr>
              <w:jc w:val="right"/>
              <w:ind w:right="276"/>
              <w:spacing w:after="0"/>
              <w:rPr>
                <w:sz w:val="20"/>
                <w:szCs w:val="20"/>
                <w:color w:val="auto"/>
              </w:rPr>
            </w:pPr>
            <w:r>
              <w:rPr>
                <w:rFonts w:ascii="Arial" w:cs="Arial" w:eastAsia="Arial" w:hAnsi="Arial"/>
                <w:sz w:val="13"/>
                <w:szCs w:val="13"/>
                <w:color w:val="auto"/>
              </w:rPr>
              <w:t>(20)</w:t>
            </w:r>
          </w:p>
        </w:tc>
        <w:tc>
          <w:tcPr>
            <w:tcW w:w="116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12</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4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399</w:t>
            </w: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34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 January 2023</w:t>
            </w:r>
          </w:p>
        </w:tc>
        <w:tc>
          <w:tcPr>
            <w:tcW w:w="166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Recognised in year</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jc w:val="right"/>
              <w:ind w:right="96"/>
              <w:spacing w:after="0"/>
              <w:rPr>
                <w:sz w:val="20"/>
                <w:szCs w:val="20"/>
                <w:color w:val="auto"/>
              </w:rPr>
            </w:pPr>
            <w:r>
              <w:rPr>
                <w:rFonts w:ascii="Arial" w:cs="Arial" w:eastAsia="Arial" w:hAnsi="Arial"/>
                <w:sz w:val="13"/>
                <w:szCs w:val="13"/>
                <w:color w:val="auto"/>
              </w:rPr>
              <w:t>$'000</w:t>
            </w:r>
          </w:p>
        </w:tc>
        <w:tc>
          <w:tcPr>
            <w:tcW w:w="1660" w:type="dxa"/>
            <w:vAlign w:val="bottom"/>
          </w:tcPr>
          <w:p>
            <w:pPr>
              <w:jc w:val="right"/>
              <w:ind w:right="276"/>
              <w:spacing w:after="0"/>
              <w:rPr>
                <w:sz w:val="20"/>
                <w:szCs w:val="20"/>
                <w:color w:val="auto"/>
              </w:rPr>
            </w:pPr>
            <w:r>
              <w:rPr>
                <w:rFonts w:ascii="Arial" w:cs="Arial" w:eastAsia="Arial" w:hAnsi="Arial"/>
                <w:sz w:val="13"/>
                <w:szCs w:val="13"/>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jc w:val="right"/>
              <w:ind w:right="136"/>
              <w:spacing w:after="0"/>
              <w:rPr>
                <w:sz w:val="20"/>
                <w:szCs w:val="20"/>
                <w:color w:val="auto"/>
              </w:rPr>
            </w:pPr>
            <w:r>
              <w:rPr>
                <w:rFonts w:ascii="Arial" w:cs="Arial" w:eastAsia="Arial" w:hAnsi="Arial"/>
                <w:sz w:val="13"/>
                <w:szCs w:val="13"/>
                <w:color w:val="auto"/>
              </w:rPr>
              <w:t>318</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69</w:t>
            </w:r>
          </w:p>
        </w:tc>
        <w:tc>
          <w:tcPr>
            <w:tcW w:w="1160" w:type="dxa"/>
            <w:vAlign w:val="bottom"/>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11</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4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329</w:t>
            </w: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31 December 2024 and 31 December 2023 the Company had no operating loss carry forwards for income tax purposes. At 31 December 2024 the Company had an unrecognised deferred tax asset in respect of unutilised foreign tax credits carried forward of $7.9 million (2023: $8.8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1280"/>
          </w:cols>
          <w:pgMar w:left="300" w:top="698" w:right="3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Other current assets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shd w:val="clear" w:color="auto" w:fill="CCEEFF"/>
          </w:tcPr>
          <w:p>
            <w:pPr>
              <w:spacing w:after="0"/>
              <w:rPr>
                <w:sz w:val="13"/>
                <w:szCs w:val="13"/>
                <w:color w:val="auto"/>
              </w:rPr>
            </w:pPr>
          </w:p>
        </w:tc>
        <w:tc>
          <w:tcPr>
            <w:tcW w:w="40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3"/>
                <w:szCs w:val="13"/>
                <w:color w:val="auto"/>
              </w:rPr>
            </w:pPr>
          </w:p>
        </w:tc>
      </w:tr>
      <w:tr>
        <w:trPr>
          <w:trHeight w:val="170"/>
        </w:trPr>
        <w:tc>
          <w:tcPr>
            <w:tcW w:w="596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4"/>
                <w:szCs w:val="14"/>
                <w:color w:val="auto"/>
              </w:rPr>
            </w:pPr>
          </w:p>
        </w:tc>
      </w:tr>
      <w:tr>
        <w:trPr>
          <w:trHeight w:val="160"/>
        </w:trPr>
        <w:tc>
          <w:tcPr>
            <w:tcW w:w="5960" w:type="dxa"/>
            <w:vAlign w:val="bottom"/>
          </w:tcPr>
          <w:p>
            <w:pPr>
              <w:spacing w:after="0"/>
              <w:rPr>
                <w:sz w:val="13"/>
                <w:szCs w:val="13"/>
                <w:color w:val="auto"/>
              </w:rPr>
            </w:pPr>
          </w:p>
        </w:tc>
        <w:tc>
          <w:tcPr>
            <w:tcW w:w="40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196"/>
              <w:spacing w:after="0"/>
              <w:rPr>
                <w:sz w:val="20"/>
                <w:szCs w:val="20"/>
                <w:color w:val="auto"/>
              </w:rPr>
            </w:pPr>
            <w:r>
              <w:rPr>
                <w:rFonts w:ascii="Arial" w:cs="Arial" w:eastAsia="Arial" w:hAnsi="Arial"/>
                <w:sz w:val="13"/>
                <w:szCs w:val="13"/>
                <w:color w:val="auto"/>
              </w:rPr>
              <w:t>$’000</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w:t>
            </w:r>
          </w:p>
        </w:tc>
        <w:tc>
          <w:tcPr>
            <w:tcW w:w="40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192</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260" w:type="dxa"/>
            <w:vAlign w:val="bottom"/>
          </w:tcPr>
          <w:p>
            <w:pPr>
              <w:spacing w:after="0"/>
              <w:rPr>
                <w:sz w:val="14"/>
                <w:szCs w:val="14"/>
                <w:color w:val="auto"/>
              </w:rPr>
            </w:pPr>
          </w:p>
        </w:tc>
      </w:tr>
      <w:tr>
        <w:trPr>
          <w:trHeight w:val="17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0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558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w:t>
            </w:r>
          </w:p>
        </w:tc>
        <w:tc>
          <w:tcPr>
            <w:tcW w:w="260" w:type="dxa"/>
            <w:vAlign w:val="bottom"/>
          </w:tcPr>
          <w:p>
            <w:pPr>
              <w:spacing w:after="0"/>
              <w:rPr>
                <w:sz w:val="14"/>
                <w:szCs w:val="14"/>
                <w:color w:val="auto"/>
              </w:rPr>
            </w:pPr>
          </w:p>
        </w:tc>
      </w:tr>
      <w:tr>
        <w:trPr>
          <w:trHeight w:val="185"/>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0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1,313</w:t>
            </w:r>
          </w:p>
        </w:tc>
        <w:tc>
          <w:tcPr>
            <w:tcW w:w="260" w:type="dxa"/>
            <w:vAlign w:val="bottom"/>
          </w:tcPr>
          <w:p>
            <w:pPr>
              <w:spacing w:after="0"/>
              <w:rPr>
                <w:sz w:val="15"/>
                <w:szCs w:val="15"/>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81"/>
        </w:trPr>
        <w:tc>
          <w:tcPr>
            <w:tcW w:w="5960" w:type="dxa"/>
            <w:vAlign w:val="bottom"/>
          </w:tcPr>
          <w:p>
            <w:pPr>
              <w:spacing w:after="0"/>
              <w:rPr>
                <w:sz w:val="20"/>
                <w:szCs w:val="20"/>
                <w:color w:val="auto"/>
              </w:rPr>
            </w:pPr>
            <w:r>
              <w:rPr>
                <w:rFonts w:ascii="Arial" w:cs="Arial" w:eastAsia="Arial" w:hAnsi="Arial"/>
                <w:sz w:val="13"/>
                <w:szCs w:val="13"/>
                <w:b w:val="1"/>
                <w:bCs w:val="1"/>
                <w:color w:val="auto"/>
              </w:rPr>
              <w:t>5.  Amounts due from / to subsidiary undertakings</w:t>
            </w:r>
          </w:p>
        </w:tc>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1"/>
        </w:trPr>
        <w:tc>
          <w:tcPr>
            <w:tcW w:w="59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r>
      <w:tr>
        <w:trPr>
          <w:trHeight w:val="127"/>
        </w:trPr>
        <w:tc>
          <w:tcPr>
            <w:tcW w:w="5960" w:type="dxa"/>
            <w:vAlign w:val="bottom"/>
            <w:shd w:val="clear" w:color="auto" w:fill="CCEEFF"/>
          </w:tcPr>
          <w:p>
            <w:pPr>
              <w:spacing w:after="0"/>
              <w:rPr>
                <w:sz w:val="11"/>
                <w:szCs w:val="11"/>
                <w:color w:val="auto"/>
              </w:rPr>
            </w:pPr>
          </w:p>
        </w:tc>
        <w:tc>
          <w:tcPr>
            <w:tcW w:w="404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96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960" w:type="dxa"/>
            <w:vAlign w:val="bottom"/>
          </w:tcPr>
          <w:p>
            <w:pPr>
              <w:spacing w:after="0"/>
              <w:rPr>
                <w:sz w:val="13"/>
                <w:szCs w:val="13"/>
                <w:color w:val="auto"/>
              </w:rPr>
            </w:pPr>
          </w:p>
        </w:tc>
        <w:tc>
          <w:tcPr>
            <w:tcW w:w="40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due from subsidiary undertakings - non current</w:t>
            </w:r>
          </w:p>
        </w:tc>
        <w:tc>
          <w:tcPr>
            <w:tcW w:w="404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10,852</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96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 - current</w:t>
            </w:r>
          </w:p>
        </w:tc>
        <w:tc>
          <w:tcPr>
            <w:tcW w:w="4040" w:type="dxa"/>
            <w:vAlign w:val="bottom"/>
          </w:tcPr>
          <w:p>
            <w:pPr>
              <w:jc w:val="right"/>
              <w:ind w:right="216"/>
              <w:spacing w:after="0"/>
              <w:rPr>
                <w:sz w:val="20"/>
                <w:szCs w:val="20"/>
                <w:color w:val="auto"/>
              </w:rPr>
            </w:pPr>
            <w:r>
              <w:rPr>
                <w:rFonts w:ascii="Arial" w:cs="Arial" w:eastAsia="Arial" w:hAnsi="Arial"/>
                <w:sz w:val="13"/>
                <w:szCs w:val="13"/>
                <w:b w:val="1"/>
                <w:bCs w:val="1"/>
                <w:color w:val="auto"/>
              </w:rPr>
              <w:t>220,344</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191,711</w:t>
            </w:r>
          </w:p>
        </w:tc>
      </w:tr>
      <w:tr>
        <w:trPr>
          <w:trHeight w:val="17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 - current</w:t>
            </w:r>
          </w:p>
        </w:tc>
        <w:tc>
          <w:tcPr>
            <w:tcW w:w="40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(3,433)</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(798)</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due from subsidiary undertakings within non current are interest-bearing and repayable on 1 October 2033. Amounts due from subsidiary undertakings within current are non interest-bearing and repayable on demand. All amounts fall due within one year.</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due from subsidiary undertakings are initially recognised at fair value and subsequently measured at amortised cost, less any loss allowance. An expected credit loss assessment was performed at 31 December 2024. The expected credit loss allowance was considered de minimis.</w:t>
      </w:r>
    </w:p>
    <w:p>
      <w:pPr>
        <w:spacing w:after="0" w:line="199" w:lineRule="exact"/>
        <w:rPr>
          <w:sz w:val="20"/>
          <w:szCs w:val="20"/>
          <w:color w:val="auto"/>
        </w:rPr>
      </w:pPr>
    </w:p>
    <w:p>
      <w:pPr>
        <w:ind w:left="240" w:hanging="235"/>
        <w:spacing w:after="0"/>
        <w:tabs>
          <w:tab w:leader="none" w:pos="24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Accrued and other liabilities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shd w:val="clear" w:color="auto" w:fill="CCEEFF"/>
          </w:tcPr>
          <w:p>
            <w:pPr>
              <w:spacing w:after="0"/>
              <w:rPr>
                <w:sz w:val="13"/>
                <w:szCs w:val="13"/>
                <w:color w:val="auto"/>
              </w:rPr>
            </w:pPr>
          </w:p>
        </w:tc>
        <w:tc>
          <w:tcPr>
            <w:tcW w:w="4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4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340" w:type="dxa"/>
            <w:vAlign w:val="bottom"/>
          </w:tcPr>
          <w:p>
            <w:pPr>
              <w:spacing w:after="0"/>
              <w:rPr>
                <w:sz w:val="13"/>
                <w:szCs w:val="13"/>
                <w:color w:val="auto"/>
              </w:rPr>
            </w:pPr>
          </w:p>
        </w:tc>
        <w:tc>
          <w:tcPr>
            <w:tcW w:w="4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liabilities</w:t>
            </w:r>
          </w:p>
        </w:tc>
        <w:tc>
          <w:tcPr>
            <w:tcW w:w="48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5,579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4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5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27"/>
        </w:trPr>
        <w:tc>
          <w:tcPr>
            <w:tcW w:w="5340" w:type="dxa"/>
            <w:vAlign w:val="bottom"/>
            <w:shd w:val="clear" w:color="auto" w:fill="CCEEFF"/>
          </w:tcPr>
          <w:p>
            <w:pPr>
              <w:spacing w:after="0"/>
              <w:rPr>
                <w:sz w:val="11"/>
                <w:szCs w:val="11"/>
                <w:color w:val="auto"/>
              </w:rPr>
            </w:pPr>
          </w:p>
        </w:tc>
        <w:tc>
          <w:tcPr>
            <w:tcW w:w="48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34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340" w:type="dxa"/>
            <w:vAlign w:val="bottom"/>
          </w:tcPr>
          <w:p>
            <w:pPr>
              <w:spacing w:after="0"/>
              <w:rPr>
                <w:sz w:val="13"/>
                <w:szCs w:val="13"/>
                <w:color w:val="auto"/>
              </w:rPr>
            </w:pPr>
          </w:p>
        </w:tc>
        <w:tc>
          <w:tcPr>
            <w:tcW w:w="4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4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40" w:type="dxa"/>
            <w:vAlign w:val="bottom"/>
          </w:tcPr>
          <w:p>
            <w:pPr>
              <w:ind w:left="20"/>
              <w:spacing w:after="0"/>
              <w:rPr>
                <w:sz w:val="20"/>
                <w:szCs w:val="20"/>
                <w:color w:val="auto"/>
              </w:rPr>
            </w:pPr>
            <w:r>
              <w:rPr>
                <w:rFonts w:ascii="Arial" w:cs="Arial" w:eastAsia="Arial" w:hAnsi="Arial"/>
                <w:sz w:val="13"/>
                <w:szCs w:val="13"/>
                <w:color w:val="auto"/>
              </w:rPr>
              <w:t>Current lease liabilities</w:t>
            </w:r>
          </w:p>
        </w:tc>
        <w:tc>
          <w:tcPr>
            <w:tcW w:w="4800" w:type="dxa"/>
            <w:vAlign w:val="bottom"/>
          </w:tcPr>
          <w:p>
            <w:pPr>
              <w:jc w:val="right"/>
              <w:ind w:right="336"/>
              <w:spacing w:after="0"/>
              <w:rPr>
                <w:sz w:val="20"/>
                <w:szCs w:val="20"/>
                <w:color w:val="auto"/>
              </w:rPr>
            </w:pPr>
            <w:r>
              <w:rPr>
                <w:rFonts w:ascii="Arial" w:cs="Arial" w:eastAsia="Arial" w:hAnsi="Arial"/>
                <w:sz w:val="13"/>
                <w:szCs w:val="13"/>
                <w:b w:val="1"/>
                <w:bCs w:val="1"/>
                <w:color w:val="auto"/>
              </w:rPr>
              <w:t>574</w:t>
            </w: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4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6,727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16,501</w:t>
            </w:r>
          </w:p>
        </w:tc>
      </w:tr>
      <w:tr>
        <w:trPr>
          <w:trHeight w:val="16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7,301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16,517</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28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10 Payroll and related benefits.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1280"/>
          </w:cols>
          <w:pgMar w:left="300" w:top="698" w:right="3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b w:val="1"/>
          <w:bCs w:val="1"/>
          <w:color w:val="auto"/>
        </w:rPr>
        <w:t>Leases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8060" w:type="dxa"/>
            <w:vAlign w:val="bottom"/>
            <w:tcBorders>
              <w:bottom w:val="single" w:sz="8" w:color="auto"/>
            </w:tcBorders>
            <w:shd w:val="clear" w:color="auto" w:fill="CCEEFF"/>
          </w:tcPr>
          <w:p>
            <w:pPr>
              <w:spacing w:after="0"/>
              <w:rPr>
                <w:sz w:val="14"/>
                <w:szCs w:val="14"/>
                <w:color w:val="auto"/>
              </w:rPr>
            </w:pP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Premises</w:t>
            </w:r>
          </w:p>
        </w:tc>
        <w:tc>
          <w:tcPr>
            <w:tcW w:w="4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3"/>
                <w:szCs w:val="13"/>
                <w:color w:val="auto"/>
              </w:rPr>
            </w:pPr>
          </w:p>
        </w:tc>
      </w:tr>
      <w:tr>
        <w:trPr>
          <w:trHeight w:val="170"/>
        </w:trPr>
        <w:tc>
          <w:tcPr>
            <w:tcW w:w="60" w:type="dxa"/>
            <w:vAlign w:val="bottom"/>
          </w:tcPr>
          <w:p>
            <w:pPr>
              <w:spacing w:after="0"/>
              <w:rPr>
                <w:sz w:val="14"/>
                <w:szCs w:val="14"/>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2024</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615</w:t>
            </w:r>
          </w:p>
        </w:tc>
        <w:tc>
          <w:tcPr>
            <w:tcW w:w="40" w:type="dxa"/>
            <w:vAlign w:val="bottom"/>
          </w:tcPr>
          <w:p>
            <w:pPr>
              <w:spacing w:after="0"/>
              <w:rPr>
                <w:sz w:val="14"/>
                <w:szCs w:val="14"/>
                <w:color w:val="auto"/>
              </w:rPr>
            </w:pPr>
          </w:p>
        </w:tc>
      </w:tr>
      <w:tr>
        <w:trPr>
          <w:trHeight w:val="170"/>
        </w:trPr>
        <w:tc>
          <w:tcPr>
            <w:tcW w:w="60" w:type="dxa"/>
            <w:vAlign w:val="bottom"/>
          </w:tcPr>
          <w:p>
            <w:pPr>
              <w:spacing w:after="0"/>
              <w:rPr>
                <w:sz w:val="14"/>
                <w:szCs w:val="14"/>
                <w:color w:val="auto"/>
              </w:rPr>
            </w:pPr>
          </w:p>
        </w:tc>
        <w:tc>
          <w:tcPr>
            <w:tcW w:w="8060" w:type="dxa"/>
            <w:vAlign w:val="bottom"/>
          </w:tcPr>
          <w:p>
            <w:pPr>
              <w:ind w:left="20"/>
              <w:spacing w:after="0"/>
              <w:rPr>
                <w:sz w:val="20"/>
                <w:szCs w:val="20"/>
                <w:color w:val="auto"/>
              </w:rPr>
            </w:pPr>
            <w:r>
              <w:rPr>
                <w:rFonts w:ascii="Arial" w:cs="Arial" w:eastAsia="Arial" w:hAnsi="Arial"/>
                <w:sz w:val="13"/>
                <w:szCs w:val="13"/>
                <w:color w:val="auto"/>
              </w:rPr>
              <w:t>Right-of-use assets at 31 December 2024</w:t>
            </w:r>
          </w:p>
        </w:tc>
        <w:tc>
          <w:tcPr>
            <w:tcW w:w="3100" w:type="dxa"/>
            <w:vAlign w:val="bottom"/>
          </w:tcPr>
          <w:p>
            <w:pPr>
              <w:jc w:val="right"/>
              <w:spacing w:after="0"/>
              <w:rPr>
                <w:sz w:val="20"/>
                <w:szCs w:val="20"/>
                <w:color w:val="auto"/>
              </w:rPr>
            </w:pPr>
            <w:r>
              <w:rPr>
                <w:rFonts w:ascii="Arial" w:cs="Arial" w:eastAsia="Arial" w:hAnsi="Arial"/>
                <w:sz w:val="13"/>
                <w:szCs w:val="13"/>
                <w:b w:val="1"/>
                <w:bCs w:val="1"/>
                <w:color w:val="auto"/>
              </w:rPr>
              <w:t>5,550</w:t>
            </w:r>
          </w:p>
        </w:tc>
        <w:tc>
          <w:tcPr>
            <w:tcW w:w="40" w:type="dxa"/>
            <w:vAlign w:val="bottom"/>
          </w:tcPr>
          <w:p>
            <w:pPr>
              <w:spacing w:after="0"/>
              <w:rPr>
                <w:sz w:val="14"/>
                <w:szCs w:val="14"/>
                <w:color w:val="auto"/>
              </w:rPr>
            </w:pPr>
          </w:p>
        </w:tc>
      </w:tr>
      <w:tr>
        <w:trPr>
          <w:trHeight w:val="170"/>
        </w:trPr>
        <w:tc>
          <w:tcPr>
            <w:tcW w:w="60" w:type="dxa"/>
            <w:vAlign w:val="bottom"/>
          </w:tcPr>
          <w:p>
            <w:pPr>
              <w:spacing w:after="0"/>
              <w:rPr>
                <w:sz w:val="14"/>
                <w:szCs w:val="14"/>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2023</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2023</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4"/>
                <w:szCs w:val="14"/>
                <w:color w:val="auto"/>
              </w:rPr>
            </w:pPr>
          </w:p>
        </w:tc>
      </w:tr>
      <w:tr>
        <w:trPr>
          <w:trHeight w:val="276"/>
        </w:trPr>
        <w:tc>
          <w:tcPr>
            <w:tcW w:w="8120" w:type="dxa"/>
            <w:vAlign w:val="bottom"/>
            <w:gridSpan w:val="2"/>
          </w:tcPr>
          <w:p>
            <w:pPr>
              <w:spacing w:after="0"/>
              <w:rPr>
                <w:sz w:val="20"/>
                <w:szCs w:val="20"/>
                <w:color w:val="auto"/>
              </w:rPr>
            </w:pPr>
            <w:r>
              <w:rPr>
                <w:rFonts w:ascii="Arial" w:cs="Arial" w:eastAsia="Arial" w:hAnsi="Arial"/>
                <w:sz w:val="13"/>
                <w:szCs w:val="13"/>
                <w:color w:val="auto"/>
              </w:rPr>
              <w:t>Additions to right-of-use assets during 2024 were $6.38 million (2023: $0.04 million).</w:t>
            </w:r>
          </w:p>
        </w:tc>
        <w:tc>
          <w:tcPr>
            <w:tcW w:w="3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6"/>
        </w:trPr>
        <w:tc>
          <w:tcPr>
            <w:tcW w:w="812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at 31 December 2024 was 9.15 years (2023: 0.46 years).</w:t>
            </w:r>
          </w:p>
        </w:tc>
        <w:tc>
          <w:tcPr>
            <w:tcW w:w="3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2"/>
        </w:trPr>
        <w:tc>
          <w:tcPr>
            <w:tcW w:w="81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0"/>
        </w:trPr>
        <w:tc>
          <w:tcPr>
            <w:tcW w:w="812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2024 were as follows:</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r>
      <w:tr>
        <w:trPr>
          <w:trHeight w:val="127"/>
        </w:trPr>
        <w:tc>
          <w:tcPr>
            <w:tcW w:w="60" w:type="dxa"/>
            <w:vAlign w:val="bottom"/>
            <w:tcBorders>
              <w:right w:val="single" w:sz="8" w:color="CCEEFF"/>
            </w:tcBorders>
          </w:tcPr>
          <w:p>
            <w:pPr>
              <w:spacing w:after="0"/>
              <w:rPr>
                <w:sz w:val="11"/>
                <w:szCs w:val="11"/>
                <w:color w:val="auto"/>
              </w:rPr>
            </w:pPr>
          </w:p>
        </w:tc>
        <w:tc>
          <w:tcPr>
            <w:tcW w:w="806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Minimum rental</w:t>
            </w:r>
          </w:p>
        </w:tc>
      </w:tr>
      <w:tr>
        <w:trPr>
          <w:trHeight w:val="170"/>
        </w:trPr>
        <w:tc>
          <w:tcPr>
            <w:tcW w:w="60" w:type="dxa"/>
            <w:vAlign w:val="bottom"/>
            <w:tcBorders>
              <w:right w:val="single" w:sz="8" w:color="CCEEFF"/>
            </w:tcBorders>
          </w:tcPr>
          <w:p>
            <w:pPr>
              <w:spacing w:after="0"/>
              <w:rPr>
                <w:sz w:val="14"/>
                <w:szCs w:val="14"/>
                <w:color w:val="auto"/>
              </w:rPr>
            </w:pPr>
          </w:p>
        </w:tc>
        <w:tc>
          <w:tcPr>
            <w:tcW w:w="8060" w:type="dxa"/>
            <w:vAlign w:val="bottom"/>
            <w:tcBorders>
              <w:bottom w:val="single" w:sz="8" w:color="auto"/>
            </w:tcBorders>
            <w:shd w:val="clear" w:color="auto" w:fill="CCEEFF"/>
          </w:tcPr>
          <w:p>
            <w:pPr>
              <w:spacing w:after="0"/>
              <w:rPr>
                <w:sz w:val="14"/>
                <w:szCs w:val="14"/>
                <w:color w:val="auto"/>
              </w:rPr>
            </w:pPr>
          </w:p>
        </w:tc>
        <w:tc>
          <w:tcPr>
            <w:tcW w:w="3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payments</w:t>
            </w:r>
          </w:p>
        </w:tc>
      </w:tr>
      <w:tr>
        <w:trPr>
          <w:trHeight w:val="160"/>
        </w:trPr>
        <w:tc>
          <w:tcPr>
            <w:tcW w:w="6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70"/>
        </w:trPr>
        <w:tc>
          <w:tcPr>
            <w:tcW w:w="60" w:type="dxa"/>
            <w:vAlign w:val="bottom"/>
            <w:tcBorders>
              <w:right w:val="single" w:sz="8" w:color="CCEEFF"/>
            </w:tcBorders>
          </w:tcPr>
          <w:p>
            <w:pPr>
              <w:spacing w:after="0"/>
              <w:rPr>
                <w:sz w:val="14"/>
                <w:szCs w:val="14"/>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Due within 1 year</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40" w:type="dxa"/>
            <w:vAlign w:val="bottom"/>
            <w:shd w:val="clear" w:color="auto" w:fill="CCEEFF"/>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8060" w:type="dxa"/>
            <w:vAlign w:val="bottom"/>
          </w:tcPr>
          <w:p>
            <w:pPr>
              <w:spacing w:after="0"/>
              <w:rPr>
                <w:sz w:val="20"/>
                <w:szCs w:val="20"/>
                <w:color w:val="auto"/>
              </w:rPr>
            </w:pPr>
            <w:r>
              <w:rPr>
                <w:rFonts w:ascii="Arial" w:cs="Arial" w:eastAsia="Arial" w:hAnsi="Arial"/>
                <w:sz w:val="13"/>
                <w:szCs w:val="13"/>
                <w:color w:val="auto"/>
              </w:rPr>
              <w:t>Due between 1 and 2 years</w:t>
            </w:r>
          </w:p>
        </w:tc>
        <w:tc>
          <w:tcPr>
            <w:tcW w:w="3100" w:type="dxa"/>
            <w:vAlign w:val="bottom"/>
          </w:tcPr>
          <w:p>
            <w:pPr>
              <w:jc w:val="right"/>
              <w:spacing w:after="0"/>
              <w:rPr>
                <w:sz w:val="20"/>
                <w:szCs w:val="20"/>
                <w:color w:val="auto"/>
              </w:rPr>
            </w:pPr>
            <w:r>
              <w:rPr>
                <w:rFonts w:ascii="Arial" w:cs="Arial" w:eastAsia="Arial" w:hAnsi="Arial"/>
                <w:sz w:val="13"/>
                <w:szCs w:val="13"/>
                <w:color w:val="auto"/>
              </w:rPr>
              <w:t>819</w:t>
            </w:r>
          </w:p>
        </w:tc>
        <w:tc>
          <w:tcPr>
            <w:tcW w:w="40" w:type="dxa"/>
            <w:vAlign w:val="bottom"/>
          </w:tcPr>
          <w:p>
            <w:pPr>
              <w:spacing w:after="0"/>
              <w:rPr>
                <w:sz w:val="14"/>
                <w:szCs w:val="14"/>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Due between 2 and 5 years</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40" w:type="dxa"/>
            <w:vAlign w:val="bottom"/>
            <w:shd w:val="clear" w:color="auto" w:fill="CCEEFF"/>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Due after 5 years</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3,352</w:t>
            </w:r>
          </w:p>
        </w:tc>
        <w:tc>
          <w:tcPr>
            <w:tcW w:w="40" w:type="dxa"/>
            <w:vAlign w:val="bottom"/>
            <w:tcBorders>
              <w:bottom w:val="single" w:sz="8" w:color="auto"/>
            </w:tcBorders>
          </w:tcPr>
          <w:p>
            <w:pPr>
              <w:spacing w:after="0"/>
              <w:rPr>
                <w:sz w:val="14"/>
                <w:szCs w:val="14"/>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7,446</w:t>
            </w:r>
          </w:p>
        </w:tc>
        <w:tc>
          <w:tcPr>
            <w:tcW w:w="40" w:type="dxa"/>
            <w:vAlign w:val="bottom"/>
            <w:shd w:val="clear" w:color="auto" w:fill="CCEEFF"/>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3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(1,293)</w:t>
            </w:r>
          </w:p>
        </w:tc>
      </w:tr>
      <w:tr>
        <w:trPr>
          <w:trHeight w:val="163"/>
        </w:trPr>
        <w:tc>
          <w:tcPr>
            <w:tcW w:w="60" w:type="dxa"/>
            <w:vAlign w:val="bottom"/>
            <w:tcBorders>
              <w:right w:val="single" w:sz="8" w:color="CCEEFF"/>
            </w:tcBorders>
          </w:tcPr>
          <w:p>
            <w:pPr>
              <w:spacing w:after="0"/>
              <w:rPr>
                <w:sz w:val="14"/>
                <w:szCs w:val="14"/>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6,153</w:t>
            </w:r>
          </w:p>
        </w:tc>
        <w:tc>
          <w:tcPr>
            <w:tcW w:w="40" w:type="dxa"/>
            <w:vAlign w:val="bottom"/>
            <w:tcBorders>
              <w:bottom w:val="single" w:sz="8" w:color="auto"/>
            </w:tcBorders>
            <w:shd w:val="clear" w:color="auto" w:fill="CCEEFF"/>
          </w:tcPr>
          <w:p>
            <w:pPr>
              <w:spacing w:after="0"/>
              <w:rPr>
                <w:sz w:val="14"/>
                <w:szCs w:val="14"/>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Current lease liabilities of $0.6 million have been included in accrued and other liabilities as at 31 December 2024 (2023: $0.02 million).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5480" w:type="dxa"/>
            <w:vAlign w:val="bottom"/>
          </w:tcPr>
          <w:p>
            <w:pPr>
              <w:spacing w:after="0"/>
              <w:rPr>
                <w:sz w:val="13"/>
                <w:szCs w:val="13"/>
                <w:color w:val="auto"/>
              </w:rPr>
            </w:pP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615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r>
      <w:tr>
        <w:trPr>
          <w:trHeight w:val="17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183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of right-of-use assets is recorded within other operating expenses and interest on lease liabilities is recorded within finance costs.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and the year ended 31 December 2023, the Company did not incur any costs related to variable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1280"/>
          </w:cols>
          <w:pgMar w:left="300" w:top="697" w:right="3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ind w:left="260" w:hanging="255"/>
        <w:spacing w:after="0"/>
        <w:tabs>
          <w:tab w:leader="none" w:pos="26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unfavourable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favour.</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its Chief Executive Officer, and its former Chief Financial Officer have been named as defendants in two class action lawsuits involving similar claims, filed in the United States District Court for the Eastern District of New York on 10 February 2025 (Shing v. ICON plc, et al.) and 2 April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Company intends to defend these lawsuits vigorously.</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Financial instruments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31 December 2024 and 31 December 2023. The expected credit loss allowance was considered de minimis.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21 Bank credit lines and loan facilities.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Contractual</w:t>
            </w:r>
          </w:p>
        </w:tc>
        <w:tc>
          <w:tcPr>
            <w:tcW w:w="154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Under 1 year</w:t>
            </w:r>
          </w:p>
        </w:tc>
        <w:tc>
          <w:tcPr>
            <w:tcW w:w="134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 to 2</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 to 5</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760" w:type="dxa"/>
            <w:vAlign w:val="bottom"/>
            <w:shd w:val="clear" w:color="auto" w:fill="CCEEFF"/>
          </w:tcPr>
          <w:p>
            <w:pPr>
              <w:spacing w:after="0"/>
              <w:rPr>
                <w:sz w:val="11"/>
                <w:szCs w:val="11"/>
                <w:color w:val="auto"/>
              </w:rPr>
            </w:pPr>
          </w:p>
        </w:tc>
        <w:tc>
          <w:tcPr>
            <w:tcW w:w="200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Cashflows</w:t>
            </w:r>
          </w:p>
        </w:tc>
        <w:tc>
          <w:tcPr>
            <w:tcW w:w="154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b w:val="1"/>
                <w:bCs w:val="1"/>
                <w:color w:val="auto"/>
              </w:rPr>
              <w:t>years</w:t>
            </w:r>
          </w:p>
        </w:tc>
        <w:tc>
          <w:tcPr>
            <w:tcW w:w="12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years</w:t>
            </w: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76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20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1,160</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1,160</w:t>
            </w:r>
          </w:p>
        </w:tc>
        <w:tc>
          <w:tcPr>
            <w:tcW w:w="15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1,160</w:t>
            </w:r>
          </w:p>
        </w:tc>
        <w:tc>
          <w:tcPr>
            <w:tcW w:w="13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2000" w:type="dxa"/>
            <w:vAlign w:val="bottom"/>
          </w:tcPr>
          <w:p>
            <w:pPr>
              <w:jc w:val="right"/>
              <w:ind w:right="296"/>
              <w:spacing w:after="0"/>
              <w:rPr>
                <w:sz w:val="20"/>
                <w:szCs w:val="20"/>
                <w:color w:val="auto"/>
              </w:rPr>
            </w:pPr>
            <w:r>
              <w:rPr>
                <w:rFonts w:ascii="Arial" w:cs="Arial" w:eastAsia="Arial" w:hAnsi="Arial"/>
                <w:sz w:val="13"/>
                <w:szCs w:val="13"/>
                <w:color w:val="auto"/>
              </w:rPr>
              <w:t>6,153</w:t>
            </w: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7,446</w:t>
            </w:r>
          </w:p>
        </w:tc>
        <w:tc>
          <w:tcPr>
            <w:tcW w:w="1540" w:type="dxa"/>
            <w:vAlign w:val="bottom"/>
          </w:tcPr>
          <w:p>
            <w:pPr>
              <w:jc w:val="right"/>
              <w:ind w:right="476"/>
              <w:spacing w:after="0"/>
              <w:rPr>
                <w:sz w:val="20"/>
                <w:szCs w:val="20"/>
                <w:color w:val="auto"/>
              </w:rPr>
            </w:pPr>
            <w:r>
              <w:rPr>
                <w:rFonts w:ascii="Arial" w:cs="Arial" w:eastAsia="Arial" w:hAnsi="Arial"/>
                <w:sz w:val="13"/>
                <w:szCs w:val="13"/>
                <w:color w:val="auto"/>
              </w:rPr>
              <w:t>819</w:t>
            </w:r>
          </w:p>
        </w:tc>
        <w:tc>
          <w:tcPr>
            <w:tcW w:w="1340" w:type="dxa"/>
            <w:vAlign w:val="bottom"/>
          </w:tcPr>
          <w:p>
            <w:pPr>
              <w:jc w:val="right"/>
              <w:ind w:right="456"/>
              <w:spacing w:after="0"/>
              <w:rPr>
                <w:sz w:val="20"/>
                <w:szCs w:val="20"/>
                <w:color w:val="auto"/>
              </w:rPr>
            </w:pPr>
            <w:r>
              <w:rPr>
                <w:rFonts w:ascii="Arial" w:cs="Arial" w:eastAsia="Arial" w:hAnsi="Arial"/>
                <w:sz w:val="13"/>
                <w:szCs w:val="13"/>
                <w:color w:val="auto"/>
              </w:rPr>
              <w:t>819</w:t>
            </w:r>
          </w:p>
        </w:tc>
        <w:tc>
          <w:tcPr>
            <w:tcW w:w="1220" w:type="dxa"/>
            <w:vAlign w:val="bottom"/>
          </w:tcPr>
          <w:p>
            <w:pPr>
              <w:jc w:val="right"/>
              <w:ind w:right="336"/>
              <w:spacing w:after="0"/>
              <w:rPr>
                <w:sz w:val="20"/>
                <w:szCs w:val="20"/>
                <w:color w:val="auto"/>
              </w:rPr>
            </w:pPr>
            <w:r>
              <w:rPr>
                <w:rFonts w:ascii="Arial" w:cs="Arial" w:eastAsia="Arial" w:hAnsi="Arial"/>
                <w:sz w:val="13"/>
                <w:szCs w:val="13"/>
                <w:color w:val="auto"/>
              </w:rPr>
              <w:t>2,456</w:t>
            </w:r>
          </w:p>
        </w:tc>
        <w:tc>
          <w:tcPr>
            <w:tcW w:w="1020" w:type="dxa"/>
            <w:vAlign w:val="bottom"/>
          </w:tcPr>
          <w:p>
            <w:pPr>
              <w:jc w:val="right"/>
              <w:spacing w:after="0"/>
              <w:rPr>
                <w:sz w:val="20"/>
                <w:szCs w:val="20"/>
                <w:color w:val="auto"/>
              </w:rPr>
            </w:pPr>
            <w:r>
              <w:rPr>
                <w:rFonts w:ascii="Arial" w:cs="Arial" w:eastAsia="Arial" w:hAnsi="Arial"/>
                <w:sz w:val="13"/>
                <w:szCs w:val="13"/>
                <w:color w:val="auto"/>
              </w:rPr>
              <w:t>3,352</w:t>
            </w:r>
          </w:p>
        </w:tc>
        <w:tc>
          <w:tcPr>
            <w:tcW w:w="0" w:type="dxa"/>
            <w:vAlign w:val="bottom"/>
          </w:tcPr>
          <w:p>
            <w:pPr>
              <w:spacing w:after="0"/>
              <w:rPr>
                <w:sz w:val="1"/>
                <w:szCs w:val="1"/>
                <w:color w:val="auto"/>
              </w:rPr>
            </w:pPr>
          </w:p>
        </w:tc>
      </w:tr>
      <w:tr>
        <w:trPr>
          <w:trHeight w:val="17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20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6,727</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6,727</w:t>
            </w:r>
          </w:p>
        </w:tc>
        <w:tc>
          <w:tcPr>
            <w:tcW w:w="15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6,727</w:t>
            </w:r>
          </w:p>
        </w:tc>
        <w:tc>
          <w:tcPr>
            <w:tcW w:w="13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14,040</w:t>
            </w: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15,333</w:t>
            </w:r>
          </w:p>
        </w:tc>
        <w:tc>
          <w:tcPr>
            <w:tcW w:w="15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8,706</w:t>
            </w:r>
          </w:p>
        </w:tc>
        <w:tc>
          <w:tcPr>
            <w:tcW w:w="13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819</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2,456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3,352</w:t>
            </w:r>
          </w:p>
        </w:tc>
        <w:tc>
          <w:tcPr>
            <w:tcW w:w="0" w:type="dxa"/>
            <w:vAlign w:val="bottom"/>
          </w:tcPr>
          <w:p>
            <w:pPr>
              <w:spacing w:after="0"/>
              <w:rPr>
                <w:sz w:val="1"/>
                <w:szCs w:val="1"/>
                <w:color w:val="auto"/>
              </w:rPr>
            </w:pPr>
          </w:p>
        </w:tc>
      </w:tr>
      <w:tr>
        <w:trPr>
          <w:trHeight w:val="772"/>
        </w:trPr>
        <w:tc>
          <w:tcPr>
            <w:tcW w:w="2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jc w:val="right"/>
              <w:ind w:right="256"/>
              <w:spacing w:after="0"/>
              <w:rPr>
                <w:sz w:val="20"/>
                <w:szCs w:val="20"/>
                <w:color w:val="auto"/>
              </w:rPr>
            </w:pPr>
            <w:r>
              <w:rPr>
                <w:rFonts w:ascii="Arial" w:cs="Arial" w:eastAsia="Arial" w:hAnsi="Arial"/>
                <w:sz w:val="13"/>
                <w:szCs w:val="13"/>
                <w:color w:val="auto"/>
              </w:rPr>
              <w:t>136</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8"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Financial instruments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Contractual</w:t>
            </w:r>
          </w:p>
        </w:tc>
        <w:tc>
          <w:tcPr>
            <w:tcW w:w="154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Under 1 year</w:t>
            </w:r>
          </w:p>
        </w:tc>
        <w:tc>
          <w:tcPr>
            <w:tcW w:w="136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1 to 2</w:t>
            </w:r>
          </w:p>
        </w:tc>
        <w:tc>
          <w:tcPr>
            <w:tcW w:w="120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2 to 5</w:t>
            </w:r>
          </w:p>
        </w:tc>
        <w:tc>
          <w:tcPr>
            <w:tcW w:w="10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Cashflows</w:t>
            </w:r>
          </w:p>
        </w:tc>
        <w:tc>
          <w:tcPr>
            <w:tcW w:w="1540" w:type="dxa"/>
            <w:vAlign w:val="bottom"/>
            <w:vMerge w:val="continue"/>
            <w:shd w:val="clear" w:color="auto" w:fill="CCEEFF"/>
          </w:tcPr>
          <w:p>
            <w:pPr>
              <w:spacing w:after="0"/>
              <w:rPr>
                <w:sz w:val="11"/>
                <w:szCs w:val="11"/>
                <w:color w:val="auto"/>
              </w:rPr>
            </w:pPr>
          </w:p>
        </w:tc>
        <w:tc>
          <w:tcPr>
            <w:tcW w:w="1360" w:type="dxa"/>
            <w:vAlign w:val="bottom"/>
            <w:shd w:val="clear" w:color="auto" w:fill="CCEEFF"/>
          </w:tcPr>
          <w:p>
            <w:pPr>
              <w:ind w:left="520"/>
              <w:spacing w:after="0" w:line="128" w:lineRule="exact"/>
              <w:rPr>
                <w:sz w:val="20"/>
                <w:szCs w:val="20"/>
                <w:color w:val="auto"/>
              </w:rPr>
            </w:pPr>
            <w:r>
              <w:rPr>
                <w:rFonts w:ascii="Arial" w:cs="Arial" w:eastAsia="Arial" w:hAnsi="Arial"/>
                <w:sz w:val="13"/>
                <w:szCs w:val="13"/>
                <w:b w:val="1"/>
                <w:bCs w:val="1"/>
                <w:color w:val="auto"/>
              </w:rPr>
              <w:t>years</w:t>
            </w:r>
          </w:p>
        </w:tc>
        <w:tc>
          <w:tcPr>
            <w:tcW w:w="1200" w:type="dxa"/>
            <w:vAlign w:val="bottom"/>
            <w:shd w:val="clear" w:color="auto" w:fill="CCEEFF"/>
          </w:tcPr>
          <w:p>
            <w:pPr>
              <w:ind w:left="520"/>
              <w:spacing w:after="0" w:line="128" w:lineRule="exact"/>
              <w:rPr>
                <w:sz w:val="20"/>
                <w:szCs w:val="20"/>
                <w:color w:val="auto"/>
              </w:rPr>
            </w:pPr>
            <w:r>
              <w:rPr>
                <w:rFonts w:ascii="Arial" w:cs="Arial" w:eastAsia="Arial" w:hAnsi="Arial"/>
                <w:sz w:val="13"/>
                <w:szCs w:val="13"/>
                <w:b w:val="1"/>
                <w:bCs w:val="1"/>
                <w:color w:val="auto"/>
              </w:rPr>
              <w:t>years</w:t>
            </w: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b w:val="1"/>
                <w:bCs w:val="1"/>
                <w:color w:val="auto"/>
              </w:rPr>
              <w:t>$’000</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b w:val="1"/>
                <w:bCs w:val="1"/>
                <w:color w:val="auto"/>
              </w:rPr>
              <w:t>$’000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269</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269</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269</w:t>
            </w:r>
          </w:p>
        </w:tc>
        <w:tc>
          <w:tcPr>
            <w:tcW w:w="13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2040" w:type="dxa"/>
            <w:vAlign w:val="bottom"/>
          </w:tcPr>
          <w:p>
            <w:pPr>
              <w:jc w:val="right"/>
              <w:ind w:right="296"/>
              <w:spacing w:after="0"/>
              <w:rPr>
                <w:sz w:val="20"/>
                <w:szCs w:val="20"/>
                <w:color w:val="auto"/>
              </w:rPr>
            </w:pPr>
            <w:r>
              <w:rPr>
                <w:rFonts w:ascii="Arial" w:cs="Arial" w:eastAsia="Arial" w:hAnsi="Arial"/>
                <w:sz w:val="13"/>
                <w:szCs w:val="13"/>
                <w:color w:val="auto"/>
              </w:rPr>
              <w:t>16</w:t>
            </w: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16</w:t>
            </w:r>
          </w:p>
        </w:tc>
        <w:tc>
          <w:tcPr>
            <w:tcW w:w="1540" w:type="dxa"/>
            <w:vAlign w:val="bottom"/>
          </w:tcPr>
          <w:p>
            <w:pPr>
              <w:jc w:val="right"/>
              <w:ind w:right="456"/>
              <w:spacing w:after="0"/>
              <w:rPr>
                <w:sz w:val="20"/>
                <w:szCs w:val="20"/>
                <w:color w:val="auto"/>
              </w:rPr>
            </w:pPr>
            <w:r>
              <w:rPr>
                <w:rFonts w:ascii="Arial" w:cs="Arial" w:eastAsia="Arial" w:hAnsi="Arial"/>
                <w:sz w:val="13"/>
                <w:szCs w:val="13"/>
                <w:color w:val="auto"/>
              </w:rPr>
              <w:t>16</w:t>
            </w:r>
          </w:p>
        </w:tc>
        <w:tc>
          <w:tcPr>
            <w:tcW w:w="1360" w:type="dxa"/>
            <w:vAlign w:val="bottom"/>
          </w:tcPr>
          <w:p>
            <w:pPr>
              <w:ind w:left="700"/>
              <w:spacing w:after="0"/>
              <w:rPr>
                <w:sz w:val="20"/>
                <w:szCs w:val="20"/>
                <w:color w:val="auto"/>
              </w:rPr>
            </w:pPr>
            <w:r>
              <w:rPr>
                <w:rFonts w:ascii="Arial" w:cs="Arial" w:eastAsia="Arial" w:hAnsi="Arial"/>
                <w:sz w:val="13"/>
                <w:szCs w:val="13"/>
                <w:color w:val="auto"/>
              </w:rPr>
              <w:t>—</w:t>
            </w:r>
          </w:p>
        </w:tc>
        <w:tc>
          <w:tcPr>
            <w:tcW w:w="1200" w:type="dxa"/>
            <w:vAlign w:val="bottom"/>
          </w:tcPr>
          <w:p>
            <w:pPr>
              <w:ind w:left="680"/>
              <w:spacing w:after="0"/>
              <w:rPr>
                <w:sz w:val="20"/>
                <w:szCs w:val="20"/>
                <w:color w:val="auto"/>
              </w:rPr>
            </w:pPr>
            <w:r>
              <w:rPr>
                <w:rFonts w:ascii="Arial" w:cs="Arial" w:eastAsia="Arial" w:hAnsi="Arial"/>
                <w:sz w:val="13"/>
                <w:szCs w:val="13"/>
                <w:color w:val="auto"/>
              </w:rPr>
              <w:t>—</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16,501</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16,501</w:t>
            </w:r>
          </w:p>
        </w:tc>
        <w:tc>
          <w:tcPr>
            <w:tcW w:w="15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16,501</w:t>
            </w:r>
          </w:p>
        </w:tc>
        <w:tc>
          <w:tcPr>
            <w:tcW w:w="13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16,786</w:t>
            </w: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16,786</w:t>
            </w:r>
          </w:p>
        </w:tc>
        <w:tc>
          <w:tcPr>
            <w:tcW w:w="15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16,786</w:t>
            </w: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is subject to a number of foreign currency risks given the global nature of its operations. The principal foreign currency risks to which the business is subject to includes both foreign currency translation risk and foreign currency transaction risk.</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and the currencies of those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also subject to foreign currency transaction exposures as the currency in which income is received can be different from the currencies in which costs relating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due from subsidiary undertakings within non current are interest-bearing and repayable on 1 October 2033, while the Amounts due from subsidiary undertakings within current are non-interest-bearing and repayable on demand. The carrying amount of both interest-bearing and non-interest-bearing balances are deemed to materially approximate fair value.</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evaluated subsequent events from the Balance Sheet date through 29 April 2025, the date at which the consolidated financial statements were available to be issued.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280"/>
          </w:cols>
          <w:pgMar w:left="300" w:top="698"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Subsequent events </w:t>
      </w:r>
      <w:r>
        <w:rPr>
          <w:rFonts w:ascii="Arial" w:cs="Arial" w:eastAsia="Arial" w:hAnsi="Arial"/>
          <w:sz w:val="13"/>
          <w:szCs w:val="13"/>
          <w:i w:val="1"/>
          <w:iCs w:val="1"/>
          <w:color w:val="auto"/>
        </w:rPr>
        <w:t>(continued)</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18 February, 2025, the Company's Board of Directors authorised an additional buyback programme of up to $750.0 million of the outstanding ordinary shares of the Company. Along with unutilised amounts under the previous authorisations, this permited the Company to repurchase up to $1 billion worth of ordinary shares.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 Repurchases under the share buyback programme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During March 2025, 1,360,537 ordinary shares were redeemed by the Company under this buyback programme for a total consideration of $250 million.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190" w:lineRule="exact"/>
        <w:rPr>
          <w:sz w:val="20"/>
          <w:szCs w:val="20"/>
          <w:color w:val="auto"/>
        </w:rPr>
      </w:pPr>
    </w:p>
    <w:p>
      <w:pPr>
        <w:ind w:left="320" w:hanging="315"/>
        <w:spacing w:after="0"/>
        <w:tabs>
          <w:tab w:leader="none" w:pos="32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29 April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1280"/>
          </w:cols>
          <w:pgMar w:left="300" w:top="698"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Reconciliation from IFRS to US Accounting Policies (Unaudited)</w:t>
      </w: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Consolidated Financial Statements set out on pages 36 to 138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format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February 2025. The financial statements included in such Form 20-F are prepared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5" w:lineRule="exact"/>
        <w:rPr>
          <w:sz w:val="20"/>
          <w:szCs w:val="20"/>
          <w:color w:val="auto"/>
        </w:rPr>
      </w:pPr>
    </w:p>
    <w:p>
      <w:pPr>
        <w:ind w:left="480" w:hanging="245"/>
        <w:spacing w:after="0"/>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spacing w:after="0" w:line="17" w:lineRule="exact"/>
        <w:rPr>
          <w:rFonts w:ascii="Arial" w:cs="Arial" w:eastAsia="Arial" w:hAnsi="Arial"/>
          <w:sz w:val="13"/>
          <w:szCs w:val="13"/>
          <w:color w:val="auto"/>
        </w:rPr>
      </w:pPr>
    </w:p>
    <w:p>
      <w:pPr>
        <w:ind w:left="480" w:hanging="245"/>
        <w:spacing w:after="0"/>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Share-based payment expense</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IFRS requires that the fair value of share-based payments be expensed to the Consolidated Statement of Profit and Loss over the period the related services are received, with a corresponding increase in equity. The Group has accounted for share-based payments under U.S. GAAP in accordance with ASC 718</w:t>
      </w:r>
      <w:r>
        <w:rPr>
          <w:rFonts w:ascii="Arial" w:cs="Arial" w:eastAsia="Arial" w:hAnsi="Arial"/>
          <w:sz w:val="13"/>
          <w:szCs w:val="13"/>
          <w:i w:val="1"/>
          <w:iCs w:val="1"/>
          <w:color w:val="auto"/>
        </w:rPr>
        <w:t>, Compensation – Stock Compensation</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 corresponding increase in equity.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There is a difference in recorded expense. 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Stock-based Compensation Arrangements in a Business Combination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 exchange of share-based payment awards in a business combination is treated as a modification under IFRS 2. The replacement awards and the original acquiree awards should both be measured at fair value at the acquisition date and calculated using the fair-value-based measurement principles in IFRS 2.</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U.S. GAAP requires the attribution of compensation cost for the acquirer’s replacement awards in the post-combination financial statements to be based on the acquirer’s attribution policy (i.e., straight-line approach or graded-vesting approach). Under IFRS, however, the graded vesting approach is required for all awards with graded vesting features based on the requirements in IFRS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280"/>
          </w:cols>
          <w:pgMar w:left="300" w:top="1080"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IAS 19R Defined Benefit Liabilities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has recognised the net interest expense of the defined benefit liabilities within payroll costs (operating expenses) in the Consolidated Statement of Profit and Loss under IAS19R which is consistent with the U.S. GAAP treatment of this cost. Additional net credits related to the defined benefit liabilities refer to the adjustment required to reverse the application of the corridor approach permitted under U.S. GAAP and the different net interest expense recorded under IFRS and U.S. GAAP.</w:t>
      </w:r>
    </w:p>
    <w:p>
      <w:pPr>
        <w:spacing w:after="0" w:line="176" w:lineRule="exact"/>
        <w:rPr>
          <w:sz w:val="20"/>
          <w:szCs w:val="20"/>
          <w:color w:val="auto"/>
        </w:rPr>
      </w:pPr>
    </w:p>
    <w:p>
      <w:pPr>
        <w:ind w:right="8980" w:firstLine="5"/>
        <w:spacing w:after="0" w:line="553" w:lineRule="auto"/>
        <w:tabs>
          <w:tab w:leader="none" w:pos="163"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Current tax and deferred tax assets Deferred tax asset</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tax benefit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IFRS 16 Leases</w:t>
      </w:r>
    </w:p>
    <w:p>
      <w:pPr>
        <w:spacing w:after="0" w:line="201"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 xml:space="preserve">Under U.S. GAAP, ASC 842 </w:t>
      </w:r>
      <w:r>
        <w:rPr>
          <w:rFonts w:ascii="Arial" w:cs="Arial" w:eastAsia="Arial" w:hAnsi="Arial"/>
          <w:sz w:val="12"/>
          <w:szCs w:val="12"/>
          <w:i w:val="1"/>
          <w:iCs w:val="1"/>
          <w:color w:val="auto"/>
        </w:rPr>
        <w:t>Leases</w:t>
      </w:r>
      <w:r>
        <w:rPr>
          <w:rFonts w:ascii="Arial" w:cs="Arial" w:eastAsia="Arial" w:hAnsi="Arial"/>
          <w:sz w:val="12"/>
          <w:szCs w:val="12"/>
          <w:color w:val="auto"/>
        </w:rPr>
        <w:t>,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Contract Assets and Contract Liabilities in a Business Combination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October 2021, the FASB issued ASU 2021-08 "Business Combinations (Topic 805) - Accounting for Contract Assets and Contract Liabilities from Contracts with Customers". The amendments in this ASU require that an entity (acquirer) recognise and measure contract assets and contract liabilities acquired in a business combination in accordance with Topic 606. At the acquisition date, an acquirer should account for the related revenue contracts in accordance with Topic 606 as if it had originated the contracts. The Company has adopted the amendments in this ASU for year ended 31 December 2021 and has applied the amendments of this ASU to the Merger with PRA, completed on 1 July 2021.</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does not have a similar fair value measurement exception for contract assets and contract liabilities. As a result, contract liabilities will have a lower valuation under IFRS compared to U.S. GAAP with the valuation adjustment being charged to revenue over the life of the contract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280"/>
          </w:cols>
          <w:pgMar w:left="300" w:top="1079"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714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0"/>
        </w:trPr>
        <w:tc>
          <w:tcPr>
            <w:tcW w:w="7140" w:type="dxa"/>
            <w:vAlign w:val="bottom"/>
          </w:tcPr>
          <w:p>
            <w:pPr>
              <w:spacing w:after="0"/>
              <w:rPr>
                <w:sz w:val="13"/>
                <w:szCs w:val="13"/>
                <w:color w:val="auto"/>
              </w:rPr>
            </w:pPr>
          </w:p>
        </w:tc>
        <w:tc>
          <w:tcPr>
            <w:tcW w:w="29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for the financial year attributable to equity holders of the Company as stated under IFRS</w:t>
            </w:r>
          </w:p>
        </w:tc>
        <w:tc>
          <w:tcPr>
            <w:tcW w:w="2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779,425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609,024</w:t>
            </w:r>
          </w:p>
        </w:tc>
      </w:tr>
      <w:tr>
        <w:trPr>
          <w:trHeight w:val="212"/>
        </w:trPr>
        <w:tc>
          <w:tcPr>
            <w:tcW w:w="7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9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Share-based payment expense under IFRS (c) (d)</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46,108</w:t>
            </w:r>
          </w:p>
        </w:tc>
        <w:tc>
          <w:tcPr>
            <w:tcW w:w="1140" w:type="dxa"/>
            <w:vAlign w:val="bottom"/>
          </w:tcPr>
          <w:p>
            <w:pPr>
              <w:jc w:val="right"/>
              <w:spacing w:after="0"/>
              <w:rPr>
                <w:sz w:val="20"/>
                <w:szCs w:val="20"/>
                <w:color w:val="auto"/>
              </w:rPr>
            </w:pPr>
            <w:r>
              <w:rPr>
                <w:rFonts w:ascii="Arial" w:cs="Arial" w:eastAsia="Arial" w:hAnsi="Arial"/>
                <w:sz w:val="13"/>
                <w:szCs w:val="13"/>
                <w:color w:val="auto"/>
              </w:rPr>
              <w:t>51,380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U.S. GAAP (c) (d)</w:t>
            </w: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(45,870)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(55,665)</w:t>
            </w: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1,227</w:t>
            </w:r>
          </w:p>
        </w:tc>
        <w:tc>
          <w:tcPr>
            <w:tcW w:w="1140" w:type="dxa"/>
            <w:vAlign w:val="bottom"/>
          </w:tcPr>
          <w:p>
            <w:pPr>
              <w:jc w:val="right"/>
              <w:spacing w:after="0"/>
              <w:rPr>
                <w:sz w:val="20"/>
                <w:szCs w:val="20"/>
                <w:color w:val="auto"/>
              </w:rPr>
            </w:pPr>
            <w:r>
              <w:rPr>
                <w:rFonts w:ascii="Arial" w:cs="Arial" w:eastAsia="Arial" w:hAnsi="Arial"/>
                <w:sz w:val="13"/>
                <w:szCs w:val="13"/>
                <w:color w:val="auto"/>
              </w:rPr>
              <w:t>436</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2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7,556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w:t>
            </w: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 (f)</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3,596</w:t>
            </w:r>
          </w:p>
        </w:tc>
        <w:tc>
          <w:tcPr>
            <w:tcW w:w="1140" w:type="dxa"/>
            <w:vAlign w:val="bottom"/>
          </w:tcPr>
          <w:p>
            <w:pPr>
              <w:jc w:val="right"/>
              <w:spacing w:after="0"/>
              <w:rPr>
                <w:sz w:val="20"/>
                <w:szCs w:val="20"/>
                <w:color w:val="auto"/>
              </w:rPr>
            </w:pPr>
            <w:r>
              <w:rPr>
                <w:rFonts w:ascii="Arial" w:cs="Arial" w:eastAsia="Arial" w:hAnsi="Arial"/>
                <w:sz w:val="13"/>
                <w:szCs w:val="13"/>
                <w:color w:val="auto"/>
              </w:rPr>
              <w:t>4,323</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(307)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17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Additional costs of defined benefit liabilities (e)</w:t>
            </w:r>
          </w:p>
        </w:tc>
        <w:tc>
          <w:tcPr>
            <w:tcW w:w="2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(261)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r>
      <w:tr>
        <w:trPr>
          <w:trHeight w:val="185"/>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 as stated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791,474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612,335</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Basic earnings per Ordinary Share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w:t>
            </w:r>
          </w:p>
        </w:tc>
      </w:tr>
      <w:tr>
        <w:trPr>
          <w:trHeight w:val="192"/>
        </w:trPr>
        <w:tc>
          <w:tcPr>
            <w:tcW w:w="7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1280"/>
          </w:cols>
          <w:pgMar w:left="300" w:top="1080"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(ii) Effect on shareholders’ equity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CCEEFF"/>
          </w:tcPr>
          <w:p>
            <w:pPr>
              <w:spacing w:after="0"/>
              <w:rPr>
                <w:sz w:val="13"/>
                <w:szCs w:val="13"/>
                <w:color w:val="auto"/>
              </w:rPr>
            </w:pPr>
          </w:p>
        </w:tc>
        <w:tc>
          <w:tcPr>
            <w:tcW w:w="5020" w:type="dxa"/>
            <w:vAlign w:val="bottom"/>
            <w:shd w:val="clear" w:color="auto" w:fill="CCEEFF"/>
          </w:tcPr>
          <w:p>
            <w:pPr>
              <w:ind w:left="3880"/>
              <w:spacing w:after="0"/>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Company as stated under IFRS</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9,582,625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9,322,815</w:t>
            </w:r>
          </w:p>
        </w:tc>
        <w:tc>
          <w:tcPr>
            <w:tcW w:w="20" w:type="dxa"/>
            <w:vAlign w:val="bottom"/>
            <w:shd w:val="clear" w:color="auto" w:fill="CCEEFF"/>
          </w:tcPr>
          <w:p>
            <w:pPr>
              <w:spacing w:after="0"/>
              <w:rPr>
                <w:sz w:val="14"/>
                <w:szCs w:val="14"/>
                <w:color w:val="auto"/>
              </w:rPr>
            </w:pPr>
          </w:p>
        </w:tc>
      </w:tr>
      <w:tr>
        <w:trPr>
          <w:trHeight w:val="212"/>
        </w:trPr>
        <w:tc>
          <w:tcPr>
            <w:tcW w:w="5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40" w:type="dxa"/>
            <w:vAlign w:val="bottom"/>
          </w:tcPr>
          <w:p>
            <w:pPr>
              <w:jc w:val="right"/>
              <w:spacing w:after="0"/>
              <w:rPr>
                <w:sz w:val="20"/>
                <w:szCs w:val="20"/>
                <w:color w:val="auto"/>
              </w:rPr>
            </w:pPr>
            <w:r>
              <w:rPr>
                <w:rFonts w:ascii="Arial" w:cs="Arial" w:eastAsia="Arial" w:hAnsi="Arial"/>
                <w:sz w:val="13"/>
                <w:szCs w:val="13"/>
                <w:color w:val="auto"/>
              </w:rPr>
              <w:t>(58,199)</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020" w:type="dxa"/>
            <w:vAlign w:val="bottom"/>
          </w:tcPr>
          <w:p>
            <w:pPr>
              <w:jc w:val="right"/>
              <w:ind w:right="316"/>
              <w:spacing w:after="0"/>
              <w:rPr>
                <w:sz w:val="20"/>
                <w:szCs w:val="20"/>
                <w:color w:val="auto"/>
              </w:rPr>
            </w:pPr>
            <w:r>
              <w:rPr>
                <w:rFonts w:ascii="Arial" w:cs="Arial" w:eastAsia="Arial" w:hAnsi="Arial"/>
                <w:sz w:val="13"/>
                <w:szCs w:val="13"/>
                <w:b w:val="1"/>
                <w:bCs w:val="1"/>
                <w:color w:val="auto"/>
              </w:rPr>
              <w:t>4,297</w:t>
            </w:r>
          </w:p>
        </w:tc>
        <w:tc>
          <w:tcPr>
            <w:tcW w:w="1140" w:type="dxa"/>
            <w:vAlign w:val="bottom"/>
          </w:tcPr>
          <w:p>
            <w:pPr>
              <w:jc w:val="right"/>
              <w:spacing w:after="0"/>
              <w:rPr>
                <w:sz w:val="20"/>
                <w:szCs w:val="20"/>
                <w:color w:val="auto"/>
              </w:rPr>
            </w:pPr>
            <w:r>
              <w:rPr>
                <w:rFonts w:ascii="Arial" w:cs="Arial" w:eastAsia="Arial" w:hAnsi="Arial"/>
                <w:sz w:val="13"/>
                <w:szCs w:val="13"/>
                <w:color w:val="auto"/>
              </w:rPr>
              <w:t>3,070</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(1,249)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Taxes on unearned revenue (f)</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(4,104)</w:t>
            </w:r>
          </w:p>
        </w:tc>
        <w:tc>
          <w:tcPr>
            <w:tcW w:w="1140" w:type="dxa"/>
            <w:vAlign w:val="bottom"/>
          </w:tcPr>
          <w:p>
            <w:pPr>
              <w:jc w:val="right"/>
              <w:spacing w:after="0"/>
              <w:rPr>
                <w:sz w:val="20"/>
                <w:szCs w:val="20"/>
                <w:color w:val="auto"/>
              </w:rPr>
            </w:pPr>
            <w:r>
              <w:rPr>
                <w:rFonts w:ascii="Arial" w:cs="Arial" w:eastAsia="Arial" w:hAnsi="Arial"/>
                <w:sz w:val="13"/>
                <w:szCs w:val="13"/>
                <w:color w:val="auto"/>
              </w:rPr>
              <w:t>(4,104)</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(14,009)</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0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(2,362)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(23,888)</w:t>
            </w:r>
          </w:p>
        </w:tc>
        <w:tc>
          <w:tcPr>
            <w:tcW w:w="20" w:type="dxa"/>
            <w:vAlign w:val="bottom"/>
            <w:tcBorders>
              <w:bottom w:val="single" w:sz="8" w:color="auto"/>
            </w:tcBorders>
          </w:tcPr>
          <w:p>
            <w:pPr>
              <w:spacing w:after="0"/>
              <w:rPr>
                <w:sz w:val="14"/>
                <w:szCs w:val="14"/>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Company as stated under U.S. GAAP</w:t>
            </w:r>
          </w:p>
        </w:tc>
        <w:tc>
          <w:tcPr>
            <w:tcW w:w="5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9,522,999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9,240,743</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74"/>
        </w:trPr>
        <w:tc>
          <w:tcPr>
            <w:tcW w:w="5100" w:type="dxa"/>
            <w:vAlign w:val="bottom"/>
          </w:tcPr>
          <w:p>
            <w:pPr>
              <w:ind w:left="160"/>
              <w:spacing w:after="0"/>
              <w:rPr>
                <w:sz w:val="20"/>
                <w:szCs w:val="20"/>
                <w:color w:val="auto"/>
              </w:rPr>
            </w:pPr>
            <w:r>
              <w:rPr>
                <w:rFonts w:ascii="Arial" w:cs="Arial" w:eastAsia="Arial" w:hAnsi="Arial"/>
                <w:sz w:val="13"/>
                <w:szCs w:val="13"/>
                <w:i w:val="1"/>
                <w:iCs w:val="1"/>
                <w:color w:val="auto"/>
              </w:rPr>
              <w:t>(iii) Effect on total assets</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5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7"/>
        </w:trPr>
        <w:tc>
          <w:tcPr>
            <w:tcW w:w="5100" w:type="dxa"/>
            <w:vAlign w:val="bottom"/>
            <w:shd w:val="clear" w:color="auto" w:fill="CCEEFF"/>
          </w:tcPr>
          <w:p>
            <w:pPr>
              <w:spacing w:after="0"/>
              <w:rPr>
                <w:sz w:val="11"/>
                <w:szCs w:val="11"/>
                <w:color w:val="auto"/>
              </w:rPr>
            </w:pPr>
          </w:p>
        </w:tc>
        <w:tc>
          <w:tcPr>
            <w:tcW w:w="5020" w:type="dxa"/>
            <w:vAlign w:val="bottom"/>
            <w:shd w:val="clear" w:color="auto" w:fill="CCEEFF"/>
          </w:tcPr>
          <w:p>
            <w:pPr>
              <w:ind w:left="3880"/>
              <w:spacing w:after="0" w:line="128" w:lineRule="exact"/>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2023</w:t>
            </w: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as stated under IFRS</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16,936,232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17,071,170</w:t>
            </w:r>
          </w:p>
        </w:tc>
        <w:tc>
          <w:tcPr>
            <w:tcW w:w="20" w:type="dxa"/>
            <w:vAlign w:val="bottom"/>
            <w:shd w:val="clear" w:color="auto" w:fill="CCEEFF"/>
          </w:tcPr>
          <w:p>
            <w:pPr>
              <w:spacing w:after="0"/>
              <w:rPr>
                <w:sz w:val="14"/>
                <w:szCs w:val="14"/>
                <w:color w:val="auto"/>
              </w:rPr>
            </w:pPr>
          </w:p>
        </w:tc>
      </w:tr>
      <w:tr>
        <w:trPr>
          <w:trHeight w:val="202"/>
        </w:trPr>
        <w:tc>
          <w:tcPr>
            <w:tcW w:w="5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020" w:type="dxa"/>
            <w:vAlign w:val="bottom"/>
          </w:tcPr>
          <w:p>
            <w:pPr>
              <w:jc w:val="right"/>
              <w:ind w:right="316"/>
              <w:spacing w:after="0"/>
              <w:rPr>
                <w:sz w:val="20"/>
                <w:szCs w:val="20"/>
                <w:color w:val="auto"/>
              </w:rPr>
            </w:pPr>
            <w:r>
              <w:rPr>
                <w:rFonts w:ascii="Arial" w:cs="Arial" w:eastAsia="Arial" w:hAnsi="Arial"/>
                <w:sz w:val="13"/>
                <w:szCs w:val="13"/>
                <w:b w:val="1"/>
                <w:bCs w:val="1"/>
                <w:color w:val="auto"/>
              </w:rPr>
              <w:t>4,297</w:t>
            </w:r>
          </w:p>
        </w:tc>
        <w:tc>
          <w:tcPr>
            <w:tcW w:w="1140" w:type="dxa"/>
            <w:vAlign w:val="bottom"/>
          </w:tcPr>
          <w:p>
            <w:pPr>
              <w:jc w:val="right"/>
              <w:spacing w:after="0"/>
              <w:rPr>
                <w:sz w:val="20"/>
                <w:szCs w:val="20"/>
                <w:color w:val="auto"/>
              </w:rPr>
            </w:pPr>
            <w:r>
              <w:rPr>
                <w:rFonts w:ascii="Arial" w:cs="Arial" w:eastAsia="Arial" w:hAnsi="Arial"/>
                <w:sz w:val="13"/>
                <w:szCs w:val="13"/>
                <w:color w:val="auto"/>
              </w:rPr>
              <w:t>3,070</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(58,199)</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fair value adjustment to unearned revenue under IFRS (h)</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(6,469)</w:t>
            </w:r>
          </w:p>
        </w:tc>
        <w:tc>
          <w:tcPr>
            <w:tcW w:w="1140" w:type="dxa"/>
            <w:vAlign w:val="bottom"/>
          </w:tcPr>
          <w:p>
            <w:pPr>
              <w:jc w:val="right"/>
              <w:spacing w:after="0"/>
              <w:rPr>
                <w:sz w:val="20"/>
                <w:szCs w:val="20"/>
                <w:color w:val="auto"/>
              </w:rPr>
            </w:pPr>
            <w:r>
              <w:rPr>
                <w:rFonts w:ascii="Arial" w:cs="Arial" w:eastAsia="Arial" w:hAnsi="Arial"/>
                <w:sz w:val="13"/>
                <w:szCs w:val="13"/>
                <w:color w:val="auto"/>
              </w:rPr>
              <w:t>(27,995)</w:t>
            </w:r>
          </w:p>
        </w:tc>
        <w:tc>
          <w:tcPr>
            <w:tcW w:w="20" w:type="dxa"/>
            <w:vAlign w:val="bottom"/>
          </w:tcPr>
          <w:p>
            <w:pPr>
              <w:spacing w:after="0"/>
              <w:rPr>
                <w:sz w:val="14"/>
                <w:szCs w:val="14"/>
                <w:color w:val="auto"/>
              </w:rPr>
            </w:pPr>
          </w:p>
        </w:tc>
      </w:tr>
      <w:tr>
        <w:trPr>
          <w:trHeight w:val="17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right-of-use assets (g)</w:t>
            </w:r>
          </w:p>
        </w:tc>
        <w:tc>
          <w:tcPr>
            <w:tcW w:w="5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 as stated under U.S. GAAP</w:t>
            </w:r>
          </w:p>
        </w:tc>
        <w:tc>
          <w:tcPr>
            <w:tcW w:w="50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16,877,678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16,989,863</w:t>
            </w:r>
          </w:p>
        </w:tc>
        <w:tc>
          <w:tcPr>
            <w:tcW w:w="20" w:type="dxa"/>
            <w:vAlign w:val="bottom"/>
            <w:tcBorders>
              <w:bottom w:val="single" w:sz="8" w:color="auto"/>
            </w:tcBorders>
          </w:tcPr>
          <w:p>
            <w:pPr>
              <w:spacing w:after="0"/>
              <w:rPr>
                <w:sz w:val="13"/>
                <w:szCs w:val="13"/>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4"/>
        </w:trPr>
        <w:tc>
          <w:tcPr>
            <w:tcW w:w="5100" w:type="dxa"/>
            <w:vAlign w:val="bottom"/>
          </w:tcPr>
          <w:p>
            <w:pPr>
              <w:spacing w:after="0"/>
              <w:rPr>
                <w:sz w:val="20"/>
                <w:szCs w:val="20"/>
                <w:color w:val="auto"/>
              </w:rPr>
            </w:pPr>
            <w:r>
              <w:rPr>
                <w:rFonts w:ascii="Arial" w:cs="Arial" w:eastAsia="Arial" w:hAnsi="Arial"/>
                <w:sz w:val="13"/>
                <w:szCs w:val="13"/>
                <w:i w:val="1"/>
                <w:iCs w:val="1"/>
                <w:color w:val="auto"/>
              </w:rPr>
              <w:t>(iv) Effect on total liabilities</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1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r>
      <w:tr>
        <w:trPr>
          <w:trHeight w:val="127"/>
        </w:trPr>
        <w:tc>
          <w:tcPr>
            <w:tcW w:w="5100" w:type="dxa"/>
            <w:vAlign w:val="bottom"/>
            <w:shd w:val="clear" w:color="auto" w:fill="CCEEFF"/>
          </w:tcPr>
          <w:p>
            <w:pPr>
              <w:spacing w:after="0"/>
              <w:rPr>
                <w:sz w:val="11"/>
                <w:szCs w:val="11"/>
                <w:color w:val="auto"/>
              </w:rPr>
            </w:pPr>
          </w:p>
        </w:tc>
        <w:tc>
          <w:tcPr>
            <w:tcW w:w="5020" w:type="dxa"/>
            <w:vAlign w:val="bottom"/>
            <w:shd w:val="clear" w:color="auto" w:fill="CCEEFF"/>
          </w:tcPr>
          <w:p>
            <w:pPr>
              <w:ind w:left="3860"/>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4"/>
                <w:szCs w:val="14"/>
                <w:color w:val="auto"/>
              </w:rPr>
            </w:pP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IFRS</w:t>
            </w:r>
          </w:p>
        </w:tc>
        <w:tc>
          <w:tcPr>
            <w:tcW w:w="50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7,353,607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7,748,355</w:t>
            </w:r>
          </w:p>
        </w:tc>
        <w:tc>
          <w:tcPr>
            <w:tcW w:w="20" w:type="dxa"/>
            <w:vAlign w:val="bottom"/>
          </w:tcPr>
          <w:p>
            <w:pPr>
              <w:spacing w:after="0"/>
              <w:rPr>
                <w:sz w:val="14"/>
                <w:szCs w:val="14"/>
                <w:color w:val="auto"/>
              </w:rPr>
            </w:pPr>
          </w:p>
        </w:tc>
      </w:tr>
      <w:tr>
        <w:trPr>
          <w:trHeight w:val="202"/>
        </w:trPr>
        <w:tc>
          <w:tcPr>
            <w:tcW w:w="5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adjustments on leases (f)</w:t>
            </w:r>
          </w:p>
        </w:tc>
        <w:tc>
          <w:tcPr>
            <w:tcW w:w="50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1,072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20" w:type="dxa"/>
            <w:vAlign w:val="bottom"/>
          </w:tcPr>
          <w:p>
            <w:pPr>
              <w:spacing w:after="0"/>
              <w:rPr>
                <w:sz w:val="14"/>
                <w:szCs w:val="14"/>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50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7,354,679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7,749,120</w:t>
            </w:r>
          </w:p>
        </w:tc>
        <w:tc>
          <w:tcPr>
            <w:tcW w:w="20" w:type="dxa"/>
            <w:vAlign w:val="bottom"/>
          </w:tcPr>
          <w:p>
            <w:pPr>
              <w:spacing w:after="0"/>
              <w:rPr>
                <w:sz w:val="15"/>
                <w:szCs w:val="15"/>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4"/>
        </w:trPr>
        <w:tc>
          <w:tcPr>
            <w:tcW w:w="5100" w:type="dxa"/>
            <w:vAlign w:val="bottom"/>
          </w:tcPr>
          <w:p>
            <w:pPr>
              <w:spacing w:after="0"/>
              <w:rPr>
                <w:sz w:val="24"/>
                <w:szCs w:val="24"/>
                <w:color w:val="auto"/>
              </w:rPr>
            </w:pPr>
          </w:p>
        </w:tc>
        <w:tc>
          <w:tcPr>
            <w:tcW w:w="5020" w:type="dxa"/>
            <w:vAlign w:val="bottom"/>
          </w:tcPr>
          <w:p>
            <w:pPr>
              <w:jc w:val="right"/>
              <w:ind w:right="4296"/>
              <w:spacing w:after="0"/>
              <w:rPr>
                <w:sz w:val="20"/>
                <w:szCs w:val="20"/>
                <w:color w:val="auto"/>
              </w:rPr>
            </w:pPr>
            <w:r>
              <w:rPr>
                <w:rFonts w:ascii="Arial" w:cs="Arial" w:eastAsia="Arial" w:hAnsi="Arial"/>
                <w:sz w:val="13"/>
                <w:szCs w:val="13"/>
                <w:color w:val="auto"/>
              </w:rPr>
              <w:t>142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300" w:top="1080"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Appendix A: Risk Factors</w:t>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17" w:lineRule="exact"/>
        <w:rPr>
          <w:sz w:val="20"/>
          <w:szCs w:val="20"/>
          <w:color w:val="auto"/>
        </w:rPr>
      </w:pP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cost reductions or change in prioritisation of resources;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enrollment or investigator recruitment; and</w:t>
      </w:r>
    </w:p>
    <w:p>
      <w:pPr>
        <w:ind w:left="500" w:hanging="240"/>
        <w:spacing w:after="0"/>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and execute existing customer contracts. If we were unable to generate new business awards on a timely basis and contract, execute and deliver those awards, that could have a material impact on our business, financial condition, results of operations or cash flows.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or an inability to pay outstanding invoices by one or more of them could affect our business.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While no customers individually contributed more than 10% of our revenues during the years ended 31 December 2024 and 31 December 2023, our top five customers represented 25.0% and 26.8% of our revenues respectively, our largest customer represented 7.7% and 8.9% of our revenues, respectively, and our top twenty five customers represented 62.2% and 62.9% of our revenues, respectively. The loss of, or a significant decrease in, business from one or more of these key customers, or an inability to pay outstanding invoices due to us, could have a material adverse impact on our results of operations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of biotechnology customers to raise adequate financing or funding could affect our business.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Many of our contracts are long-term contracts for services. As a result, variations in the timing and progress of large contracts may materially adversely affect our financial results. Revenue recognised on these service contracts are based on an assessment of progress towards completion being the cost of time and other third party costs as a percentage of total estimated time and other third party costs to deliver our services. Estimating time and costs to complete requires judgment and includes consideration of the complexity of the study, the number of sites where trials are to be conducted and the number of patients to be recruited. We regularly review the estimated hours on each contract to determine if the budget accurately reflects the agreed tasks to be performed, taking into account the state of progress at the time of review.</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bear the risk of cost overruns unless the scope of activity and/or the assumptions upon which budget is built are revised via a change order and we are able to negotiate a contract modification. We endeavour to ensure that any changes in scope are appropriately monitored and change orders or contract modifications are promptly negotiated and documented. If we fail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1280"/>
          </w:cols>
          <w:pgMar w:left="300" w:top="1271" w:right="31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to successfully negotiate change orders for changes in the resources required or the scope of the work to be performed, it could materially adversely affect our operations and financial results.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or financial condition could be adversely impacted.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Contract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challenges retaining employees which could cause disruption to our day-to-day activities which may result in additional costs to the business.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ICON is an award-winning workplace that enables employees to make a difference to patients’ lives by being part of a world-class contract research organisation that helps deliver new medicines &amp; medical devices that are benefiting patients worldwide. The attraction, development and retention of our talent is critical to the success of the Company, and we continue to strengthen processes around these areas to minimise retention risk.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is focused on continuing to develop its expertise in patient recruitment through Accellacare, a global clinical research network, offering patients easier and faster access to innovative treatments and offering customers the option to deploy decentralised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190" w:lineRule="exact"/>
        <w:rPr>
          <w:sz w:val="20"/>
          <w:szCs w:val="20"/>
          <w:color w:val="auto"/>
        </w:rPr>
      </w:pPr>
    </w:p>
    <w:p>
      <w:pPr>
        <w:ind w:left="500" w:hanging="240"/>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 and</w:t>
      </w:r>
    </w:p>
    <w:p>
      <w:pPr>
        <w:spacing w:after="0" w:line="2"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82"/>
        </w:numPr>
        <w:rPr>
          <w:rFonts w:ascii="Arial" w:cs="Arial" w:eastAsia="Arial" w:hAnsi="Arial"/>
          <w:sz w:val="13"/>
          <w:szCs w:val="13"/>
          <w:color w:val="auto"/>
        </w:rPr>
      </w:pPr>
      <w:r>
        <w:rPr>
          <w:rFonts w:ascii="Arial" w:cs="Arial" w:eastAsia="Arial" w:hAnsi="Arial"/>
          <w:sz w:val="13"/>
          <w:szCs w:val="13"/>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280"/>
          </w:cols>
          <w:pgMar w:left="300" w:top="1275" w:right="31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floods, wildfires or other events that may result from the impact of climate change on the environment.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could adversely affect our business performance.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analysed on time as a result of an outbreak. The potential impact of an epidemic or pandemic may also result in increased operating costs and result in a requirement to increase investment in impact prevention in addition to adversely affecting the economies and financial markets worldwide, resulting in an economic downturn that could impact our business, financial condition and results of operations.</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continue to increase the use of technology. The systems may be either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6" w:lineRule="exact"/>
        <w:rPr>
          <w:sz w:val="20"/>
          <w:szCs w:val="20"/>
          <w:color w:val="auto"/>
        </w:rPr>
      </w:pPr>
    </w:p>
    <w:p>
      <w:pPr>
        <w:ind w:left="500" w:hanging="240"/>
        <w:spacing w:after="0"/>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disruption or failure of data centers, telecommunications facilities or other key infrastructure platforms;</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83"/>
        </w:numPr>
        <w:rPr>
          <w:rFonts w:ascii="Arial" w:cs="Arial" w:eastAsia="Arial" w:hAnsi="Arial"/>
          <w:sz w:val="13"/>
          <w:szCs w:val="13"/>
          <w:color w:val="auto"/>
        </w:rPr>
      </w:pPr>
      <w:r>
        <w:rPr>
          <w:rFonts w:ascii="Arial" w:cs="Arial" w:eastAsia="Arial" w:hAnsi="Arial"/>
          <w:sz w:val="13"/>
          <w:szCs w:val="13"/>
          <w:color w:val="auto"/>
        </w:rPr>
        <w:t>security breaches, cyber attacks or other failures (such as inappropriate software updates) or malfunctions in our application or information systems or their associated hardware or other systems that we have access to, or that we rely upon, or that have access to our systems;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security breaches, cyber attacks or malfunctions with key suppliers or partners who we rely on to provide services to customers;</w:t>
      </w:r>
    </w:p>
    <w:p>
      <w:pPr>
        <w:ind w:left="500" w:hanging="240"/>
        <w:spacing w:after="0"/>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use of Artificial Intelligence (“AI”) resulting in inappropriate interpretation of data;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as AI powered cyber threats evolve, our cybersecurity program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organisation against emerging threats.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1280"/>
          </w:cols>
          <w:pgMar w:left="300" w:top="1275" w:right="31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 attack. To date, no cyber attacks have had a material impact on our results of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cover provided or amount to adequately cover us against claims related to security breaches, cyber attacks and other related breaches.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We may also face cybersecurity risks due to hybrid work arrangements, which could create opportunities for cybercriminals to exploit vulnerabilities.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We have continued to undertake significant programs to optimise business processes. A failure to effectively manage the implementation and adapt to new processes designed in these new or upgraded systems in a timely and cost-effective manner may result in disruption to our business and negatively affect our results of operations.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has a dedicated Artificial Intelligence Centre of Excellence. By leveraging innovative AI and ML ('machine learning'), we accelerate trials, optimise resources, and ensure strict compliance, all while upholding the highest standards of ethical governance and data privacy. Our focus is to expedite our ability to:</w:t>
      </w:r>
    </w:p>
    <w:p>
      <w:pPr>
        <w:spacing w:after="0" w:line="167" w:lineRule="exact"/>
        <w:rPr>
          <w:sz w:val="20"/>
          <w:szCs w:val="20"/>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find signals quickly;</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connect information intelligently;</w:t>
      </w: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predict outcomes;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take proactive action to accelerate processes or mitigate emerging risks.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Regulations relating to the use of AI and the interpretation of those regulations by regulators, courts and others are in the early stages of development and evolving, which may make it difficult to identify adequate compliance requirements or suitable governance practices to meet those requirements.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To remain competitive within our industry and keep pace with the rapid evolution of the technological landscape, it is critical that we continue to innovate and expand the capabilities of our current technologies. Increased requirements for investment in information technology or failure to comply with regulations may negatively impact our financial condition, including profitability.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280"/>
          </w:cols>
          <w:pgMar w:left="300" w:top="1275" w:right="31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25" w:lineRule="exact"/>
        <w:rPr>
          <w:sz w:val="20"/>
          <w:szCs w:val="20"/>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integrate acquired personnel;</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retain customers;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or delays in performance of our services could adversely impact our reputation and our financial results.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or delays as a result of our performance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1280"/>
          </w:cols>
          <w:pgMar w:left="300" w:top="1275" w:right="31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act as authorised representative or legal representative for some clients pursuant to certain jurisdictional requirements for sponsors of clinical trials to appoint an authorised representative or legal representative with a local presence within the relevant jurisdiction.</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act as authorised representative pursuant to Medical Devices Regulation 2017/745 (“MDR”) for certain clients who are located outside of the European Union. As authorised representative, we act on behalf of medical device manufacturers in relation to specified tasks with regard to their obligations under MDR.</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also act as legal representative pursuant to European Clinical Trials Directive (2021/20/EC) (“CTD”), EU Clinical Trials Regulation (No.536/2014) (“CTR”) and MDR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280"/>
          </w:cols>
          <w:pgMar w:left="300" w:top="1275" w:right="31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legislation and we are the addressee for all communications with the client provided for under CTD, CTR and MDR or analogous local legislation.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 its obligations in relation to their indemnity.</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services are derived from, or include, the use of data we collect from third parties. We have several data suppliers that provide us with a broad scope of information that we collect, use in our business and sell.</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65" w:lineRule="exact"/>
        <w:rPr>
          <w:sz w:val="20"/>
          <w:szCs w:val="20"/>
          <w:color w:val="auto"/>
        </w:rPr>
      </w:pP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spacing w:after="0" w:line="17"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 our customers, this could result in delays or reprioritisation of their research spending.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280"/>
          </w:cols>
          <w:pgMar w:left="300" w:top="1275" w:right="3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Large pharmaceutical companies continually seek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we may also compete with the Research and Development capabilities of our customers; being unable to win work outside of the strategic relationships could have a material adverse impact on our results.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policy decisions, distress in financial markets or other factors resulting in a decrease in the number of potential customers or therapeutic products being developed through the drug development process.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has been consolidation in the biopharmaceutical market in recent years, including the acquisition of biotechnology companies by pharmaceutical companies. If the number of our potential customers were to decline in the future, they may be able to negotiate price discounts or other terms for services that are less favourable to us than they have been historically.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280"/>
          </w:cols>
          <w:pgMar w:left="300" w:top="1275" w:right="31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future results of operations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and rising labour costs could adversely affect our future results of operations.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Inflation and rising labour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costs to our customers. A sustained increase in these costs may require us to increase the price of future service offerings. These actions could adversely affect our future revenue, gross margin, or both.</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terms of recent legislative changes which could potentially impact our effective tax rate, on August 16, 2022, the U.S. government enacted the Inflation Reduction Act of 2022 ("IRA"). The IRA introduced a 15% minimum tax on book income of certain large corporations, a 1% excise tax on net stock repurchases, and several tax incentives to promote clean energy, with those tax changes becoming effective in 2023. While these changes did not have any impact on the Company for the year ended 31 December 2024, we are continuing to monitor any potential future tax impacts in this regard.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We cannot predict the impact of any executive orders or regulatory changes that may become effective or enacted by the new administration in the United States.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In terms of a global minimum tax rate, the Organisation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31 December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implemented global minimum tax legislation which has been in force from 1 January 2024. The global tax environment is becoming increasingly complex and management continues to review the impact of a global minimum tax on the Company’s financial performance. Further, regulatory or policy changes in geographies in which we operate may have a material impact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 may not convert to revenue and the rate of conversion may slow.</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realise this unsatisfied performance obligation in full as revenue. A failure to realise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280"/>
          </w:cols>
          <w:pgMar w:left="300" w:top="1275" w:right="31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Cash and cash equivalents comprise cash and highly liquid investments with maturities of three months or less.</w:t>
      </w:r>
    </w:p>
    <w:p>
      <w:pPr>
        <w:spacing w:after="0" w:line="146" w:lineRule="exact"/>
        <w:rPr>
          <w:sz w:val="20"/>
          <w:szCs w:val="20"/>
          <w:color w:val="auto"/>
        </w:rPr>
      </w:pPr>
    </w:p>
    <w:p>
      <w:pPr>
        <w:jc w:val="both"/>
        <w:ind w:firstLine="37"/>
        <w:spacing w:after="0" w:line="283"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Although we have not recognised any significant losses to date on our cash and cash equivalents, any significant declines in their market values could have a material adverse effect on our financial position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We prepare our Annual Report on Form 20-F in accordance with generally accepted accounting principles in the United States of America ("U.S. GAAP") which are revised on an on-going basis by the authoritative bodies. We prepare our statutory financial statements in accordance with generally accepted accounting principles in Ireland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goodwill and intangible assets may adversely impact future results of operations.</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We record intangible assets, including goodwill, on our balance sheet on acquisitions of businesses. The initial identification and valuation of these intangible assets and the determination of the estimated useful lives at the time of acquisition involve use of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If the future growth and operating results of our business are not as strong as anticipated, overall macroeconomic or industry conditions deteriorate and/or our market capitalisation declines, this could impact the assumptions used in establishing the carrying value of goodwill or intangible assets. Should disruption in the global financial markets and deterioration of economic conditions have a prolonged impact on our industry, triggering events may arise resulting in intangible asset, or goodwill impairments. To the extent intangible assets, or goodwill are impaired, their carrying value will be written down to their implied fair values and a charge will be made to our net income. Such an impairment charge could materially and adversely affect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Indebtedness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incurred substantial additional indebtedness, which could impair our flexibility and access to capital and could adversely affect the Company’s business, financial condition or results of operations.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Following completion of the Merger and the other transactions contemplated by the Merger Agreement, the Company has a substantial amount of debt. ICON borrowed approximately $6,015.0 million in order to pay PRA stockholders the cash consideration due to them as merger consideration under the Merger Agreement, pay related fees and transaction costs in connection with the transactions, and refinance existing indebtedness.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As of 31 December 2024 we had outstanding $3,446.5 million of debt.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280"/>
          </w:cols>
          <w:pgMar w:left="300" w:top="1275" w:right="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Senior Secured Credit Facilities and the indentures governing the 2026 Notes and the New Notes include certain customary covenants that limit our ability to, amongst other things, subject to certain exceptions:</w:t>
      </w:r>
    </w:p>
    <w:p>
      <w:pPr>
        <w:spacing w:after="0" w:line="151" w:lineRule="exact"/>
        <w:rPr>
          <w:sz w:val="20"/>
          <w:szCs w:val="20"/>
          <w:color w:val="auto"/>
        </w:rPr>
      </w:pPr>
    </w:p>
    <w:p>
      <w:pPr>
        <w:ind w:left="500" w:hanging="24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3"/>
          <w:szCs w:val="13"/>
          <w:color w:val="auto"/>
        </w:rPr>
        <w:t>make dividends, investments and other restricted payments;</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3"/>
          <w:szCs w:val="13"/>
          <w:color w:val="auto"/>
        </w:rPr>
        <w:t>enter into sale and leaseback transactions;</w:t>
      </w:r>
    </w:p>
    <w:p>
      <w:pPr>
        <w:spacing w:after="0" w:line="3" w:lineRule="exact"/>
        <w:rPr>
          <w:rFonts w:ascii="Arial" w:cs="Arial" w:eastAsia="Arial" w:hAnsi="Arial"/>
          <w:sz w:val="16"/>
          <w:szCs w:val="16"/>
          <w:color w:val="auto"/>
        </w:rPr>
      </w:pPr>
    </w:p>
    <w:p>
      <w:pPr>
        <w:ind w:left="500" w:hanging="240"/>
        <w:spacing w:after="0"/>
        <w:tabs>
          <w:tab w:leader="none" w:pos="5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engage in share buybacks;</w:t>
      </w:r>
    </w:p>
    <w:p>
      <w:pPr>
        <w:spacing w:after="0" w:line="5" w:lineRule="exact"/>
        <w:rPr>
          <w:rFonts w:ascii="Arial" w:cs="Arial" w:eastAsia="Arial" w:hAnsi="Arial"/>
          <w:sz w:val="13"/>
          <w:szCs w:val="13"/>
          <w:color w:val="auto"/>
        </w:rPr>
      </w:pPr>
    </w:p>
    <w:p>
      <w:pPr>
        <w:ind w:left="500" w:hanging="240"/>
        <w:spacing w:after="0" w:line="235"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3"/>
          <w:szCs w:val="13"/>
          <w:color w:val="auto"/>
        </w:rPr>
        <w:t>incur or assume liens or additional debt;</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3"/>
          <w:szCs w:val="13"/>
          <w:color w:val="auto"/>
        </w:rPr>
        <w:t>engage in mergers or reorganisations; or</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3"/>
          <w:szCs w:val="13"/>
          <w:color w:val="auto"/>
        </w:rPr>
        <w:t>enter into certain types of transactions with affiliates.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December 8, 2023, ICON notified the holders of the 2026 Notes of the upgrade of the instrument rating to investment grade and the consequent suspension of certain of the covenants under the Indenture governing the 2026 Notes. The suspension of these covenants remains in place and will continue so long as the instrument remains at investment grade.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Borrowings under the senior secured term loan facility amortise in equal quarterly instalments in an amount equal to 1.00% per annum of the principal amount, with the remaining balance due at final maturity.</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On March 14, 2024, the parties to the credit agreement entered into a Third Amendment (the “Third Amendment”) in connection with the repricing of the senior secured term loan facility and the senior secured revolving credit facility.</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interest rate margin applicable to borrowings under the senior secured term loan facility is USD Term SOFR plus an applicable margin which is dependent on the Company's net leverage ratio. At 31 December 2024, the applicable margin is 2.0% (which reflects the Third Amendment). The senior secured term loan facility is subject to a floor of 0.50%.</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utilisation fees dependent on the proportion of the facility drawn.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2024, $nil (31 December 2023: $55.0 million) was outstanding under the revolving loan facility while there was also $nil (31 December 2023: $3.7 million) in letters of credit given to landlords to guarantee lease arrangements under the senior secured revolving loan facility.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280"/>
          </w:cols>
          <w:pgMar w:left="300" w:top="1275" w:right="3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4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the Company has variable rate debt, fluctuations in interest rates affect our business. We attempt to minimise interest rate risk by issuing fixed term debt to provide a mix of fixed and floating rate debt in the Company debt portfolio. Although the Company manages it interest rate exposure (at 31 December 2024, 73% of the Company's outstanding debt was at a fixed interest rate (31 December 2023: 13%)), significant changes in rates at which the Company can borrow could have a material adverse effect on our financial position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financial results and ability to access cost effective debt may be adversely impacted if we do not maintain our credit rating.</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Quarter Four, 2023, S&amp;P Global Ratings ('S&amp;P') upgraded ICON to an investment grade credit rating of BBB- with a stable outlook. Further Moody's Investors Service upgraded all of ICON plc’s instrument ratings to Baa3 with a stable outlook. In Quarter Four, 2024 S&amp;P affirmed ICON issuer ratings of BBB- and Moody's Investors Service changed the outlook from stable to positive. Our financial results and ability to access cost effective debt may be adversely impacted if we do not maintain our credit rating.</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healthcare reform and the expansion of managed care organisations.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healthcare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previously noted, on August 16, 2022, the U.S. government enacted the IRA, which among other things, authorises the U.S. Department of Health and Human Services to establish prices for certain single-source drugs and biologics within the Medicare program, commencing in 2026. Furthermore, the IRA contains provisions which impose rebate obligations on manufacturers if price increases outpace inflation. While the full impact of these IRA provisions on our customers in the biopharmaceutical industry remains uncertain, any resultant pressure on our customers’ operating results could lead to a reduction in research and development spend and related outsourcing activities, which could have an adverse impact on our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We cannot predict the impact of any executive orders or regulatory changes that may become effective or enacted by the new administration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expose us to risks as a result of changes in global political conditions which could adversely affect our results of operations.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1280"/>
          </w:cols>
          <w:pgMar w:left="300" w:top="1275" w:right="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eliminated, which could adversely affect our results of operations. In addition, if the current unrest broadens or further escalates, our operations may be severely curtailed, which could adversely affect our results of operations.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continue to monitor developments in Israel and the conflict area in the Middle East. Further broadening or escalation of the conflict, or the imposition of international economic sanctions, could adversely affect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If we, or vendors we engage, fail to comply with any of these requirements we could suffer some or all of:</w:t>
      </w:r>
    </w:p>
    <w:p>
      <w:pPr>
        <w:spacing w:after="0" w:line="95" w:lineRule="exact"/>
        <w:rPr>
          <w:sz w:val="20"/>
          <w:szCs w:val="20"/>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1" w:lineRule="exact"/>
        <w:rPr>
          <w:rFonts w:ascii="Arial" w:cs="Arial" w:eastAsia="Arial" w:hAnsi="Arial"/>
          <w:sz w:val="13"/>
          <w:szCs w:val="13"/>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disqualification of data;</w:t>
      </w: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criminal penalties;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financial penalties;</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ind w:left="1020" w:hanging="25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Changes in the political and regulatory environment in the markets in which we operate such as price or exchange controls or tariffs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We continue to monitor developments in other regions, including the Middle East and China, and will assess any impact of trade compliance measures, or other restrictions, on our business.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1280"/>
          </w:cols>
          <w:pgMar w:left="300" w:top="1275"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FCPA, UK Bribery Act and similar anti-corruption laws in other jurisdictions prohibit us and our officers, directors, employees and third parties acting on our behalf, including agents, from corruptly offering, promising, authorising, or providing anything of value to a "foreign official" for the purposes of influencing official decisions or obtaining or retaining business or otherwise obtaining favourable treatment. In addition, the FCPA imposes certain books, records and accounting control obligations on public companies and other issuers. The UK Bribery Act also prohibits "commercial" bribery and accepting bribes.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increase in economic sanctions and trade controls, particularly relating to our ongoing operations in Russia, Ukraine and Belarus, has increased the amount of resources necessary to ensure compliance in this area.</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Administrative fines:</w:t>
      </w:r>
      <w:r>
        <w:rPr>
          <w:rFonts w:ascii="Arial" w:cs="Arial" w:eastAsia="Arial" w:hAnsi="Arial"/>
          <w:sz w:val="13"/>
          <w:szCs w:val="13"/>
          <w:color w:val="auto"/>
        </w:rPr>
        <w:t xml:space="preserve"> The GDPR introduced a regime of administrative fines for data protection infringements and provided for a tiered penalty structure based on the nature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-87630</wp:posOffset>
            </wp:positionV>
            <wp:extent cx="609727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7270" cy="9461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13"/>
          <w:szCs w:val="13"/>
          <w:color w:val="auto"/>
        </w:rPr>
        <w:t>infringement. The EU supervisory authorities for the GDPR can directly impose fines on organisations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17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u w:val="single" w:color="auto"/>
          <w:color w:val="auto"/>
        </w:rPr>
        <w:t>Penalties:</w:t>
      </w:r>
      <w:r>
        <w:rPr>
          <w:rFonts w:ascii="Arial" w:cs="Arial" w:eastAsia="Arial" w:hAnsi="Arial"/>
          <w:sz w:val="13"/>
          <w:szCs w:val="13"/>
          <w:color w:val="auto"/>
        </w:rPr>
        <w:t xml:space="preserve"> The GDPR also permits Member States to implement rules on other penalties applicable to infringements of the GDPR, in particular, for infringements which are not subject to administrative fines under the GDPR itself. Therefore, Member States may legislate for further fines or penalties that may be criminal in nature.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Any fines levied under the GDPR must be effective, proportionate, and dissuasive. Supervisory authorities have been strengthening enforcement activities across the EU in recent years in respect of breaches of GDPR. The risk of fines 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280"/>
          </w:cols>
          <w:pgMar w:left="300" w:top="1275"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penalties under the GDPR carries increased risk of liability to ICON and can result in increased costs and disruption to the delivery of our services.</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u w:val="single" w:color="auto"/>
          <w:color w:val="auto"/>
        </w:rPr>
        <w:t>Right to compensation of data subjects:</w:t>
      </w:r>
      <w:r>
        <w:rPr>
          <w:rFonts w:ascii="Arial" w:cs="Arial" w:eastAsia="Arial" w:hAnsi="Arial"/>
          <w:sz w:val="13"/>
          <w:szCs w:val="13"/>
          <w:color w:val="auto"/>
        </w:rPr>
        <w:t xml:space="preserve">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-302260</wp:posOffset>
            </wp:positionV>
            <wp:extent cx="5376545"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76545" cy="94615"/>
                    </a:xfrm>
                    <a:prstGeom prst="rect">
                      <a:avLst/>
                    </a:prstGeom>
                    <a:noFill/>
                  </pic:spPr>
                </pic:pic>
              </a:graphicData>
            </a:graphic>
          </wp:anchor>
        </w:drawing>
      </w:r>
    </w:p>
    <w:p>
      <w:pPr>
        <w:spacing w:after="0" w:line="12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u w:val="single" w:color="auto"/>
          <w:color w:val="auto"/>
        </w:rPr>
        <w:t>Corrective Powers of the supervisory authorities:</w:t>
      </w:r>
      <w:r>
        <w:rPr>
          <w:rFonts w:ascii="Arial" w:cs="Arial" w:eastAsia="Arial" w:hAnsi="Arial"/>
          <w:sz w:val="13"/>
          <w:szCs w:val="13"/>
          <w:color w:val="auto"/>
        </w:rPr>
        <w:t xml:space="preserve"> </w:t>
      </w:r>
      <w:r>
        <w:rPr>
          <w:rFonts w:ascii="Arial" w:cs="Arial" w:eastAsia="Arial" w:hAnsi="Arial"/>
          <w:sz w:val="13"/>
          <w:szCs w:val="13"/>
          <w:color w:val="auto"/>
          <w:highlight w:val="white"/>
        </w:rPr>
        <w:t>Each supervisory authority across the Member States of the EU also has corrective powers. Supervisory authorities have the power to order</w:t>
      </w:r>
      <w:r>
        <w:rPr>
          <w:rFonts w:ascii="Arial" w:cs="Arial" w:eastAsia="Arial" w:hAnsi="Arial"/>
          <w:sz w:val="13"/>
          <w:szCs w:val="13"/>
          <w:color w:val="auto"/>
        </w:rPr>
        <w:t xml:space="preserve">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organisation.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organisations processing that personal data. As a global organisation, ICON must ensure that our privacy posture continues to adapt to these new laws and regulations.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From a US perspective, the confidentiality, collection, use and disclosure of personal data, including clinical trial patient-specific information, is regulated at the federal and state level. The Federal Trade Commission, or FTC, is an independent U.S. law enforcement agency charged with protecting consumers and enhancing competition across broad sectors of the economy. The FTC’s authority with respect to data privacy and security comes from Section 5 of the FTC Act. The FTC uses its broad grant of authority to regulate data privacy and security, using including, but not limited to, requiring the implementation of comprehensive privacy and security programs, biennial assessments by independent experts, monetary redress to consumers, and provision of robust notice and choice mechanisms to consumers. Similar laws exist at the state level, which are used by state attorneys general to enforce against privacy and security-related acts or practices deemed to be unfair or deceptive.</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More than 15 US states have adopted a comprehensive consumer privacy law or a consumer health data privacy law that regulates how certain businesses collect, use, and disclose the personal information of consumers residing in the state. In general, these laws provide for certain consumer privacy rights and impose transparency standards for business data collection and processing practices. These laws have broad exemptions for personal information that constitutes protected health information under the Health Insurance Portability and Accountability Act of 1996 ("HIPAA") and de-identified health data as defined under HIPAA. As a result, we do not expect to have compliance obligations under these laws with respect to most patient information we collect and process. However, we are required to comply with these consumer privacy laws insofar as we collect other categories of consumers’ personal information, which could include, for example, information about website visitors. These state consumer privacy laws are generally enforced by the respective state Attorney General. California’s law also includes a private right of action for certain data breaches. Dozens of other states are currently considering similar consumer privacy laws, which could impact our operations if enacted.</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US federal administrative simplification regulations under HIPAA require individuals’ written authorisation, in addition to any required informed consent, before protected health information may be used for research (unless an institutional review board has waived the authorisation requirement or another exception applies).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directly regulated by HIPAA as a “business associate” because we obtain individually identifiable health information from “covered entity” third parties that are subject to such regulations. We can be directly liable to the covered entity contractually for mishandling protected health information and, under HIPAA’s enforcement scheme, we can be subject to up to approximately $2.1 million per year in civil money penalties for multiple violations of the same HIPAA requirement in 2024. The per violation penalties and calendar year cap on penalties are adjusted annually for inflation under the Federal Civil Penalties Inflation Adjustment Act.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280"/>
          </w:cols>
          <w:pgMar w:left="300" w:top="1275"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unauthorised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contracts in the public segment are generally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 xml:space="preserve">We may face legal claims involving stockholders, consumers, clinical trial subjects, competitors, regulators and other parties. See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in Part A, Item 8 of this Form 20-F.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Customer Claims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relating to Investigators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Indemnification from Customers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280"/>
          </w:cols>
          <w:pgMar w:left="300" w:top="1275"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Insurance</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to Date</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organisations measure the performance of companies on such ESG topics, and the results of these assessments are widely publicised. Customers may have specific ESG related requirements or targets and if we fail to meet these targets, we may lose business.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investment in funds that specialise in companies that perform well in such assessments are increasingly popular, and major institutional investors have publicly emphasised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stakeholders’ increased focus on ESG matters and the lack of clear consensus and guidelines on the issues,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Increasing focus on ESG matters has resulted in, and is expected to continue to result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our selection of voluntary disclosure frameworks and standards, and the interpretation or application of those frameworks and standards, may change from time to time or may not meet the expectations of investors or other stakeholders. Our ability to achieve our ESG expectations and commitments is subject to numerous risks, many of which are outside of our control.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46" w:lineRule="exact"/>
        <w:rPr>
          <w:sz w:val="20"/>
          <w:szCs w:val="20"/>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our results of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280"/>
          </w:cols>
          <w:pgMar w:left="300" w:top="1275" w:right="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ind w:left="500" w:hanging="240"/>
        <w:spacing w:after="0"/>
        <w:tabs>
          <w:tab w:leader="none" w:pos="50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new products, acquisitions, joint marketing relationships, joint ventures, other strategic relationships or capital commitments;</w:t>
      </w:r>
    </w:p>
    <w:p>
      <w:pPr>
        <w:spacing w:after="0" w:line="11"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the public's reaction to press releases, other public announcements by us or third parties, including our filings with the SEC;</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guidance, if any, that we provide to the public, any changes in this guidance or failure to meet this guidance;</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changes in the credit rating of our debt;</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sale, or anticipated sale, of large blocks of our stock;</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additions or departures of key personnel;</w:t>
      </w:r>
    </w:p>
    <w:p>
      <w:pPr>
        <w:ind w:left="260"/>
        <w:spacing w:after="0"/>
        <w:rPr>
          <w:rFonts w:ascii="Arial" w:cs="Arial" w:eastAsia="Arial" w:hAnsi="Arial"/>
          <w:sz w:val="12"/>
          <w:szCs w:val="12"/>
          <w:color w:val="auto"/>
        </w:rPr>
      </w:pPr>
      <w:r>
        <w:rPr>
          <w:rFonts w:ascii="Arial" w:cs="Arial" w:eastAsia="Arial" w:hAnsi="Arial"/>
          <w:sz w:val="13"/>
          <w:szCs w:val="13"/>
          <w:color w:val="auto"/>
        </w:rPr>
        <w:t>•   regulatory or political developments;</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our performance on ESG matters;</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litigation and governmental investigations;</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changing economic conditions;</w:t>
      </w:r>
    </w:p>
    <w:p>
      <w:pPr>
        <w:spacing w:after="0" w:line="2" w:lineRule="exact"/>
        <w:rPr>
          <w:rFonts w:ascii="Arial" w:cs="Arial" w:eastAsia="Arial" w:hAnsi="Arial"/>
          <w:sz w:val="12"/>
          <w:szCs w:val="12"/>
          <w:color w:val="auto"/>
        </w:rPr>
      </w:pPr>
    </w:p>
    <w:p>
      <w:pPr>
        <w:ind w:left="260"/>
        <w:spacing w:after="0" w:line="221" w:lineRule="auto"/>
        <w:rPr>
          <w:rFonts w:ascii="Arial" w:cs="Arial" w:eastAsia="Arial" w:hAnsi="Arial"/>
          <w:sz w:val="12"/>
          <w:szCs w:val="12"/>
          <w:color w:val="auto"/>
        </w:rPr>
      </w:pPr>
      <w:r>
        <w:rPr>
          <w:rFonts w:ascii="Arial" w:cs="Arial" w:eastAsia="Arial" w:hAnsi="Arial"/>
          <w:sz w:val="13"/>
          <w:szCs w:val="13"/>
          <w:color w:val="auto"/>
        </w:rPr>
        <w:t>•   exchange rate fluctuations;</w:t>
      </w:r>
    </w:p>
    <w:p>
      <w:pPr>
        <w:ind w:left="260"/>
        <w:spacing w:after="0"/>
        <w:rPr>
          <w:rFonts w:ascii="Arial" w:cs="Arial" w:eastAsia="Arial" w:hAnsi="Arial"/>
          <w:sz w:val="12"/>
          <w:szCs w:val="12"/>
          <w:color w:val="auto"/>
        </w:rPr>
      </w:pPr>
      <w:r>
        <w:rPr>
          <w:rFonts w:ascii="Arial" w:cs="Arial" w:eastAsia="Arial" w:hAnsi="Arial"/>
          <w:sz w:val="13"/>
          <w:szCs w:val="13"/>
          <w:color w:val="auto"/>
        </w:rPr>
        <w:t>•   changes in accounting principles; and</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other events or factors, including those resulting from natural disasters, war, acts of terrorism or responses to those events.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investor's return may be reduced if we lose our foreign private issuer status.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280"/>
          </w:cols>
          <w:pgMar w:left="300" w:top="1275" w:right="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dependence on pharmaceutical and biotechnology industries and certain clients, termination or delay of large contracts, risk of cost overruns, the risk of clinical outcomes, regulatory risks and market competition.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161</w:t>
      </w:r>
    </w:p>
    <w:sectPr>
      <w:pgSz w:w="11900" w:h="16838" w:orient="portrait"/>
      <w:cols w:equalWidth="0" w:num="1">
        <w:col w:w="11280"/>
      </w:cols>
      <w:pgMar w:left="300" w:top="127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decimal"/>
      <w:start w:val="4"/>
    </w:lvl>
  </w:abstractNum>
  <w:abstractNum w:abstractNumId="3">
    <w:nsid w:val="6DE91B18"/>
    <w:multiLevelType w:val="hybridMultilevel"/>
    <w:lvl w:ilvl="0">
      <w:lvlJc w:val="left"/>
      <w:lvlText w:val="%1."/>
      <w:numFmt w:val="decimal"/>
      <w:start w:val="5"/>
    </w:lvl>
    <w:lvl w:ilvl="1">
      <w:lvlJc w:val="left"/>
      <w:lvlText w:val="(%2)"/>
      <w:numFmt w:val="lowerRoman"/>
      <w:start w:val="1"/>
    </w:lvl>
  </w:abstractNum>
  <w:abstractNum w:abstractNumId="4">
    <w:nsid w:val="38437FDB"/>
    <w:multiLevelType w:val="hybridMultilevel"/>
    <w:lvl w:ilvl="0">
      <w:lvlJc w:val="left"/>
      <w:lvlText w:val="%1."/>
      <w:numFmt w:val="decimal"/>
      <w:start w:val="7"/>
    </w:lvl>
  </w:abstractNum>
  <w:abstractNum w:abstractNumId="5">
    <w:nsid w:val="7644A45C"/>
    <w:multiLevelType w:val="hybridMultilevel"/>
    <w:lvl w:ilvl="0">
      <w:lvlJc w:val="left"/>
      <w:lvlText w:val="(%1)"/>
      <w:numFmt w:val="lowerRoman"/>
      <w:start w:val="1"/>
    </w:lvl>
  </w:abstractNum>
  <w:abstractNum w:abstractNumId="6">
    <w:nsid w:val="32FFF902"/>
    <w:multiLevelType w:val="hybridMultilevel"/>
    <w:lvl w:ilvl="0">
      <w:lvlJc w:val="left"/>
      <w:lvlText w:val="%1."/>
      <w:numFmt w:val="decimal"/>
      <w:start w:val="8"/>
    </w:lvl>
    <w:lvl w:ilvl="1">
      <w:lvlJc w:val="left"/>
      <w:lvlText w:val="(%2)"/>
      <w:numFmt w:val="lowerRoman"/>
      <w:start w:val="1"/>
    </w:lvl>
    <w:lvl w:ilvl="2">
      <w:lvlJc w:val="left"/>
      <w:lvlText w:val="(%3)"/>
      <w:numFmt w:val="decimal"/>
      <w:start w:val="30"/>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2"/>
    </w:lvl>
  </w:abstractNum>
  <w:abstractNum w:abstractNumId="9">
    <w:nsid w:val="749ABB43"/>
    <w:multiLevelType w:val="hybridMultilevel"/>
    <w:lvl w:ilvl="0">
      <w:lvlJc w:val="left"/>
      <w:lvlText w:val="%1."/>
      <w:numFmt w:val="decimal"/>
      <w:start w:val="3"/>
    </w:lvl>
  </w:abstractNum>
  <w:abstractNum w:abstractNumId="10">
    <w:nsid w:val="3DC240FB"/>
    <w:multiLevelType w:val="hybridMultilevel"/>
    <w:lvl w:ilvl="0">
      <w:lvlJc w:val="left"/>
      <w:lvlText w:val="%1."/>
      <w:numFmt w:val="decimal"/>
      <w:start w:val="5"/>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2"/>
    </w:lvl>
  </w:abstractNum>
  <w:abstractNum w:abstractNumId="44">
    <w:nsid w:val="1381823A"/>
    <w:multiLevelType w:val="hybridMultilevel"/>
    <w:lvl w:ilvl="0">
      <w:lvlJc w:val="left"/>
      <w:lvlText w:val="(%1)"/>
      <w:numFmt w:val="lowerLetter"/>
      <w:start w:val="3"/>
    </w:lvl>
  </w:abstractNum>
  <w:abstractNum w:abstractNumId="45">
    <w:nsid w:val="5DB70AE5"/>
    <w:multiLevelType w:val="hybridMultilevel"/>
    <w:lvl w:ilvl="0">
      <w:lvlJc w:val="left"/>
      <w:lvlText w:val="(%1)"/>
      <w:numFmt w:val="lowerLetter"/>
      <w:start w:val="4"/>
    </w:lvl>
  </w:abstractNum>
  <w:abstractNum w:abstractNumId="46">
    <w:nsid w:val="100F8FCA"/>
    <w:multiLevelType w:val="hybridMultilevel"/>
    <w:lvl w:ilvl="0">
      <w:lvlJc w:val="left"/>
      <w:lvlText w:val="(%1)"/>
      <w:numFmt w:val="lowerLetter"/>
      <w:start w:val="5"/>
    </w:lvl>
  </w:abstractNum>
  <w:abstractNum w:abstractNumId="47">
    <w:nsid w:val="6590700B"/>
    <w:multiLevelType w:val="hybridMultilevel"/>
    <w:lvl w:ilvl="0">
      <w:lvlJc w:val="left"/>
      <w:lvlText w:val="(%1)"/>
      <w:numFmt w:val="lowerLetter"/>
      <w:start w:val="6"/>
    </w:lvl>
  </w:abstractNum>
  <w:abstractNum w:abstractNumId="48">
    <w:nsid w:val="15014ACB"/>
    <w:multiLevelType w:val="hybridMultilevel"/>
    <w:lvl w:ilvl="0">
      <w:lvlJc w:val="left"/>
      <w:lvlText w:val="(%1)"/>
      <w:numFmt w:val="lowerLetter"/>
      <w:start w:val="7"/>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2"/>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decimal"/>
      <w:start w:val="23"/>
    </w:lvl>
  </w:abstractNum>
  <w:abstractNum w:abstractNumId="61">
    <w:nsid w:val="613EFDC5"/>
    <w:multiLevelType w:val="hybridMultilevel"/>
    <w:lvl w:ilvl="0">
      <w:lvlJc w:val="left"/>
      <w:lvlText w:val="%1."/>
      <w:numFmt w:val="decimal"/>
      <w:start w:val="24"/>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2"/>
    </w:lvl>
  </w:abstractNum>
  <w:abstractNum w:abstractNumId="66">
    <w:nsid w:val="8F2B15E"/>
    <w:multiLevelType w:val="hybridMultilevel"/>
    <w:lvl w:ilvl="0">
      <w:lvlJc w:val="left"/>
      <w:lvlText w:val="(%1)"/>
      <w:numFmt w:val="lowerLetter"/>
      <w:start w:val="3"/>
    </w:lvl>
  </w:abstractNum>
  <w:abstractNum w:abstractNumId="67">
    <w:nsid w:val="1A32234B"/>
    <w:multiLevelType w:val="hybridMultilevel"/>
    <w:lvl w:ilvl="0">
      <w:lvlJc w:val="left"/>
      <w:lvlText w:val="%1."/>
      <w:numFmt w:val="decimal"/>
      <w:start w:val="26"/>
    </w:lvl>
    <w:lvl w:ilvl="1">
      <w:lvlJc w:val="left"/>
      <w:lvlText w:val="•"/>
      <w:numFmt w:val="bullet"/>
      <w:start w:val="1"/>
    </w:lvl>
  </w:abstractNum>
  <w:abstractNum w:abstractNumId="68">
    <w:nsid w:val="3B0FD379"/>
    <w:multiLevelType w:val="hybridMultilevel"/>
    <w:lvl w:ilvl="0">
      <w:lvlJc w:val="left"/>
      <w:lvlText w:val="%1."/>
      <w:numFmt w:val="decimal"/>
      <w:start w:val="28"/>
    </w:lvl>
  </w:abstractNum>
  <w:abstractNum w:abstractNumId="69">
    <w:nsid w:val="68EB2F63"/>
    <w:multiLevelType w:val="hybridMultilevel"/>
    <w:lvl w:ilvl="0">
      <w:lvlJc w:val="left"/>
      <w:lvlText w:val="(%1)"/>
      <w:numFmt w:val="lowerRoman"/>
      <w:start w:val="1"/>
    </w:lvl>
  </w:abstractNum>
  <w:abstractNum w:abstractNumId="70">
    <w:nsid w:val="4962813B"/>
    <w:multiLevelType w:val="hybridMultilevel"/>
    <w:lvl w:ilvl="0">
      <w:lvlJc w:val="left"/>
      <w:lvlText w:val="(%1)"/>
      <w:numFmt w:val="lowerRoman"/>
      <w:start w:val="2"/>
    </w:lvl>
  </w:abstractNum>
  <w:abstractNum w:abstractNumId="71">
    <w:nsid w:val="60B6DF70"/>
    <w:multiLevelType w:val="hybridMultilevel"/>
    <w:lvl w:ilvl="0">
      <w:lvlJc w:val="left"/>
      <w:lvlText w:val="1"/>
      <w:numFmt w:val="bullet"/>
      <w:start w:val="1"/>
    </w:lvl>
  </w:abstractNum>
  <w:abstractNum w:abstractNumId="72">
    <w:nsid w:val="6A5EE64"/>
    <w:multiLevelType w:val="hybridMultilevel"/>
    <w:lvl w:ilvl="0">
      <w:lvlJc w:val="left"/>
      <w:lvlText w:val="%1."/>
      <w:numFmt w:val="decimal"/>
      <w:start w:val="3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6"/>
    </w:lvl>
  </w:abstractNum>
  <w:abstractNum w:abstractNumId="75">
    <w:nsid w:val="1A27709E"/>
    <w:multiLevelType w:val="hybridMultilevel"/>
    <w:lvl w:ilvl="0">
      <w:lvlJc w:val="left"/>
      <w:lvlText w:val="%1."/>
      <w:numFmt w:val="decimal"/>
      <w:start w:val="7"/>
    </w:lvl>
  </w:abstractNum>
  <w:abstractNum w:abstractNumId="76">
    <w:nsid w:val="71EA1109"/>
    <w:multiLevelType w:val="hybridMultilevel"/>
    <w:lvl w:ilvl="0">
      <w:lvlJc w:val="left"/>
      <w:lvlText w:val="%1."/>
      <w:numFmt w:val="decimal"/>
      <w:start w:val="9"/>
    </w:lvl>
  </w:abstractNum>
  <w:abstractNum w:abstractNumId="77">
    <w:nsid w:val="100F59DC"/>
    <w:multiLevelType w:val="hybridMultilevel"/>
    <w:lvl w:ilvl="0">
      <w:lvlJc w:val="left"/>
      <w:lvlText w:val="%1."/>
      <w:numFmt w:val="decimal"/>
      <w:start w:val="12"/>
    </w:lvl>
  </w:abstractNum>
  <w:abstractNum w:abstractNumId="78">
    <w:nsid w:val="7FB7E0AA"/>
    <w:multiLevelType w:val="hybridMultilevel"/>
    <w:lvl w:ilvl="0">
      <w:lvlJc w:val="left"/>
      <w:lvlText w:val="(%1)"/>
      <w:numFmt w:val="lowerRoman"/>
      <w:start w:val="1"/>
    </w:lvl>
  </w:abstractNum>
  <w:abstractNum w:abstractNumId="79">
    <w:nsid w:val="6EB5BD4"/>
    <w:multiLevelType w:val="hybridMultilevel"/>
    <w:lvl w:ilvl="0">
      <w:lvlJc w:val="left"/>
      <w:lvlText w:val="(%1)"/>
      <w:numFmt w:val="lowerLetter"/>
      <w:start w:val="6"/>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2025-06-11T15:26:46Z</dcterms:created>
  <dcterms:modified xsi:type="dcterms:W3CDTF">2025-06-11T15:26:46Z</dcterms:modified>
</cp:coreProperties>
</file>