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For the month ended July,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458"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July 21, 2021 - ICON Reports Second Quarter 2021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320" w:type="dxa"/>
            <w:vAlign w:val="bottom"/>
            <w:vMerge w:val="restart"/>
          </w:tcPr>
          <w:p>
            <w:pPr>
              <w:spacing w:after="0"/>
              <w:rPr>
                <w:sz w:val="20"/>
                <w:szCs w:val="20"/>
                <w:color w:val="auto"/>
              </w:rPr>
            </w:pPr>
            <w:r>
              <w:rPr>
                <w:rFonts w:ascii="Arial" w:cs="Arial" w:eastAsia="Arial" w:hAnsi="Arial"/>
                <w:sz w:val="18"/>
                <w:szCs w:val="18"/>
                <w:color w:val="auto"/>
              </w:rPr>
              <w:t>Date: July 21,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320" w:type="dxa"/>
            <w:vAlign w:val="bottom"/>
            <w:vMerge w:val="continue"/>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Second Quarter 2021 Results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right="320"/>
        <w:spacing w:after="0" w:line="256" w:lineRule="auto"/>
        <w:rPr>
          <w:sz w:val="20"/>
          <w:szCs w:val="20"/>
          <w:color w:val="auto"/>
        </w:rPr>
      </w:pPr>
      <w:r>
        <w:rPr>
          <w:rFonts w:ascii="Arial" w:cs="Arial" w:eastAsia="Arial" w:hAnsi="Arial"/>
          <w:sz w:val="22"/>
          <w:szCs w:val="22"/>
          <w:b w:val="1"/>
          <w:bCs w:val="1"/>
          <w:color w:val="auto"/>
        </w:rPr>
        <w:t>Record net business wins in the quarter of $1,106 million, an increase of 21.6% year on year; a net book to bill of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closing backlog of $10.2 billion, an increase of 12.7%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260"/>
        <w:spacing w:after="0" w:line="256" w:lineRule="auto"/>
        <w:rPr>
          <w:sz w:val="20"/>
          <w:szCs w:val="20"/>
          <w:color w:val="auto"/>
        </w:rPr>
      </w:pPr>
      <w:r>
        <w:rPr>
          <w:rFonts w:ascii="Arial" w:cs="Arial" w:eastAsia="Arial" w:hAnsi="Arial"/>
          <w:sz w:val="22"/>
          <w:szCs w:val="22"/>
          <w:b w:val="1"/>
          <w:bCs w:val="1"/>
          <w:color w:val="auto"/>
        </w:rPr>
        <w:t>Quarter 2 reported revenue of $871.2 million representing a year on year increase of 40.5% and 1.5% increase on Quarter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right="160"/>
        <w:spacing w:after="0" w:line="243" w:lineRule="auto"/>
        <w:rPr>
          <w:sz w:val="20"/>
          <w:szCs w:val="20"/>
          <w:color w:val="auto"/>
        </w:rPr>
      </w:pPr>
      <w:r>
        <w:rPr>
          <w:rFonts w:ascii="Arial" w:cs="Arial" w:eastAsia="Arial" w:hAnsi="Arial"/>
          <w:sz w:val="22"/>
          <w:szCs w:val="22"/>
          <w:b w:val="1"/>
          <w:bCs w:val="1"/>
          <w:color w:val="auto"/>
        </w:rPr>
        <w:t>Adjusted income from operations* amounted to $132.9 million or 15.3% of revenue, a year on year increase of 77.1%. Adjusted net income attributable to the Group* was $113.2 million or $2.12 per diluted share, compared to $1.20 per share for the equivalent prior year period, an increase of 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right="280"/>
        <w:spacing w:after="0" w:line="260" w:lineRule="auto"/>
        <w:rPr>
          <w:sz w:val="20"/>
          <w:szCs w:val="20"/>
          <w:color w:val="auto"/>
        </w:rPr>
      </w:pPr>
      <w:r>
        <w:rPr>
          <w:rFonts w:ascii="Arial" w:cs="Arial" w:eastAsia="Arial" w:hAnsi="Arial"/>
          <w:sz w:val="21"/>
          <w:szCs w:val="21"/>
          <w:b w:val="1"/>
          <w:bCs w:val="1"/>
          <w:color w:val="auto"/>
        </w:rPr>
        <w:t>US GAAP income from operations amounted to $112.9 million or 13.0% of revenue, a year on year increase of 98.2%. US GAAP net income attributable to the Group was $73.9 million or $1.38 per diluted share, compared to $0.90 per share for the equivalent prior year period, an increase of 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ind w:left="540" w:right="60"/>
        <w:spacing w:after="0" w:line="256" w:lineRule="auto"/>
        <w:rPr>
          <w:sz w:val="20"/>
          <w:szCs w:val="20"/>
          <w:color w:val="auto"/>
        </w:rPr>
      </w:pPr>
      <w:r>
        <w:rPr>
          <w:rFonts w:ascii="Arial" w:cs="Arial" w:eastAsia="Arial" w:hAnsi="Arial"/>
          <w:sz w:val="22"/>
          <w:szCs w:val="22"/>
          <w:b w:val="1"/>
          <w:bCs w:val="1"/>
          <w:color w:val="auto"/>
        </w:rPr>
        <w:t>Strong cash generation resulting in a record gross cash position of $1,057 million. Days sales outstanding reduced to 35 days from 53 days at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right="20"/>
        <w:spacing w:after="0" w:line="243" w:lineRule="auto"/>
        <w:rPr>
          <w:sz w:val="20"/>
          <w:szCs w:val="20"/>
          <w:color w:val="auto"/>
        </w:rPr>
      </w:pPr>
      <w:r>
        <w:rPr>
          <w:rFonts w:ascii="Arial" w:cs="Arial" w:eastAsia="Arial" w:hAnsi="Arial"/>
          <w:sz w:val="22"/>
          <w:szCs w:val="22"/>
          <w:b w:val="1"/>
          <w:bCs w:val="1"/>
          <w:color w:val="auto"/>
        </w:rPr>
        <w:t>Net business wins for PRA’s Clinical Research segment for Quarter 2 including reimbursement revenue was approximately $1,191 million; a net book to bill of 1.21. Quarter 2 revenue was approximately $1,047 million, a year on year increase of 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57" w:lineRule="exact"/>
        <w:rPr>
          <w:sz w:val="20"/>
          <w:szCs w:val="20"/>
          <w:color w:val="auto"/>
        </w:rPr>
      </w:pPr>
    </w:p>
    <w:p>
      <w:pPr>
        <w:jc w:val="both"/>
        <w:ind w:left="540" w:right="180"/>
        <w:spacing w:after="0" w:line="273" w:lineRule="auto"/>
        <w:rPr>
          <w:sz w:val="20"/>
          <w:szCs w:val="20"/>
          <w:color w:val="auto"/>
        </w:rPr>
      </w:pPr>
      <w:r>
        <w:rPr>
          <w:rFonts w:ascii="Arial" w:cs="Arial" w:eastAsia="Arial" w:hAnsi="Arial"/>
          <w:sz w:val="19"/>
          <w:szCs w:val="19"/>
          <w:b w:val="1"/>
          <w:bCs w:val="1"/>
          <w:color w:val="auto"/>
        </w:rPr>
        <w:t>Following completion of our acquisition of PRA Health Sciences on July 1, 2021, new revenue and EPS guidance is issued including PRA Health Sciences for quarters 3 and 4. Full year 2021 revenue guidance issued in the range of $5,300 - $5,500 million, representing a year over year increase of 89.5% - 96.6%. Full year 2021 adjusted earnings per share guidance issued in the range of $9.10 - $9.50, representing a year over year increase of 39.4% - 45.5%.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80"/>
        <w:spacing w:after="0" w:line="236" w:lineRule="auto"/>
        <w:rPr>
          <w:sz w:val="20"/>
          <w:szCs w:val="20"/>
          <w:color w:val="auto"/>
        </w:rPr>
      </w:pPr>
      <w:r>
        <w:rPr>
          <w:rFonts w:ascii="Arial" w:cs="Arial" w:eastAsia="Arial" w:hAnsi="Arial"/>
          <w:sz w:val="22"/>
          <w:szCs w:val="22"/>
          <w:b w:val="1"/>
          <w:bCs w:val="1"/>
          <w:color w:val="auto"/>
        </w:rPr>
        <w:t>Adjusted earnings per share to exclude amortization, stock compensation and transaction-related / integration-related costs.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*before transaction-related costs and integration-related costs.</w:t>
      </w:r>
    </w:p>
    <w:p>
      <w:pPr>
        <w:spacing w:after="0" w:line="206" w:lineRule="exact"/>
        <w:rPr>
          <w:sz w:val="20"/>
          <w:szCs w:val="20"/>
          <w:color w:val="auto"/>
        </w:rPr>
      </w:pPr>
    </w:p>
    <w:p>
      <w:pPr>
        <w:ind w:right="580"/>
        <w:spacing w:after="0" w:line="280" w:lineRule="auto"/>
        <w:rPr>
          <w:sz w:val="20"/>
          <w:szCs w:val="20"/>
          <w:color w:val="auto"/>
        </w:rPr>
      </w:pPr>
      <w:r>
        <w:rPr>
          <w:rFonts w:ascii="Arial" w:cs="Arial" w:eastAsia="Arial" w:hAnsi="Arial"/>
          <w:sz w:val="21"/>
          <w:szCs w:val="21"/>
          <w:color w:val="auto"/>
        </w:rPr>
        <w:t xml:space="preserve">DUBLIN--(BUSINESS WIRE)--July 21, 2021-- </w:t>
      </w:r>
      <w:r>
        <w:rPr>
          <w:rFonts w:ascii="Arial" w:cs="Arial" w:eastAsia="Arial" w:hAnsi="Arial"/>
          <w:sz w:val="21"/>
          <w:szCs w:val="21"/>
          <w:b w:val="1"/>
          <w:bCs w:val="1"/>
          <w:color w:val="auto"/>
        </w:rPr>
        <w:t>ICONplc (NASDAQ: ICLR),</w:t>
      </w:r>
      <w:r>
        <w:rPr>
          <w:rFonts w:ascii="Arial" w:cs="Arial" w:eastAsia="Arial" w:hAnsi="Arial"/>
          <w:sz w:val="21"/>
          <w:szCs w:val="21"/>
          <w:color w:val="auto"/>
        </w:rPr>
        <w:t xml:space="preserve"> a world-leading healthcare intelligence and clinical research organisation, today reported its financial results for the second quarter ended June 30, 2021.</w:t>
      </w:r>
    </w:p>
    <w:p>
      <w:pPr>
        <w:spacing w:after="0" w:line="145"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 xml:space="preserve">CEO Dr. Steve Cutler commented, </w:t>
      </w:r>
      <w:r>
        <w:rPr>
          <w:rFonts w:ascii="Arial" w:cs="Arial" w:eastAsia="Arial" w:hAnsi="Arial"/>
          <w:sz w:val="22"/>
          <w:szCs w:val="22"/>
          <w:i w:val="1"/>
          <w:iCs w:val="1"/>
          <w:color w:val="auto"/>
        </w:rPr>
        <w:t>“ICON’s quarter 2 results show continuing progress and represent a strong platform for</w:t>
      </w:r>
      <w:r>
        <w:rPr>
          <w:rFonts w:ascii="Arial" w:cs="Arial" w:eastAsia="Arial" w:hAnsi="Arial"/>
          <w:sz w:val="22"/>
          <w:szCs w:val="22"/>
          <w:color w:val="auto"/>
        </w:rPr>
        <w:t xml:space="preserve"> </w:t>
      </w:r>
      <w:r>
        <w:rPr>
          <w:rFonts w:ascii="Arial" w:cs="Arial" w:eastAsia="Arial" w:hAnsi="Arial"/>
          <w:sz w:val="22"/>
          <w:szCs w:val="22"/>
          <w:i w:val="1"/>
          <w:iCs w:val="1"/>
          <w:color w:val="auto"/>
        </w:rPr>
        <w:t>sustained future growth. During the quarter, ICON’s net business wins were a record $1,106 million, representing a robust book to bill of 1.27. We grew our backlog 13% year over year to $10.2 billion, revenue grew 40.5% to $871 million and adjusted earnings per share increased 76.8% year over year to $2.12.</w:t>
      </w:r>
    </w:p>
    <w:p>
      <w:pPr>
        <w:spacing w:after="0" w:line="178"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i w:val="1"/>
          <w:iCs w:val="1"/>
          <w:color w:val="auto"/>
        </w:rPr>
        <w:t>As announced on 1</w:t>
      </w:r>
      <w:r>
        <w:rPr>
          <w:rFonts w:ascii="Arial" w:cs="Arial" w:eastAsia="Arial" w:hAnsi="Arial"/>
          <w:sz w:val="32"/>
          <w:szCs w:val="32"/>
          <w:i w:val="1"/>
          <w:iCs w:val="1"/>
          <w:color w:val="auto"/>
          <w:vertAlign w:val="superscript"/>
        </w:rPr>
        <w:t>st</w:t>
      </w:r>
      <w:r>
        <w:rPr>
          <w:rFonts w:ascii="Arial" w:cs="Arial" w:eastAsia="Arial" w:hAnsi="Arial"/>
          <w:sz w:val="20"/>
          <w:szCs w:val="20"/>
          <w:i w:val="1"/>
          <w:iCs w:val="1"/>
          <w:color w:val="auto"/>
        </w:rPr>
        <w:t xml:space="preserve"> July, ICON’s acquisition of PRA brings together two complementary organisations to create a world leading healthcare intelligence and clinical CRO. We expect to create significant long-term shareholder value by combining revenue growth from enhanced service offerings, innovative solutions and increased scale with our best in class global support services model. As a result of this acquisition we are updating our 2021 outlook with revenue guidance in the range of $5,300 - $5,500 million and adjusted earnings per share guidance in the range of $9.10 - $9.50.”</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2021 Results</w:t>
      </w:r>
    </w:p>
    <w:p>
      <w:pPr>
        <w:spacing w:after="0" w:line="212"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Gross business wins in the second quarter were $1,316 million and cancellations were $210 million. This resulted in net business wins of $1,106 million and a book to bill of 1.27.</w:t>
      </w:r>
    </w:p>
    <w:p>
      <w:pPr>
        <w:spacing w:after="0" w:line="175"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Reported revenue for Quarter 2 was $871.2 million. This represents a year on year increase of 40.5% or 37.5% on a constant currency basis.</w:t>
      </w:r>
    </w:p>
    <w:p>
      <w:pPr>
        <w:spacing w:after="0" w:line="175"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US GAAP income from operations amounted to $112.9 million or 13.0% of revenue, a year on year increase of 98.2%. Adjusted income from operations* in the quarter was $132.9 million or 15.3% of revenue compared to $75.0 million or 12.1% of revenue for Quarter 2 2020. This represents a year on year increase of 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30" w:gutter="0" w:footer="0" w:header="0"/>
        </w:sectPr>
      </w:pPr>
    </w:p>
    <w:bookmarkStart w:id="4" w:name="page5"/>
    <w:bookmarkEnd w:id="4"/>
    <w:p>
      <w:pPr>
        <w:ind w:right="200"/>
        <w:spacing w:after="0"/>
        <w:rPr>
          <w:sz w:val="20"/>
          <w:szCs w:val="20"/>
          <w:color w:val="auto"/>
        </w:rPr>
      </w:pPr>
      <w:r>
        <w:rPr>
          <w:rFonts w:ascii="Arial" w:cs="Arial" w:eastAsia="Arial" w:hAnsi="Arial"/>
          <w:sz w:val="22"/>
          <w:szCs w:val="22"/>
          <w:color w:val="auto"/>
        </w:rPr>
        <w:t>US GAAP net income attributable to the Group was $73.9 million or 8.5% of revenue. Adjusted net income* attributable to the Group for the quarter was $113.2 million or 13.0% of revenue compared with $63.6 million or 10.3% of revenue in Quarter 2 2020. This represents year on year growth of 78.0%.</w:t>
      </w:r>
    </w:p>
    <w:p>
      <w:pPr>
        <w:spacing w:after="0" w:line="186"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US GAAP earnings per share attributable to the Group on a diluted basis was $1.38 compared to $0.90 per share for the equivalent prior year period, an increase of 53.3%. Adjusted earnings per share* attributable to the Group on a diluted basis was $2.12, compared to $1.20 per share for Quarter 2 2020. This represents a year on year increase of 76.8%. Quarter 2 earnings per share excluding amortization, stock compensation and transaction-related / integration-related costs was $2.27.</w:t>
      </w:r>
    </w:p>
    <w:p>
      <w:pPr>
        <w:spacing w:after="0" w:line="143"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During the quarter the company recorded $42.1 million of transaction-related/ integration-related costs. On a comparative basis, non-GAAP days sales outstanding were 35 days at June 30, 2021, compared with 39 days at the end of March 2021 and 53 days at the end of June 2020.</w:t>
      </w:r>
    </w:p>
    <w:p>
      <w:pPr>
        <w:spacing w:after="0" w:line="186" w:lineRule="exact"/>
        <w:rPr>
          <w:sz w:val="20"/>
          <w:szCs w:val="20"/>
          <w:color w:val="auto"/>
        </w:rPr>
      </w:pPr>
    </w:p>
    <w:p>
      <w:pPr>
        <w:jc w:val="both"/>
        <w:ind w:right="560"/>
        <w:spacing w:after="0"/>
        <w:rPr>
          <w:sz w:val="20"/>
          <w:szCs w:val="20"/>
          <w:color w:val="auto"/>
        </w:rPr>
      </w:pPr>
      <w:r>
        <w:rPr>
          <w:rFonts w:ascii="Arial" w:cs="Arial" w:eastAsia="Arial" w:hAnsi="Arial"/>
          <w:sz w:val="22"/>
          <w:szCs w:val="22"/>
          <w:color w:val="auto"/>
        </w:rPr>
        <w:t>Cash generated from operating activities for the quarter was $128.4 million. During the quarter, $12.9 million was spent on capital expenditure. As a result, at June 30, 2021 the Group had net cash of $707.2 million, compared to net cash of $595.6 million at March 31, 2021 and $244.0 million at the end of June 2020.</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 to date 2021 Results</w:t>
      </w:r>
    </w:p>
    <w:p>
      <w:pPr>
        <w:spacing w:after="0" w:line="212"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Gross business wins year to date were $2,611 million and cancellations were $404 million. This resulted in net business wins of $2,206 billion and a book to bill of 1.28.</w:t>
      </w:r>
    </w:p>
    <w:p>
      <w:pPr>
        <w:spacing w:after="0" w:line="175"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Year to date reported revenue was $1,729.4 million. This represents a year on year increase of 29.5% or 27.0% on a constant currency basis.</w:t>
      </w:r>
    </w:p>
    <w:p>
      <w:pPr>
        <w:spacing w:after="0" w:line="17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US GAAP income from operations year to date amounted to $228.9 million or 13.2% of revenue. Adjusted income from operations* year to date was $261.4 million or 15.1% of revenue compared to $181.3 million or 13.6% of revenue for Quarter 2 2020. This represents a year on year increase of 44.2%.</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US GAAP net income attributable to the Group year to date was $171.0 million or 9.9% of revenue. Adjusted net income* attributable to the Group year to date was $222.8 million or 12.9% of revenue compared with $155.3 million or 11.6% of revenue in Quarter 2 2020. This represents year on year growth of 43.5%.</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US GAAP earnings per share attributable to the Group on a diluted basis year to date was $3.21 compared to $2.51 per share for the equivalent prior year period. Adjusted earnings per share* attributable to the Group on a diluted basis year to date was $4.18, compared to $2.89 per share for Quarter 2 2020. This represents a year on year increase of 44.6%. Year to date earnings per share excluding amortization, stock compensation and transaction-related / integration-related costs was $4.46.</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before transaction-related costs and integration-related costs.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2021 Results for PRA Health Sciences, Inc. and Subsidiaries</w:t>
      </w:r>
    </w:p>
    <w:p>
      <w:pPr>
        <w:spacing w:after="0" w:line="212" w:lineRule="exact"/>
        <w:rPr>
          <w:sz w:val="20"/>
          <w:szCs w:val="20"/>
          <w:color w:val="auto"/>
        </w:rPr>
      </w:pPr>
    </w:p>
    <w:p>
      <w:pPr>
        <w:ind w:right="600"/>
        <w:spacing w:after="0" w:line="274" w:lineRule="auto"/>
        <w:rPr>
          <w:sz w:val="20"/>
          <w:szCs w:val="20"/>
          <w:color w:val="auto"/>
        </w:rPr>
      </w:pPr>
      <w:r>
        <w:rPr>
          <w:rFonts w:ascii="Arial" w:cs="Arial" w:eastAsia="Arial" w:hAnsi="Arial"/>
          <w:sz w:val="21"/>
          <w:szCs w:val="21"/>
          <w:color w:val="auto"/>
        </w:rPr>
        <w:t>Net new business for PRA’s Clinical Research segment for the three months ended June 30, 2021 including reimbursement revenue was approximately $1,191 million, representing a net book-to-bill of 1.21 for the period.</w:t>
      </w:r>
    </w:p>
    <w:p>
      <w:pPr>
        <w:spacing w:after="0" w:line="151"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For the three months ended June 30, 2021, revenue was approximately $1,047 million, which represents an increase of 43.5% compared to the three months ended June 30, 2020.</w:t>
      </w:r>
    </w:p>
    <w:p>
      <w:pPr>
        <w:spacing w:after="0" w:line="175"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GAAP net income was approximately $71 million for the three months ended June 30, 2021, or $1.06 per share on a diluted basis, compared to GAAP net income of $13.9 million for the three months ended June 30, 2020, or $0.22 per share on a diluted basis.</w:t>
      </w:r>
    </w:p>
    <w:p>
      <w:pPr>
        <w:spacing w:after="0" w:line="18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Adjusted net income was approximately $96 million for the three months ended June 30, 2021, representing an increase of 73.6% compared to the three months ended June 30, 2020. Adjusted earnings per share was approximately $1.43 for the three months ended June 30, 2021, representing an increase of 66.6% compared to the three months ended June 30, 2020.</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Days sales outstanding (DSO) was approximately 14 days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Other Information</w:t>
      </w:r>
    </w:p>
    <w:p>
      <w:pPr>
        <w:spacing w:after="0" w:line="212"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Non-GAAP operating and net income and non-GAAP diluted earnings per share exclude transaction-related costs. While non-GAAP financial measures are not superior to or a substitute for the comparable GAAP measures, ICON believes certain non-GAAP information is useful to investors for historical comparison purposes.</w:t>
      </w:r>
    </w:p>
    <w:p>
      <w:pPr>
        <w:spacing w:after="0" w:line="147"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Adjusted earnings per share attributable to the Group (Non-GAAP) has been computed by dividing non-GAAP net income attributable to the Group by the weighted average number of shares outstanding. GAAP earnings per share attributable to the Group has been computed by dividing net income attributable to the Group plus a GAAP charge associated with non-controlling interest in MeDiNova Research (“MeDiNova”) by the weighted average number of shares outstanding. ICON purchased a majority shareholding in MeDiNova on May 23, 2019. ICON exercised its call on the outstanding shares in MeDiNova and derecognized the non-controlling interest effective from March 2020.</w:t>
      </w:r>
    </w:p>
    <w:p>
      <w:pPr>
        <w:spacing w:after="0" w:line="177" w:lineRule="exact"/>
        <w:rPr>
          <w:sz w:val="20"/>
          <w:szCs w:val="20"/>
          <w:color w:val="auto"/>
        </w:rPr>
      </w:pPr>
    </w:p>
    <w:p>
      <w:pPr>
        <w:ind w:right="900"/>
        <w:spacing w:after="0" w:line="250" w:lineRule="auto"/>
        <w:rPr>
          <w:sz w:val="20"/>
          <w:szCs w:val="20"/>
          <w:color w:val="auto"/>
        </w:rPr>
      </w:pPr>
      <w:r>
        <w:rPr>
          <w:rFonts w:ascii="Arial" w:cs="Arial" w:eastAsia="Arial" w:hAnsi="Arial"/>
          <w:sz w:val="22"/>
          <w:szCs w:val="22"/>
          <w:color w:val="auto"/>
        </w:rPr>
        <w:t>For guidance purposes adjusted earnings per share excludes amortization, stock compensation and transaction-related / integration-related costs.</w:t>
      </w:r>
    </w:p>
    <w:p>
      <w:pPr>
        <w:spacing w:after="0" w:line="169" w:lineRule="exact"/>
        <w:rPr>
          <w:sz w:val="20"/>
          <w:szCs w:val="20"/>
          <w:color w:val="auto"/>
        </w:rPr>
      </w:pPr>
    </w:p>
    <w:p>
      <w:pPr>
        <w:ind w:right="100"/>
        <w:spacing w:after="0" w:line="217" w:lineRule="auto"/>
        <w:rPr>
          <w:sz w:val="20"/>
          <w:szCs w:val="20"/>
          <w:color w:val="auto"/>
        </w:rPr>
      </w:pPr>
      <w:r>
        <w:rPr>
          <w:rFonts w:ascii="Arial" w:cs="Arial" w:eastAsia="Arial" w:hAnsi="Arial"/>
          <w:sz w:val="21"/>
          <w:szCs w:val="21"/>
          <w:color w:val="auto"/>
        </w:rPr>
        <w:t>ICON will hold a conference call tomorrow, July 22</w:t>
      </w:r>
      <w:r>
        <w:rPr>
          <w:rFonts w:ascii="Arial" w:cs="Arial" w:eastAsia="Arial" w:hAnsi="Arial"/>
          <w:sz w:val="34"/>
          <w:szCs w:val="34"/>
          <w:color w:val="auto"/>
          <w:vertAlign w:val="superscript"/>
        </w:rPr>
        <w:t>nd</w:t>
      </w:r>
      <w:r>
        <w:rPr>
          <w:rFonts w:ascii="Arial" w:cs="Arial" w:eastAsia="Arial" w:hAnsi="Arial"/>
          <w:sz w:val="21"/>
          <w:szCs w:val="21"/>
          <w:color w:val="auto"/>
        </w:rPr>
        <w:t>, 2021 at 09:00 EDT [14:00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16,480 employees in 89 locations in 45 countries as at June 30, 2021. For further information about ICON, visit: www.iconplc.com and www.iconplc.com/pra.</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 Investor Relations +1888 381 7923 or</w:t>
      </w:r>
    </w:p>
    <w:p>
      <w:pPr>
        <w:spacing w:after="0" w:line="238" w:lineRule="auto"/>
        <w:rPr>
          <w:sz w:val="20"/>
          <w:szCs w:val="20"/>
          <w:color w:val="auto"/>
        </w:rPr>
      </w:pPr>
      <w:r>
        <w:rPr>
          <w:rFonts w:ascii="Arial" w:cs="Arial" w:eastAsia="Arial" w:hAnsi="Arial"/>
          <w:sz w:val="22"/>
          <w:szCs w:val="22"/>
          <w:color w:val="auto"/>
        </w:rPr>
        <w:t>Brendan Brennan Chief Financial Officer +353 1 291 2000</w:t>
      </w:r>
    </w:p>
    <w:p>
      <w:pPr>
        <w:spacing w:after="0" w:line="230" w:lineRule="auto"/>
        <w:rPr>
          <w:sz w:val="20"/>
          <w:szCs w:val="20"/>
          <w:color w:val="auto"/>
        </w:rPr>
      </w:pPr>
      <w:r>
        <w:rPr>
          <w:rFonts w:ascii="Arial" w:cs="Arial" w:eastAsia="Arial" w:hAnsi="Arial"/>
          <w:sz w:val="22"/>
          <w:szCs w:val="22"/>
          <w:color w:val="auto"/>
        </w:rPr>
        <w:t>Jonathan Curtain Vice President Corporate Finance and Investor Relations +353 1 291 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40"/>
        <w:spacing w:after="0" w:line="230" w:lineRule="auto"/>
        <w:rPr>
          <w:sz w:val="20"/>
          <w:szCs w:val="20"/>
          <w:color w:val="auto"/>
        </w:rPr>
      </w:pPr>
      <w:r>
        <w:rPr>
          <w:rFonts w:ascii="Arial" w:cs="Arial" w:eastAsia="Arial" w:hAnsi="Arial"/>
          <w:sz w:val="22"/>
          <w:szCs w:val="22"/>
          <w:b w:val="1"/>
          <w:bCs w:val="1"/>
          <w:color w:val="auto"/>
        </w:rPr>
        <w:t>(US GAAP)</w:t>
      </w:r>
    </w:p>
    <w:p>
      <w:pPr>
        <w:jc w:val="center"/>
        <w:ind w:right="40"/>
        <w:spacing w:after="0" w:line="231" w:lineRule="auto"/>
        <w:rPr>
          <w:sz w:val="20"/>
          <w:szCs w:val="20"/>
          <w:color w:val="auto"/>
        </w:rPr>
      </w:pPr>
      <w:r>
        <w:rPr>
          <w:rFonts w:ascii="Arial" w:cs="Arial" w:eastAsia="Arial" w:hAnsi="Arial"/>
          <w:sz w:val="22"/>
          <w:szCs w:val="22"/>
          <w:b w:val="1"/>
          <w:bCs w:val="1"/>
          <w:color w:val="auto"/>
        </w:rPr>
        <w:t>Three and Six Months ended June 30, 2021 and June 30, 2020</w:t>
      </w:r>
    </w:p>
    <w:p>
      <w:pPr>
        <w:jc w:val="center"/>
        <w:ind w:right="40"/>
        <w:spacing w:after="0" w:line="230" w:lineRule="auto"/>
        <w:rPr>
          <w:sz w:val="20"/>
          <w:szCs w:val="20"/>
          <w:color w:val="auto"/>
        </w:rPr>
      </w:pPr>
      <w:r>
        <w:rPr>
          <w:rFonts w:ascii="Arial" w:cs="Arial" w:eastAsia="Arial" w:hAnsi="Arial"/>
          <w:sz w:val="22"/>
          <w:szCs w:val="22"/>
          <w:b w:val="1"/>
          <w:bCs w:val="1"/>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Three Months Ended</w:t>
            </w:r>
          </w:p>
        </w:tc>
        <w:tc>
          <w:tcPr>
            <w:tcW w:w="1820" w:type="dxa"/>
            <w:vAlign w:val="bottom"/>
            <w:gridSpan w:val="2"/>
          </w:tcPr>
          <w:p>
            <w:pPr>
              <w:ind w:left="200"/>
              <w:spacing w:after="0"/>
              <w:rPr>
                <w:sz w:val="20"/>
                <w:szCs w:val="20"/>
                <w:color w:val="auto"/>
              </w:rPr>
            </w:pPr>
            <w:r>
              <w:rPr>
                <w:rFonts w:ascii="Arial" w:cs="Arial" w:eastAsia="Arial" w:hAnsi="Arial"/>
                <w:sz w:val="18"/>
                <w:szCs w:val="18"/>
                <w:b w:val="1"/>
                <w:bCs w:val="1"/>
                <w:color w:val="auto"/>
              </w:rPr>
              <w:t>Six Months Ended</w:t>
            </w:r>
          </w:p>
        </w:tc>
        <w:tc>
          <w:tcPr>
            <w:tcW w:w="1300" w:type="dxa"/>
            <w:vAlign w:val="bottom"/>
          </w:tcPr>
          <w:p>
            <w:pPr>
              <w:spacing w:after="0"/>
              <w:rPr>
                <w:sz w:val="20"/>
                <w:szCs w:val="20"/>
                <w:color w:val="auto"/>
              </w:rPr>
            </w:pPr>
          </w:p>
        </w:tc>
      </w:tr>
      <w:tr>
        <w:trPr>
          <w:trHeight w:val="243"/>
        </w:trPr>
        <w:tc>
          <w:tcPr>
            <w:tcW w:w="13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June</w:t>
            </w:r>
          </w:p>
        </w:tc>
        <w:tc>
          <w:tcPr>
            <w:tcW w:w="880" w:type="dxa"/>
            <w:vAlign w:val="bottom"/>
          </w:tcPr>
          <w:p>
            <w:pPr>
              <w:ind w:left="240"/>
              <w:spacing w:after="0"/>
              <w:rPr>
                <w:sz w:val="20"/>
                <w:szCs w:val="20"/>
                <w:color w:val="auto"/>
              </w:rPr>
            </w:pPr>
            <w:r>
              <w:rPr>
                <w:rFonts w:ascii="Arial" w:cs="Arial" w:eastAsia="Arial" w:hAnsi="Arial"/>
                <w:sz w:val="18"/>
                <w:szCs w:val="18"/>
                <w:b w:val="1"/>
                <w:bCs w:val="1"/>
                <w:color w:val="auto"/>
              </w:rPr>
              <w:t>June</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June</w:t>
            </w:r>
          </w:p>
        </w:tc>
        <w:tc>
          <w:tcPr>
            <w:tcW w:w="900" w:type="dxa"/>
            <w:vAlign w:val="bottom"/>
          </w:tcPr>
          <w:p>
            <w:pPr>
              <w:ind w:left="280"/>
              <w:spacing w:after="0"/>
              <w:rPr>
                <w:sz w:val="20"/>
                <w:szCs w:val="20"/>
                <w:color w:val="auto"/>
              </w:rPr>
            </w:pPr>
            <w:r>
              <w:rPr>
                <w:rFonts w:ascii="Arial" w:cs="Arial" w:eastAsia="Arial" w:hAnsi="Arial"/>
                <w:sz w:val="18"/>
                <w:szCs w:val="18"/>
                <w:b w:val="1"/>
                <w:bCs w:val="1"/>
                <w:color w:val="auto"/>
              </w:rPr>
              <w:t>June</w:t>
            </w:r>
          </w:p>
        </w:tc>
        <w:tc>
          <w:tcPr>
            <w:tcW w:w="130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30, 2021</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30, 2020</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30, 2021</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30, 2020</w:t>
            </w:r>
          </w:p>
        </w:tc>
        <w:tc>
          <w:tcPr>
            <w:tcW w:w="130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871,155</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620,228</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1,729,353</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1,335,330</w:t>
            </w:r>
          </w:p>
        </w:tc>
        <w:tc>
          <w:tcPr>
            <w:tcW w:w="1300" w:type="dxa"/>
            <w:vAlign w:val="bottom"/>
          </w:tcPr>
          <w:p>
            <w:pPr>
              <w:spacing w:after="0"/>
              <w:rPr>
                <w:sz w:val="21"/>
                <w:szCs w:val="21"/>
                <w:color w:val="auto"/>
              </w:rPr>
            </w:pPr>
          </w:p>
        </w:tc>
      </w:tr>
      <w:tr>
        <w:trPr>
          <w:trHeight w:val="486"/>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 costs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(631,123)</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(445,833)</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(1,257,367)</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(951,126)</w:t>
            </w:r>
          </w:p>
        </w:tc>
        <w:tc>
          <w:tcPr>
            <w:tcW w:w="130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(109,884)</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(83,499)</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(208,419)</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(170,695)</w:t>
            </w:r>
          </w:p>
        </w:tc>
        <w:tc>
          <w:tcPr>
            <w:tcW w:w="130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(17,276)</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(15,858)</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(34,681)</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(32,180)</w:t>
            </w:r>
          </w:p>
        </w:tc>
        <w:tc>
          <w:tcPr>
            <w:tcW w:w="1300" w:type="dxa"/>
            <w:vAlign w:val="bottom"/>
          </w:tcPr>
          <w:p>
            <w:pPr>
              <w:spacing w:after="0"/>
              <w:rPr>
                <w:sz w:val="21"/>
                <w:szCs w:val="21"/>
                <w:color w:val="auto"/>
              </w:rPr>
            </w:pPr>
          </w:p>
        </w:tc>
      </w:tr>
      <w:tr>
        <w:trPr>
          <w:trHeight w:val="250"/>
        </w:trPr>
        <w:tc>
          <w:tcPr>
            <w:tcW w:w="1320" w:type="dxa"/>
            <w:vAlign w:val="bottom"/>
          </w:tcPr>
          <w:p>
            <w:pPr>
              <w:spacing w:after="0"/>
              <w:rPr>
                <w:sz w:val="21"/>
                <w:szCs w:val="21"/>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 costs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(18,089)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(18,089)</w:t>
            </w:r>
          </w:p>
        </w:tc>
        <w:tc>
          <w:tcPr>
            <w:tcW w:w="1300" w:type="dxa"/>
            <w:vAlign w:val="bottom"/>
          </w:tcPr>
          <w:p>
            <w:pPr>
              <w:spacing w:after="0"/>
              <w:rPr>
                <w:sz w:val="21"/>
                <w:szCs w:val="21"/>
                <w:color w:val="auto"/>
              </w:rPr>
            </w:pPr>
          </w:p>
        </w:tc>
      </w:tr>
      <w:tr>
        <w:trPr>
          <w:trHeight w:val="480"/>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(758,283)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(563,279)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(1,500,467)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(1,172,090)</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112,872</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56,949</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228,886</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163,240</w:t>
            </w: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(24,365)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(2,779)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(26,835)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(4,151)</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88,507</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54,170</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202,051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159,089</w:t>
            </w: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(14,133)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(6,410)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(30,281)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(19,000)</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w w:val="89"/>
              </w:rPr>
              <w:t>Income before share of earnings from equity method investments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74,374</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47,760</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171,770</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140,089</w:t>
            </w: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of equity method investments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(783)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73,865</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47,760</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170,987</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140,089</w:t>
            </w: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(633)</w:t>
            </w:r>
          </w:p>
        </w:tc>
        <w:tc>
          <w:tcPr>
            <w:tcW w:w="1300" w:type="dxa"/>
            <w:vAlign w:val="bottom"/>
          </w:tcPr>
          <w:p>
            <w:pPr>
              <w:spacing w:after="0"/>
              <w:rPr>
                <w:sz w:val="24"/>
                <w:szCs w:val="24"/>
                <w:color w:val="auto"/>
              </w:rPr>
            </w:pPr>
          </w:p>
        </w:tc>
      </w:tr>
      <w:tr>
        <w:trPr>
          <w:trHeight w:val="480"/>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73,865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47,760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170,987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139,456</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 per Ordinary Share attributable to the Group:</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$1.40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$0.91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$3.23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$2.55</w:t>
            </w:r>
          </w:p>
        </w:tc>
        <w:tc>
          <w:tcPr>
            <w:tcW w:w="1300" w:type="dxa"/>
            <w:vAlign w:val="bottom"/>
          </w:tcPr>
          <w:p>
            <w:pPr>
              <w:spacing w:after="0"/>
              <w:rPr>
                <w:sz w:val="24"/>
                <w:szCs w:val="24"/>
                <w:color w:val="auto"/>
              </w:rPr>
            </w:pPr>
          </w:p>
        </w:tc>
      </w:tr>
      <w:tr>
        <w:trPr>
          <w:trHeight w:val="480"/>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$1.38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$0.90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$3.21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$2.51</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52,909,368 52,570,104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52,860,414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52,959,229</w:t>
            </w:r>
          </w:p>
        </w:tc>
        <w:tc>
          <w:tcPr>
            <w:tcW w:w="1300" w:type="dxa"/>
            <w:vAlign w:val="bottom"/>
          </w:tcPr>
          <w:p>
            <w:pPr>
              <w:spacing w:after="0"/>
              <w:rPr>
                <w:sz w:val="24"/>
                <w:szCs w:val="24"/>
                <w:color w:val="auto"/>
              </w:rPr>
            </w:pPr>
          </w:p>
        </w:tc>
      </w:tr>
      <w:tr>
        <w:trPr>
          <w:trHeight w:val="479"/>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53,381,501 53,028,567</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53,294,435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53,691,138</w:t>
            </w:r>
          </w:p>
        </w:tc>
        <w:tc>
          <w:tcPr>
            <w:tcW w:w="1300" w:type="dxa"/>
            <w:vAlign w:val="bottom"/>
          </w:tcPr>
          <w:p>
            <w:pPr>
              <w:spacing w:after="0"/>
              <w:rPr>
                <w:sz w:val="24"/>
                <w:szCs w:val="24"/>
                <w:color w:val="auto"/>
              </w:rPr>
            </w:pPr>
          </w:p>
        </w:tc>
      </w:tr>
      <w:tr>
        <w:trPr>
          <w:trHeight w:val="425"/>
        </w:trPr>
        <w:tc>
          <w:tcPr>
            <w:tcW w:w="13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2"/>
          <w:szCs w:val="22"/>
          <w:b w:val="1"/>
          <w:bCs w:val="1"/>
          <w:color w:val="auto"/>
        </w:rPr>
        <w:t>(Non-GAAP)</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Three and Six Months ended June 30, 2021 and June 30, 2020</w:t>
      </w:r>
    </w:p>
    <w:p>
      <w:pPr>
        <w:jc w:val="center"/>
        <w:ind w:right="40"/>
        <w:spacing w:after="0" w:line="230" w:lineRule="auto"/>
        <w:rPr>
          <w:sz w:val="20"/>
          <w:szCs w:val="20"/>
          <w:color w:val="auto"/>
        </w:rPr>
      </w:pPr>
      <w:r>
        <w:rPr>
          <w:rFonts w:ascii="Arial" w:cs="Arial" w:eastAsia="Arial" w:hAnsi="Arial"/>
          <w:sz w:val="22"/>
          <w:szCs w:val="22"/>
          <w:b w:val="1"/>
          <w:bCs w:val="1"/>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Three Months Ended</w:t>
            </w:r>
          </w:p>
        </w:tc>
        <w:tc>
          <w:tcPr>
            <w:tcW w:w="1820" w:type="dxa"/>
            <w:vAlign w:val="bottom"/>
            <w:gridSpan w:val="2"/>
          </w:tcPr>
          <w:p>
            <w:pPr>
              <w:ind w:left="200"/>
              <w:spacing w:after="0"/>
              <w:rPr>
                <w:sz w:val="20"/>
                <w:szCs w:val="20"/>
                <w:color w:val="auto"/>
              </w:rPr>
            </w:pPr>
            <w:r>
              <w:rPr>
                <w:rFonts w:ascii="Arial" w:cs="Arial" w:eastAsia="Arial" w:hAnsi="Arial"/>
                <w:sz w:val="18"/>
                <w:szCs w:val="18"/>
                <w:b w:val="1"/>
                <w:bCs w:val="1"/>
                <w:color w:val="auto"/>
              </w:rPr>
              <w:t>Six Months Ended</w:t>
            </w:r>
          </w:p>
        </w:tc>
        <w:tc>
          <w:tcPr>
            <w:tcW w:w="1300" w:type="dxa"/>
            <w:vAlign w:val="bottom"/>
          </w:tcPr>
          <w:p>
            <w:pPr>
              <w:spacing w:after="0"/>
              <w:rPr>
                <w:sz w:val="20"/>
                <w:szCs w:val="20"/>
                <w:color w:val="auto"/>
              </w:rPr>
            </w:pPr>
          </w:p>
        </w:tc>
      </w:tr>
      <w:tr>
        <w:trPr>
          <w:trHeight w:val="243"/>
        </w:trPr>
        <w:tc>
          <w:tcPr>
            <w:tcW w:w="13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June</w:t>
            </w:r>
          </w:p>
        </w:tc>
        <w:tc>
          <w:tcPr>
            <w:tcW w:w="880" w:type="dxa"/>
            <w:vAlign w:val="bottom"/>
          </w:tcPr>
          <w:p>
            <w:pPr>
              <w:ind w:left="240"/>
              <w:spacing w:after="0"/>
              <w:rPr>
                <w:sz w:val="20"/>
                <w:szCs w:val="20"/>
                <w:color w:val="auto"/>
              </w:rPr>
            </w:pPr>
            <w:r>
              <w:rPr>
                <w:rFonts w:ascii="Arial" w:cs="Arial" w:eastAsia="Arial" w:hAnsi="Arial"/>
                <w:sz w:val="18"/>
                <w:szCs w:val="18"/>
                <w:b w:val="1"/>
                <w:bCs w:val="1"/>
                <w:color w:val="auto"/>
              </w:rPr>
              <w:t>June</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June</w:t>
            </w:r>
          </w:p>
        </w:tc>
        <w:tc>
          <w:tcPr>
            <w:tcW w:w="900" w:type="dxa"/>
            <w:vAlign w:val="bottom"/>
          </w:tcPr>
          <w:p>
            <w:pPr>
              <w:ind w:left="280"/>
              <w:spacing w:after="0"/>
              <w:rPr>
                <w:sz w:val="20"/>
                <w:szCs w:val="20"/>
                <w:color w:val="auto"/>
              </w:rPr>
            </w:pPr>
            <w:r>
              <w:rPr>
                <w:rFonts w:ascii="Arial" w:cs="Arial" w:eastAsia="Arial" w:hAnsi="Arial"/>
                <w:sz w:val="18"/>
                <w:szCs w:val="18"/>
                <w:b w:val="1"/>
                <w:bCs w:val="1"/>
                <w:color w:val="auto"/>
              </w:rPr>
              <w:t>June</w:t>
            </w:r>
          </w:p>
        </w:tc>
        <w:tc>
          <w:tcPr>
            <w:tcW w:w="130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30, 2021</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30, 2020</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30, 2021</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30, 2020</w:t>
            </w:r>
          </w:p>
        </w:tc>
        <w:tc>
          <w:tcPr>
            <w:tcW w:w="130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871,155</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620,228</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1,729,353</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1,335,330</w:t>
            </w:r>
          </w:p>
        </w:tc>
        <w:tc>
          <w:tcPr>
            <w:tcW w:w="1300" w:type="dxa"/>
            <w:vAlign w:val="bottom"/>
          </w:tcPr>
          <w:p>
            <w:pPr>
              <w:spacing w:after="0"/>
              <w:rPr>
                <w:sz w:val="21"/>
                <w:szCs w:val="21"/>
                <w:color w:val="auto"/>
              </w:rPr>
            </w:pPr>
          </w:p>
        </w:tc>
      </w:tr>
      <w:tr>
        <w:trPr>
          <w:trHeight w:val="486"/>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 costs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(631,123)</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(445,833)</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(1,257,367)</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(951,126)</w:t>
            </w:r>
          </w:p>
        </w:tc>
        <w:tc>
          <w:tcPr>
            <w:tcW w:w="130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(89,867)</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(83,499)</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(175,901)</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(170,695)</w:t>
            </w:r>
          </w:p>
        </w:tc>
        <w:tc>
          <w:tcPr>
            <w:tcW w:w="1300" w:type="dxa"/>
            <w:vAlign w:val="bottom"/>
          </w:tcPr>
          <w:p>
            <w:pPr>
              <w:spacing w:after="0"/>
              <w:rPr>
                <w:sz w:val="21"/>
                <w:szCs w:val="21"/>
                <w:color w:val="auto"/>
              </w:rPr>
            </w:pPr>
          </w:p>
        </w:tc>
      </w:tr>
      <w:tr>
        <w:trPr>
          <w:trHeight w:val="250"/>
        </w:trPr>
        <w:tc>
          <w:tcPr>
            <w:tcW w:w="1320" w:type="dxa"/>
            <w:vAlign w:val="bottom"/>
          </w:tcPr>
          <w:p>
            <w:pPr>
              <w:spacing w:after="0"/>
              <w:rPr>
                <w:sz w:val="21"/>
                <w:szCs w:val="21"/>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(17,276)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(15,858)</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(34,681)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(32,180)</w:t>
            </w:r>
          </w:p>
        </w:tc>
        <w:tc>
          <w:tcPr>
            <w:tcW w:w="1300" w:type="dxa"/>
            <w:vAlign w:val="bottom"/>
          </w:tcPr>
          <w:p>
            <w:pPr>
              <w:spacing w:after="0"/>
              <w:rPr>
                <w:sz w:val="21"/>
                <w:szCs w:val="21"/>
                <w:color w:val="auto"/>
              </w:rPr>
            </w:pPr>
          </w:p>
        </w:tc>
      </w:tr>
      <w:tr>
        <w:trPr>
          <w:trHeight w:val="479"/>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(738,266)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(545,190)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(1,467,949)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(1,154,001)</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132,889</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75,038</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261,404</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181,329</w:t>
            </w: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(2,240)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(2,779)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(4,357)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(4,151)</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130,649</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72,259</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257,047</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177,178</w:t>
            </w: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(16,984)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(8,671)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(33,416)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(21,261)</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w w:val="89"/>
              </w:rPr>
              <w:t>Income before share of earnings from equity method investments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113,665</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63,588</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223,631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155,917</w:t>
            </w: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of equity method investments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(783)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113,156</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63,588</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222,848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155,917</w:t>
            </w: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(633)</w:t>
            </w:r>
          </w:p>
        </w:tc>
        <w:tc>
          <w:tcPr>
            <w:tcW w:w="1300" w:type="dxa"/>
            <w:vAlign w:val="bottom"/>
          </w:tcPr>
          <w:p>
            <w:pPr>
              <w:spacing w:after="0"/>
              <w:rPr>
                <w:sz w:val="24"/>
                <w:szCs w:val="24"/>
                <w:color w:val="auto"/>
              </w:rPr>
            </w:pPr>
          </w:p>
        </w:tc>
      </w:tr>
      <w:tr>
        <w:trPr>
          <w:trHeight w:val="480"/>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113,156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63,588</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222,848</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155,284</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5"/>
              </w:rPr>
              <w:t>Adjusted net income per Ordinary Share attributable to the Group:</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basic (non-GAAP)</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$2.14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$1.21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$4.22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$2.93</w:t>
            </w:r>
          </w:p>
        </w:tc>
        <w:tc>
          <w:tcPr>
            <w:tcW w:w="1300" w:type="dxa"/>
            <w:vAlign w:val="bottom"/>
          </w:tcPr>
          <w:p>
            <w:pPr>
              <w:spacing w:after="0"/>
              <w:rPr>
                <w:sz w:val="24"/>
                <w:szCs w:val="24"/>
                <w:color w:val="auto"/>
              </w:rPr>
            </w:pPr>
          </w:p>
        </w:tc>
      </w:tr>
      <w:tr>
        <w:trPr>
          <w:trHeight w:val="479"/>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diluted (non-GAAP)</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$2.12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$1.20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$4.18</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$2.89</w:t>
            </w:r>
          </w:p>
        </w:tc>
        <w:tc>
          <w:tcPr>
            <w:tcW w:w="130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3"/>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52,909,368 52,570,104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52,860,414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52,959,229</w:t>
            </w:r>
          </w:p>
        </w:tc>
        <w:tc>
          <w:tcPr>
            <w:tcW w:w="1300" w:type="dxa"/>
            <w:vAlign w:val="bottom"/>
          </w:tcPr>
          <w:p>
            <w:pPr>
              <w:spacing w:after="0"/>
              <w:rPr>
                <w:sz w:val="24"/>
                <w:szCs w:val="24"/>
                <w:color w:val="auto"/>
              </w:rPr>
            </w:pPr>
          </w:p>
        </w:tc>
      </w:tr>
      <w:tr>
        <w:trPr>
          <w:trHeight w:val="480"/>
        </w:trPr>
        <w:tc>
          <w:tcPr>
            <w:tcW w:w="132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53,381,501 53,028,567</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53,294,435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53,691,138</w:t>
            </w:r>
          </w:p>
        </w:tc>
        <w:tc>
          <w:tcPr>
            <w:tcW w:w="1300" w:type="dxa"/>
            <w:vAlign w:val="bottom"/>
          </w:tcPr>
          <w:p>
            <w:pPr>
              <w:spacing w:after="0"/>
              <w:rPr>
                <w:sz w:val="24"/>
                <w:szCs w:val="24"/>
                <w:color w:val="auto"/>
              </w:rPr>
            </w:pPr>
          </w:p>
        </w:tc>
      </w:tr>
      <w:tr>
        <w:trPr>
          <w:trHeight w:val="911"/>
        </w:trPr>
        <w:tc>
          <w:tcPr>
            <w:tcW w:w="13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Summary Consolidated Balance Sheet Data</w:t>
      </w:r>
    </w:p>
    <w:p>
      <w:pPr>
        <w:jc w:val="center"/>
        <w:ind w:right="40"/>
        <w:spacing w:after="0" w:line="230" w:lineRule="auto"/>
        <w:rPr>
          <w:sz w:val="20"/>
          <w:szCs w:val="20"/>
          <w:color w:val="auto"/>
        </w:rPr>
      </w:pPr>
      <w:r>
        <w:rPr>
          <w:rFonts w:ascii="Arial" w:cs="Arial" w:eastAsia="Arial" w:hAnsi="Arial"/>
          <w:sz w:val="22"/>
          <w:szCs w:val="22"/>
          <w:b w:val="1"/>
          <w:bCs w:val="1"/>
          <w:color w:val="auto"/>
        </w:rPr>
        <w:t>June 30, 2021 and 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4380" w:type="dxa"/>
            <w:vAlign w:val="bottom"/>
          </w:tcPr>
          <w:p>
            <w:pPr>
              <w:jc w:val="center"/>
              <w:ind w:right="3270"/>
              <w:spacing w:after="0"/>
              <w:rPr>
                <w:sz w:val="20"/>
                <w:szCs w:val="20"/>
                <w:color w:val="auto"/>
              </w:rPr>
            </w:pPr>
            <w:r>
              <w:rPr>
                <w:rFonts w:ascii="Arial" w:cs="Arial" w:eastAsia="Arial" w:hAnsi="Arial"/>
                <w:sz w:val="18"/>
                <w:szCs w:val="18"/>
                <w:b w:val="1"/>
                <w:bCs w:val="1"/>
                <w:color w:val="auto"/>
                <w:w w:val="93"/>
              </w:rPr>
              <w:t>March 31,</w:t>
            </w:r>
          </w:p>
        </w:tc>
      </w:tr>
      <w:tr>
        <w:trPr>
          <w:trHeight w:val="243"/>
        </w:trPr>
        <w:tc>
          <w:tcPr>
            <w:tcW w:w="58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4380" w:type="dxa"/>
            <w:vAlign w:val="bottom"/>
          </w:tcPr>
          <w:p>
            <w:pPr>
              <w:jc w:val="center"/>
              <w:ind w:right="3250"/>
              <w:spacing w:after="0"/>
              <w:rPr>
                <w:sz w:val="20"/>
                <w:szCs w:val="20"/>
                <w:color w:val="auto"/>
              </w:rPr>
            </w:pPr>
            <w:r>
              <w:rPr>
                <w:rFonts w:ascii="Arial" w:cs="Arial" w:eastAsia="Arial" w:hAnsi="Arial"/>
                <w:sz w:val="18"/>
                <w:szCs w:val="18"/>
                <w:b w:val="1"/>
                <w:bCs w:val="1"/>
                <w:color w:val="auto"/>
                <w:w w:val="89"/>
              </w:rPr>
              <w:t>2021</w:t>
            </w:r>
          </w:p>
        </w:tc>
      </w:tr>
      <w:tr>
        <w:trPr>
          <w:trHeight w:val="243"/>
        </w:trPr>
        <w:tc>
          <w:tcPr>
            <w:tcW w:w="58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4380" w:type="dxa"/>
            <w:vAlign w:val="bottom"/>
          </w:tcPr>
          <w:p>
            <w:pPr>
              <w:jc w:val="center"/>
              <w:ind w:right="3270"/>
              <w:spacing w:after="0"/>
              <w:rPr>
                <w:sz w:val="20"/>
                <w:szCs w:val="20"/>
                <w:color w:val="auto"/>
              </w:rPr>
            </w:pPr>
            <w:r>
              <w:rPr>
                <w:rFonts w:ascii="Arial" w:cs="Arial" w:eastAsia="Arial" w:hAnsi="Arial"/>
                <w:sz w:val="18"/>
                <w:szCs w:val="18"/>
                <w:b w:val="1"/>
                <w:bCs w:val="1"/>
                <w:color w:val="auto"/>
                <w:w w:val="93"/>
              </w:rPr>
              <w:t>(Unaudited)</w:t>
            </w:r>
          </w:p>
        </w:tc>
      </w:tr>
      <w:tr>
        <w:trPr>
          <w:trHeight w:val="729"/>
        </w:trPr>
        <w:tc>
          <w:tcPr>
            <w:tcW w:w="5820" w:type="dxa"/>
            <w:vAlign w:val="bottom"/>
          </w:tcPr>
          <w:p>
            <w:pPr>
              <w:ind w:left="3400"/>
              <w:spacing w:after="0"/>
              <w:rPr>
                <w:sz w:val="20"/>
                <w:szCs w:val="20"/>
                <w:color w:val="auto"/>
              </w:rPr>
            </w:pPr>
            <w:r>
              <w:rPr>
                <w:rFonts w:ascii="Arial" w:cs="Arial" w:eastAsia="Arial" w:hAnsi="Arial"/>
                <w:sz w:val="18"/>
                <w:szCs w:val="18"/>
                <w:color w:val="auto"/>
                <w:w w:val="90"/>
              </w:rPr>
              <w:t>Cash and short-term investments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1,057,225</w:t>
            </w:r>
          </w:p>
        </w:tc>
        <w:tc>
          <w:tcPr>
            <w:tcW w:w="4380" w:type="dxa"/>
            <w:vAlign w:val="bottom"/>
          </w:tcPr>
          <w:p>
            <w:pPr>
              <w:jc w:val="center"/>
              <w:ind w:right="3270"/>
              <w:spacing w:after="0"/>
              <w:rPr>
                <w:sz w:val="20"/>
                <w:szCs w:val="20"/>
                <w:color w:val="auto"/>
              </w:rPr>
            </w:pPr>
            <w:r>
              <w:rPr>
                <w:rFonts w:ascii="Arial" w:cs="Arial" w:eastAsia="Arial" w:hAnsi="Arial"/>
                <w:sz w:val="18"/>
                <w:szCs w:val="18"/>
                <w:color w:val="auto"/>
                <w:w w:val="89"/>
              </w:rPr>
              <w:t>944,184</w:t>
            </w:r>
          </w:p>
        </w:tc>
      </w:tr>
      <w:tr>
        <w:trPr>
          <w:trHeight w:val="243"/>
        </w:trPr>
        <w:tc>
          <w:tcPr>
            <w:tcW w:w="5820" w:type="dxa"/>
            <w:vAlign w:val="bottom"/>
          </w:tcPr>
          <w:p>
            <w:pPr>
              <w:ind w:left="3400"/>
              <w:spacing w:after="0"/>
              <w:rPr>
                <w:sz w:val="20"/>
                <w:szCs w:val="20"/>
                <w:color w:val="auto"/>
              </w:rPr>
            </w:pPr>
            <w:r>
              <w:rPr>
                <w:rFonts w:ascii="Arial" w:cs="Arial" w:eastAsia="Arial" w:hAnsi="Arial"/>
                <w:sz w:val="18"/>
                <w:szCs w:val="18"/>
                <w:color w:val="auto"/>
              </w:rPr>
              <w:t>Debt</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(350,000)</w:t>
            </w:r>
          </w:p>
        </w:tc>
        <w:tc>
          <w:tcPr>
            <w:tcW w:w="4380" w:type="dxa"/>
            <w:vAlign w:val="bottom"/>
          </w:tcPr>
          <w:p>
            <w:pPr>
              <w:jc w:val="center"/>
              <w:ind w:right="3270"/>
              <w:spacing w:after="0"/>
              <w:rPr>
                <w:sz w:val="20"/>
                <w:szCs w:val="20"/>
                <w:color w:val="auto"/>
              </w:rPr>
            </w:pPr>
            <w:r>
              <w:rPr>
                <w:rFonts w:ascii="Arial" w:cs="Arial" w:eastAsia="Arial" w:hAnsi="Arial"/>
                <w:sz w:val="18"/>
                <w:szCs w:val="18"/>
                <w:color w:val="auto"/>
                <w:w w:val="90"/>
              </w:rPr>
              <w:t>(348,592)</w:t>
            </w:r>
          </w:p>
        </w:tc>
      </w:tr>
      <w:tr>
        <w:trPr>
          <w:trHeight w:val="243"/>
        </w:trPr>
        <w:tc>
          <w:tcPr>
            <w:tcW w:w="5820" w:type="dxa"/>
            <w:vAlign w:val="bottom"/>
          </w:tcPr>
          <w:p>
            <w:pPr>
              <w:ind w:left="3400"/>
              <w:spacing w:after="0"/>
              <w:rPr>
                <w:sz w:val="20"/>
                <w:szCs w:val="20"/>
                <w:color w:val="auto"/>
              </w:rPr>
            </w:pPr>
            <w:r>
              <w:rPr>
                <w:rFonts w:ascii="Arial" w:cs="Arial" w:eastAsia="Arial" w:hAnsi="Arial"/>
                <w:sz w:val="18"/>
                <w:szCs w:val="18"/>
                <w:color w:val="auto"/>
              </w:rPr>
              <w:t>Net cash/(debt)</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707,225</w:t>
            </w:r>
          </w:p>
        </w:tc>
        <w:tc>
          <w:tcPr>
            <w:tcW w:w="4380" w:type="dxa"/>
            <w:vAlign w:val="bottom"/>
          </w:tcPr>
          <w:p>
            <w:pPr>
              <w:jc w:val="center"/>
              <w:ind w:right="3270"/>
              <w:spacing w:after="0"/>
              <w:rPr>
                <w:sz w:val="20"/>
                <w:szCs w:val="20"/>
                <w:color w:val="auto"/>
              </w:rPr>
            </w:pPr>
            <w:r>
              <w:rPr>
                <w:rFonts w:ascii="Arial" w:cs="Arial" w:eastAsia="Arial" w:hAnsi="Arial"/>
                <w:sz w:val="18"/>
                <w:szCs w:val="18"/>
                <w:color w:val="auto"/>
                <w:w w:val="89"/>
              </w:rPr>
              <w:t>595,592</w:t>
            </w:r>
          </w:p>
        </w:tc>
      </w:tr>
      <w:tr>
        <w:trPr>
          <w:trHeight w:val="486"/>
        </w:trPr>
        <w:tc>
          <w:tcPr>
            <w:tcW w:w="5820" w:type="dxa"/>
            <w:vAlign w:val="bottom"/>
          </w:tcPr>
          <w:p>
            <w:pPr>
              <w:ind w:left="3400"/>
              <w:spacing w:after="0"/>
              <w:rPr>
                <w:sz w:val="20"/>
                <w:szCs w:val="20"/>
                <w:color w:val="auto"/>
              </w:rPr>
            </w:pPr>
            <w:r>
              <w:rPr>
                <w:rFonts w:ascii="Arial" w:cs="Arial" w:eastAsia="Arial" w:hAnsi="Arial"/>
                <w:sz w:val="18"/>
                <w:szCs w:val="18"/>
                <w:color w:val="auto"/>
              </w:rPr>
              <w:t>Net Accounts Receivable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417,403</w:t>
            </w:r>
          </w:p>
        </w:tc>
        <w:tc>
          <w:tcPr>
            <w:tcW w:w="4380" w:type="dxa"/>
            <w:vAlign w:val="bottom"/>
          </w:tcPr>
          <w:p>
            <w:pPr>
              <w:jc w:val="center"/>
              <w:ind w:right="3270"/>
              <w:spacing w:after="0"/>
              <w:rPr>
                <w:sz w:val="20"/>
                <w:szCs w:val="20"/>
                <w:color w:val="auto"/>
              </w:rPr>
            </w:pPr>
            <w:r>
              <w:rPr>
                <w:rFonts w:ascii="Arial" w:cs="Arial" w:eastAsia="Arial" w:hAnsi="Arial"/>
                <w:sz w:val="18"/>
                <w:szCs w:val="18"/>
                <w:color w:val="auto"/>
                <w:w w:val="89"/>
              </w:rPr>
              <w:t>465,585</w:t>
            </w:r>
          </w:p>
        </w:tc>
      </w:tr>
      <w:tr>
        <w:trPr>
          <w:trHeight w:val="486"/>
        </w:trPr>
        <w:tc>
          <w:tcPr>
            <w:tcW w:w="5820" w:type="dxa"/>
            <w:vAlign w:val="bottom"/>
          </w:tcPr>
          <w:p>
            <w:pPr>
              <w:ind w:left="3400"/>
              <w:spacing w:after="0"/>
              <w:rPr>
                <w:sz w:val="20"/>
                <w:szCs w:val="20"/>
                <w:color w:val="auto"/>
              </w:rPr>
            </w:pPr>
            <w:r>
              <w:rPr>
                <w:rFonts w:ascii="Arial" w:cs="Arial" w:eastAsia="Arial" w:hAnsi="Arial"/>
                <w:sz w:val="18"/>
                <w:szCs w:val="18"/>
                <w:color w:val="auto"/>
              </w:rPr>
              <w:t>Working Capital</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1,180,347</w:t>
            </w:r>
          </w:p>
        </w:tc>
        <w:tc>
          <w:tcPr>
            <w:tcW w:w="4380" w:type="dxa"/>
            <w:vAlign w:val="bottom"/>
          </w:tcPr>
          <w:p>
            <w:pPr>
              <w:jc w:val="center"/>
              <w:ind w:right="3250"/>
              <w:spacing w:after="0"/>
              <w:rPr>
                <w:sz w:val="20"/>
                <w:szCs w:val="20"/>
                <w:color w:val="auto"/>
              </w:rPr>
            </w:pPr>
            <w:r>
              <w:rPr>
                <w:rFonts w:ascii="Arial" w:cs="Arial" w:eastAsia="Arial" w:hAnsi="Arial"/>
                <w:sz w:val="18"/>
                <w:szCs w:val="18"/>
                <w:color w:val="auto"/>
                <w:w w:val="89"/>
              </w:rPr>
              <w:t>1,088,833</w:t>
            </w:r>
          </w:p>
        </w:tc>
      </w:tr>
      <w:tr>
        <w:trPr>
          <w:trHeight w:val="486"/>
        </w:trPr>
        <w:tc>
          <w:tcPr>
            <w:tcW w:w="5820" w:type="dxa"/>
            <w:vAlign w:val="bottom"/>
          </w:tcPr>
          <w:p>
            <w:pPr>
              <w:ind w:left="3400"/>
              <w:spacing w:after="0"/>
              <w:rPr>
                <w:sz w:val="20"/>
                <w:szCs w:val="20"/>
                <w:color w:val="auto"/>
              </w:rPr>
            </w:pPr>
            <w:r>
              <w:rPr>
                <w:rFonts w:ascii="Arial" w:cs="Arial" w:eastAsia="Arial" w:hAnsi="Arial"/>
                <w:sz w:val="18"/>
                <w:szCs w:val="18"/>
                <w:color w:val="auto"/>
              </w:rPr>
              <w:t>Total Assets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3,584,464</w:t>
            </w:r>
          </w:p>
        </w:tc>
        <w:tc>
          <w:tcPr>
            <w:tcW w:w="4380" w:type="dxa"/>
            <w:vAlign w:val="bottom"/>
          </w:tcPr>
          <w:p>
            <w:pPr>
              <w:jc w:val="center"/>
              <w:ind w:right="3250"/>
              <w:spacing w:after="0"/>
              <w:rPr>
                <w:sz w:val="20"/>
                <w:szCs w:val="20"/>
                <w:color w:val="auto"/>
              </w:rPr>
            </w:pPr>
            <w:r>
              <w:rPr>
                <w:rFonts w:ascii="Arial" w:cs="Arial" w:eastAsia="Arial" w:hAnsi="Arial"/>
                <w:sz w:val="18"/>
                <w:szCs w:val="18"/>
                <w:color w:val="auto"/>
                <w:w w:val="89"/>
              </w:rPr>
              <w:t>3,466,576</w:t>
            </w:r>
          </w:p>
        </w:tc>
      </w:tr>
      <w:tr>
        <w:trPr>
          <w:trHeight w:val="486"/>
        </w:trPr>
        <w:tc>
          <w:tcPr>
            <w:tcW w:w="5820" w:type="dxa"/>
            <w:vAlign w:val="bottom"/>
          </w:tcPr>
          <w:p>
            <w:pPr>
              <w:ind w:left="3400"/>
              <w:spacing w:after="0"/>
              <w:rPr>
                <w:sz w:val="20"/>
                <w:szCs w:val="20"/>
                <w:color w:val="auto"/>
              </w:rPr>
            </w:pPr>
            <w:r>
              <w:rPr>
                <w:rFonts w:ascii="Arial" w:cs="Arial" w:eastAsia="Arial" w:hAnsi="Arial"/>
                <w:sz w:val="18"/>
                <w:szCs w:val="18"/>
                <w:color w:val="auto"/>
              </w:rPr>
              <w:t>Shareholder's Equity</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2,027,943</w:t>
            </w:r>
          </w:p>
        </w:tc>
        <w:tc>
          <w:tcPr>
            <w:tcW w:w="4380" w:type="dxa"/>
            <w:vAlign w:val="bottom"/>
          </w:tcPr>
          <w:p>
            <w:pPr>
              <w:jc w:val="center"/>
              <w:ind w:right="3250"/>
              <w:spacing w:after="0"/>
              <w:rPr>
                <w:sz w:val="20"/>
                <w:szCs w:val="20"/>
                <w:color w:val="auto"/>
              </w:rPr>
            </w:pPr>
            <w:r>
              <w:rPr>
                <w:rFonts w:ascii="Arial" w:cs="Arial" w:eastAsia="Arial" w:hAnsi="Arial"/>
                <w:sz w:val="18"/>
                <w:szCs w:val="18"/>
                <w:color w:val="auto"/>
                <w:w w:val="89"/>
              </w:rPr>
              <w:t>1,934,171</w:t>
            </w:r>
          </w:p>
        </w:tc>
      </w:tr>
      <w:tr>
        <w:trPr>
          <w:trHeight w:val="439"/>
        </w:trPr>
        <w:tc>
          <w:tcPr>
            <w:tcW w:w="5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9" w:name="page10"/>
    <w:bookmarkEnd w:id="9"/>
    <w:p>
      <w:pPr>
        <w:jc w:val="center"/>
        <w:ind w:right="20"/>
        <w:spacing w:after="0" w:line="237" w:lineRule="auto"/>
        <w:rPr>
          <w:sz w:val="20"/>
          <w:szCs w:val="20"/>
          <w:color w:val="auto"/>
        </w:rPr>
      </w:pPr>
      <w:r>
        <w:rPr>
          <w:rFonts w:ascii="Arial" w:cs="Arial" w:eastAsia="Arial" w:hAnsi="Arial"/>
          <w:sz w:val="22"/>
          <w:szCs w:val="22"/>
          <w:b w:val="1"/>
          <w:bCs w:val="1"/>
          <w:color w:val="auto"/>
        </w:rPr>
        <w:t>PRA Health Sciences, Inc. and Subsidiaries Reconciliation of non-GAAP measures Three and Six Months ended June 30, 2021 and June 30, 2020 (Dollars, in thousands, except share and per share data) (Unaudited)</w:t>
      </w:r>
    </w:p>
    <w:p>
      <w:pPr>
        <w:spacing w:after="0" w:line="205" w:lineRule="exact"/>
        <w:rPr>
          <w:sz w:val="20"/>
          <w:szCs w:val="20"/>
          <w:color w:val="auto"/>
        </w:rPr>
      </w:pPr>
    </w:p>
    <w:tbl>
      <w:tblPr>
        <w:tblLayout w:type="fixed"/>
        <w:tblInd w:w="214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380" w:type="dxa"/>
            <w:vAlign w:val="bottom"/>
            <w:gridSpan w:val="9"/>
          </w:tcPr>
          <w:p>
            <w:pPr>
              <w:ind w:left="100"/>
              <w:spacing w:after="0"/>
              <w:rPr>
                <w:sz w:val="20"/>
                <w:szCs w:val="20"/>
                <w:color w:val="auto"/>
              </w:rPr>
            </w:pPr>
            <w:r>
              <w:rPr>
                <w:rFonts w:ascii="Arial" w:cs="Arial" w:eastAsia="Arial" w:hAnsi="Arial"/>
                <w:sz w:val="18"/>
                <w:szCs w:val="18"/>
                <w:b w:val="1"/>
                <w:bCs w:val="1"/>
                <w:color w:val="auto"/>
              </w:rPr>
              <w:t>Three Months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8"/>
          </w:tcPr>
          <w:p>
            <w:pPr>
              <w:ind w:left="100"/>
              <w:spacing w:after="0"/>
              <w:rPr>
                <w:sz w:val="20"/>
                <w:szCs w:val="20"/>
                <w:color w:val="auto"/>
              </w:rPr>
            </w:pPr>
            <w:r>
              <w:rPr>
                <w:rFonts w:ascii="Arial" w:cs="Arial" w:eastAsia="Arial" w:hAnsi="Arial"/>
                <w:sz w:val="18"/>
                <w:szCs w:val="18"/>
                <w:b w:val="1"/>
                <w:bCs w:val="1"/>
                <w:color w:val="auto"/>
              </w:rPr>
              <w:t>Six Months</w:t>
            </w:r>
          </w:p>
        </w:tc>
      </w:t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8"/>
          </w:tcPr>
          <w:p>
            <w:pPr>
              <w:ind w:left="300"/>
              <w:spacing w:after="0"/>
              <w:rPr>
                <w:sz w:val="20"/>
                <w:szCs w:val="20"/>
                <w:color w:val="auto"/>
              </w:rPr>
            </w:pPr>
            <w:r>
              <w:rPr>
                <w:rFonts w:ascii="Arial" w:cs="Arial" w:eastAsia="Arial" w:hAnsi="Arial"/>
                <w:sz w:val="18"/>
                <w:szCs w:val="18"/>
                <w:b w:val="1"/>
                <w:bCs w:val="1"/>
                <w:color w:val="auto"/>
              </w:rPr>
              <w:t>Ended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8"/>
          </w:tcPr>
          <w:p>
            <w:pPr>
              <w:ind w:left="300"/>
              <w:spacing w:after="0"/>
              <w:rPr>
                <w:sz w:val="20"/>
                <w:szCs w:val="20"/>
                <w:color w:val="auto"/>
              </w:rPr>
            </w:pPr>
            <w:r>
              <w:rPr>
                <w:rFonts w:ascii="Arial" w:cs="Arial" w:eastAsia="Arial" w:hAnsi="Arial"/>
                <w:sz w:val="18"/>
                <w:szCs w:val="18"/>
                <w:b w:val="1"/>
                <w:bCs w:val="1"/>
                <w:color w:val="auto"/>
              </w:rPr>
              <w:t>Ended</w:t>
            </w:r>
          </w:p>
        </w:tc>
      </w:tr>
      <w:tr>
        <w:trPr>
          <w:trHeight w:val="445"/>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w w:val="85"/>
              </w:rPr>
              <w:t>June</w:t>
            </w:r>
          </w:p>
        </w:tc>
        <w:tc>
          <w:tcPr>
            <w:tcW w:w="1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Arial" w:cs="Arial" w:eastAsia="Arial" w:hAnsi="Arial"/>
                <w:sz w:val="18"/>
                <w:szCs w:val="18"/>
                <w:b w:val="1"/>
                <w:bCs w:val="1"/>
                <w:color w:val="auto"/>
              </w:rPr>
              <w:t>June</w:t>
            </w:r>
          </w:p>
        </w:tc>
        <w:tc>
          <w:tcPr>
            <w:tcW w:w="60" w:type="dxa"/>
            <w:vAlign w:val="bottom"/>
          </w:tcPr>
          <w:p>
            <w:pPr>
              <w:spacing w:after="0"/>
              <w:rPr>
                <w:sz w:val="24"/>
                <w:szCs w:val="24"/>
                <w:color w:val="auto"/>
              </w:rPr>
            </w:pPr>
          </w:p>
        </w:tc>
        <w:tc>
          <w:tcPr>
            <w:tcW w:w="680" w:type="dxa"/>
            <w:vAlign w:val="bottom"/>
            <w:gridSpan w:val="4"/>
          </w:tcPr>
          <w:p>
            <w:pPr>
              <w:ind w:left="120"/>
              <w:spacing w:after="0"/>
              <w:rPr>
                <w:sz w:val="20"/>
                <w:szCs w:val="20"/>
                <w:color w:val="auto"/>
              </w:rPr>
            </w:pPr>
            <w:r>
              <w:rPr>
                <w:rFonts w:ascii="Arial" w:cs="Arial" w:eastAsia="Arial" w:hAnsi="Arial"/>
                <w:sz w:val="18"/>
                <w:szCs w:val="18"/>
                <w:b w:val="1"/>
                <w:bCs w:val="1"/>
                <w:color w:val="auto"/>
              </w:rPr>
              <w:t>June</w:t>
            </w:r>
          </w:p>
        </w:tc>
        <w:tc>
          <w:tcPr>
            <w:tcW w:w="40" w:type="dxa"/>
            <w:vAlign w:val="bottom"/>
          </w:tcPr>
          <w:p>
            <w:pPr>
              <w:spacing w:after="0"/>
              <w:rPr>
                <w:sz w:val="24"/>
                <w:szCs w:val="24"/>
                <w:color w:val="auto"/>
              </w:rPr>
            </w:pPr>
          </w:p>
        </w:tc>
        <w:tc>
          <w:tcPr>
            <w:tcW w:w="660" w:type="dxa"/>
            <w:vAlign w:val="bottom"/>
            <w:gridSpan w:val="4"/>
          </w:tcPr>
          <w:p>
            <w:pPr>
              <w:ind w:left="140"/>
              <w:spacing w:after="0"/>
              <w:rPr>
                <w:sz w:val="20"/>
                <w:szCs w:val="20"/>
                <w:color w:val="auto"/>
              </w:rPr>
            </w:pPr>
            <w:r>
              <w:rPr>
                <w:rFonts w:ascii="Arial" w:cs="Arial" w:eastAsia="Arial" w:hAnsi="Arial"/>
                <w:sz w:val="18"/>
                <w:szCs w:val="18"/>
                <w:b w:val="1"/>
                <w:bCs w:val="1"/>
                <w:color w:val="auto"/>
              </w:rPr>
              <w:t>June</w:t>
            </w: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160" w:type="dxa"/>
            <w:vAlign w:val="bottom"/>
          </w:tcPr>
          <w:p>
            <w:pPr>
              <w:spacing w:after="0"/>
              <w:rPr>
                <w:sz w:val="17"/>
                <w:szCs w:val="17"/>
                <w:color w:val="auto"/>
              </w:rPr>
            </w:pPr>
          </w:p>
        </w:tc>
        <w:tc>
          <w:tcPr>
            <w:tcW w:w="660" w:type="dxa"/>
            <w:vAlign w:val="bottom"/>
            <w:gridSpan w:val="4"/>
          </w:tcPr>
          <w:p>
            <w:pPr>
              <w:jc w:val="center"/>
              <w:ind w:right="40"/>
              <w:spacing w:after="0" w:line="196" w:lineRule="exact"/>
              <w:rPr>
                <w:sz w:val="20"/>
                <w:szCs w:val="20"/>
                <w:color w:val="auto"/>
              </w:rPr>
            </w:pPr>
            <w:r>
              <w:rPr>
                <w:rFonts w:ascii="Arial" w:cs="Arial" w:eastAsia="Arial" w:hAnsi="Arial"/>
                <w:sz w:val="18"/>
                <w:szCs w:val="18"/>
                <w:b w:val="1"/>
                <w:bCs w:val="1"/>
                <w:color w:val="auto"/>
                <w:w w:val="88"/>
              </w:rPr>
              <w:t>30, 2021</w:t>
            </w:r>
          </w:p>
        </w:tc>
        <w:tc>
          <w:tcPr>
            <w:tcW w:w="720" w:type="dxa"/>
            <w:vAlign w:val="bottom"/>
            <w:gridSpan w:val="5"/>
          </w:tcPr>
          <w:p>
            <w:pPr>
              <w:jc w:val="center"/>
              <w:spacing w:after="0" w:line="196" w:lineRule="exact"/>
              <w:rPr>
                <w:sz w:val="20"/>
                <w:szCs w:val="20"/>
                <w:color w:val="auto"/>
              </w:rPr>
            </w:pPr>
            <w:r>
              <w:rPr>
                <w:rFonts w:ascii="Arial" w:cs="Arial" w:eastAsia="Arial" w:hAnsi="Arial"/>
                <w:sz w:val="18"/>
                <w:szCs w:val="18"/>
                <w:b w:val="1"/>
                <w:bCs w:val="1"/>
                <w:color w:val="auto"/>
                <w:w w:val="88"/>
              </w:rPr>
              <w:t>30, 2020</w:t>
            </w:r>
          </w:p>
        </w:tc>
        <w:tc>
          <w:tcPr>
            <w:tcW w:w="740" w:type="dxa"/>
            <w:vAlign w:val="bottom"/>
            <w:gridSpan w:val="5"/>
          </w:tcPr>
          <w:p>
            <w:pPr>
              <w:jc w:val="center"/>
              <w:spacing w:after="0" w:line="196" w:lineRule="exact"/>
              <w:rPr>
                <w:sz w:val="20"/>
                <w:szCs w:val="20"/>
                <w:color w:val="auto"/>
              </w:rPr>
            </w:pPr>
            <w:r>
              <w:rPr>
                <w:rFonts w:ascii="Arial" w:cs="Arial" w:eastAsia="Arial" w:hAnsi="Arial"/>
                <w:sz w:val="18"/>
                <w:szCs w:val="18"/>
                <w:b w:val="1"/>
                <w:bCs w:val="1"/>
                <w:color w:val="auto"/>
                <w:w w:val="88"/>
              </w:rPr>
              <w:t>30, 2021</w:t>
            </w:r>
          </w:p>
        </w:tc>
        <w:tc>
          <w:tcPr>
            <w:tcW w:w="700" w:type="dxa"/>
            <w:vAlign w:val="bottom"/>
            <w:gridSpan w:val="5"/>
          </w:tcPr>
          <w:p>
            <w:pPr>
              <w:jc w:val="center"/>
              <w:spacing w:after="0" w:line="196" w:lineRule="exact"/>
              <w:rPr>
                <w:sz w:val="20"/>
                <w:szCs w:val="20"/>
                <w:color w:val="auto"/>
              </w:rPr>
            </w:pPr>
            <w:r>
              <w:rPr>
                <w:rFonts w:ascii="Arial" w:cs="Arial" w:eastAsia="Arial" w:hAnsi="Arial"/>
                <w:sz w:val="18"/>
                <w:szCs w:val="18"/>
                <w:b w:val="1"/>
                <w:bCs w:val="1"/>
                <w:color w:val="auto"/>
                <w:w w:val="91"/>
              </w:rPr>
              <w:t>30, 2020</w:t>
            </w:r>
          </w:p>
        </w:tc>
      </w:tr>
      <w:tr>
        <w:trPr>
          <w:trHeight w:val="507"/>
        </w:trPr>
        <w:tc>
          <w:tcPr>
            <w:tcW w:w="4160" w:type="dxa"/>
            <w:vAlign w:val="bottom"/>
          </w:tcPr>
          <w:p>
            <w:pPr>
              <w:spacing w:after="0"/>
              <w:rPr>
                <w:sz w:val="20"/>
                <w:szCs w:val="20"/>
                <w:color w:val="auto"/>
              </w:rPr>
            </w:pPr>
            <w:r>
              <w:rPr>
                <w:rFonts w:ascii="Arial" w:cs="Arial" w:eastAsia="Arial" w:hAnsi="Arial"/>
                <w:sz w:val="18"/>
                <w:szCs w:val="18"/>
                <w:b w:val="1"/>
                <w:bCs w:val="1"/>
                <w:color w:val="auto"/>
                <w:w w:val="92"/>
              </w:rPr>
              <w:t>Net income attributable to PRA Health Sciences, Inc.</w:t>
            </w:r>
          </w:p>
        </w:tc>
        <w:tc>
          <w:tcPr>
            <w:tcW w:w="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71,068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13,874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128,008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54,534</w:t>
            </w:r>
          </w:p>
        </w:tc>
        <w:tc>
          <w:tcPr>
            <w:tcW w:w="20" w:type="dxa"/>
            <w:vAlign w:val="bottom"/>
          </w:tcPr>
          <w:p>
            <w:pPr>
              <w:spacing w:after="0"/>
              <w:rPr>
                <w:sz w:val="24"/>
                <w:szCs w:val="24"/>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2"/>
              </w:rPr>
              <w:t>(12,995)</w:t>
            </w: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88"/>
              </w:rPr>
              <w:t>7,112</w:t>
            </w: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88"/>
              </w:rPr>
              <w:t>6,702</w:t>
            </w:r>
          </w:p>
        </w:tc>
        <w:tc>
          <w:tcPr>
            <w:tcW w:w="6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0"/>
              </w:rPr>
              <w:t>23,983</w:t>
            </w:r>
          </w:p>
        </w:tc>
        <w:tc>
          <w:tcPr>
            <w:tcW w:w="20" w:type="dxa"/>
            <w:vAlign w:val="bottom"/>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0"/>
              </w:rPr>
              <w:t>17,775</w:t>
            </w: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0"/>
              </w:rPr>
              <w:t>19,030</w:t>
            </w: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87"/>
              </w:rPr>
              <w:t>35,714</w:t>
            </w:r>
          </w:p>
        </w:tc>
        <w:tc>
          <w:tcPr>
            <w:tcW w:w="6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0"/>
              </w:rPr>
              <w:t>38,157</w:t>
            </w:r>
          </w:p>
        </w:tc>
        <w:tc>
          <w:tcPr>
            <w:tcW w:w="20" w:type="dxa"/>
            <w:vAlign w:val="bottom"/>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50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422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3"/>
          </w:tcPr>
          <w:p>
            <w:pPr>
              <w:jc w:val="center"/>
              <w:ind w:left="110"/>
              <w:spacing w:after="0"/>
              <w:rPr>
                <w:sz w:val="20"/>
                <w:szCs w:val="20"/>
                <w:color w:val="auto"/>
              </w:rPr>
            </w:pPr>
            <w:r>
              <w:rPr>
                <w:rFonts w:ascii="Arial" w:cs="Arial" w:eastAsia="Arial" w:hAnsi="Arial"/>
                <w:sz w:val="18"/>
                <w:szCs w:val="18"/>
                <w:color w:val="auto"/>
                <w:w w:val="86"/>
              </w:rPr>
              <w:t>421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842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3"/>
          </w:tcPr>
          <w:p>
            <w:pPr>
              <w:jc w:val="center"/>
              <w:ind w:left="110"/>
              <w:spacing w:after="0"/>
              <w:rPr>
                <w:sz w:val="20"/>
                <w:szCs w:val="20"/>
                <w:color w:val="auto"/>
              </w:rPr>
            </w:pPr>
            <w:r>
              <w:rPr>
                <w:rFonts w:ascii="Arial" w:cs="Arial" w:eastAsia="Arial" w:hAnsi="Arial"/>
                <w:sz w:val="18"/>
                <w:szCs w:val="18"/>
                <w:color w:val="auto"/>
                <w:w w:val="86"/>
              </w:rPr>
              <w:t>842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Amortization of terminated interest rate swaps</w:t>
            </w:r>
          </w:p>
        </w:tc>
        <w:tc>
          <w:tcPr>
            <w:tcW w:w="5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3"/>
              </w:rPr>
              <w:t>1,562</w:t>
            </w:r>
          </w:p>
        </w:tc>
        <w:tc>
          <w:tcPr>
            <w:tcW w:w="40" w:type="dxa"/>
            <w:vAlign w:val="bottom"/>
          </w:tcPr>
          <w:p>
            <w:pPr>
              <w:spacing w:after="0"/>
              <w:rPr>
                <w:sz w:val="21"/>
                <w:szCs w:val="21"/>
                <w:color w:val="auto"/>
              </w:rPr>
            </w:pPr>
          </w:p>
        </w:tc>
        <w:tc>
          <w:tcPr>
            <w:tcW w:w="560" w:type="dxa"/>
            <w:vAlign w:val="bottom"/>
            <w:gridSpan w:val="3"/>
          </w:tcPr>
          <w:p>
            <w:pPr>
              <w:jc w:val="center"/>
              <w:ind w:left="1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3"/>
              </w:rPr>
              <w:t>3,127</w:t>
            </w:r>
          </w:p>
        </w:tc>
        <w:tc>
          <w:tcPr>
            <w:tcW w:w="20" w:type="dxa"/>
            <w:vAlign w:val="bottom"/>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Stock-based compensation expense (a)</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0"/>
              </w:rPr>
              <w:t>18,732</w:t>
            </w: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0"/>
              </w:rPr>
              <w:t>15,845</w:t>
            </w: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87"/>
              </w:rPr>
              <w:t>37,504</w:t>
            </w:r>
          </w:p>
        </w:tc>
        <w:tc>
          <w:tcPr>
            <w:tcW w:w="6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0"/>
              </w:rPr>
              <w:t>31,270</w:t>
            </w:r>
          </w:p>
        </w:tc>
        <w:tc>
          <w:tcPr>
            <w:tcW w:w="20" w:type="dxa"/>
            <w:vAlign w:val="bottom"/>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Loss (gains) on disposal of fixed assets, net (b)</w:t>
            </w:r>
          </w:p>
        </w:tc>
        <w:tc>
          <w:tcPr>
            <w:tcW w:w="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3"/>
          </w:tcPr>
          <w:p>
            <w:pPr>
              <w:jc w:val="center"/>
              <w:ind w:left="110"/>
              <w:spacing w:after="0"/>
              <w:rPr>
                <w:sz w:val="20"/>
                <w:szCs w:val="20"/>
                <w:color w:val="auto"/>
              </w:rPr>
            </w:pPr>
            <w:r>
              <w:rPr>
                <w:rFonts w:ascii="Arial" w:cs="Arial" w:eastAsia="Arial" w:hAnsi="Arial"/>
                <w:sz w:val="18"/>
                <w:szCs w:val="18"/>
                <w:color w:val="auto"/>
                <w:w w:val="86"/>
              </w:rPr>
              <w:t>194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138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3"/>
          </w:tcPr>
          <w:p>
            <w:pPr>
              <w:jc w:val="center"/>
              <w:ind w:left="110"/>
              <w:spacing w:after="0"/>
              <w:rPr>
                <w:sz w:val="20"/>
                <w:szCs w:val="20"/>
                <w:color w:val="auto"/>
              </w:rPr>
            </w:pPr>
            <w:r>
              <w:rPr>
                <w:rFonts w:ascii="Arial" w:cs="Arial" w:eastAsia="Arial" w:hAnsi="Arial"/>
                <w:sz w:val="18"/>
                <w:szCs w:val="18"/>
                <w:color w:val="auto"/>
                <w:w w:val="86"/>
              </w:rPr>
              <w:t>175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Foreign currency losses (gains), net (c)</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8"/>
              </w:rPr>
              <w:t>6,116</w:t>
            </w: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0"/>
              </w:rPr>
              <w:t>10,768</w:t>
            </w: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1"/>
              </w:rPr>
              <w:t>(6,272)</w:t>
            </w:r>
          </w:p>
        </w:tc>
        <w:tc>
          <w:tcPr>
            <w:tcW w:w="6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3"/>
              </w:rPr>
              <w:t>2,926</w:t>
            </w:r>
          </w:p>
        </w:tc>
        <w:tc>
          <w:tcPr>
            <w:tcW w:w="20" w:type="dxa"/>
            <w:vAlign w:val="bottom"/>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Other non-operating expense, net (d)</w:t>
            </w:r>
          </w:p>
        </w:tc>
        <w:tc>
          <w:tcPr>
            <w:tcW w:w="5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(87)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(23)</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(42)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Transaction-related costs (e)</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0"/>
              </w:rPr>
              <w:t>23,415</w:t>
            </w:r>
          </w:p>
        </w:tc>
        <w:tc>
          <w:tcPr>
            <w:tcW w:w="40" w:type="dxa"/>
            <w:vAlign w:val="bottom"/>
          </w:tcPr>
          <w:p>
            <w:pPr>
              <w:spacing w:after="0"/>
              <w:rPr>
                <w:sz w:val="21"/>
                <w:szCs w:val="21"/>
                <w:color w:val="auto"/>
              </w:rPr>
            </w:pPr>
          </w:p>
        </w:tc>
        <w:tc>
          <w:tcPr>
            <w:tcW w:w="54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87"/>
              </w:rPr>
              <w:t>36,852</w:t>
            </w:r>
          </w:p>
        </w:tc>
        <w:tc>
          <w:tcPr>
            <w:tcW w:w="60" w:type="dxa"/>
            <w:vAlign w:val="bottom"/>
          </w:tcPr>
          <w:p>
            <w:pPr>
              <w:spacing w:after="0"/>
              <w:rPr>
                <w:sz w:val="21"/>
                <w:szCs w:val="21"/>
                <w:color w:val="auto"/>
              </w:rPr>
            </w:pPr>
          </w:p>
        </w:tc>
        <w:tc>
          <w:tcPr>
            <w:tcW w:w="540" w:type="dxa"/>
            <w:vAlign w:val="bottom"/>
            <w:gridSpan w:val="3"/>
          </w:tcPr>
          <w:p>
            <w:pPr>
              <w:jc w:val="center"/>
              <w:ind w:left="110"/>
              <w:spacing w:after="0"/>
              <w:rPr>
                <w:sz w:val="20"/>
                <w:szCs w:val="20"/>
                <w:color w:val="auto"/>
              </w:rPr>
            </w:pPr>
            <w:r>
              <w:rPr>
                <w:rFonts w:ascii="Arial" w:cs="Arial" w:eastAsia="Arial" w:hAnsi="Arial"/>
                <w:sz w:val="18"/>
                <w:szCs w:val="18"/>
                <w:color w:val="auto"/>
                <w:w w:val="86"/>
              </w:rPr>
              <w:t>609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Acquisition-related costs (f)</w:t>
            </w:r>
          </w:p>
        </w:tc>
        <w:tc>
          <w:tcPr>
            <w:tcW w:w="5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3"/>
          </w:tcPr>
          <w:p>
            <w:pPr>
              <w:jc w:val="center"/>
              <w:ind w:left="110"/>
              <w:spacing w:after="0"/>
              <w:rPr>
                <w:sz w:val="20"/>
                <w:szCs w:val="20"/>
                <w:color w:val="auto"/>
              </w:rPr>
            </w:pPr>
            <w:r>
              <w:rPr>
                <w:rFonts w:ascii="Arial" w:cs="Arial" w:eastAsia="Arial" w:hAnsi="Arial"/>
                <w:sz w:val="18"/>
                <w:szCs w:val="18"/>
                <w:color w:val="auto"/>
                <w:w w:val="86"/>
              </w:rPr>
              <w:t>406</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gridSpan w:val="3"/>
          </w:tcPr>
          <w:p>
            <w:pPr>
              <w:jc w:val="center"/>
              <w:ind w:left="1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3"/>
              </w:rPr>
              <w:t>1,245</w:t>
            </w:r>
          </w:p>
        </w:tc>
        <w:tc>
          <w:tcPr>
            <w:tcW w:w="20" w:type="dxa"/>
            <w:vAlign w:val="bottom"/>
          </w:tcPr>
          <w:p>
            <w:pPr>
              <w:spacing w:after="0"/>
              <w:rPr>
                <w:sz w:val="21"/>
                <w:szCs w:val="2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Non-cash rent adjustment (g)</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5"/>
              </w:rPr>
              <w:t>(652)</w:t>
            </w: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3"/>
              </w:rPr>
              <w:t>1,087</w:t>
            </w:r>
          </w:p>
        </w:tc>
        <w:tc>
          <w:tcPr>
            <w:tcW w:w="40" w:type="dxa"/>
            <w:vAlign w:val="bottom"/>
          </w:tcPr>
          <w:p>
            <w:pPr>
              <w:spacing w:after="0"/>
              <w:rPr>
                <w:sz w:val="21"/>
                <w:szCs w:val="21"/>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1"/>
              </w:rPr>
              <w:t>(1,573)</w:t>
            </w:r>
          </w:p>
        </w:tc>
        <w:tc>
          <w:tcPr>
            <w:tcW w:w="60" w:type="dxa"/>
            <w:vAlign w:val="bottom"/>
          </w:tcPr>
          <w:p>
            <w:pPr>
              <w:spacing w:after="0"/>
              <w:rPr>
                <w:sz w:val="21"/>
                <w:szCs w:val="21"/>
                <w:color w:val="auto"/>
              </w:rPr>
            </w:pPr>
          </w:p>
        </w:tc>
        <w:tc>
          <w:tcPr>
            <w:tcW w:w="540" w:type="dxa"/>
            <w:vAlign w:val="bottom"/>
            <w:gridSpan w:val="3"/>
          </w:tcPr>
          <w:p>
            <w:pPr>
              <w:jc w:val="center"/>
              <w:ind w:left="110"/>
              <w:spacing w:after="0"/>
              <w:rPr>
                <w:sz w:val="20"/>
                <w:szCs w:val="20"/>
                <w:color w:val="auto"/>
              </w:rPr>
            </w:pPr>
            <w:r>
              <w:rPr>
                <w:rFonts w:ascii="Arial" w:cs="Arial" w:eastAsia="Arial" w:hAnsi="Arial"/>
                <w:sz w:val="18"/>
                <w:szCs w:val="18"/>
                <w:color w:val="auto"/>
                <w:w w:val="86"/>
              </w:rPr>
              <w:t>579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charges (h)</w:t>
            </w:r>
          </w:p>
        </w:tc>
        <w:tc>
          <w:tcPr>
            <w:tcW w:w="5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764</w:t>
            </w: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3"/>
              </w:rPr>
              <w:t>1,469</w:t>
            </w: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3,028</w:t>
            </w: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3"/>
              </w:rPr>
              <w:t>1,750</w:t>
            </w:r>
          </w:p>
        </w:tc>
        <w:tc>
          <w:tcPr>
            <w:tcW w:w="20" w:type="dxa"/>
            <w:vAlign w:val="bottom"/>
            <w:tcBorders>
              <w:bottom w:val="single" w:sz="8" w:color="auto"/>
            </w:tcBorders>
          </w:tcPr>
          <w:p>
            <w:pPr>
              <w:spacing w:after="0"/>
              <w:rPr>
                <w:sz w:val="21"/>
                <w:szCs w:val="21"/>
                <w:color w:val="auto"/>
              </w:rPr>
            </w:pPr>
          </w:p>
        </w:tc>
      </w:t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Adjusted pre-tax income</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9"/>
              </w:rPr>
              <w:t>124,572</w:t>
            </w:r>
          </w:p>
        </w:tc>
        <w:tc>
          <w:tcPr>
            <w:tcW w:w="40" w:type="dxa"/>
            <w:vAlign w:val="bottom"/>
          </w:tcPr>
          <w:p>
            <w:pPr>
              <w:spacing w:after="0"/>
              <w:rPr>
                <w:sz w:val="20"/>
                <w:szCs w:val="20"/>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0"/>
              </w:rPr>
              <w:t>71,745</w:t>
            </w:r>
          </w:p>
        </w:tc>
        <w:tc>
          <w:tcPr>
            <w:tcW w:w="40" w:type="dxa"/>
            <w:vAlign w:val="bottom"/>
          </w:tcPr>
          <w:p>
            <w:pPr>
              <w:spacing w:after="0"/>
              <w:rPr>
                <w:sz w:val="20"/>
                <w:szCs w:val="20"/>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2"/>
              </w:rPr>
              <w:t>240,901</w:t>
            </w:r>
          </w:p>
        </w:tc>
        <w:tc>
          <w:tcPr>
            <w:tcW w:w="60" w:type="dxa"/>
            <w:vAlign w:val="bottom"/>
          </w:tcPr>
          <w:p>
            <w:pPr>
              <w:spacing w:after="0"/>
              <w:rPr>
                <w:sz w:val="20"/>
                <w:szCs w:val="20"/>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89"/>
              </w:rPr>
              <w:t>159,179</w:t>
            </w:r>
          </w:p>
        </w:tc>
        <w:tc>
          <w:tcPr>
            <w:tcW w:w="20" w:type="dxa"/>
            <w:vAlign w:val="bottom"/>
          </w:tcPr>
          <w:p>
            <w:pPr>
              <w:spacing w:after="0"/>
              <w:rPr>
                <w:sz w:val="20"/>
                <w:szCs w:val="20"/>
                <w:color w:val="auto"/>
              </w:rPr>
            </w:pPr>
          </w:p>
        </w:tc>
      </w:tr>
      <w:tr>
        <w:trPr>
          <w:trHeight w:val="24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tax expense (i)</w:t>
            </w: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28,651</w:t>
            </w: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16,501</w:t>
            </w: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55,407</w:t>
            </w: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36,611</w:t>
            </w:r>
          </w:p>
        </w:tc>
        <w:tc>
          <w:tcPr>
            <w:tcW w:w="20" w:type="dxa"/>
            <w:vAlign w:val="bottom"/>
            <w:tcBorders>
              <w:bottom w:val="single" w:sz="8" w:color="auto"/>
            </w:tcBorders>
          </w:tcPr>
          <w:p>
            <w:pPr>
              <w:spacing w:after="0"/>
              <w:rPr>
                <w:sz w:val="21"/>
                <w:szCs w:val="21"/>
                <w:color w:val="auto"/>
              </w:rPr>
            </w:pPr>
          </w:p>
        </w:tc>
      </w:tr>
      <w:tr>
        <w:trPr>
          <w:trHeight w:val="239"/>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net income</w:t>
            </w: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95,921</w:t>
            </w: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55,244</w:t>
            </w: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185,494</w:t>
            </w: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122,568</w:t>
            </w:r>
          </w:p>
        </w:tc>
        <w:tc>
          <w:tcPr>
            <w:tcW w:w="20" w:type="dxa"/>
            <w:vAlign w:val="bottom"/>
            <w:tcBorders>
              <w:bottom w:val="single" w:sz="8" w:color="auto"/>
            </w:tcBorders>
          </w:tcPr>
          <w:p>
            <w:pPr>
              <w:spacing w:after="0"/>
              <w:rPr>
                <w:sz w:val="20"/>
                <w:szCs w:val="20"/>
                <w:color w:val="auto"/>
              </w:rPr>
            </w:pPr>
          </w:p>
        </w:tc>
      </w:tr>
      <w:tr>
        <w:trPr>
          <w:trHeight w:val="470"/>
        </w:trPr>
        <w:tc>
          <w:tcPr>
            <w:tcW w:w="4160" w:type="dxa"/>
            <w:vAlign w:val="bottom"/>
          </w:tcPr>
          <w:p>
            <w:pPr>
              <w:spacing w:after="0"/>
              <w:rPr>
                <w:sz w:val="20"/>
                <w:szCs w:val="20"/>
                <w:color w:val="auto"/>
              </w:rPr>
            </w:pPr>
            <w:r>
              <w:rPr>
                <w:rFonts w:ascii="Arial" w:cs="Arial" w:eastAsia="Arial" w:hAnsi="Arial"/>
                <w:sz w:val="18"/>
                <w:szCs w:val="18"/>
                <w:color w:val="auto"/>
                <w:w w:val="95"/>
              </w:rPr>
              <w:t>Diluted weighted average common shares outstanding</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0"/>
              </w:rPr>
              <w:t>67,166</w:t>
            </w:r>
          </w:p>
        </w:tc>
        <w:tc>
          <w:tcPr>
            <w:tcW w:w="40" w:type="dxa"/>
            <w:vAlign w:val="bottom"/>
          </w:tcPr>
          <w:p>
            <w:pPr>
              <w:spacing w:after="0"/>
              <w:rPr>
                <w:sz w:val="24"/>
                <w:szCs w:val="24"/>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0"/>
              </w:rPr>
              <w:t>64,457</w:t>
            </w:r>
          </w:p>
        </w:tc>
        <w:tc>
          <w:tcPr>
            <w:tcW w:w="40" w:type="dxa"/>
            <w:vAlign w:val="bottom"/>
          </w:tcPr>
          <w:p>
            <w:pPr>
              <w:spacing w:after="0"/>
              <w:rPr>
                <w:sz w:val="24"/>
                <w:szCs w:val="24"/>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87"/>
              </w:rPr>
              <w:t>66,670</w:t>
            </w:r>
          </w:p>
        </w:tc>
        <w:tc>
          <w:tcPr>
            <w:tcW w:w="60" w:type="dxa"/>
            <w:vAlign w:val="bottom"/>
          </w:tcPr>
          <w:p>
            <w:pPr>
              <w:spacing w:after="0"/>
              <w:rPr>
                <w:sz w:val="24"/>
                <w:szCs w:val="24"/>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0"/>
              </w:rPr>
              <w:t>64,398</w:t>
            </w:r>
          </w:p>
        </w:tc>
        <w:tc>
          <w:tcPr>
            <w:tcW w:w="20" w:type="dxa"/>
            <w:vAlign w:val="bottom"/>
          </w:tcPr>
          <w:p>
            <w:pPr>
              <w:spacing w:after="0"/>
              <w:rPr>
                <w:sz w:val="24"/>
                <w:szCs w:val="24"/>
                <w:color w:val="auto"/>
              </w:rPr>
            </w:pPr>
          </w:p>
        </w:tc>
      </w:tr>
      <w:tr>
        <w:trPr>
          <w:trHeight w:val="493"/>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net income per diluted share</w:t>
            </w:r>
          </w:p>
        </w:tc>
        <w:tc>
          <w:tcPr>
            <w:tcW w:w="5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1"/>
              </w:rPr>
              <w:t>1.43</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85"/>
              </w:rPr>
              <w:t>0.86</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1"/>
              </w:rPr>
              <w:t>2.78</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85"/>
              </w:rPr>
              <w:t>1.90</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Stock-based compensation expense represents the amount of recurring non-cash expense related to the Company’s equity compensation programs.</w:t>
      </w:r>
    </w:p>
    <w:p>
      <w:pPr>
        <w:spacing w:after="0" w:line="59" w:lineRule="exact"/>
        <w:rPr>
          <w:sz w:val="20"/>
          <w:szCs w:val="20"/>
          <w:color w:val="auto"/>
        </w:rPr>
      </w:pPr>
    </w:p>
    <w:p>
      <w:pPr>
        <w:ind w:left="140" w:hanging="132"/>
        <w:spacing w:after="0" w:line="260" w:lineRule="auto"/>
        <w:rPr>
          <w:sz w:val="20"/>
          <w:szCs w:val="20"/>
          <w:color w:val="auto"/>
        </w:rPr>
      </w:pPr>
      <w:r>
        <w:rPr>
          <w:rFonts w:ascii="Arial" w:cs="Arial" w:eastAsia="Arial" w:hAnsi="Arial"/>
          <w:sz w:val="18"/>
          <w:szCs w:val="18"/>
          <w:color w:val="auto"/>
        </w:rPr>
        <w:t>b Loss (gains) on disposal of fixed assets represents the costs incurred in connection with the sale or disposition of fixed assets, primarily IT equipment and furniture and fixtures. We exclude these losses from adjusted EBITDA and adjusted net income because they result from investing decisions rather than from decisions made related to our ongoing operations.</w:t>
      </w:r>
    </w:p>
    <w:p>
      <w:pPr>
        <w:spacing w:after="0" w:line="2" w:lineRule="exact"/>
        <w:rPr>
          <w:sz w:val="20"/>
          <w:szCs w:val="20"/>
          <w:color w:val="auto"/>
        </w:rPr>
      </w:pPr>
    </w:p>
    <w:p>
      <w:pPr>
        <w:ind w:left="140" w:hanging="127"/>
        <w:spacing w:after="0" w:line="255" w:lineRule="auto"/>
        <w:rPr>
          <w:sz w:val="20"/>
          <w:szCs w:val="20"/>
          <w:color w:val="auto"/>
        </w:rPr>
      </w:pPr>
      <w:r>
        <w:rPr>
          <w:rFonts w:ascii="Arial" w:cs="Arial" w:eastAsia="Arial" w:hAnsi="Arial"/>
          <w:sz w:val="18"/>
          <w:szCs w:val="18"/>
          <w:color w:val="auto"/>
        </w:rPr>
        <w:t>c Foreign currency losses (gains), net primarily relates to gains or losses that arise in connection with the revaluation of short-term inter-company balances between our domestic and international subsidiaries. In addition, this amount includes gains or losses from foreign currency transactions, such as those resulting from the settlement of third-party accounts receivable and payables denominated in a currency other than the local currency of the entity making the payment. We exclude these gains and losses from adjusted EBITDA and adjusted net income because they result from financing decisions rather than from decisions made related to our ongoing operations and because fluctuations from period- to- period do not necessarily correspond to changes in our operating results.</w:t>
      </w:r>
    </w:p>
    <w:p>
      <w:pPr>
        <w:spacing w:after="0" w:line="3" w:lineRule="exact"/>
        <w:rPr>
          <w:sz w:val="20"/>
          <w:szCs w:val="20"/>
          <w:color w:val="auto"/>
        </w:rPr>
      </w:pPr>
    </w:p>
    <w:p>
      <w:pPr>
        <w:ind w:left="140" w:hanging="132"/>
        <w:spacing w:after="0" w:line="266" w:lineRule="auto"/>
        <w:rPr>
          <w:sz w:val="20"/>
          <w:szCs w:val="20"/>
          <w:color w:val="auto"/>
        </w:rPr>
      </w:pPr>
      <w:r>
        <w:rPr>
          <w:rFonts w:ascii="Arial" w:cs="Arial" w:eastAsia="Arial" w:hAnsi="Arial"/>
          <w:sz w:val="18"/>
          <w:szCs w:val="18"/>
          <w:color w:val="auto"/>
        </w:rPr>
        <w:t>d Other non-operating expense, net represents income and expense that are non-operating and whose fluctuations from period- to- period do not necessarily correspond to changes in our operating results.</w:t>
      </w:r>
    </w:p>
    <w:p>
      <w:pPr>
        <w:ind w:left="140" w:right="40" w:hanging="127"/>
        <w:spacing w:after="0" w:line="260" w:lineRule="auto"/>
        <w:rPr>
          <w:sz w:val="20"/>
          <w:szCs w:val="20"/>
          <w:color w:val="auto"/>
        </w:rPr>
      </w:pPr>
      <w:r>
        <w:rPr>
          <w:rFonts w:ascii="Arial" w:cs="Arial" w:eastAsia="Arial" w:hAnsi="Arial"/>
          <w:sz w:val="18"/>
          <w:szCs w:val="18"/>
          <w:color w:val="auto"/>
        </w:rPr>
        <w:t>e Transaction-related costs include fees associated with costs associated with acquisition related earn-out liabilities, our secondary offerings, stock-based compensation expense related to the transfer restrictions on vested options, the amendment to our accounts receivable financing agreement, and expenses associated with our acquisitions.</w:t>
      </w:r>
    </w:p>
    <w:p>
      <w:pPr>
        <w:spacing w:after="0" w:line="2" w:lineRule="exact"/>
        <w:rPr>
          <w:sz w:val="20"/>
          <w:szCs w:val="20"/>
          <w:color w:val="auto"/>
        </w:rPr>
      </w:pPr>
    </w:p>
    <w:p>
      <w:pPr>
        <w:ind w:left="140" w:right="420" w:hanging="115"/>
        <w:spacing w:after="0" w:line="266" w:lineRule="auto"/>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Acquisition-related costs primarily consist of professional fees, rebranding costs, the elimination of redundant facilities and any other costs incurred directly related to the integration of these acquisitions.</w:t>
      </w:r>
    </w:p>
    <w:p>
      <w:pPr>
        <w:ind w:left="140" w:right="320" w:hanging="132"/>
        <w:spacing w:after="0" w:line="299" w:lineRule="auto"/>
        <w:rPr>
          <w:sz w:val="20"/>
          <w:szCs w:val="20"/>
          <w:color w:val="auto"/>
        </w:rPr>
      </w:pPr>
      <w:r>
        <w:rPr>
          <w:rFonts w:ascii="Arial" w:cs="Arial" w:eastAsia="Arial" w:hAnsi="Arial"/>
          <w:sz w:val="16"/>
          <w:szCs w:val="16"/>
          <w:color w:val="auto"/>
        </w:rPr>
        <w:t>g We have escalating leases that require the amortization of rent expense on a straight-line basis over the life of the lease. The non-cash rent adjustment represents the difference between rent expense recorded in the consolidated statement of operations and the amount of cash actually paid.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Represents charges incurred that are not considered part of our core operating results.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Represents the tax effect of adjusted pre-tax income at our estimated 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Investor Relations +1 888 381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231" w:lineRule="auto"/>
        <w:rPr>
          <w:sz w:val="20"/>
          <w:szCs w:val="20"/>
          <w:color w:val="auto"/>
        </w:rPr>
      </w:pPr>
      <w:r>
        <w:rPr>
          <w:rFonts w:ascii="Arial" w:cs="Arial" w:eastAsia="Arial" w:hAnsi="Arial"/>
          <w:sz w:val="22"/>
          <w:szCs w:val="22"/>
          <w:color w:val="auto"/>
        </w:rPr>
        <w:t>Jonathan Curtain Vice President Corporate Finance &amp; Investor Relations +353 1 291 2000</w:t>
      </w:r>
    </w:p>
    <w:p>
      <w:pPr>
        <w:spacing w:after="0"/>
        <w:rPr>
          <w:sz w:val="20"/>
          <w:szCs w:val="20"/>
          <w:color w:val="auto"/>
        </w:rPr>
      </w:pPr>
      <w:r>
        <w:rPr>
          <w:rFonts w:ascii="Arial" w:cs="Arial" w:eastAsia="Arial" w:hAnsi="Arial"/>
          <w:sz w:val="22"/>
          <w:szCs w:val="22"/>
          <w:color w:val="auto"/>
        </w:rPr>
        <w:t>http://www.iconplc.com</w:t>
      </w:r>
    </w:p>
    <w:sectPr>
      <w:pgSz w:w="11900" w:h="16838" w:orient="portrait"/>
      <w:cols w:equalWidth="0" w:num="1">
        <w:col w:w="11220"/>
      </w:cols>
      <w:pgMar w:left="320" w:top="328" w:right="359" w:bottom="8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f"/>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2021-07-21T15:22:33Z</dcterms:created>
  <dcterms:modified xsi:type="dcterms:W3CDTF">2021-07-21T15:22:33Z</dcterms:modified>
</cp:coreProperties>
</file>