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October, 2014</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62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59"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2014 we had approximately 10,700 employees, in 83 locations in 38 countries. During the nine months ended September 30, 2014 we derived approximately 39.6%, 49.4% and 11.0%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7, 2014 the Company acquired 100% of the common stock of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w:t>
      </w:r>
      <w:r>
        <w:rPr>
          <w:rFonts w:ascii="Arial" w:cs="Arial" w:eastAsia="Arial" w:hAnsi="Arial"/>
          <w:sz w:val="17"/>
          <w:szCs w:val="17"/>
          <w:i w:val="1"/>
          <w:iCs w:val="1"/>
          <w:color w:val="auto"/>
        </w:rPr>
        <w:t>see note 3 Business Combinations for further information)</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On September 19,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 During the nine months ended September 30, 2014, 882,448 ordinary shares were redeemed by the Company under the programs for a total consideration of $44.5 million. </w:t>
      </w:r>
      <w:r>
        <w:rPr>
          <w:rFonts w:ascii="Arial" w:cs="Arial" w:eastAsia="Arial" w:hAnsi="Arial"/>
          <w:sz w:val="16"/>
          <w:szCs w:val="16"/>
          <w:i w:val="1"/>
          <w:iCs w:val="1"/>
          <w:color w:val="auto"/>
        </w:rPr>
        <w:t>(See note 8 Share Capital for further information.</w:t>
      </w:r>
      <w:r>
        <w:rPr>
          <w:rFonts w:ascii="Arial" w:cs="Arial" w:eastAsia="Arial" w:hAnsi="Arial"/>
          <w:sz w:val="16"/>
          <w:szCs w:val="16"/>
          <w:color w:val="auto"/>
        </w:rPr>
        <w: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SEPTEMBER 30, 2014 AND DECEMBER 31,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September</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r>
      <w:tr>
        <w:trPr>
          <w:trHeight w:val="22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153,576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182,519</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95,036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138,317</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372,953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342,581</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140,429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113,239</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15,077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14,415</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25,635</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28,644</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33,060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24,664</w:t>
            </w:r>
          </w:p>
        </w:tc>
      </w:tr>
      <w:tr>
        <w:trPr>
          <w:trHeight w:val="250"/>
        </w:trPr>
        <w:tc>
          <w:tcPr>
            <w:tcW w:w="20" w:type="dxa"/>
            <w:vAlign w:val="bottom"/>
          </w:tcPr>
          <w:p>
            <w:pPr>
              <w:spacing w:after="0"/>
              <w:rPr>
                <w:sz w:val="21"/>
                <w:szCs w:val="21"/>
                <w:color w:val="auto"/>
              </w:rPr>
            </w:pPr>
          </w:p>
        </w:tc>
        <w:tc>
          <w:tcPr>
            <w:tcW w:w="7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w:t>
            </w:r>
          </w:p>
        </w:tc>
        <w:tc>
          <w:tcPr>
            <w:tcW w:w="1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24,137</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9,049</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859,903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853,428</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Assets:</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154,748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160,830</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498,121</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357,523</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10,368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6,732</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14,354</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25,172</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9,983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r>
      <w:tr>
        <w:trPr>
          <w:trHeight w:val="250"/>
        </w:trPr>
        <w:tc>
          <w:tcPr>
            <w:tcW w:w="20" w:type="dxa"/>
            <w:vAlign w:val="bottom"/>
          </w:tcPr>
          <w:p>
            <w:pPr>
              <w:spacing w:after="0"/>
              <w:rPr>
                <w:sz w:val="21"/>
                <w:szCs w:val="21"/>
                <w:color w:val="auto"/>
              </w:rPr>
            </w:pPr>
          </w:p>
        </w:tc>
        <w:tc>
          <w:tcPr>
            <w:tcW w:w="7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w:t>
            </w:r>
          </w:p>
        </w:tc>
        <w:tc>
          <w:tcPr>
            <w:tcW w:w="1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25,249</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31,354</w:t>
            </w:r>
          </w:p>
        </w:tc>
      </w:tr>
      <w:tr>
        <w:trPr>
          <w:trHeight w:val="257"/>
        </w:trPr>
        <w:tc>
          <w:tcPr>
            <w:tcW w:w="20" w:type="dxa"/>
            <w:vAlign w:val="bottom"/>
          </w:tcPr>
          <w:p>
            <w:pPr>
              <w:spacing w:after="0"/>
              <w:rPr>
                <w:sz w:val="22"/>
                <w:szCs w:val="22"/>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1,572,726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1,442,460</w:t>
            </w: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5,913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4,594</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294,063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297,347</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225,602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194,812</w:t>
            </w: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10,598</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536,176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501,169</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8,149</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11,198</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5,082</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5,288</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10,972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12,867</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Shareholders' Equity:</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61,571,141 shares issued and outstanding at September 30, 2014 and</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61,587,257 shares issued and outstanding at December 31, 2013</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5,168</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316,630</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279,572</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redemption reserve</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(17,336)</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1,960</w:t>
            </w: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706,534</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623,779</w:t>
            </w: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1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1,011,158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910,579</w:t>
            </w:r>
          </w:p>
        </w:tc>
      </w:tr>
      <w:tr>
        <w:trPr>
          <w:trHeight w:val="257"/>
        </w:trPr>
        <w:tc>
          <w:tcPr>
            <w:tcW w:w="20" w:type="dxa"/>
            <w:vAlign w:val="bottom"/>
          </w:tcPr>
          <w:p>
            <w:pPr>
              <w:spacing w:after="0"/>
              <w:rPr>
                <w:sz w:val="22"/>
                <w:szCs w:val="22"/>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1,572,726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1,442,460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ICON plc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14"/>
          </w:tcPr>
          <w:p>
            <w:pPr>
              <w:jc w:val="center"/>
              <w:ind w:left="25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1"/>
          </w:tcPr>
          <w:p>
            <w:pPr>
              <w:jc w:val="center"/>
              <w:ind w:left="1210"/>
              <w:spacing w:after="0"/>
              <w:rPr>
                <w:sz w:val="20"/>
                <w:szCs w:val="20"/>
                <w:color w:val="auto"/>
              </w:rPr>
            </w:pPr>
            <w:r>
              <w:rPr>
                <w:rFonts w:ascii="Arial" w:cs="Arial" w:eastAsia="Arial" w:hAnsi="Arial"/>
                <w:sz w:val="18"/>
                <w:szCs w:val="18"/>
                <w:b w:val="1"/>
                <w:bCs w:val="1"/>
                <w:color w:val="auto"/>
                <w:w w:val="98"/>
              </w:rPr>
              <w:t>FOR THE THREE AND NINE MONTHS ENDED SEPTEMBER 30, 2014 AND SEPTEMBER 30, 2013</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00" w:type="dxa"/>
            <w:vAlign w:val="bottom"/>
          </w:tcPr>
          <w:p>
            <w:pPr>
              <w:jc w:val="center"/>
              <w:ind w:left="33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540" w:type="dxa"/>
            <w:vAlign w:val="bottom"/>
            <w:gridSpan w:val="4"/>
            <w:vMerge w:val="restart"/>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11"/>
            <w:vMerge w:val="restart"/>
          </w:tcPr>
          <w:p>
            <w:pPr>
              <w:jc w:val="right"/>
              <w:ind w:right="58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6"/>
            <w:vMerge w:val="continue"/>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Arial" w:cs="Arial" w:eastAsia="Arial" w:hAnsi="Arial"/>
                <w:sz w:val="18"/>
                <w:szCs w:val="18"/>
                <w:b w:val="1"/>
                <w:bCs w:val="1"/>
                <w:color w:val="auto"/>
                <w:w w:val="98"/>
              </w:rPr>
              <w:t>September</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16"/>
          </w:tcPr>
          <w:p>
            <w:pPr>
              <w:jc w:val="right"/>
              <w:ind w:right="130"/>
              <w:spacing w:after="0"/>
              <w:rPr>
                <w:sz w:val="20"/>
                <w:szCs w:val="20"/>
                <w:color w:val="auto"/>
              </w:rPr>
            </w:pPr>
            <w:r>
              <w:rPr>
                <w:rFonts w:ascii="Arial" w:cs="Arial" w:eastAsia="Arial" w:hAnsi="Arial"/>
                <w:sz w:val="18"/>
                <w:szCs w:val="18"/>
                <w:b w:val="1"/>
                <w:bCs w:val="1"/>
                <w:color w:val="auto"/>
                <w:w w:val="90"/>
              </w:rPr>
              <w:t>(in thousands except share and per share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data)</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519,127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445,598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1,502,075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1,334,283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1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(131,538)</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(105,788)</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(388,832)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(343,465)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7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387,589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339,810</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1,113,243</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990,818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Costs and expenses:</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7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229,963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213,666</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673,291</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630,258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700" w:type="dxa"/>
            <w:vAlign w:val="bottom"/>
          </w:tcPr>
          <w:p>
            <w:pPr>
              <w:spacing w:after="0"/>
              <w:rPr>
                <w:sz w:val="18"/>
                <w:szCs w:val="18"/>
                <w:color w:val="auto"/>
              </w:rPr>
            </w:pPr>
          </w:p>
        </w:tc>
        <w:tc>
          <w:tcPr>
            <w:tcW w:w="980" w:type="dxa"/>
            <w:vAlign w:val="bottom"/>
            <w:gridSpan w:val="6"/>
          </w:tcPr>
          <w:p>
            <w:pPr>
              <w:jc w:val="right"/>
              <w:ind w:right="120"/>
              <w:spacing w:after="0"/>
              <w:rPr>
                <w:sz w:val="20"/>
                <w:szCs w:val="20"/>
                <w:color w:val="auto"/>
              </w:rPr>
            </w:pPr>
            <w:r>
              <w:rPr>
                <w:rFonts w:ascii="Arial" w:cs="Arial" w:eastAsia="Arial" w:hAnsi="Arial"/>
                <w:sz w:val="18"/>
                <w:szCs w:val="18"/>
                <w:color w:val="auto"/>
              </w:rPr>
              <w:t>84,466</w:t>
            </w:r>
          </w:p>
        </w:tc>
        <w:tc>
          <w:tcPr>
            <w:tcW w:w="42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81,408</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251,036</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234,520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13,737</w:t>
            </w:r>
          </w:p>
        </w:tc>
        <w:tc>
          <w:tcPr>
            <w:tcW w:w="4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11,575</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38,207</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Restructuring and other items</w:t>
            </w:r>
          </w:p>
        </w:tc>
        <w:tc>
          <w:tcPr>
            <w:tcW w:w="1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costs and expenses</w:t>
            </w:r>
          </w:p>
        </w:tc>
        <w:tc>
          <w:tcPr>
            <w:tcW w:w="1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328,166</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306,649</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962,534</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908,362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700" w:type="dxa"/>
            <w:vAlign w:val="bottom"/>
          </w:tcPr>
          <w:p>
            <w:pPr>
              <w:spacing w:after="0"/>
              <w:rPr>
                <w:sz w:val="18"/>
                <w:szCs w:val="18"/>
                <w:color w:val="auto"/>
              </w:rPr>
            </w:pPr>
          </w:p>
        </w:tc>
        <w:tc>
          <w:tcPr>
            <w:tcW w:w="980" w:type="dxa"/>
            <w:vAlign w:val="bottom"/>
            <w:gridSpan w:val="6"/>
          </w:tcPr>
          <w:p>
            <w:pPr>
              <w:jc w:val="right"/>
              <w:ind w:right="120"/>
              <w:spacing w:after="0"/>
              <w:rPr>
                <w:sz w:val="20"/>
                <w:szCs w:val="20"/>
                <w:color w:val="auto"/>
              </w:rPr>
            </w:pPr>
            <w:r>
              <w:rPr>
                <w:rFonts w:ascii="Arial" w:cs="Arial" w:eastAsia="Arial" w:hAnsi="Arial"/>
                <w:sz w:val="18"/>
                <w:szCs w:val="18"/>
                <w:color w:val="auto"/>
              </w:rPr>
              <w:t>59,423</w:t>
            </w:r>
          </w:p>
        </w:tc>
        <w:tc>
          <w:tcPr>
            <w:tcW w:w="42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33,161</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150,709</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874</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(158)</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(279)</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(712)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700" w:type="dxa"/>
            <w:vAlign w:val="bottom"/>
          </w:tcPr>
          <w:p>
            <w:pPr>
              <w:spacing w:after="0"/>
              <w:rPr>
                <w:sz w:val="18"/>
                <w:szCs w:val="18"/>
                <w:color w:val="auto"/>
              </w:rPr>
            </w:pPr>
          </w:p>
        </w:tc>
        <w:tc>
          <w:tcPr>
            <w:tcW w:w="980" w:type="dxa"/>
            <w:vAlign w:val="bottom"/>
            <w:gridSpan w:val="6"/>
          </w:tcPr>
          <w:p>
            <w:pPr>
              <w:jc w:val="right"/>
              <w:ind w:right="120"/>
              <w:spacing w:after="0"/>
              <w:rPr>
                <w:sz w:val="20"/>
                <w:szCs w:val="20"/>
                <w:color w:val="auto"/>
              </w:rPr>
            </w:pPr>
            <w:r>
              <w:rPr>
                <w:rFonts w:ascii="Arial" w:cs="Arial" w:eastAsia="Arial" w:hAnsi="Arial"/>
                <w:sz w:val="18"/>
                <w:szCs w:val="18"/>
                <w:color w:val="auto"/>
              </w:rPr>
              <w:t>59,532</w:t>
            </w:r>
          </w:p>
        </w:tc>
        <w:tc>
          <w:tcPr>
            <w:tcW w:w="42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33,105</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150,871</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82,115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(9,216)</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(5,297)</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(23,577)</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50,316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27,808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127,294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69,332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0.81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0.79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0.45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Ordinary Shares outstanding:</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3"/>
              </w:rPr>
              <w:t>61,878,429</w:t>
            </w:r>
          </w:p>
        </w:tc>
        <w:tc>
          <w:tcPr>
            <w:tcW w:w="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0"/>
              </w:rPr>
              <w:t>61,069,260</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61,863,332</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60,732,605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3"/>
              </w:rPr>
              <w:t>63,442,607</w:t>
            </w:r>
          </w:p>
        </w:tc>
        <w:tc>
          <w:tcPr>
            <w:tcW w:w="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0"/>
              </w:rPr>
              <w:t>62,473,645</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63,434,260</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61,977,026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b w:val="1"/>
                <w:bCs w:val="1"/>
                <w:color w:val="auto"/>
                <w:w w:val="97"/>
              </w:rPr>
              <w:t>ICON plc</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3"/>
          </w:tcPr>
          <w:p>
            <w:pPr>
              <w:jc w:val="center"/>
              <w:ind w:left="1230"/>
              <w:spacing w:after="0"/>
              <w:rPr>
                <w:sz w:val="20"/>
                <w:szCs w:val="20"/>
                <w:color w:val="auto"/>
              </w:rPr>
            </w:pPr>
            <w:r>
              <w:rPr>
                <w:rFonts w:ascii="Arial" w:cs="Arial" w:eastAsia="Arial" w:hAnsi="Arial"/>
                <w:sz w:val="18"/>
                <w:szCs w:val="18"/>
                <w:b w:val="1"/>
                <w:bCs w:val="1"/>
                <w:color w:val="auto"/>
                <w:w w:val="97"/>
              </w:rPr>
              <w:t>FOR THE NINE MONTHS ENDED SEPTEMBER 30, 2014 AND SEPTEMBER 30, 2013</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jc w:val="center"/>
              <w:ind w:left="2690"/>
              <w:spacing w:after="0"/>
              <w:rPr>
                <w:sz w:val="20"/>
                <w:szCs w:val="20"/>
                <w:color w:val="auto"/>
              </w:rPr>
            </w:pPr>
            <w:r>
              <w:rPr>
                <w:rFonts w:ascii="Arial" w:cs="Arial" w:eastAsia="Arial" w:hAnsi="Arial"/>
                <w:sz w:val="18"/>
                <w:szCs w:val="18"/>
                <w:b w:val="1"/>
                <w:bCs w:val="1"/>
                <w:color w:val="auto"/>
              </w:rPr>
              <w:t>(UNAUDITED)</w:t>
            </w:r>
          </w:p>
        </w:tc>
        <w:tc>
          <w:tcPr>
            <w:tcW w:w="400" w:type="dxa"/>
            <w:vAlign w:val="bottom"/>
          </w:tcPr>
          <w:p>
            <w:pPr>
              <w:spacing w:after="0"/>
              <w:rPr>
                <w:sz w:val="20"/>
                <w:szCs w:val="20"/>
                <w:color w:val="auto"/>
              </w:rPr>
            </w:pPr>
          </w:p>
        </w:tc>
        <w:tc>
          <w:tcPr>
            <w:tcW w:w="2400" w:type="dxa"/>
            <w:vAlign w:val="bottom"/>
            <w:gridSpan w:val="3"/>
            <w:vMerge w:val="restart"/>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September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September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20"/>
                <w:szCs w:val="20"/>
                <w:color w:val="auto"/>
              </w:rPr>
            </w:pPr>
          </w:p>
        </w:tc>
        <w:tc>
          <w:tcPr>
            <w:tcW w:w="24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86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127,294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4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30,794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7,413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Amortization of grants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compensation expense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16,396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 in accounts receivable</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unbilled revenue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 decrease in other receivables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Increase in other non current assets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payments on account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(Decrease)/ increase in other current liabilities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(18,860)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Decrease in income taxes payable</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(Decrease)/ increase in accounts payable</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94,730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(121,101)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(57,102)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100,547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in restricted cash, net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share options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18,615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Share issuance costs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Repurchase of ordinary shares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(44,506)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Share repurchase costs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(24,151)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(28,943)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182,519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153,576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156,459</w:t>
            </w:r>
          </w:p>
        </w:tc>
        <w:tc>
          <w:tcPr>
            <w:tcW w:w="0" w:type="dxa"/>
            <w:vAlign w:val="bottom"/>
          </w:tcPr>
          <w:p>
            <w:pPr>
              <w:spacing w:after="0"/>
              <w:rPr>
                <w:sz w:val="1"/>
                <w:szCs w:val="1"/>
                <w:color w:val="auto"/>
              </w:rPr>
            </w:pPr>
          </w:p>
        </w:tc>
      </w:tr>
      <w:tr>
        <w:trPr>
          <w:trHeight w:val="426"/>
        </w:trPr>
        <w:tc>
          <w:tcPr>
            <w:tcW w:w="862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620" w:type="dxa"/>
            <w:vAlign w:val="bottom"/>
            <w:gridSpan w:val="2"/>
          </w:tcPr>
          <w:p>
            <w:pPr>
              <w:jc w:val="center"/>
              <w:ind w:left="2710"/>
              <w:spacing w:after="0"/>
              <w:rPr>
                <w:sz w:val="20"/>
                <w:szCs w:val="20"/>
                <w:color w:val="auto"/>
              </w:rPr>
            </w:pPr>
            <w:r>
              <w:rPr>
                <w:rFonts w:ascii="Arial" w:cs="Arial" w:eastAsia="Arial" w:hAnsi="Arial"/>
                <w:sz w:val="18"/>
                <w:szCs w:val="18"/>
                <w:color w:val="auto"/>
                <w:w w:val="99"/>
              </w:rPr>
              <w:t>5</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3"/>
              </w:rPr>
              <w:t>Accumulated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Additional</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w w:val="89"/>
              </w:rPr>
              <w:t>Capital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w w:val="88"/>
              </w:rPr>
              <w:t>Redemption</w:t>
            </w:r>
          </w:p>
        </w:tc>
        <w:tc>
          <w:tcPr>
            <w:tcW w:w="60" w:type="dxa"/>
            <w:vAlign w:val="bottom"/>
          </w:tcPr>
          <w:p>
            <w:pPr>
              <w:spacing w:after="0"/>
              <w:rPr>
                <w:sz w:val="17"/>
                <w:szCs w:val="17"/>
                <w:color w:val="auto"/>
              </w:rPr>
            </w:pPr>
          </w:p>
        </w:tc>
        <w:tc>
          <w:tcPr>
            <w:tcW w:w="1360" w:type="dxa"/>
            <w:vAlign w:val="bottom"/>
            <w:gridSpan w:val="6"/>
          </w:tcPr>
          <w:p>
            <w:pPr>
              <w:jc w:val="right"/>
              <w:ind w:right="120"/>
              <w:spacing w:after="0" w:line="196" w:lineRule="exact"/>
              <w:rPr>
                <w:sz w:val="20"/>
                <w:szCs w:val="20"/>
                <w:color w:val="auto"/>
              </w:rPr>
            </w:pPr>
            <w:r>
              <w:rPr>
                <w:rFonts w:ascii="Arial" w:cs="Arial" w:eastAsia="Arial" w:hAnsi="Arial"/>
                <w:sz w:val="18"/>
                <w:szCs w:val="18"/>
                <w:b w:val="1"/>
                <w:bCs w:val="1"/>
                <w:color w:val="auto"/>
                <w:w w:val="90"/>
              </w:rPr>
              <w:t>Comprehensive</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w w:val="86"/>
              </w:rPr>
              <w:t>Retained</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17"/>
                <w:szCs w:val="17"/>
                <w:color w:val="auto"/>
              </w:rPr>
            </w:pPr>
          </w:p>
        </w:tc>
        <w:tc>
          <w:tcPr>
            <w:tcW w:w="98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w w:val="77"/>
              </w:rPr>
              <w:t>Reserve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88"/>
              </w:rPr>
              <w:t>Income</w:t>
            </w:r>
          </w:p>
        </w:tc>
        <w:tc>
          <w:tcPr>
            <w:tcW w:w="400" w:type="dxa"/>
            <w:vAlign w:val="bottom"/>
          </w:tcPr>
          <w:p>
            <w:pPr>
              <w:spacing w:after="0"/>
              <w:rPr>
                <w:sz w:val="17"/>
                <w:szCs w:val="17"/>
                <w:color w:val="auto"/>
              </w:rPr>
            </w:pPr>
          </w:p>
        </w:tc>
        <w:tc>
          <w:tcPr>
            <w:tcW w:w="98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Earnings</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w w:val="97"/>
              </w:rPr>
              <w:t>(dollars in thousands, except share data)</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December</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31, 2013</w:t>
            </w:r>
          </w:p>
        </w:tc>
        <w:tc>
          <w:tcPr>
            <w:tcW w:w="120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61,587,257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5,168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279,572</w:t>
            </w:r>
          </w:p>
        </w:tc>
        <w:tc>
          <w:tcPr>
            <w:tcW w:w="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623,779</w:t>
            </w:r>
          </w:p>
        </w:tc>
        <w:tc>
          <w:tcPr>
            <w:tcW w:w="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127,294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127,294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Currency translation</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(24,548)</w:t>
            </w:r>
          </w:p>
        </w:tc>
        <w:tc>
          <w:tcPr>
            <w:tcW w:w="40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(24,548)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impact of long</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Tax on currency impact</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of long term funding</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capital gain -</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comprehensive</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(19,296)</w:t>
            </w: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127,294</w:t>
            </w:r>
          </w:p>
        </w:tc>
        <w:tc>
          <w:tcPr>
            <w:tcW w:w="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9"/>
              </w:rPr>
              <w:t>Exercise of share options</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767,606</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Issue of restricted share</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units</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98,726</w:t>
            </w:r>
          </w:p>
        </w:tc>
        <w:tc>
          <w:tcPr>
            <w:tcW w:w="36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Non-cash stock</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compensation expense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16,732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16,732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ordinary</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(882,448)</w:t>
            </w:r>
          </w:p>
        </w:tc>
        <w:tc>
          <w:tcPr>
            <w:tcW w:w="3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(44,506)</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on exercise</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of options</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September</w:t>
            </w: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30, 2014</w:t>
            </w:r>
          </w:p>
        </w:tc>
        <w:tc>
          <w:tcPr>
            <w:tcW w:w="120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61,571,141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5,159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316,630</w:t>
            </w:r>
          </w:p>
        </w:tc>
        <w:tc>
          <w:tcPr>
            <w:tcW w:w="1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(17,336)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706,534</w:t>
            </w:r>
          </w:p>
        </w:tc>
        <w:tc>
          <w:tcPr>
            <w:tcW w:w="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1,011,158</w:t>
            </w: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2013. Operating results for the nine months ended September 30, 2014 are not necessarily indicative of the results that may be expected for the fiscal period ending December 31, 2014.</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5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8"/>
              </w:rPr>
              <w:t>Nine months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2"/>
              </w:rPr>
              <w:t>ended</w:t>
            </w:r>
          </w:p>
        </w:tc>
        <w:tc>
          <w:tcPr>
            <w:tcW w:w="340" w:type="dxa"/>
            <w:vAlign w:val="bottom"/>
          </w:tcPr>
          <w:p>
            <w:pPr>
              <w:spacing w:after="0"/>
              <w:rPr>
                <w:sz w:val="17"/>
                <w:szCs w:val="17"/>
                <w:color w:val="auto"/>
              </w:rPr>
            </w:pPr>
          </w:p>
        </w:tc>
        <w:tc>
          <w:tcPr>
            <w:tcW w:w="9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6"/>
          </w:tcPr>
          <w:p>
            <w:pPr>
              <w:jc w:val="right"/>
              <w:ind w:right="140"/>
              <w:spacing w:after="0" w:line="196" w:lineRule="exact"/>
              <w:rPr>
                <w:sz w:val="20"/>
                <w:szCs w:val="20"/>
                <w:color w:val="auto"/>
              </w:rPr>
            </w:pPr>
            <w:r>
              <w:rPr>
                <w:rFonts w:ascii="Arial" w:cs="Arial" w:eastAsia="Arial" w:hAnsi="Arial"/>
                <w:sz w:val="18"/>
                <w:szCs w:val="18"/>
                <w:b w:val="1"/>
                <w:bCs w:val="1"/>
                <w:color w:val="auto"/>
              </w:rPr>
              <w:t>September</w:t>
            </w:r>
          </w:p>
        </w:tc>
        <w:tc>
          <w:tcPr>
            <w:tcW w:w="340" w:type="dxa"/>
            <w:vAlign w:val="bottom"/>
          </w:tcPr>
          <w:p>
            <w:pPr>
              <w:spacing w:after="0"/>
              <w:rPr>
                <w:sz w:val="17"/>
                <w:szCs w:val="17"/>
                <w:color w:val="auto"/>
              </w:rPr>
            </w:pPr>
          </w:p>
        </w:tc>
        <w:tc>
          <w:tcPr>
            <w:tcW w:w="9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8"/>
              </w:rPr>
              <w:t>December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660" w:type="dxa"/>
            <w:vAlign w:val="bottom"/>
            <w:gridSpan w:val="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10"/>
          </w:tcPr>
          <w:p>
            <w:pPr>
              <w:ind w:left="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357,523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315,441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5060" w:type="dxa"/>
            <w:vAlign w:val="bottom"/>
          </w:tcPr>
          <w:p>
            <w:pPr>
              <w:spacing w:after="0"/>
              <w:rPr>
                <w:sz w:val="18"/>
                <w:szCs w:val="18"/>
                <w:color w:val="auto"/>
              </w:rPr>
            </w:pPr>
          </w:p>
        </w:tc>
        <w:tc>
          <w:tcPr>
            <w:tcW w:w="1160" w:type="dxa"/>
            <w:vAlign w:val="bottom"/>
            <w:gridSpan w:val="7"/>
          </w:tcPr>
          <w:p>
            <w:pPr>
              <w:jc w:val="right"/>
              <w:ind w:right="140"/>
              <w:spacing w:after="0"/>
              <w:rPr>
                <w:sz w:val="20"/>
                <w:szCs w:val="20"/>
                <w:color w:val="auto"/>
              </w:rPr>
            </w:pPr>
            <w:r>
              <w:rPr>
                <w:rFonts w:ascii="Arial" w:cs="Arial" w:eastAsia="Arial" w:hAnsi="Arial"/>
                <w:sz w:val="18"/>
                <w:szCs w:val="18"/>
                <w:color w:val="auto"/>
              </w:rPr>
              <w:t>148,110</w:t>
            </w:r>
          </w:p>
        </w:tc>
        <w:tc>
          <w:tcPr>
            <w:tcW w:w="34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50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(7,512)</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Closing balance</w:t>
            </w:r>
          </w:p>
        </w:tc>
        <w:tc>
          <w:tcPr>
            <w:tcW w:w="50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498,121</w:t>
            </w:r>
          </w:p>
        </w:tc>
        <w:tc>
          <w:tcPr>
            <w:tcW w:w="14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357,523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Borders>
              <w:top w:val="single" w:sz="8" w:color="auto"/>
              <w:bottom w:val="single" w:sz="8" w:color="auto"/>
            </w:tcBorders>
          </w:tcPr>
          <w:p>
            <w:pPr>
              <w:spacing w:after="0" w:line="20" w:lineRule="exact"/>
              <w:rPr>
                <w:sz w:val="1"/>
                <w:szCs w:val="1"/>
                <w:color w:val="auto"/>
              </w:rPr>
            </w:pPr>
          </w:p>
        </w:tc>
        <w:tc>
          <w:tcPr>
            <w:tcW w:w="5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60" w:type="dxa"/>
            <w:vAlign w:val="bottom"/>
          </w:tcPr>
          <w:p>
            <w:pPr>
              <w:jc w:val="right"/>
              <w:ind w:right="309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50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Aptiv Solutions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7, 2014 the Company acquired 100% of the common stock of Aptiv Solutions (“Aptiv”), a global biopharmaceutical and medical device development services company and leader in adaptive clinical trials for a cash consideration of $143.5 million including certain payments to be made on behalf of the company on completion totalling $22.4 million.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Aptiv Solutions has been accounted for as a business combination in accordance with FASB ASC 805 Business Combinations. The following table summarizes the preliminary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liabilities</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4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consideration</w:t>
            </w:r>
          </w:p>
        </w:tc>
        <w:tc>
          <w:tcPr>
            <w:tcW w:w="4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Adjustments to cash consideration</w:t>
            </w:r>
          </w:p>
        </w:tc>
        <w:tc>
          <w:tcPr>
            <w:tcW w:w="4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8"/>
        <w:spacing w:after="0" w:line="259" w:lineRule="auto"/>
        <w:tabs>
          <w:tab w:leader="none" w:pos="163"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consulting and regulatory support for drugs, medical devices and diagnostics with a specific focus on strategy to increase product development efficiency and productivity. Goodwill related to the US portion of the business acquired is tax deductible. We are completing the purchase price allocation which will result in an element of the purchase price currently recorded as goodwill being ascribed to separately identifiable intangible assets.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Prior Period Acquisitions - Clinical Trial Services Division of Cross Country Healthcare, Inc.</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15, 2013 the Company acquired the clinical trial services division of Cross Country Healthcare Inc. for an initial cash consideration of $51.9 million.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have been combined with ICON’s functional service provision (“FSP”) division, DOCS, creating a leader in global resourcing and FSP, while AKOS will enhance the services offered by ICON’s medical and safety services team.</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agreement also provided for certain working capital targets to be achieved by the clinical trial services division of Cross Country Healthcare, Inc on completion. In October 2013 the Company received $0.2 million on completion of this review.</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the clinical trial services division of Cross Country Healthcare, Inc has been accounted for as a business combination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FASB ASC 805 Business Combinations. The following table summarizes the fair values of the assets acquired and the liabilities assumed: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February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4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38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8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8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38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8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8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8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liabilities</w:t>
            </w:r>
          </w:p>
        </w:tc>
        <w:tc>
          <w:tcPr>
            <w:tcW w:w="3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8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51,698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4" w:lineRule="auto"/>
        <w:tabs>
          <w:tab w:leader="none" w:pos="138"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4. Restructuring and other items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00" w:type="dxa"/>
            <w:vAlign w:val="bottom"/>
            <w:gridSpan w:val="2"/>
          </w:tcPr>
          <w:p>
            <w:pPr>
              <w:spacing w:after="0"/>
              <w:rPr>
                <w:sz w:val="20"/>
                <w:szCs w:val="20"/>
                <w:color w:val="auto"/>
              </w:rPr>
            </w:pPr>
            <w:r>
              <w:rPr>
                <w:rFonts w:ascii="Arial" w:cs="Arial" w:eastAsia="Arial" w:hAnsi="Arial"/>
                <w:sz w:val="18"/>
                <w:szCs w:val="18"/>
                <w:color w:val="auto"/>
              </w:rPr>
              <w:t>Restructuring and other items recognized comprise: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1"/>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8"/>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Restructuring and other items of $9.0 million were recorded during the year ended December 31, 2013. During Q1 and Q2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Details of the movement in this restructuring plan recognized are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2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Office</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Consolidations</w:t>
            </w:r>
          </w:p>
        </w:tc>
        <w:tc>
          <w:tcPr>
            <w:tcW w:w="4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3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3,903</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Q2 Plan - Initial provision recognized</w:t>
            </w: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4,228</w:t>
            </w:r>
          </w:p>
        </w:tc>
        <w:tc>
          <w:tcPr>
            <w:tcW w:w="2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393</w:t>
            </w:r>
          </w:p>
        </w:tc>
        <w:tc>
          <w:tcPr>
            <w:tcW w:w="4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Residual balance from prior periods</w:t>
            </w:r>
          </w:p>
        </w:tc>
        <w:tc>
          <w:tcPr>
            <w:tcW w:w="3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130</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provision recognized</w:t>
            </w: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8,131</w:t>
            </w:r>
          </w:p>
        </w:tc>
        <w:tc>
          <w:tcPr>
            <w:tcW w:w="2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1,032</w:t>
            </w:r>
          </w:p>
        </w:tc>
        <w:tc>
          <w:tcPr>
            <w:tcW w:w="4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Amounts released</w:t>
            </w:r>
          </w:p>
        </w:tc>
        <w:tc>
          <w:tcPr>
            <w:tcW w:w="3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2013</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1,491</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833</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Amounts released</w:t>
            </w: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September 30, 2014</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491</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365</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460" w:type="dxa"/>
            <w:vAlign w:val="bottom"/>
          </w:tcPr>
          <w:p>
            <w:pPr>
              <w:jc w:val="right"/>
              <w:ind w:right="1750"/>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240" w:type="dxa"/>
            <w:vAlign w:val="bottom"/>
            <w:gridSpan w:val="8"/>
          </w:tcPr>
          <w:p>
            <w:pPr>
              <w:spacing w:after="0"/>
              <w:rPr>
                <w:sz w:val="20"/>
                <w:szCs w:val="20"/>
                <w:color w:val="auto"/>
              </w:rPr>
            </w:pPr>
            <w:r>
              <w:rPr>
                <w:rFonts w:ascii="Arial" w:cs="Arial" w:eastAsia="Arial" w:hAnsi="Arial"/>
                <w:sz w:val="18"/>
                <w:szCs w:val="18"/>
                <w:color w:val="auto"/>
                <w:w w:val="93"/>
              </w:rPr>
              <w:t>Income taxes recognized during the three and nine months ended September 30, 2014 comprise:</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1"/>
          </w:tcPr>
          <w:p>
            <w:pPr>
              <w:jc w:val="right"/>
              <w:ind w:right="580"/>
              <w:spacing w:after="0"/>
              <w:rPr>
                <w:sz w:val="20"/>
                <w:szCs w:val="20"/>
                <w:color w:val="auto"/>
              </w:rPr>
            </w:pPr>
            <w:r>
              <w:rPr>
                <w:rFonts w:ascii="Arial" w:cs="Arial" w:eastAsia="Arial" w:hAnsi="Arial"/>
                <w:sz w:val="18"/>
                <w:szCs w:val="18"/>
                <w:b w:val="1"/>
                <w:bCs w:val="1"/>
                <w:color w:val="auto"/>
                <w:w w:val="99"/>
              </w:rPr>
              <w:t>Nine Months Ended</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8"/>
              </w:rPr>
              <w:t>September</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September</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right"/>
              <w:ind w:right="80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before restructuring and other items</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5,297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23,577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14,633</w:t>
            </w:r>
          </w:p>
        </w:tc>
      </w:tr>
      <w:tr>
        <w:trPr>
          <w:trHeight w:val="223"/>
        </w:trPr>
        <w:tc>
          <w:tcPr>
            <w:tcW w:w="20" w:type="dxa"/>
            <w:vAlign w:val="bottom"/>
          </w:tcPr>
          <w:p>
            <w:pPr>
              <w:spacing w:after="0"/>
              <w:rPr>
                <w:sz w:val="19"/>
                <w:szCs w:val="19"/>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items</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(1,850)</w:t>
            </w:r>
          </w:p>
        </w:tc>
      </w:tr>
      <w:tr>
        <w:trPr>
          <w:trHeight w:val="257"/>
        </w:trPr>
        <w:tc>
          <w:tcPr>
            <w:tcW w:w="20" w:type="dxa"/>
            <w:vAlign w:val="bottom"/>
          </w:tcPr>
          <w:p>
            <w:pPr>
              <w:spacing w:after="0"/>
              <w:rPr>
                <w:sz w:val="22"/>
                <w:szCs w:val="22"/>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 after restructuring and other items</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5,297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23,577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12,783</w:t>
            </w:r>
          </w:p>
        </w:tc>
      </w:tr>
    </w:tbl>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September 30, 2014 the Company maintains a $7.6 million liability (December 31, 2013: $6.7 million) for unrecognized tax benefit, which is comprised of $6.5 million (December 31, 2013: $5.8 million) related to items generating unrecognized tax benefits and $1.1 million (December 31, 2013: $0.9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2008 through 2013 tax years. The Company does not believe that the outcome of any examination will have a material impact on its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10"/>
          </w:tcPr>
          <w:p>
            <w:pPr>
              <w:ind w:left="1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260" w:type="dxa"/>
            <w:vAlign w:val="bottom"/>
          </w:tcPr>
          <w:p>
            <w:pPr>
              <w:spacing w:after="0"/>
              <w:rPr>
                <w:sz w:val="17"/>
                <w:szCs w:val="17"/>
                <w:color w:val="auto"/>
              </w:rPr>
            </w:pPr>
          </w:p>
        </w:tc>
        <w:tc>
          <w:tcPr>
            <w:tcW w:w="1600" w:type="dxa"/>
            <w:vAlign w:val="bottom"/>
            <w:gridSpan w:val="6"/>
          </w:tcPr>
          <w:p>
            <w:pPr>
              <w:jc w:val="right"/>
              <w:ind w:right="520"/>
              <w:spacing w:after="0" w:line="196" w:lineRule="exact"/>
              <w:rPr>
                <w:sz w:val="20"/>
                <w:szCs w:val="20"/>
                <w:color w:val="auto"/>
              </w:rPr>
            </w:pPr>
            <w:r>
              <w:rPr>
                <w:rFonts w:ascii="Arial" w:cs="Arial" w:eastAsia="Arial" w:hAnsi="Arial"/>
                <w:sz w:val="18"/>
                <w:szCs w:val="18"/>
                <w:b w:val="1"/>
                <w:bCs w:val="1"/>
                <w:color w:val="auto"/>
              </w:rPr>
              <w:t>September</w:t>
            </w:r>
          </w:p>
        </w:tc>
        <w:tc>
          <w:tcPr>
            <w:tcW w:w="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5"/>
          </w:tcPr>
          <w:p>
            <w:pPr>
              <w:jc w:val="right"/>
              <w:ind w:right="520"/>
              <w:spacing w:after="0" w:line="196" w:lineRule="exact"/>
              <w:rPr>
                <w:sz w:val="20"/>
                <w:szCs w:val="20"/>
                <w:color w:val="auto"/>
              </w:rPr>
            </w:pPr>
            <w:r>
              <w:rPr>
                <w:rFonts w:ascii="Arial" w:cs="Arial" w:eastAsia="Arial" w:hAnsi="Arial"/>
                <w:sz w:val="18"/>
                <w:szCs w:val="18"/>
                <w:b w:val="1"/>
                <w:bCs w:val="1"/>
                <w:color w:val="auto"/>
              </w:rPr>
              <w:t>30,</w:t>
            </w: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3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7"/>
                <w:szCs w:val="17"/>
                <w:color w:val="auto"/>
              </w:rPr>
            </w:pPr>
          </w:p>
        </w:tc>
        <w:tc>
          <w:tcPr>
            <w:tcW w:w="1600" w:type="dxa"/>
            <w:vAlign w:val="bottom"/>
            <w:gridSpan w:val="6"/>
          </w:tcPr>
          <w:p>
            <w:pPr>
              <w:jc w:val="right"/>
              <w:ind w:right="520"/>
              <w:spacing w:after="0" w:line="196" w:lineRule="exact"/>
              <w:rPr>
                <w:sz w:val="20"/>
                <w:szCs w:val="20"/>
                <w:color w:val="auto"/>
              </w:rPr>
            </w:pPr>
            <w:r>
              <w:rPr>
                <w:rFonts w:ascii="Arial" w:cs="Arial" w:eastAsia="Arial" w:hAnsi="Arial"/>
                <w:sz w:val="18"/>
                <w:szCs w:val="18"/>
                <w:b w:val="1"/>
                <w:bCs w:val="1"/>
                <w:color w:val="auto"/>
              </w:rPr>
              <w:t>2014</w:t>
            </w: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ordinary shares outstanding for basic net income per</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61,878,429</w:t>
            </w:r>
          </w:p>
        </w:tc>
        <w:tc>
          <w:tcPr>
            <w:tcW w:w="164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61,069,260</w:t>
            </w:r>
          </w:p>
        </w:tc>
        <w:tc>
          <w:tcPr>
            <w:tcW w:w="160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61,863,332</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60,732,605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1,564,178</w:t>
            </w: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1,404,385</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color w:val="auto"/>
              </w:rPr>
              <w:t>1,570,928</w:t>
            </w: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1,244,421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ordinary shares for diluted net income per ordinary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0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63,442,607</w:t>
            </w:r>
          </w:p>
        </w:tc>
        <w:tc>
          <w:tcPr>
            <w:tcW w:w="1640" w:type="dxa"/>
            <w:vAlign w:val="bottom"/>
            <w:tcBorders>
              <w:bottom w:val="single" w:sz="8" w:color="auto"/>
            </w:tcBorders>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62,473,645</w:t>
            </w:r>
          </w:p>
        </w:tc>
        <w:tc>
          <w:tcPr>
            <w:tcW w:w="1600" w:type="dxa"/>
            <w:vAlign w:val="bottom"/>
            <w:tcBorders>
              <w:bottom w:val="single" w:sz="8" w:color="auto"/>
            </w:tcBorders>
            <w:gridSpan w:val="6"/>
            <w:shd w:val="clear" w:color="auto" w:fill="CCEEFF"/>
          </w:tcPr>
          <w:p>
            <w:pPr>
              <w:jc w:val="right"/>
              <w:ind w:right="520"/>
              <w:spacing w:after="0"/>
              <w:rPr>
                <w:sz w:val="20"/>
                <w:szCs w:val="20"/>
                <w:color w:val="auto"/>
              </w:rPr>
            </w:pPr>
            <w:r>
              <w:rPr>
                <w:rFonts w:ascii="Arial" w:cs="Arial" w:eastAsia="Arial" w:hAnsi="Arial"/>
                <w:sz w:val="18"/>
                <w:szCs w:val="18"/>
                <w:color w:val="auto"/>
              </w:rPr>
              <w:t>63,434,260</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61,977,026</w:t>
            </w:r>
          </w:p>
        </w:tc>
        <w:tc>
          <w:tcPr>
            <w:tcW w:w="0" w:type="dxa"/>
            <w:vAlign w:val="bottom"/>
          </w:tcPr>
          <w:p>
            <w:pPr>
              <w:spacing w:after="0"/>
              <w:rPr>
                <w:sz w:val="1"/>
                <w:szCs w:val="1"/>
                <w:color w:val="auto"/>
              </w:rPr>
            </w:pPr>
          </w:p>
        </w:tc>
      </w:tr>
      <w:tr>
        <w:trPr>
          <w:trHeight w:val="574"/>
        </w:trPr>
        <w:tc>
          <w:tcPr>
            <w:tcW w:w="6160" w:type="dxa"/>
            <w:vAlign w:val="bottom"/>
            <w:gridSpan w:val="2"/>
          </w:tcPr>
          <w:p>
            <w:pPr>
              <w:jc w:val="right"/>
              <w:ind w:right="27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2014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nine months ended September 30,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2,973,788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9.57</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366,985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14.09</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3300" w:type="dxa"/>
            <w:vAlign w:val="bottom"/>
          </w:tcPr>
          <w:p>
            <w:pPr>
              <w:jc w:val="right"/>
              <w:spacing w:after="0"/>
              <w:rPr>
                <w:sz w:val="20"/>
                <w:szCs w:val="20"/>
                <w:color w:val="auto"/>
              </w:rPr>
            </w:pPr>
            <w:r>
              <w:rPr>
                <w:rFonts w:ascii="Arial" w:cs="Arial" w:eastAsia="Arial" w:hAnsi="Arial"/>
                <w:sz w:val="18"/>
                <w:szCs w:val="18"/>
                <w:color w:val="auto"/>
              </w:rPr>
              <w:t>(767,606)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24.24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9.51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8.74</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2,417,793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10.32</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September 30, 2014</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1,139,201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$5.88 to $15.51 per option or a weighted average fair value of $9.97 per option. The Company issues ordinary shares for all options exercised. The total amount of fully vested share options which remained outstanding at September 30, 2014, was 1,139,201. Fully vested share options at September 30, 2014, have an average remaining contractual term of 3.14 years, an average exercise price of $25.03 and a total intrinsic value of $36.7 million. The total intrinsic value of options exercised during the nine months ended September 30, 2014 was $18.2 million (September 30, 2013: $29.5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nine months ended September 30, 2014:</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Average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2013</w:t>
            </w:r>
          </w:p>
        </w:tc>
        <w:tc>
          <w:tcPr>
            <w:tcW w:w="3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1,468,081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366,985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Vested</w:t>
            </w:r>
          </w:p>
        </w:tc>
        <w:tc>
          <w:tcPr>
            <w:tcW w:w="3220" w:type="dxa"/>
            <w:vAlign w:val="bottom"/>
          </w:tcPr>
          <w:p>
            <w:pPr>
              <w:jc w:val="right"/>
              <w:spacing w:after="0"/>
              <w:rPr>
                <w:sz w:val="20"/>
                <w:szCs w:val="20"/>
                <w:color w:val="auto"/>
              </w:rPr>
            </w:pPr>
            <w:r>
              <w:rPr>
                <w:rFonts w:ascii="Arial" w:cs="Arial" w:eastAsia="Arial" w:hAnsi="Arial"/>
                <w:sz w:val="18"/>
                <w:szCs w:val="18"/>
                <w:color w:val="auto"/>
              </w:rPr>
              <w:t>(450,115)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(106,359)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September 30, 2014</w:t>
            </w:r>
          </w:p>
        </w:tc>
        <w:tc>
          <w:tcPr>
            <w:tcW w:w="3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1,278,592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three months ended September 30, 2014 and September 30, 2013 was calculated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10"/>
          </w:tcPr>
          <w:p>
            <w:pPr>
              <w:jc w:val="right"/>
              <w:ind w:right="6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00" w:type="dxa"/>
            <w:vAlign w:val="bottom"/>
            <w:gridSpan w:val="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tcPr>
          <w:p>
            <w:pPr>
              <w:spacing w:after="0"/>
              <w:rPr>
                <w:sz w:val="18"/>
                <w:szCs w:val="18"/>
                <w:color w:val="auto"/>
              </w:rPr>
            </w:pPr>
          </w:p>
        </w:tc>
        <w:tc>
          <w:tcPr>
            <w:tcW w:w="1140" w:type="dxa"/>
            <w:vAlign w:val="bottom"/>
            <w:gridSpan w:val="6"/>
          </w:tcPr>
          <w:p>
            <w:pPr>
              <w:jc w:val="right"/>
              <w:ind w:right="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4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tcPr>
          <w:p>
            <w:pPr>
              <w:spacing w:after="0"/>
              <w:rPr>
                <w:sz w:val="18"/>
                <w:szCs w:val="18"/>
                <w:color w:val="auto"/>
              </w:rPr>
            </w:pPr>
          </w:p>
        </w:tc>
        <w:tc>
          <w:tcPr>
            <w:tcW w:w="1140" w:type="dxa"/>
            <w:vAlign w:val="bottom"/>
            <w:gridSpan w:val="6"/>
          </w:tcPr>
          <w:p>
            <w:pPr>
              <w:jc w:val="right"/>
              <w:ind w:right="60"/>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76" w:lineRule="auto"/>
        <w:rPr>
          <w:sz w:val="20"/>
          <w:szCs w:val="20"/>
          <w:color w:val="auto"/>
        </w:rPr>
      </w:pPr>
      <w:r>
        <w:rPr>
          <w:rFonts w:ascii="Arial" w:cs="Arial" w:eastAsia="Arial" w:hAnsi="Arial"/>
          <w:sz w:val="17"/>
          <w:szCs w:val="17"/>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Restricted Share Units (“RSUs”) and/or Performance Share Units (“PSUs”)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nine months ended September 30,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353,244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33.04</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2.35</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846,459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27.05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346,108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46.34</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494,179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41.23</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Shares vested</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(98,726)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27.57</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32.11</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31.09</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Outstanding at September 30, 2014</w:t>
            </w: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681,475</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39.76</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2.03</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1,182,160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32.63</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nine months ended September 30, 2014 totaled $2.7 million (December 31, 2013: $1.1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PSUs vested during either the first nine months of 2014 or the full year 2013.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PSUs vest based on service and specified EPS targets over the period 2013 – 2016 and 2014 – 2017. Since 2013, we granted 343,890 PSUs (net of forfeitures). Depending on the actual amount of EPS from 2013 to 2017, up to an additional 337,585 PSUs may also be granted.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nine months ended September 30, 2014 has been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12"/>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0"/>
        </w:trPr>
        <w:tc>
          <w:tcPr>
            <w:tcW w:w="4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w w:val="85"/>
              </w:rPr>
              <w:t>September</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6"/>
          </w:tcPr>
          <w:p>
            <w:pPr>
              <w:jc w:val="right"/>
              <w:ind w:right="160"/>
              <w:spacing w:after="0" w:line="196" w:lineRule="exact"/>
              <w:rPr>
                <w:sz w:val="20"/>
                <w:szCs w:val="20"/>
                <w:color w:val="auto"/>
              </w:rPr>
            </w:pPr>
            <w:r>
              <w:rPr>
                <w:rFonts w:ascii="Arial" w:cs="Arial" w:eastAsia="Arial" w:hAnsi="Arial"/>
                <w:sz w:val="18"/>
                <w:szCs w:val="18"/>
                <w:b w:val="1"/>
                <w:bCs w:val="1"/>
                <w:color w:val="auto"/>
                <w:w w:val="94"/>
              </w:rPr>
              <w:t>September</w:t>
            </w:r>
          </w:p>
        </w:tc>
      </w:tr>
      <w:tr>
        <w:trPr>
          <w:trHeight w:val="20"/>
        </w:trPr>
        <w:tc>
          <w:tcPr>
            <w:tcW w:w="4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7"/>
                <w:szCs w:val="17"/>
                <w:color w:val="auto"/>
              </w:rPr>
            </w:pPr>
          </w:p>
        </w:tc>
        <w:tc>
          <w:tcPr>
            <w:tcW w:w="10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4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17"/>
                <w:szCs w:val="17"/>
                <w:color w:val="auto"/>
              </w:rPr>
            </w:pPr>
          </w:p>
        </w:tc>
        <w:tc>
          <w:tcPr>
            <w:tcW w:w="10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r>
      <w:tr>
        <w:trPr>
          <w:trHeight w:val="20"/>
        </w:trPr>
        <w:tc>
          <w:tcPr>
            <w:tcW w:w="4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40" w:type="dxa"/>
            <w:vAlign w:val="bottom"/>
            <w:tcBorders>
              <w:left w:val="single" w:sz="8" w:color="auto"/>
            </w:tcBorders>
            <w:gridSpan w:val="5"/>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r>
      <w:tr>
        <w:trPr>
          <w:trHeight w:val="237"/>
        </w:trPr>
        <w:tc>
          <w:tcPr>
            <w:tcW w:w="4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11"/>
          </w:tcPr>
          <w:p>
            <w:pPr>
              <w:jc w:val="right"/>
              <w:ind w:right="80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2,271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9,034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r>
      <w:tr>
        <w:trPr>
          <w:trHeight w:val="216"/>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2,984</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1,851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7,362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4,305</w:t>
            </w: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4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6,645</w:t>
            </w: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4,122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16,396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9,588</w:t>
            </w:r>
          </w:p>
        </w:tc>
      </w:tr>
      <w:tr>
        <w:trPr>
          <w:trHeight w:val="21"/>
        </w:trPr>
        <w:tc>
          <w:tcPr>
            <w:tcW w:w="4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non-cash stock compensation expense not yet recognized at September 30, 2014 amounted to $57.7 million. The weighted average period over which this is expected to be recognized is 2.5 years. Total tax benefit recognized in additional paid in capital related to the non-cash compensation expense amounted to $1.8 million for the nine months ended September 30, 2014 (September 30, 2013: $0.4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Share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19, 2014 the Company announced that it had completed a $40 million redemption of the Company’s ordinary shares and that it had entered into a further program under which the Company can acquire up to an additional $100 million of its outstanding ordinary shares (by way of redemption), in accordance with United States securities laws through open market share acquisitions.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program gives a broker authority to acquire the Company’s ordinary shares from time to time on the open market in accordance with agreed terms and limitations. The acquisition of shares pursuant to the program is to be effected by way of redemption and cancellation of those shares, in accordance with the Memorandum &amp; Articles of the Company.</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program is designed to allow acquisitions by the broker during periods when the Company would ordinarily not be permitted to do so because it may be in possession of material non-public or price-sensitive information, applicable insider trading laws or self-imposed trading blackout periods. The Company’s prior instructions to the broker in respect of these periods are irrevocable and the trading decisions in respect of the program are at the discretion of the broker and will be made independently of, and uninfluenced by, the Company. The Company confirms that on entering the program it had no material non-public, price-sensitive or inside information regarding the Company or its securities. Furthermore, the Company will not enter into additional programs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2014, 882,448 ordinary shares were redeemed by the Company under the repurchase plan for a total consideration of $44.5 million. All ordinary shares that were redeemed under the repurchase plan are cancelled in accordance with the Memorandum &amp; Articles of the Company and the nominal value of these shares transferred to a capital redemption reserve fund as required under Irish Company Law.</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Business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Chief Operating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the Group organized, operated and assessed its business in two segments, the clinical research segment and the central laboratory segment. In Q1 2013 the Group consolidated and reclassified the results of the former central laboratory segment into the clinical research segment as the central laboratory segment does not reach the thresholds of net revenue, income from operations and total assets as a requirement for being reported as a separate segment. Management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are allocated to individual entities based on where the work is performed in accordance with the Company’s global transfer pricing model. Revenues and income from operations in Ireland are a function of this transfer pricing model.</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ICON Clinical Research Limited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Company’s customer contracts. As such, ICON Ireland remunerates most of the other operating entities (“cost plus service providers”) in the ICON Group on the basis of a guaranteed cost plus mark up for the services they perform in each of their local territories.</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 plus mark 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method, the residual operating profits (or losses) of the group, once the cost plus service providers have been paid their respective intercompany service fee, generally fall to be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areas of operation outside of Ireland include the United States, United Kingdom, France, Germany, Italy, Spain, The Netherlands, Sweden, Turkey, Poland, Czech Republic, Lithuania, Latvia, Russia, Ukraine, Hungary, Israel, Romania, Switzerland, Canada, Mexico, Brazil, Colombia, Argentina, Chile, Peru, India, China, South Korea, Japan, Thailand, Taiwan, Singapore, The Philippines, Australia, New Zealand, and South Africa.</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information as at September 30, 2014 and December 31, 2013 and for the three months and nine months ended September 30, 2014 and September 30, 2013 is as follows: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w w:val="99"/>
              </w:rPr>
              <w:t>a) The distribution of net revenue by geographical area was as follows: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9"/>
          </w:tcPr>
          <w:p>
            <w:pPr>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8"/>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10"/>
          </w:tcPr>
          <w:p>
            <w:pPr>
              <w:ind w:left="3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11"/>
          </w:tcPr>
          <w:p>
            <w:pPr>
              <w:ind w:left="3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99,585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70,368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273,670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Rest of Europe</w:t>
            </w:r>
          </w:p>
        </w:tc>
        <w:tc>
          <w:tcPr>
            <w:tcW w:w="680" w:type="dxa"/>
            <w:vAlign w:val="bottom"/>
          </w:tcPr>
          <w:p>
            <w:pPr>
              <w:spacing w:after="0"/>
              <w:rPr>
                <w:sz w:val="18"/>
                <w:szCs w:val="18"/>
                <w:color w:val="auto"/>
              </w:rPr>
            </w:pP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91,350</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80,417</w:t>
            </w: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Arial" w:cs="Arial" w:eastAsia="Arial" w:hAnsi="Arial"/>
                <w:sz w:val="18"/>
                <w:szCs w:val="18"/>
                <w:color w:val="auto"/>
              </w:rPr>
              <w:t>275,881</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250,275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152,140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152,426</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441,189</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427,359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44,514</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36,599</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122,503</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112,485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387,589</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339,810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1,113,243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990,818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620" w:hanging="126"/>
        <w:spacing w:after="0"/>
        <w:tabs>
          <w:tab w:leader="none" w:pos="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and other items,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9"/>
          </w:tcPr>
          <w:p>
            <w:pPr>
              <w:jc w:val="center"/>
              <w:ind w:right="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5"/>
          </w:tcPr>
          <w:p>
            <w:pPr>
              <w:jc w:val="right"/>
              <w:ind w:right="100"/>
              <w:spacing w:after="0" w:line="194" w:lineRule="exact"/>
              <w:rPr>
                <w:sz w:val="20"/>
                <w:szCs w:val="20"/>
                <w:color w:val="auto"/>
              </w:rPr>
            </w:pPr>
            <w:r>
              <w:rPr>
                <w:rFonts w:ascii="Arial" w:cs="Arial" w:eastAsia="Arial" w:hAnsi="Arial"/>
                <w:sz w:val="18"/>
                <w:szCs w:val="18"/>
                <w:b w:val="1"/>
                <w:bCs w:val="1"/>
                <w:color w:val="auto"/>
                <w:w w:val="98"/>
              </w:rPr>
              <w:t>September</w:t>
            </w:r>
          </w:p>
        </w:tc>
        <w:tc>
          <w:tcPr>
            <w:tcW w:w="420" w:type="dxa"/>
            <w:vAlign w:val="bottom"/>
          </w:tcPr>
          <w:p>
            <w:pPr>
              <w:spacing w:after="0"/>
              <w:rPr>
                <w:sz w:val="16"/>
                <w:szCs w:val="16"/>
                <w:color w:val="auto"/>
              </w:rPr>
            </w:pPr>
          </w:p>
        </w:tc>
        <w:tc>
          <w:tcPr>
            <w:tcW w:w="9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17"/>
                <w:szCs w:val="17"/>
                <w:color w:val="auto"/>
              </w:rPr>
            </w:pPr>
          </w:p>
        </w:tc>
        <w:tc>
          <w:tcPr>
            <w:tcW w:w="9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9"/>
          </w:tcPr>
          <w:p>
            <w:pPr>
              <w:ind w:left="3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44,022</w:t>
            </w:r>
          </w:p>
        </w:tc>
        <w:tc>
          <w:tcPr>
            <w:tcW w:w="4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20,105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98,892</w:t>
            </w:r>
          </w:p>
        </w:tc>
        <w:tc>
          <w:tcPr>
            <w:tcW w:w="4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Rest of Europe</w:t>
            </w:r>
          </w:p>
        </w:tc>
        <w:tc>
          <w:tcPr>
            <w:tcW w:w="27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15,492</w:t>
            </w:r>
          </w:p>
        </w:tc>
        <w:tc>
          <w:tcPr>
            <w:tcW w:w="42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10,871</w:t>
            </w:r>
          </w:p>
        </w:tc>
        <w:tc>
          <w:tcPr>
            <w:tcW w:w="4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11,135</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27,211</w:t>
            </w:r>
          </w:p>
        </w:tc>
        <w:tc>
          <w:tcPr>
            <w:tcW w:w="4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2,215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9,114</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6,073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59,423</w:t>
            </w:r>
          </w:p>
        </w:tc>
        <w:tc>
          <w:tcPr>
            <w:tcW w:w="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33,161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150,709</w:t>
            </w:r>
          </w:p>
        </w:tc>
        <w:tc>
          <w:tcPr>
            <w:tcW w:w="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82,456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30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gridSpan w:val="8"/>
          </w:tcPr>
          <w:p>
            <w:pPr>
              <w:ind w:left="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2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w w:val="85"/>
              </w:rPr>
              <w:t>September</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5"/>
          </w:tcPr>
          <w:p>
            <w:pPr>
              <w:jc w:val="right"/>
              <w:ind w:right="100"/>
              <w:spacing w:after="0" w:line="194" w:lineRule="exact"/>
              <w:rPr>
                <w:sz w:val="20"/>
                <w:szCs w:val="20"/>
                <w:color w:val="auto"/>
              </w:rPr>
            </w:pPr>
            <w:r>
              <w:rPr>
                <w:rFonts w:ascii="Arial" w:cs="Arial" w:eastAsia="Arial" w:hAnsi="Arial"/>
                <w:sz w:val="18"/>
                <w:szCs w:val="18"/>
                <w:b w:val="1"/>
                <w:bCs w:val="1"/>
                <w:color w:val="auto"/>
                <w:w w:val="98"/>
              </w:rPr>
              <w:t>September</w:t>
            </w:r>
          </w:p>
        </w:tc>
        <w:tc>
          <w:tcPr>
            <w:tcW w:w="420" w:type="dxa"/>
            <w:vAlign w:val="bottom"/>
          </w:tcPr>
          <w:p>
            <w:pPr>
              <w:spacing w:after="0"/>
              <w:rPr>
                <w:sz w:val="16"/>
                <w:szCs w:val="16"/>
                <w:color w:val="auto"/>
              </w:rPr>
            </w:pPr>
          </w:p>
        </w:tc>
        <w:tc>
          <w:tcPr>
            <w:tcW w:w="9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17"/>
                <w:szCs w:val="17"/>
                <w:color w:val="auto"/>
              </w:rPr>
            </w:pPr>
          </w:p>
        </w:tc>
        <w:tc>
          <w:tcPr>
            <w:tcW w:w="9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40" w:type="dxa"/>
            <w:vAlign w:val="bottom"/>
            <w:gridSpan w:val="5"/>
          </w:tcPr>
          <w:p>
            <w:pPr>
              <w:ind w:left="2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in thousands)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9"/>
          </w:tcPr>
          <w:p>
            <w:pPr>
              <w:ind w:left="3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0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44,022</w:t>
            </w:r>
          </w:p>
        </w:tc>
        <w:tc>
          <w:tcPr>
            <w:tcW w:w="1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20,105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98,892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30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15,492</w:t>
            </w:r>
          </w:p>
        </w:tc>
        <w:tc>
          <w:tcPr>
            <w:tcW w:w="42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0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10,871</w:t>
            </w:r>
          </w:p>
        </w:tc>
        <w:tc>
          <w:tcPr>
            <w:tcW w:w="1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11,135</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27,211</w:t>
            </w:r>
          </w:p>
        </w:tc>
        <w:tc>
          <w:tcPr>
            <w:tcW w:w="4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2,215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9,114</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59,423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33,161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150,709</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91,489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80" w:type="dxa"/>
            <w:vAlign w:val="bottom"/>
          </w:tcPr>
          <w:p>
            <w:pPr>
              <w:jc w:val="right"/>
              <w:ind w:right="550"/>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7360" w:type="dxa"/>
            <w:vAlign w:val="bottom"/>
            <w:gridSpan w:val="9"/>
          </w:tcPr>
          <w:p>
            <w:pPr>
              <w:spacing w:after="0"/>
              <w:rPr>
                <w:sz w:val="20"/>
                <w:szCs w:val="20"/>
                <w:color w:val="auto"/>
              </w:rPr>
            </w:pPr>
            <w:r>
              <w:rPr>
                <w:rFonts w:ascii="Arial" w:cs="Arial" w:eastAsia="Arial" w:hAnsi="Arial"/>
                <w:sz w:val="18"/>
                <w:szCs w:val="18"/>
                <w:color w:val="auto"/>
                <w:w w:val="98"/>
              </w:rPr>
              <w:t>d) The distribution of property, plant and equipment, net, by geographical area was as follows:</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8"/>
              </w:rPr>
              <w:t>September</w:t>
            </w:r>
          </w:p>
        </w:tc>
        <w:tc>
          <w:tcPr>
            <w:tcW w:w="340" w:type="dxa"/>
            <w:vAlign w:val="bottom"/>
          </w:tcPr>
          <w:p>
            <w:pPr>
              <w:spacing w:after="0"/>
              <w:rPr>
                <w:sz w:val="24"/>
                <w:szCs w:val="24"/>
                <w:color w:val="auto"/>
              </w:rPr>
            </w:pPr>
          </w:p>
        </w:tc>
        <w:tc>
          <w:tcPr>
            <w:tcW w:w="1020" w:type="dxa"/>
            <w:vAlign w:val="bottom"/>
            <w:gridSpan w:val="9"/>
          </w:tcPr>
          <w:p>
            <w:pPr>
              <w:jc w:val="right"/>
              <w:ind w:right="10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gridSpan w:val="7"/>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9"/>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14"/>
          </w:tcPr>
          <w:p>
            <w:pPr>
              <w:jc w:val="right"/>
              <w:ind w:right="800"/>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94,852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9"/>
            <w:shd w:val="clear" w:color="auto" w:fill="CCEEFF"/>
          </w:tcPr>
          <w:p>
            <w:pPr>
              <w:jc w:val="right"/>
              <w:ind w:right="100"/>
              <w:spacing w:after="0"/>
              <w:rPr>
                <w:sz w:val="20"/>
                <w:szCs w:val="20"/>
                <w:color w:val="auto"/>
              </w:rPr>
            </w:pPr>
            <w:r>
              <w:rPr>
                <w:rFonts w:ascii="Arial" w:cs="Arial" w:eastAsia="Arial" w:hAnsi="Arial"/>
                <w:sz w:val="18"/>
                <w:szCs w:val="18"/>
                <w:color w:val="auto"/>
              </w:rPr>
              <w:t>103,868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Arial" w:cs="Arial" w:eastAsia="Arial" w:hAnsi="Arial"/>
                <w:sz w:val="18"/>
                <w:szCs w:val="18"/>
                <w:color w:val="auto"/>
              </w:rPr>
              <w:t>17,550</w:t>
            </w:r>
          </w:p>
        </w:tc>
        <w:tc>
          <w:tcPr>
            <w:tcW w:w="340" w:type="dxa"/>
            <w:vAlign w:val="bottom"/>
          </w:tcPr>
          <w:p>
            <w:pPr>
              <w:spacing w:after="0"/>
              <w:rPr>
                <w:sz w:val="18"/>
                <w:szCs w:val="18"/>
                <w:color w:val="auto"/>
              </w:rPr>
            </w:pPr>
          </w:p>
        </w:tc>
        <w:tc>
          <w:tcPr>
            <w:tcW w:w="1020" w:type="dxa"/>
            <w:vAlign w:val="bottom"/>
            <w:gridSpan w:val="9"/>
          </w:tcPr>
          <w:p>
            <w:pPr>
              <w:jc w:val="right"/>
              <w:ind w:right="100"/>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33,811</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9"/>
            <w:shd w:val="clear" w:color="auto" w:fill="CCEEFF"/>
          </w:tcPr>
          <w:p>
            <w:pPr>
              <w:jc w:val="right"/>
              <w:ind w:right="100"/>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8,535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154,748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color w:val="auto"/>
              </w:rPr>
              <w:t>160,830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7360" w:type="dxa"/>
            <w:vAlign w:val="bottom"/>
            <w:gridSpan w:val="9"/>
          </w:tcPr>
          <w:p>
            <w:pPr>
              <w:spacing w:after="0"/>
              <w:rPr>
                <w:sz w:val="20"/>
                <w:szCs w:val="20"/>
                <w:color w:val="auto"/>
              </w:rPr>
            </w:pPr>
            <w:r>
              <w:rPr>
                <w:rFonts w:ascii="Arial" w:cs="Arial" w:eastAsia="Arial" w:hAnsi="Arial"/>
                <w:sz w:val="18"/>
                <w:szCs w:val="18"/>
                <w:color w:val="auto"/>
              </w:rPr>
              <w:t>e) The distribution of depreciation and amortization by geographical area was as follows:</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5"/>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98"/>
              </w:rPr>
              <w:t>September</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8"/>
          </w:tcPr>
          <w:p>
            <w:pPr>
              <w:jc w:val="right"/>
              <w:spacing w:after="0" w:line="196" w:lineRule="exact"/>
              <w:rPr>
                <w:sz w:val="20"/>
                <w:szCs w:val="20"/>
                <w:color w:val="auto"/>
              </w:rPr>
            </w:pPr>
            <w:r>
              <w:rPr>
                <w:rFonts w:ascii="Arial" w:cs="Arial" w:eastAsia="Arial" w:hAnsi="Arial"/>
                <w:sz w:val="18"/>
                <w:szCs w:val="18"/>
                <w:b w:val="1"/>
                <w:bCs w:val="1"/>
                <w:color w:val="auto"/>
                <w:w w:val="92"/>
              </w:rPr>
              <w:t>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gridSpan w:val="3"/>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auto"/>
            </w:tcBorders>
            <w:gridSpan w:val="3"/>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820" w:type="dxa"/>
            <w:vAlign w:val="bottom"/>
            <w:tcBorders>
              <w:top w:val="single" w:sz="8" w:color="auto"/>
            </w:tcBorders>
            <w:gridSpan w:val="7"/>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9"/>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14"/>
          </w:tcPr>
          <w:p>
            <w:pPr>
              <w:jc w:val="right"/>
              <w:ind w:right="7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15,577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9"/>
            <w:shd w:val="clear" w:color="auto" w:fill="CCEEFF"/>
          </w:tcPr>
          <w:p>
            <w:pPr>
              <w:jc w:val="right"/>
              <w:ind w:right="100"/>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94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9"/>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4,126</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16,146</w:t>
            </w:r>
          </w:p>
        </w:tc>
        <w:tc>
          <w:tcPr>
            <w:tcW w:w="340" w:type="dxa"/>
            <w:vAlign w:val="bottom"/>
            <w:shd w:val="clear" w:color="auto" w:fill="CCEEFF"/>
          </w:tcPr>
          <w:p>
            <w:pPr>
              <w:spacing w:after="0"/>
              <w:rPr>
                <w:sz w:val="18"/>
                <w:szCs w:val="18"/>
                <w:color w:val="auto"/>
              </w:rPr>
            </w:pPr>
          </w:p>
        </w:tc>
        <w:tc>
          <w:tcPr>
            <w:tcW w:w="1020" w:type="dxa"/>
            <w:vAlign w:val="bottom"/>
            <w:gridSpan w:val="9"/>
            <w:shd w:val="clear" w:color="auto" w:fill="CCEEFF"/>
          </w:tcPr>
          <w:p>
            <w:pPr>
              <w:jc w:val="right"/>
              <w:ind w:right="100"/>
              <w:spacing w:after="0"/>
              <w:rPr>
                <w:sz w:val="20"/>
                <w:szCs w:val="20"/>
                <w:color w:val="auto"/>
              </w:rPr>
            </w:pPr>
            <w:r>
              <w:rPr>
                <w:rFonts w:ascii="Arial" w:cs="Arial" w:eastAsia="Arial" w:hAnsi="Arial"/>
                <w:sz w:val="18"/>
                <w:szCs w:val="18"/>
                <w:color w:val="auto"/>
              </w:rPr>
              <w:t>11,831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9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903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rPr>
              <w:t>13,737</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11,575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38,207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color w:val="auto"/>
              </w:rPr>
              <w:t>34,551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5340" w:type="dxa"/>
            <w:vAlign w:val="bottom"/>
            <w:gridSpan w:val="2"/>
          </w:tcPr>
          <w:p>
            <w:pPr>
              <w:spacing w:after="0"/>
              <w:rPr>
                <w:sz w:val="20"/>
                <w:szCs w:val="20"/>
                <w:color w:val="auto"/>
              </w:rPr>
            </w:pPr>
            <w:r>
              <w:rPr>
                <w:rFonts w:ascii="Arial" w:cs="Arial" w:eastAsia="Arial" w:hAnsi="Arial"/>
                <w:sz w:val="18"/>
                <w:szCs w:val="18"/>
                <w:color w:val="auto"/>
                <w:w w:val="95"/>
              </w:rPr>
              <w:t>f) The distribution of total assets by geographical area was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8"/>
              </w:rPr>
              <w:t>September</w:t>
            </w:r>
          </w:p>
        </w:tc>
        <w:tc>
          <w:tcPr>
            <w:tcW w:w="340" w:type="dxa"/>
            <w:vAlign w:val="bottom"/>
          </w:tcPr>
          <w:p>
            <w:pPr>
              <w:spacing w:after="0"/>
              <w:rPr>
                <w:sz w:val="24"/>
                <w:szCs w:val="24"/>
                <w:color w:val="auto"/>
              </w:rPr>
            </w:pPr>
          </w:p>
        </w:tc>
        <w:tc>
          <w:tcPr>
            <w:tcW w:w="1020" w:type="dxa"/>
            <w:vAlign w:val="bottom"/>
            <w:gridSpan w:val="9"/>
          </w:tcPr>
          <w:p>
            <w:pPr>
              <w:jc w:val="right"/>
              <w:ind w:right="10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gridSpan w:val="7"/>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9"/>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6"/>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14"/>
          </w:tcPr>
          <w:p>
            <w:pPr>
              <w:jc w:val="right"/>
              <w:ind w:right="800"/>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544,639</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9"/>
            <w:shd w:val="clear" w:color="auto" w:fill="CCEEFF"/>
          </w:tcPr>
          <w:p>
            <w:pPr>
              <w:jc w:val="right"/>
              <w:ind w:right="100"/>
              <w:spacing w:after="0"/>
              <w:rPr>
                <w:sz w:val="20"/>
                <w:szCs w:val="20"/>
                <w:color w:val="auto"/>
              </w:rPr>
            </w:pPr>
            <w:r>
              <w:rPr>
                <w:rFonts w:ascii="Arial" w:cs="Arial" w:eastAsia="Arial" w:hAnsi="Arial"/>
                <w:sz w:val="18"/>
                <w:szCs w:val="18"/>
                <w:color w:val="auto"/>
              </w:rPr>
              <w:t>581,568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323,725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9"/>
          </w:tcPr>
          <w:p>
            <w:pPr>
              <w:jc w:val="right"/>
              <w:ind w:right="100"/>
              <w:spacing w:after="0"/>
              <w:rPr>
                <w:sz w:val="20"/>
                <w:szCs w:val="20"/>
                <w:color w:val="auto"/>
              </w:rPr>
            </w:pPr>
            <w:r>
              <w:rPr>
                <w:rFonts w:ascii="Arial" w:cs="Arial" w:eastAsia="Arial" w:hAnsi="Arial"/>
                <w:sz w:val="18"/>
                <w:szCs w:val="18"/>
                <w:color w:val="auto"/>
              </w:rPr>
              <w:t>321,661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647,104</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9"/>
            <w:shd w:val="clear" w:color="auto" w:fill="CCEEFF"/>
          </w:tcPr>
          <w:p>
            <w:pPr>
              <w:jc w:val="right"/>
              <w:ind w:right="100"/>
              <w:spacing w:after="0"/>
              <w:rPr>
                <w:sz w:val="20"/>
                <w:szCs w:val="20"/>
                <w:color w:val="auto"/>
              </w:rPr>
            </w:pPr>
            <w:r>
              <w:rPr>
                <w:rFonts w:ascii="Arial" w:cs="Arial" w:eastAsia="Arial" w:hAnsi="Arial"/>
                <w:sz w:val="18"/>
                <w:szCs w:val="18"/>
                <w:color w:val="auto"/>
              </w:rPr>
              <w:t>486,232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57,258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color w:val="auto"/>
              </w:rPr>
              <w:t>52,999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1,572,726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color w:val="auto"/>
              </w:rPr>
              <w:t>1,442,460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2013.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2014, we employed approximately 10,700 employees, in 83 locations in 38 countries. During the nine months ended September 30, 2014 we derived approximately 39.6%, 49.4% and 11.0%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September 30, 2014 we had a backlog of approximately $3.5 billion, compared with approximately $3.1 billion at December 31, 2013.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compared with Three Months Ended September 30, 2013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9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September</w:t>
            </w:r>
          </w:p>
        </w:tc>
        <w:tc>
          <w:tcPr>
            <w:tcW w:w="1560" w:type="dxa"/>
            <w:vAlign w:val="bottom"/>
            <w:gridSpan w:val="6"/>
          </w:tcPr>
          <w:p>
            <w:pPr>
              <w:jc w:val="right"/>
              <w:ind w:right="540"/>
              <w:spacing w:after="0" w:line="196" w:lineRule="exact"/>
              <w:rPr>
                <w:sz w:val="20"/>
                <w:szCs w:val="20"/>
                <w:color w:val="auto"/>
              </w:rPr>
            </w:pPr>
            <w:r>
              <w:rPr>
                <w:rFonts w:ascii="Arial" w:cs="Arial" w:eastAsia="Arial" w:hAnsi="Arial"/>
                <w:sz w:val="18"/>
                <w:szCs w:val="18"/>
                <w:b w:val="1"/>
                <w:bCs w:val="1"/>
                <w:color w:val="auto"/>
              </w:rPr>
              <w:t>September</w:t>
            </w:r>
          </w:p>
        </w:tc>
        <w:tc>
          <w:tcPr>
            <w:tcW w:w="8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640" w:type="dxa"/>
            <w:vAlign w:val="bottom"/>
            <w:gridSpan w:val="3"/>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79"/>
              </w:rPr>
              <w:t>30,</w:t>
            </w:r>
          </w:p>
        </w:tc>
        <w:tc>
          <w:tcPr>
            <w:tcW w:w="340" w:type="dxa"/>
            <w:vAlign w:val="bottom"/>
          </w:tcPr>
          <w:p>
            <w:pPr>
              <w:spacing w:after="0"/>
              <w:rPr>
                <w:sz w:val="17"/>
                <w:szCs w:val="17"/>
                <w:color w:val="auto"/>
              </w:rPr>
            </w:pPr>
          </w:p>
        </w:tc>
        <w:tc>
          <w:tcPr>
            <w:tcW w:w="102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80"/>
              <w:spacing w:after="0" w:line="196" w:lineRule="exact"/>
              <w:rPr>
                <w:sz w:val="20"/>
                <w:szCs w:val="20"/>
                <w:color w:val="auto"/>
              </w:rPr>
            </w:pPr>
            <w:r>
              <w:rPr>
                <w:rFonts w:ascii="Arial" w:cs="Arial" w:eastAsia="Arial" w:hAnsi="Arial"/>
                <w:sz w:val="18"/>
                <w:szCs w:val="18"/>
                <w:b w:val="1"/>
                <w:bCs w:val="1"/>
                <w:color w:val="auto"/>
                <w:w w:val="83"/>
              </w:rPr>
              <w:t>to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8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7"/>
                <w:szCs w:val="17"/>
                <w:color w:val="auto"/>
              </w:rPr>
            </w:pPr>
          </w:p>
        </w:tc>
        <w:tc>
          <w:tcPr>
            <w:tcW w:w="102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17"/>
                <w:szCs w:val="17"/>
                <w:color w:val="auto"/>
              </w:rPr>
            </w:pPr>
          </w:p>
        </w:tc>
        <w:tc>
          <w:tcPr>
            <w:tcW w:w="980" w:type="dxa"/>
            <w:vAlign w:val="bottom"/>
            <w:gridSpan w:val="5"/>
            <w:vMerge w:val="restart"/>
          </w:tcPr>
          <w:p>
            <w:pPr>
              <w:jc w:val="right"/>
              <w:ind w:right="180"/>
              <w:spacing w:after="0"/>
              <w:rPr>
                <w:sz w:val="20"/>
                <w:szCs w:val="20"/>
                <w:color w:val="auto"/>
              </w:rPr>
            </w:pPr>
            <w:r>
              <w:rPr>
                <w:rFonts w:ascii="Arial" w:cs="Arial" w:eastAsia="Arial" w:hAnsi="Arial"/>
                <w:sz w:val="18"/>
                <w:szCs w:val="18"/>
                <w:b w:val="1"/>
                <w:bCs w:val="1"/>
                <w:color w:val="auto"/>
                <w:w w:val="80"/>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760" w:type="dxa"/>
            <w:vAlign w:val="bottom"/>
            <w:tcBorders>
              <w:right w:val="single" w:sz="8" w:color="auto"/>
            </w:tcBorders>
            <w:gridSpan w:val="1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040" w:type="dxa"/>
            <w:vAlign w:val="bottom"/>
            <w:gridSpan w:val="10"/>
          </w:tcPr>
          <w:p>
            <w:pPr>
              <w:spacing w:after="0" w:line="196" w:lineRule="exact"/>
              <w:rPr>
                <w:sz w:val="20"/>
                <w:szCs w:val="20"/>
                <w:color w:val="auto"/>
              </w:rPr>
            </w:pPr>
            <w:r>
              <w:rPr>
                <w:rFonts w:ascii="Arial" w:cs="Arial" w:eastAsia="Arial" w:hAnsi="Arial"/>
                <w:sz w:val="18"/>
                <w:szCs w:val="18"/>
                <w:b w:val="1"/>
                <w:bCs w:val="1"/>
                <w:color w:val="auto"/>
                <w:w w:val="85"/>
              </w:rPr>
              <w:t>Percentage of Net Revenue</w:t>
            </w:r>
          </w:p>
        </w:tc>
        <w:tc>
          <w:tcPr>
            <w:tcW w:w="7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4"/>
          </w:tcPr>
          <w:p>
            <w:pPr>
              <w:jc w:val="right"/>
              <w:ind w:right="180"/>
              <w:spacing w:after="0" w:line="196" w:lineRule="exact"/>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5"/>
          </w:tcPr>
          <w:p>
            <w:pPr>
              <w:jc w:val="right"/>
              <w:ind w:right="18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453"/>
        </w:trPr>
        <w:tc>
          <w:tcPr>
            <w:tcW w:w="20" w:type="dxa"/>
            <w:vAlign w:val="bottom"/>
            <w:vMerge w:val="restart"/>
          </w:tcPr>
          <w:p>
            <w:pPr>
              <w:spacing w:after="0"/>
              <w:rPr>
                <w:sz w:val="24"/>
                <w:szCs w:val="24"/>
                <w:color w:val="auto"/>
              </w:rPr>
            </w:pPr>
          </w:p>
        </w:tc>
        <w:tc>
          <w:tcPr>
            <w:tcW w:w="14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8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0" w:type="dxa"/>
            <w:vAlign w:val="bottom"/>
            <w:tcBorders>
              <w:bottom w:val="single" w:sz="8" w:color="auto"/>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560" w:type="dxa"/>
            <w:vAlign w:val="bottom"/>
            <w:tcBorders>
              <w:bottom w:val="single" w:sz="8" w:color="auto"/>
              <w:right w:val="single" w:sz="8" w:color="CCEEFF"/>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98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8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 costs</w:t>
            </w:r>
          </w:p>
        </w:tc>
        <w:tc>
          <w:tcPr>
            <w:tcW w:w="56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6"/>
          </w:tcPr>
          <w:p>
            <w:pPr>
              <w:jc w:val="right"/>
              <w:ind w:right="180"/>
              <w:spacing w:after="0"/>
              <w:rPr>
                <w:sz w:val="20"/>
                <w:szCs w:val="20"/>
                <w:color w:val="auto"/>
              </w:rPr>
            </w:pPr>
            <w:r>
              <w:rPr>
                <w:rFonts w:ascii="Arial" w:cs="Arial" w:eastAsia="Arial" w:hAnsi="Arial"/>
                <w:sz w:val="18"/>
                <w:szCs w:val="18"/>
                <w:color w:val="auto"/>
              </w:rPr>
              <w:t>59.3%</w:t>
            </w:r>
          </w:p>
        </w:tc>
        <w:tc>
          <w:tcPr>
            <w:tcW w:w="1560" w:type="dxa"/>
            <w:vAlign w:val="bottom"/>
            <w:tcBorders>
              <w:top w:val="single" w:sz="8" w:color="CCEEFF"/>
            </w:tcBorders>
            <w:gridSpan w:val="6"/>
          </w:tcPr>
          <w:p>
            <w:pPr>
              <w:jc w:val="right"/>
              <w:ind w:right="400"/>
              <w:spacing w:after="0"/>
              <w:rPr>
                <w:sz w:val="20"/>
                <w:szCs w:val="20"/>
                <w:color w:val="auto"/>
              </w:rPr>
            </w:pPr>
            <w:r>
              <w:rPr>
                <w:rFonts w:ascii="Arial" w:cs="Arial" w:eastAsia="Arial" w:hAnsi="Arial"/>
                <w:sz w:val="18"/>
                <w:szCs w:val="18"/>
                <w:color w:val="auto"/>
              </w:rPr>
              <w:t>62.9%</w:t>
            </w:r>
          </w:p>
        </w:tc>
        <w:tc>
          <w:tcPr>
            <w:tcW w:w="980" w:type="dxa"/>
            <w:vAlign w:val="bottom"/>
            <w:tcBorders>
              <w:top w:val="single" w:sz="8" w:color="CCEEFF"/>
            </w:tcBorders>
            <w:gridSpan w:val="5"/>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1560" w:type="dxa"/>
            <w:vAlign w:val="bottom"/>
            <w:tcBorders>
              <w:right w:val="single" w:sz="8" w:color="CCEEFF"/>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23.9%</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200" w:type="dxa"/>
            <w:vAlign w:val="bottom"/>
            <w:gridSpan w:val="6"/>
          </w:tcPr>
          <w:p>
            <w:pPr>
              <w:jc w:val="right"/>
              <w:ind w:right="180"/>
              <w:spacing w:after="0"/>
              <w:rPr>
                <w:sz w:val="20"/>
                <w:szCs w:val="20"/>
                <w:color w:val="auto"/>
              </w:rPr>
            </w:pPr>
            <w:r>
              <w:rPr>
                <w:rFonts w:ascii="Arial" w:cs="Arial" w:eastAsia="Arial" w:hAnsi="Arial"/>
                <w:sz w:val="18"/>
                <w:szCs w:val="18"/>
                <w:color w:val="auto"/>
              </w:rPr>
              <w:t>2.8%</w:t>
            </w:r>
          </w:p>
        </w:tc>
        <w:tc>
          <w:tcPr>
            <w:tcW w:w="1560" w:type="dxa"/>
            <w:vAlign w:val="bottom"/>
            <w:gridSpan w:val="6"/>
          </w:tcPr>
          <w:p>
            <w:pPr>
              <w:jc w:val="right"/>
              <w:ind w:right="400"/>
              <w:spacing w:after="0"/>
              <w:rPr>
                <w:sz w:val="20"/>
                <w:szCs w:val="20"/>
                <w:color w:val="auto"/>
              </w:rPr>
            </w:pPr>
            <w:r>
              <w:rPr>
                <w:rFonts w:ascii="Arial" w:cs="Arial" w:eastAsia="Arial" w:hAnsi="Arial"/>
                <w:sz w:val="18"/>
                <w:szCs w:val="18"/>
                <w:color w:val="auto"/>
              </w:rPr>
              <w:t>2.9%</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0" w:type="dxa"/>
            <w:vAlign w:val="bottom"/>
            <w:tcBorders>
              <w:bottom w:val="single" w:sz="8" w:color="auto"/>
            </w:tcBorders>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560" w:type="dxa"/>
            <w:vAlign w:val="bottom"/>
            <w:tcBorders>
              <w:bottom w:val="single" w:sz="8" w:color="auto"/>
              <w:right w:val="single" w:sz="8" w:color="CCEEFF"/>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98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(excluding restructuring and other items)</w:t>
            </w:r>
          </w:p>
        </w:tc>
        <w:tc>
          <w:tcPr>
            <w:tcW w:w="12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560" w:type="dxa"/>
            <w:vAlign w:val="bottom"/>
            <w:tcBorders>
              <w:right w:val="single" w:sz="8" w:color="CCEEFF"/>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 and other items</w:t>
            </w: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operations (including restructuring and other items )</w:t>
            </w:r>
          </w:p>
        </w:tc>
        <w:tc>
          <w:tcPr>
            <w:tcW w:w="120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8"/>
                <w:szCs w:val="18"/>
                <w:color w:val="auto"/>
              </w:rPr>
              <w:t>15.3%</w:t>
            </w:r>
          </w:p>
        </w:tc>
        <w:tc>
          <w:tcPr>
            <w:tcW w:w="156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color w:val="auto"/>
              </w:rPr>
              <w:t>9.8%</w:t>
            </w:r>
          </w:p>
        </w:tc>
        <w:tc>
          <w:tcPr>
            <w:tcW w:w="9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 for the period increased by $47.8 million, or 14.1%, from $339.8 million for the three months ended September 30, 2013 to $387.6 million for the three months ended September 30, 2014. For the three months ended September 30, 2014 we derived approximately 39.3%, 49.3% and 11.4% of our net revenue in the United States, Europe and Rest of World, respectively. In recent years, the primary driver of our net revenue growth is the increased use of strategic partnership arrangements. This has resulted in a greater proportion of our revenue coming from our top five clients, which increased from $187 million for the three months ended September 30, 2013 to $210 million for the three months ended September 30, 2014. In addition, on May 7, 2014 the Company acquired 100% of Aptiv, a global biopharmaceutical and medical device development services company and leader in adaptive clinical trials which contributed to the net revenue during the three months ended September 30, 2014. This equivalent revenue was not earned during the three months ended September 30, 2013.</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Net revenue in Ireland increased from $70.4 million for the three months ended September 30, 2013 to $99.6 million for the three months ended September 30, 2014. Net revenue in Ireland is principally a function of the Company’s global transfer pricing model.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for the period increased by $16.3 million, or 7.6%, from $213.7 million for the three months September 30, 2013 to $230.0 million for the three months ended September 30, 2014.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$12.0 million and an increase in other direct project related costs of $4.3 million. As a percentage of net revenue, direct costs have decreased from 62.9% for the three months ended September 30, 2013 to 59.3% for the three months ended September 30, 2014.</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period increased by $3.1 million, or 3.8%, from $81.4 million for the three months ended September 30, 2013 to $84.5 million for the three months ended September 30, 2014.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$6.1 million, an increase in facilities and related costs expenditure of $2.6 million, and a decrease in general and administrative expenses of $0.8 million. The increase in selling, general and administrative expenses are inclusive of amounts in relation to Aptiv since acquisition. In addition, during the three months ended September 30, 2014, we recognised a foreign exchange gain of $3.9 million, which reduced selling, general and administrative expenses from 22.8% of revenue to 21.8% of revenue for the three months ended September 30, 2014. As a percentage of net revenue, selling, general and administrative expenses, decreased from 23.9% for the three months ended September 30, 2013 to 21.8% for the three months ended September 30, 2014.</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Depreciation expense for the period increased by $1.1 million, or 10.5%, from $9.7 million for the three months ended September 30, 2013 to $10.8 million for three months ended September 30, 2014 and principally arises from an investment in facilities, information systems and equipment to support the Company’s growth. As a percentage of net revenue, depreciation expense decreased from 2.9% of net revenues for the three months ended September 30, 2013 to 2.8% of net revenues for the three months ended September 30, 2014. Amortization expense for the period increased by $1.1 million, or 61.9%, from $1.8 million for the three months ended September 30, 2013 to $2.9 million for the three months ended September 30, 2014. Amortization expense represents the amortization of intangible assets acquired on business combinations. The increase in the amortization expense for the period relates to the Aptiv acquisition and a deemed amortization amount for intangibles until the purchase price allocation is finalised. As a percentage of net revenue, amortization expense increased from 0.5% of net revenues for the three months ended September 30, 2013 to 0.8% for the three months ended September 30, 2014.</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above, income from operations for the three months increased by $26.2 million, or 79.2%, from $33.2 million for the three months ended September 30, 2013 to $59.4 million for the three months ended September 30, 2014. As a percentage of net revenue, income from operations increased from 9.8% of net revenues for the three months ended September 30, 2013 to 15.3% of net revenues for the three months ended September 30, 2014.</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from operations in Ireland increased from a profit of $20.1 million for the three months ended September 30, 2013 to a profit of $44.0 million for the three months ended September 30, 2014. Income from operations in Ireland are impacted by the Group’s global transfer pricing model.</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decreased from $0.3 million for the three months ended September 30, 2013 to $0.2 million for the three months ended September 30, 2014. Interest income increased from $0.2 million for the three months ended September 30, 2013 to $0.3 million for the three months ended September 30, 2014.</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period increased from $5.3 million for the three months ended September 30, 2013 to $9.2 million for the three months ended September 30, 2014. The Company’s effective tax rate for the three months ended September 30, 2014 was 15.5% compared with 16.0% for the three months ended September 30, 2013. The Company’s effective tax rate is principally a function of the distribution of pre-tax profits amongst the territories in which it operates.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Nine Months Ended September 30, 2014 compared with Nine Months Ended September 30, 2013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8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360" w:type="dxa"/>
            <w:vAlign w:val="bottom"/>
          </w:tcPr>
          <w:p>
            <w:pPr>
              <w:spacing w:after="0"/>
              <w:rPr>
                <w:sz w:val="17"/>
                <w:szCs w:val="17"/>
                <w:color w:val="auto"/>
              </w:rPr>
            </w:pPr>
          </w:p>
        </w:tc>
        <w:tc>
          <w:tcPr>
            <w:tcW w:w="680" w:type="dxa"/>
            <w:vAlign w:val="bottom"/>
            <w:gridSpan w:val="4"/>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40" w:type="dxa"/>
            <w:vAlign w:val="bottom"/>
            <w:gridSpan w:val="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360" w:type="dxa"/>
            <w:vAlign w:val="bottom"/>
          </w:tcPr>
          <w:p>
            <w:pPr>
              <w:spacing w:after="0"/>
              <w:rPr>
                <w:sz w:val="17"/>
                <w:szCs w:val="17"/>
                <w:color w:val="auto"/>
              </w:rPr>
            </w:pPr>
          </w:p>
        </w:tc>
        <w:tc>
          <w:tcPr>
            <w:tcW w:w="1400" w:type="dxa"/>
            <w:vAlign w:val="bottom"/>
            <w:gridSpan w:val="7"/>
          </w:tcPr>
          <w:p>
            <w:pPr>
              <w:jc w:val="right"/>
              <w:ind w:right="360"/>
              <w:spacing w:after="0" w:line="196" w:lineRule="exact"/>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7"/>
                <w:szCs w:val="17"/>
                <w:color w:val="auto"/>
              </w:rPr>
            </w:pPr>
          </w:p>
        </w:tc>
        <w:tc>
          <w:tcPr>
            <w:tcW w:w="1400" w:type="dxa"/>
            <w:vAlign w:val="bottom"/>
            <w:gridSpan w:val="7"/>
          </w:tcPr>
          <w:p>
            <w:pPr>
              <w:jc w:val="right"/>
              <w:ind w:right="360"/>
              <w:spacing w:after="0" w:line="196" w:lineRule="exact"/>
              <w:rPr>
                <w:sz w:val="20"/>
                <w:szCs w:val="20"/>
                <w:color w:val="auto"/>
              </w:rPr>
            </w:pPr>
            <w:r>
              <w:rPr>
                <w:rFonts w:ascii="Arial" w:cs="Arial" w:eastAsia="Arial" w:hAnsi="Arial"/>
                <w:sz w:val="18"/>
                <w:szCs w:val="18"/>
                <w:b w:val="1"/>
                <w:bCs w:val="1"/>
                <w:color w:val="auto"/>
              </w:rPr>
              <w:t>2013</w:t>
            </w:r>
          </w:p>
        </w:tc>
        <w:tc>
          <w:tcPr>
            <w:tcW w:w="1260" w:type="dxa"/>
            <w:vAlign w:val="bottom"/>
            <w:gridSpan w:val="6"/>
            <w:vMerge w:val="restart"/>
          </w:tcPr>
          <w:p>
            <w:pPr>
              <w:jc w:val="right"/>
              <w:ind w:right="22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40" w:type="dxa"/>
            <w:vAlign w:val="bottom"/>
            <w:gridSpan w:val="13"/>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040" w:type="dxa"/>
            <w:vAlign w:val="bottom"/>
            <w:gridSpan w:val="13"/>
          </w:tcPr>
          <w:p>
            <w:pPr>
              <w:jc w:val="center"/>
              <w:ind w:left="690"/>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5"/>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640" w:type="dxa"/>
            <w:vAlign w:val="bottom"/>
            <w:tcBorders>
              <w:bottom w:val="single" w:sz="8" w:color="auto"/>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400" w:type="dxa"/>
            <w:vAlign w:val="bottom"/>
            <w:tcBorders>
              <w:bottom w:val="single" w:sz="8" w:color="auto"/>
            </w:tcBorders>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46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2640" w:type="dxa"/>
            <w:vAlign w:val="bottom"/>
            <w:gridSpan w:val="6"/>
          </w:tcPr>
          <w:p>
            <w:pPr>
              <w:jc w:val="right"/>
              <w:ind w:right="220"/>
              <w:spacing w:after="0"/>
              <w:rPr>
                <w:sz w:val="20"/>
                <w:szCs w:val="20"/>
                <w:color w:val="auto"/>
              </w:rPr>
            </w:pPr>
            <w:r>
              <w:rPr>
                <w:rFonts w:ascii="Arial" w:cs="Arial" w:eastAsia="Arial" w:hAnsi="Arial"/>
                <w:sz w:val="18"/>
                <w:szCs w:val="18"/>
                <w:color w:val="auto"/>
              </w:rPr>
              <w:t>60.5%</w:t>
            </w:r>
          </w:p>
        </w:tc>
        <w:tc>
          <w:tcPr>
            <w:tcW w:w="1400" w:type="dxa"/>
            <w:vAlign w:val="bottom"/>
            <w:gridSpan w:val="7"/>
          </w:tcPr>
          <w:p>
            <w:pPr>
              <w:jc w:val="right"/>
              <w:ind w:right="220"/>
              <w:spacing w:after="0"/>
              <w:rPr>
                <w:sz w:val="20"/>
                <w:szCs w:val="20"/>
                <w:color w:val="auto"/>
              </w:rPr>
            </w:pPr>
            <w:r>
              <w:rPr>
                <w:rFonts w:ascii="Arial" w:cs="Arial" w:eastAsia="Arial" w:hAnsi="Arial"/>
                <w:sz w:val="18"/>
                <w:szCs w:val="18"/>
                <w:color w:val="auto"/>
              </w:rPr>
              <w:t>63.6%</w:t>
            </w:r>
          </w:p>
        </w:tc>
        <w:tc>
          <w:tcPr>
            <w:tcW w:w="1260" w:type="dxa"/>
            <w:vAlign w:val="bottom"/>
            <w:gridSpan w:val="6"/>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140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2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640" w:type="dxa"/>
            <w:vAlign w:val="bottom"/>
            <w:gridSpan w:val="6"/>
          </w:tcPr>
          <w:p>
            <w:pPr>
              <w:jc w:val="right"/>
              <w:ind w:right="220"/>
              <w:spacing w:after="0"/>
              <w:rPr>
                <w:sz w:val="20"/>
                <w:szCs w:val="20"/>
                <w:color w:val="auto"/>
              </w:rPr>
            </w:pPr>
            <w:r>
              <w:rPr>
                <w:rFonts w:ascii="Arial" w:cs="Arial" w:eastAsia="Arial" w:hAnsi="Arial"/>
                <w:sz w:val="18"/>
                <w:szCs w:val="18"/>
                <w:color w:val="auto"/>
              </w:rPr>
              <w:t>2.8%</w:t>
            </w:r>
          </w:p>
        </w:tc>
        <w:tc>
          <w:tcPr>
            <w:tcW w:w="1400" w:type="dxa"/>
            <w:vAlign w:val="bottom"/>
            <w:gridSpan w:val="7"/>
          </w:tcPr>
          <w:p>
            <w:pPr>
              <w:jc w:val="right"/>
              <w:ind w:right="220"/>
              <w:spacing w:after="0"/>
              <w:rPr>
                <w:sz w:val="20"/>
                <w:szCs w:val="20"/>
                <w:color w:val="auto"/>
              </w:rPr>
            </w:pPr>
            <w:r>
              <w:rPr>
                <w:rFonts w:ascii="Arial" w:cs="Arial" w:eastAsia="Arial" w:hAnsi="Arial"/>
                <w:sz w:val="18"/>
                <w:szCs w:val="18"/>
                <w:color w:val="auto"/>
              </w:rPr>
              <w:t>2.9%</w:t>
            </w:r>
          </w:p>
        </w:tc>
        <w:tc>
          <w:tcPr>
            <w:tcW w:w="1260" w:type="dxa"/>
            <w:vAlign w:val="bottom"/>
            <w:gridSpan w:val="6"/>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2640" w:type="dxa"/>
            <w:vAlign w:val="bottom"/>
            <w:tcBorders>
              <w:bottom w:val="single" w:sz="8" w:color="auto"/>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400" w:type="dxa"/>
            <w:vAlign w:val="bottom"/>
            <w:tcBorders>
              <w:bottom w:val="single" w:sz="8" w:color="auto"/>
            </w:tcBorders>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26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(excluding restructuring and other items)</w:t>
            </w:r>
          </w:p>
        </w:tc>
        <w:tc>
          <w:tcPr>
            <w:tcW w:w="264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40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2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 and other items</w:t>
            </w: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0.9%</w:t>
            </w: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operations (including restructuring and other items )</w:t>
            </w:r>
          </w:p>
        </w:tc>
        <w:tc>
          <w:tcPr>
            <w:tcW w:w="26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color w:val="auto"/>
              </w:rPr>
              <w:t>13.5%</w:t>
            </w:r>
          </w:p>
        </w:tc>
        <w:tc>
          <w:tcPr>
            <w:tcW w:w="14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8.3%</w:t>
            </w:r>
          </w:p>
        </w:tc>
        <w:tc>
          <w:tcPr>
            <w:tcW w:w="12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 for the period increased by $122.4 million, or 12.4%, from $990.8 million for the nine months ended September 30, 2013 to $1,113.2 million for the nine months ended September 30, 2014. For the nine months ended September 30, 2014 we derived approximately 39.6%, 49.4% and 11.0% of our net revenue in the United States, Europe and Rest of World, respectively. In recent years, the primary driver of our net revenue growth is the increased use of strategic partnership arrangements. This has resulted in a greater proportion of our revenue coming from our top five clients, which increased from $529 million for the nine months ended September 30, 2013 to $583 million for the nine months ended September 30, 2014. In addition, on May 7, 2014 the Company acquired 100% of Aptiv, a global biopharmaceutical and medical device development services company and leader in adaptive clinical trials which contributed to the net revenue during the nine months ended September 30, 2014. This equivalent revenue was not earned during the nine months ended September 30, 2013.</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revenue in Ireland increased from $200.7 million for the nine months ended September 30, 2013 to $273.7 million for the nine months ended September 30, 2014. Net revenue in Ireland is principally a function of the Company’s global transfer pricing model.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for the period increased by $43.1 million, or 6.8%, from $630.2 million for the nine months ended September 30, 2013 to $673.3 million for the nine months ended September 30, 2014.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$36.3 million and an increase in other direct project related costs of $6.8 million. As a percentage of net revenue, direct costs have decreased from 63.6% for the nine months ended September 30, 2013 to 60.5% for the nine months ended September 30, 2014.</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for the period increased by $16.5 million, or 7.0%, from $234.5 million for the nine months ended September 30, 2013 to $251.0 million for the nine months ended September 30, 2014.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$16.1 million, an increase in facilities and related costs expenditure of $1.8 million, and a decrease in general and administrative expenses of $1.4 million. The increase in selling, general and administrative expenses are inclusive of amounts in relation to Aptiv since acquisition. As a percentage of net revenue, selling, general and administrative expenses, decreased from 23.7% of revenue for the nine months ended September 30, 2013 to 22.5% of revenue for the nine months ended September 30, 2014.</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spacing w:after="0" w:line="290" w:lineRule="auto"/>
        <w:rPr>
          <w:sz w:val="20"/>
          <w:szCs w:val="20"/>
          <w:color w:val="auto"/>
        </w:rPr>
      </w:pPr>
      <w:r>
        <w:rPr>
          <w:rFonts w:ascii="Arial" w:cs="Arial" w:eastAsia="Arial" w:hAnsi="Arial"/>
          <w:sz w:val="16"/>
          <w:szCs w:val="16"/>
          <w:color w:val="auto"/>
        </w:rPr>
        <w:t>Depreciation expense for the period increased by $1.7 million, or 5.8%, from $29.1 million for the nine months ended September 30, 2013 to $30.8 million for the nine months ended September 30, 2014 and principally arises from an investment in facilities, information systems and equipment to support the Company’s growth. As a percentage of net revenue, depreciation expense decreased from 2.9% of net revenues for the nine months ended September 30, 2013 to 2.8% for the nine months ended September 30, 2014. Amortization expense for the period increased by $2.0 million, or 37.0%, from $5.4 million for the nine months ended September 30, 2013 to $7.4 million for the nine months ended September 30, 2014. Amortization expense represents the amortization of intangible assets acquired on business combinations. The increase in the amortization expense for the period relates to the Aptiv acquisition and a deemed amortization amount for intangibles until the purchase price allocation is finalised. As a percentage of net revenue, amortization expense increased from 0.6% of net revenues for the nine months ended September 30, 2013 to 0.7% for the nine months ended September 30, 2014.</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Restructuring charges of $4.4 million were recognized during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 During the three months ended June 30, 2013 the Company implemented a further restructuring plan which contains Company resource rationalizations in order to improve operating efficiencies and reduce expenses. A restructuring charge of $4.6 million was recognized during the three months ended June 30, 2013, $0.4 million in respect of lease termination and asset write-down costs and $4.2 million in respect of resource rationalizations. (s</w:t>
      </w:r>
      <w:r>
        <w:rPr>
          <w:rFonts w:ascii="Arial" w:cs="Arial" w:eastAsia="Arial" w:hAnsi="Arial"/>
          <w:sz w:val="17"/>
          <w:szCs w:val="17"/>
          <w:i w:val="1"/>
          <w:iCs w:val="1"/>
          <w:color w:val="auto"/>
        </w:rPr>
        <w:t>ee note 4 Restructuring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items for further information).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nine months increased by $68.2 million, or 82.8%, from $82.5 million for the nine months ended September 30, 2013 ($91.5 million excluding restructuring charges) to $150.7 million for the nine months ended September 30, 2014. As a percentage of net revenue, income from operations increased from 8.3% of net revenues for the nine months ended September 30, 2013 (9.2% excluding restructuring charges) to 13.5% of net revenues for the nine months ended September 30, 2014.</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in Ireland increased from a profit of $44.9 million for the nine months ended September 30, 2013 ($46.0 million excluding restructuring charges), to a profit of $98.9 million for the nine months ended September 30, 2014. Income from operations in Ireland are impacted by the Group’s global transfer pricing model.</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for the period decreased from $1.0 million for the nine months ended September 30, 2013 to $0.7 million for the nine months ended September 30, 2014. Interest income increased from $0.7 million for the nine months ended September 30, 2013 to $0.9 million for the nine months ended September 30, 2014.</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Provision for income taxes for the period increased from $12.8 million for the nine months ended September 30, 2013 ($14.6 million excluding the impact of restructuring charges) to $23.6 million for the nine months ended September 30, 2014. The Company’s effective tax rate for the nine months ended September 30, 2014 was 15.6% compared with 15.6% (16.1% excluding the impact of restructuring charges) for the nine months ended September 30, 2013. The Company’s effective tax rate is principally a function of the distribution of pre-tax profits amongst the territories in which it operates.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and short term investment balances at September 30, 2014 amounted to $248.6 million compared with cash and short term investment balances of $320.8 million at December 31, 2013. The Company’s cash and short term investment balances at September 30, 2014 comprised cash and cash equivalents $153.6 million and short-term investments $95.0 million. The Company’s cash and short-term investment balances at December 31, 2013 comprised cash and cash equivalents $182.5 million and short-term investments $138.3 million. During the nine months ended September 30, 2014, ICON plc closed the acquisition of Aptiv resulting in a cash outflow totalling $121.1 million.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30, 2014 the Company entered into a five year committed multi currency revolving credit facility for $100.0 million with Citibank, JP Morgan, Santander and Barclays Bank. Each bank subject to the agreement has committed $25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$100.0 million at September 30, 2014.</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was $94.7 million for the nine months ended September 30, 2014 compared with cash provided by operating activities of $123.8 million for the nine months ended September 30, 2013.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2014 was 38 days compared to 32 days at December 31, 2013. The number of days revenue outstanding at September 30, 2013 was 40 days compared to 40 days at December 31, 2012. In addition, in line with company policy, annual bonuses were paid during the second quarter which also contributed to the cash outflow.</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$96.7 million for the nine months ended September 30, 2014 compared to net cash used in investing activities of $102.2 million for the nine months ended September 30, 2013. Net cash used in the nine months ended September 30, 2014 arose principally from cash paid on the purchase of subsidiary undertakings.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Amounts payable at September 30, 2014 in relation to acquisitions include $3.2 million payable contingent upon the results of BeijingWits Medical.</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 for the nine months ended September 30, 2014 amounted to $22.6 million and comprised mainly of expenditure on global infrastructure and information technology systems to support the Company’s growth. During the nine months ended September 30, 2014 the Company received a net $43.4 million from the sale of short-term investments.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Net cash used in financing activities during the nine months ended September 30, 2014 amounted to $24.2 million compared with net cash provided by financing activities of $19.3 million for the nine months ended September 30, 2013. Net cash used in financing activities during the nine months ended September 30, 2014 arose primarily from cash paid amounting to $44.5 million to repurchase shares under the Company’s share repurchase plan (</w:t>
      </w:r>
      <w:r>
        <w:rPr>
          <w:rFonts w:ascii="Arial" w:cs="Arial" w:eastAsia="Arial" w:hAnsi="Arial"/>
          <w:sz w:val="16"/>
          <w:szCs w:val="16"/>
          <w:i w:val="1"/>
          <w:iCs w:val="1"/>
          <w:color w:val="auto"/>
        </w:rPr>
        <w:t>see Note 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 Capital for further information). </w:t>
      </w:r>
      <w:r>
        <w:rPr>
          <w:rFonts w:ascii="Arial" w:cs="Arial" w:eastAsia="Arial" w:hAnsi="Arial"/>
          <w:sz w:val="16"/>
          <w:szCs w:val="16"/>
          <w:color w:val="auto"/>
        </w:rPr>
        <w:t>This was offset by cash received amounting to $18.6 million from the exercise of stock options. Net cash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activities during the nine months ended September 30, 2013 arose primarily from the $19.0 million received from the exercise of stock options.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these cash flows, cash and cash equivalents decreased by $28.9 million for the nine months ended September 30, 2014 compared to an increase of $42.4 million for the nine months ended September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960" w:type="dxa"/>
            <w:vAlign w:val="bottom"/>
            <w:tcBorders>
              <w:bottom w:val="single" w:sz="8" w:color="auto"/>
            </w:tcBorders>
          </w:tcPr>
          <w:p>
            <w:pPr>
              <w:spacing w:after="0"/>
              <w:rPr>
                <w:sz w:val="21"/>
                <w:szCs w:val="21"/>
                <w:color w:val="auto"/>
              </w:rPr>
            </w:pPr>
          </w:p>
        </w:tc>
        <w:tc>
          <w:tcPr>
            <w:tcW w:w="6840" w:type="dxa"/>
            <w:vAlign w:val="bottom"/>
          </w:tcPr>
          <w:p>
            <w:pPr>
              <w:spacing w:after="0"/>
              <w:rPr>
                <w:sz w:val="21"/>
                <w:szCs w:val="21"/>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19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1960" w:type="dxa"/>
            <w:vAlign w:val="bottom"/>
          </w:tcPr>
          <w:p>
            <w:pPr>
              <w:ind w:left="60"/>
              <w:spacing w:after="0"/>
              <w:rPr>
                <w:sz w:val="20"/>
                <w:szCs w:val="20"/>
                <w:color w:val="auto"/>
              </w:rPr>
            </w:pPr>
            <w:r>
              <w:rPr>
                <w:rFonts w:ascii="Arial" w:cs="Arial" w:eastAsia="Arial" w:hAnsi="Arial"/>
                <w:sz w:val="18"/>
                <w:szCs w:val="18"/>
                <w:color w:val="auto"/>
              </w:rPr>
              <w:t>Date: October 29, 2014</w:t>
            </w:r>
          </w:p>
        </w:tc>
        <w:tc>
          <w:tcPr>
            <w:tcW w:w="684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2019-12-06T19:45:59Z</dcterms:created>
  <dcterms:modified xsi:type="dcterms:W3CDTF">2019-12-06T19:45:59Z</dcterms:modified>
</cp:coreProperties>
</file>