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819"/>
        <w:spacing w:after="0"/>
        <w:rPr>
          <w:sz w:val="20"/>
          <w:szCs w:val="20"/>
          <w:color w:val="auto"/>
        </w:rPr>
      </w:pPr>
      <w:r>
        <w:rPr>
          <w:rFonts w:ascii="Arial" w:cs="Arial" w:eastAsia="Arial" w:hAnsi="Arial"/>
          <w:sz w:val="16"/>
          <w:szCs w:val="16"/>
          <w:b w:val="1"/>
          <w:bCs w:val="1"/>
          <w:color w:val="auto"/>
        </w:rPr>
        <w:t>FORM 6-K</w:t>
      </w:r>
    </w:p>
    <w:p>
      <w:pPr>
        <w:spacing w:after="0" w:line="21" w:lineRule="exact"/>
        <w:rPr>
          <w:sz w:val="24"/>
          <w:szCs w:val="24"/>
          <w:color w:val="auto"/>
        </w:rPr>
      </w:pPr>
    </w:p>
    <w:p>
      <w:pPr>
        <w:jc w:val="center"/>
        <w:ind w:right="-819"/>
        <w:spacing w:after="0"/>
        <w:rPr>
          <w:sz w:val="20"/>
          <w:szCs w:val="20"/>
          <w:color w:val="auto"/>
        </w:rPr>
      </w:pPr>
      <w:r>
        <w:rPr>
          <w:rFonts w:ascii="Arial" w:cs="Arial" w:eastAsia="Arial" w:hAnsi="Arial"/>
          <w:sz w:val="16"/>
          <w:szCs w:val="16"/>
          <w:b w:val="1"/>
          <w:bCs w:val="1"/>
          <w:color w:val="auto"/>
        </w:rPr>
        <w:t>SECURITIES AND EXCHANGE COMMISSION</w:t>
      </w:r>
    </w:p>
    <w:p>
      <w:pPr>
        <w:spacing w:after="0" w:line="246" w:lineRule="exact"/>
        <w:rPr>
          <w:sz w:val="24"/>
          <w:szCs w:val="24"/>
          <w:color w:val="auto"/>
        </w:rPr>
      </w:pPr>
    </w:p>
    <w:p>
      <w:pPr>
        <w:jc w:val="center"/>
        <w:ind w:right="-819"/>
        <w:spacing w:after="0"/>
        <w:rPr>
          <w:sz w:val="20"/>
          <w:szCs w:val="20"/>
          <w:color w:val="auto"/>
        </w:rPr>
      </w:pPr>
      <w:r>
        <w:rPr>
          <w:rFonts w:ascii="Arial" w:cs="Arial" w:eastAsia="Arial" w:hAnsi="Arial"/>
          <w:sz w:val="16"/>
          <w:szCs w:val="16"/>
          <w:color w:val="auto"/>
        </w:rPr>
        <w:t>Washington, D.C. 20549</w:t>
      </w:r>
    </w:p>
    <w:p>
      <w:pPr>
        <w:spacing w:after="0" w:line="248" w:lineRule="exact"/>
        <w:rPr>
          <w:sz w:val="24"/>
          <w:szCs w:val="24"/>
          <w:color w:val="auto"/>
        </w:rPr>
      </w:pPr>
    </w:p>
    <w:p>
      <w:pPr>
        <w:jc w:val="center"/>
        <w:ind w:right="-819"/>
        <w:spacing w:after="0"/>
        <w:rPr>
          <w:sz w:val="20"/>
          <w:szCs w:val="20"/>
          <w:color w:val="auto"/>
        </w:rPr>
      </w:pPr>
      <w:r>
        <w:rPr>
          <w:rFonts w:ascii="Arial" w:cs="Arial" w:eastAsia="Arial" w:hAnsi="Arial"/>
          <w:sz w:val="16"/>
          <w:szCs w:val="16"/>
          <w:b w:val="1"/>
          <w:bCs w:val="1"/>
          <w:color w:val="auto"/>
        </w:rPr>
        <w:t>Report of Foreign Private Issuer</w:t>
      </w:r>
    </w:p>
    <w:p>
      <w:pPr>
        <w:spacing w:after="0" w:line="35" w:lineRule="exact"/>
        <w:rPr>
          <w:sz w:val="24"/>
          <w:szCs w:val="24"/>
          <w:color w:val="auto"/>
        </w:rPr>
      </w:pPr>
    </w:p>
    <w:p>
      <w:pPr>
        <w:jc w:val="center"/>
        <w:ind w:right="-819"/>
        <w:spacing w:after="0"/>
        <w:rPr>
          <w:sz w:val="20"/>
          <w:szCs w:val="20"/>
          <w:color w:val="auto"/>
        </w:rPr>
      </w:pPr>
      <w:r>
        <w:rPr>
          <w:rFonts w:ascii="Arial" w:cs="Arial" w:eastAsia="Arial" w:hAnsi="Arial"/>
          <w:sz w:val="16"/>
          <w:szCs w:val="16"/>
          <w:b w:val="1"/>
          <w:bCs w:val="1"/>
          <w:color w:val="auto"/>
        </w:rPr>
        <w:t>Pursuant to Rule 13a-16 under</w:t>
      </w:r>
    </w:p>
    <w:p>
      <w:pPr>
        <w:spacing w:after="0" w:line="5" w:lineRule="exact"/>
        <w:rPr>
          <w:sz w:val="24"/>
          <w:szCs w:val="24"/>
          <w:color w:val="auto"/>
        </w:rPr>
      </w:pPr>
    </w:p>
    <w:p>
      <w:pPr>
        <w:ind w:left="4220"/>
        <w:spacing w:after="0"/>
        <w:rPr>
          <w:sz w:val="20"/>
          <w:szCs w:val="20"/>
          <w:color w:val="auto"/>
        </w:rPr>
      </w:pPr>
      <w:r>
        <w:rPr>
          <w:rFonts w:ascii="Arial" w:cs="Arial" w:eastAsia="Arial" w:hAnsi="Arial"/>
          <w:sz w:val="16"/>
          <w:szCs w:val="16"/>
          <w:b w:val="1"/>
          <w:bCs w:val="1"/>
          <w:color w:val="auto"/>
        </w:rPr>
        <w:t>the Securities Exchange Act of 1934</w:t>
      </w:r>
    </w:p>
    <w:p>
      <w:pPr>
        <w:spacing w:after="0" w:line="200" w:lineRule="exact"/>
        <w:rPr>
          <w:sz w:val="24"/>
          <w:szCs w:val="24"/>
          <w:color w:val="auto"/>
        </w:rPr>
      </w:pPr>
    </w:p>
    <w:p>
      <w:pPr>
        <w:spacing w:after="0" w:line="275" w:lineRule="exact"/>
        <w:rPr>
          <w:sz w:val="24"/>
          <w:szCs w:val="24"/>
          <w:color w:val="auto"/>
        </w:rPr>
      </w:pPr>
    </w:p>
    <w:p>
      <w:pPr>
        <w:jc w:val="center"/>
        <w:ind w:right="-819"/>
        <w:spacing w:after="0"/>
        <w:rPr>
          <w:sz w:val="20"/>
          <w:szCs w:val="20"/>
          <w:color w:val="auto"/>
        </w:rPr>
      </w:pPr>
      <w:r>
        <w:rPr>
          <w:rFonts w:ascii="Arial" w:cs="Arial" w:eastAsia="Arial" w:hAnsi="Arial"/>
          <w:sz w:val="16"/>
          <w:szCs w:val="16"/>
          <w:color w:val="auto"/>
        </w:rPr>
        <w:t>For</w:t>
      </w:r>
    </w:p>
    <w:p>
      <w:pPr>
        <w:spacing w:after="0" w:line="31" w:lineRule="exact"/>
        <w:rPr>
          <w:sz w:val="24"/>
          <w:szCs w:val="24"/>
          <w:color w:val="auto"/>
        </w:rPr>
      </w:pPr>
    </w:p>
    <w:p>
      <w:pPr>
        <w:jc w:val="center"/>
        <w:ind w:right="-819"/>
        <w:spacing w:after="0"/>
        <w:rPr>
          <w:sz w:val="20"/>
          <w:szCs w:val="20"/>
          <w:color w:val="auto"/>
        </w:rPr>
      </w:pPr>
      <w:r>
        <w:rPr>
          <w:rFonts w:ascii="Arial" w:cs="Arial" w:eastAsia="Arial" w:hAnsi="Arial"/>
          <w:sz w:val="16"/>
          <w:szCs w:val="16"/>
          <w:color w:val="auto"/>
        </w:rPr>
        <w:t>the month ended April, 2022</w:t>
      </w:r>
    </w:p>
    <w:p>
      <w:pPr>
        <w:spacing w:after="0" w:line="236" w:lineRule="exact"/>
        <w:rPr>
          <w:sz w:val="24"/>
          <w:szCs w:val="24"/>
          <w:color w:val="auto"/>
        </w:rPr>
      </w:pPr>
    </w:p>
    <w:p>
      <w:pPr>
        <w:jc w:val="center"/>
        <w:ind w:right="-819"/>
        <w:spacing w:after="0"/>
        <w:rPr>
          <w:sz w:val="20"/>
          <w:szCs w:val="20"/>
          <w:color w:val="auto"/>
        </w:rPr>
      </w:pPr>
      <w:r>
        <w:rPr>
          <w:rFonts w:ascii="Arial" w:cs="Arial" w:eastAsia="Arial" w:hAnsi="Arial"/>
          <w:sz w:val="16"/>
          <w:szCs w:val="16"/>
          <w:b w:val="1"/>
          <w:bCs w:val="1"/>
          <w:color w:val="auto"/>
        </w:rPr>
        <w:t>ICON plc</w:t>
      </w:r>
    </w:p>
    <w:p>
      <w:pPr>
        <w:spacing w:after="0" w:line="35" w:lineRule="exact"/>
        <w:rPr>
          <w:sz w:val="24"/>
          <w:szCs w:val="24"/>
          <w:color w:val="auto"/>
        </w:rPr>
      </w:pPr>
    </w:p>
    <w:p>
      <w:pPr>
        <w:jc w:val="center"/>
        <w:ind w:right="-819"/>
        <w:spacing w:after="0"/>
        <w:rPr>
          <w:sz w:val="20"/>
          <w:szCs w:val="20"/>
          <w:color w:val="auto"/>
        </w:rPr>
      </w:pPr>
      <w:r>
        <w:rPr>
          <w:rFonts w:ascii="Arial" w:cs="Arial" w:eastAsia="Arial" w:hAnsi="Arial"/>
          <w:sz w:val="16"/>
          <w:szCs w:val="16"/>
          <w:color w:val="auto"/>
        </w:rPr>
        <w:t>(Registrant's name)</w:t>
      </w:r>
    </w:p>
    <w:p>
      <w:pPr>
        <w:spacing w:after="0" w:line="200" w:lineRule="exact"/>
        <w:rPr>
          <w:sz w:val="24"/>
          <w:szCs w:val="24"/>
          <w:color w:val="auto"/>
        </w:rPr>
      </w:pPr>
    </w:p>
    <w:p>
      <w:pPr>
        <w:spacing w:after="0" w:line="275" w:lineRule="exact"/>
        <w:rPr>
          <w:sz w:val="24"/>
          <w:szCs w:val="24"/>
          <w:color w:val="auto"/>
        </w:rPr>
      </w:pPr>
    </w:p>
    <w:p>
      <w:pPr>
        <w:jc w:val="center"/>
        <w:ind w:right="-819"/>
        <w:spacing w:after="0"/>
        <w:rPr>
          <w:sz w:val="20"/>
          <w:szCs w:val="20"/>
          <w:color w:val="auto"/>
        </w:rPr>
      </w:pPr>
      <w:r>
        <w:rPr>
          <w:rFonts w:ascii="Arial" w:cs="Arial" w:eastAsia="Arial" w:hAnsi="Arial"/>
          <w:sz w:val="16"/>
          <w:szCs w:val="16"/>
          <w:color w:val="auto"/>
        </w:rPr>
        <w:t>333-08704</w:t>
      </w:r>
    </w:p>
    <w:p>
      <w:pPr>
        <w:spacing w:after="0" w:line="21" w:lineRule="exact"/>
        <w:rPr>
          <w:sz w:val="24"/>
          <w:szCs w:val="24"/>
          <w:color w:val="auto"/>
        </w:rPr>
      </w:pPr>
    </w:p>
    <w:p>
      <w:pPr>
        <w:jc w:val="center"/>
        <w:ind w:right="-819"/>
        <w:spacing w:after="0"/>
        <w:rPr>
          <w:sz w:val="20"/>
          <w:szCs w:val="20"/>
          <w:color w:val="auto"/>
        </w:rPr>
      </w:pPr>
      <w:r>
        <w:rPr>
          <w:rFonts w:ascii="Arial" w:cs="Arial" w:eastAsia="Arial" w:hAnsi="Arial"/>
          <w:sz w:val="16"/>
          <w:szCs w:val="16"/>
          <w:color w:val="auto"/>
        </w:rPr>
        <w:t>(Commission file number)</w:t>
      </w:r>
    </w:p>
    <w:p>
      <w:pPr>
        <w:spacing w:after="0" w:line="200" w:lineRule="exact"/>
        <w:rPr>
          <w:sz w:val="24"/>
          <w:szCs w:val="24"/>
          <w:color w:val="auto"/>
        </w:rPr>
      </w:pPr>
    </w:p>
    <w:p>
      <w:pPr>
        <w:spacing w:after="0" w:line="289" w:lineRule="exact"/>
        <w:rPr>
          <w:sz w:val="24"/>
          <w:szCs w:val="24"/>
          <w:color w:val="auto"/>
        </w:rPr>
      </w:pPr>
    </w:p>
    <w:p>
      <w:pPr>
        <w:jc w:val="center"/>
        <w:ind w:right="-819"/>
        <w:spacing w:after="0"/>
        <w:rPr>
          <w:sz w:val="20"/>
          <w:szCs w:val="20"/>
          <w:color w:val="auto"/>
        </w:rPr>
      </w:pPr>
      <w:r>
        <w:rPr>
          <w:rFonts w:ascii="Arial" w:cs="Arial" w:eastAsia="Arial" w:hAnsi="Arial"/>
          <w:sz w:val="16"/>
          <w:szCs w:val="16"/>
          <w:color w:val="auto"/>
        </w:rPr>
        <w:t>South County Business Park, Leopardstown, Dublin 18, D18 X5R3, Ireland</w:t>
      </w:r>
    </w:p>
    <w:p>
      <w:pPr>
        <w:spacing w:after="0" w:line="21" w:lineRule="exact"/>
        <w:rPr>
          <w:sz w:val="24"/>
          <w:szCs w:val="24"/>
          <w:color w:val="auto"/>
        </w:rPr>
      </w:pPr>
    </w:p>
    <w:p>
      <w:pPr>
        <w:jc w:val="center"/>
        <w:ind w:right="-819"/>
        <w:spacing w:after="0"/>
        <w:rPr>
          <w:sz w:val="20"/>
          <w:szCs w:val="20"/>
          <w:color w:val="auto"/>
        </w:rPr>
      </w:pPr>
      <w:r>
        <w:rPr>
          <w:rFonts w:ascii="Arial" w:cs="Arial" w:eastAsia="Arial" w:hAnsi="Arial"/>
          <w:sz w:val="16"/>
          <w:szCs w:val="16"/>
          <w:color w:val="auto"/>
        </w:rPr>
        <w:t>(Address of principal executive offices)</w:t>
      </w:r>
    </w:p>
    <w:p>
      <w:pPr>
        <w:spacing w:after="0" w:line="200" w:lineRule="exact"/>
        <w:rPr>
          <w:sz w:val="24"/>
          <w:szCs w:val="24"/>
          <w:color w:val="auto"/>
        </w:rPr>
      </w:pPr>
    </w:p>
    <w:p>
      <w:pPr>
        <w:spacing w:after="0" w:line="275" w:lineRule="exact"/>
        <w:rPr>
          <w:sz w:val="24"/>
          <w:szCs w:val="24"/>
          <w:color w:val="auto"/>
        </w:rPr>
      </w:pPr>
    </w:p>
    <w:p>
      <w:pPr>
        <w:ind w:left="4760"/>
        <w:spacing w:after="0"/>
        <w:rPr>
          <w:sz w:val="20"/>
          <w:szCs w:val="20"/>
          <w:color w:val="auto"/>
        </w:rPr>
      </w:pPr>
      <w:r>
        <w:rPr>
          <w:rFonts w:ascii="Arial" w:cs="Arial" w:eastAsia="Arial" w:hAnsi="Arial"/>
          <w:sz w:val="16"/>
          <w:szCs w:val="16"/>
          <w:color w:val="auto"/>
        </w:rPr>
        <w:t>Brendan Brennan, CFO</w:t>
      </w:r>
    </w:p>
    <w:p>
      <w:pPr>
        <w:spacing w:after="0" w:line="31" w:lineRule="exact"/>
        <w:rPr>
          <w:sz w:val="24"/>
          <w:szCs w:val="24"/>
          <w:color w:val="auto"/>
        </w:rPr>
      </w:pPr>
    </w:p>
    <w:p>
      <w:pPr>
        <w:ind w:left="2920"/>
        <w:spacing w:after="0"/>
        <w:rPr>
          <w:sz w:val="20"/>
          <w:szCs w:val="20"/>
          <w:color w:val="auto"/>
        </w:rPr>
      </w:pPr>
      <w:r>
        <w:rPr>
          <w:rFonts w:ascii="Arial" w:cs="Arial" w:eastAsia="Arial" w:hAnsi="Arial"/>
          <w:sz w:val="16"/>
          <w:szCs w:val="16"/>
          <w:color w:val="auto"/>
        </w:rPr>
        <w:t>South County Business Park, Leopardstown, Dublin 18, D18 X5R3, Ireland</w:t>
      </w:r>
    </w:p>
    <w:p>
      <w:pPr>
        <w:spacing w:after="0" w:line="9" w:lineRule="exact"/>
        <w:rPr>
          <w:sz w:val="24"/>
          <w:szCs w:val="24"/>
          <w:color w:val="auto"/>
        </w:rPr>
      </w:pPr>
    </w:p>
    <w:p>
      <w:pPr>
        <w:ind w:left="4460"/>
        <w:spacing w:after="0"/>
        <w:rPr>
          <w:sz w:val="20"/>
          <w:szCs w:val="20"/>
          <w:color w:val="auto"/>
        </w:rPr>
      </w:pPr>
      <w:r>
        <w:rPr>
          <w:rFonts w:ascii="Arial" w:cs="Arial" w:eastAsia="Arial" w:hAnsi="Arial"/>
          <w:sz w:val="16"/>
          <w:szCs w:val="16"/>
          <w:color w:val="auto"/>
        </w:rPr>
        <w:t>Brendan.Brennan@iconplc.com</w:t>
      </w:r>
    </w:p>
    <w:p>
      <w:pPr>
        <w:spacing w:after="0" w:line="15" w:lineRule="exact"/>
        <w:rPr>
          <w:sz w:val="24"/>
          <w:szCs w:val="24"/>
          <w:color w:val="auto"/>
        </w:rPr>
      </w:pPr>
    </w:p>
    <w:p>
      <w:pPr>
        <w:ind w:left="4980"/>
        <w:spacing w:after="0"/>
        <w:rPr>
          <w:sz w:val="20"/>
          <w:szCs w:val="20"/>
          <w:color w:val="auto"/>
        </w:rPr>
      </w:pPr>
      <w:r>
        <w:rPr>
          <w:rFonts w:ascii="Arial" w:cs="Arial" w:eastAsia="Arial" w:hAnsi="Arial"/>
          <w:sz w:val="16"/>
          <w:szCs w:val="16"/>
          <w:color w:val="auto"/>
        </w:rPr>
        <w:t>+353-1-291-2000</w:t>
      </w:r>
    </w:p>
    <w:p>
      <w:pPr>
        <w:spacing w:after="0" w:line="9" w:lineRule="exact"/>
        <w:rPr>
          <w:sz w:val="24"/>
          <w:szCs w:val="24"/>
          <w:color w:val="auto"/>
        </w:rPr>
      </w:pPr>
    </w:p>
    <w:p>
      <w:pPr>
        <w:ind w:left="2060"/>
        <w:spacing w:after="0"/>
        <w:rPr>
          <w:sz w:val="20"/>
          <w:szCs w:val="20"/>
          <w:color w:val="auto"/>
        </w:rPr>
      </w:pPr>
      <w:r>
        <w:rPr>
          <w:rFonts w:ascii="Arial" w:cs="Arial" w:eastAsia="Arial" w:hAnsi="Arial"/>
          <w:sz w:val="16"/>
          <w:szCs w:val="16"/>
          <w:color w:val="auto"/>
        </w:rPr>
        <w:t>(Name, telephone number, email and/or facsimile number and address of Company contact person)</w:t>
      </w:r>
    </w:p>
    <w:p>
      <w:pPr>
        <w:spacing w:after="0" w:line="200" w:lineRule="exact"/>
        <w:rPr>
          <w:sz w:val="24"/>
          <w:szCs w:val="24"/>
          <w:color w:val="auto"/>
        </w:rPr>
      </w:pPr>
    </w:p>
    <w:p>
      <w:pPr>
        <w:spacing w:after="0" w:line="316" w:lineRule="exact"/>
        <w:rPr>
          <w:sz w:val="24"/>
          <w:szCs w:val="24"/>
          <w:color w:val="auto"/>
        </w:rPr>
      </w:pPr>
    </w:p>
    <w:p>
      <w:pPr>
        <w:spacing w:after="0"/>
        <w:rPr>
          <w:sz w:val="20"/>
          <w:szCs w:val="20"/>
          <w:color w:val="auto"/>
        </w:rPr>
      </w:pPr>
      <w:r>
        <w:rPr>
          <w:rFonts w:ascii="Arial" w:cs="Arial" w:eastAsia="Arial" w:hAnsi="Arial"/>
          <w:sz w:val="16"/>
          <w:szCs w:val="16"/>
          <w:color w:val="auto"/>
        </w:rPr>
        <w:t>Indicate by check mark whether the registrant files or will file annual reports under cover Form 20-F or Form 40-F.</w:t>
      </w:r>
    </w:p>
    <w:p>
      <w:pPr>
        <w:spacing w:after="0" w:line="32" w:lineRule="exact"/>
        <w:rPr>
          <w:sz w:val="24"/>
          <w:szCs w:val="24"/>
          <w:color w:val="auto"/>
        </w:rPr>
      </w:pPr>
    </w:p>
    <w:p>
      <w:pPr>
        <w:ind w:left="4360"/>
        <w:spacing w:after="0"/>
        <w:tabs>
          <w:tab w:leader="none" w:pos="6500" w:val="left"/>
        </w:tabs>
        <w:rPr>
          <w:sz w:val="20"/>
          <w:szCs w:val="20"/>
          <w:color w:val="auto"/>
        </w:rPr>
      </w:pPr>
      <w:r>
        <w:rPr>
          <w:rFonts w:ascii="Arial" w:cs="Arial" w:eastAsia="Arial" w:hAnsi="Arial"/>
          <w:sz w:val="16"/>
          <w:szCs w:val="16"/>
          <w:color w:val="auto"/>
        </w:rPr>
        <w:t>Form 20-F___</w:t>
      </w:r>
      <w:r>
        <w:rPr>
          <w:rFonts w:ascii="Arial" w:cs="Arial" w:eastAsia="Arial" w:hAnsi="Arial"/>
          <w:sz w:val="16"/>
          <w:szCs w:val="16"/>
          <w:b w:val="1"/>
          <w:bCs w:val="1"/>
          <w:color w:val="auto"/>
        </w:rPr>
        <w:t>X</w:t>
      </w:r>
      <w:r>
        <w:rPr>
          <w:rFonts w:ascii="Arial" w:cs="Arial" w:eastAsia="Arial" w:hAnsi="Arial"/>
          <w:sz w:val="16"/>
          <w:szCs w:val="16"/>
          <w:color w:val="auto"/>
        </w:rPr>
        <w:t>___</w:t>
      </w:r>
      <w:r>
        <w:rPr>
          <w:sz w:val="20"/>
          <w:szCs w:val="20"/>
          <w:color w:val="auto"/>
        </w:rPr>
        <w:tab/>
      </w:r>
      <w:r>
        <w:rPr>
          <w:rFonts w:ascii="Arial" w:cs="Arial" w:eastAsia="Arial" w:hAnsi="Arial"/>
          <w:sz w:val="16"/>
          <w:szCs w:val="16"/>
          <w:color w:val="auto"/>
        </w:rPr>
        <w:t>Form 40-F______</w:t>
      </w:r>
    </w:p>
    <w:p>
      <w:pPr>
        <w:spacing w:after="0" w:line="289" w:lineRule="exact"/>
        <w:rPr>
          <w:sz w:val="24"/>
          <w:szCs w:val="24"/>
          <w:color w:val="auto"/>
        </w:rPr>
      </w:pPr>
    </w:p>
    <w:p>
      <w:pPr>
        <w:spacing w:after="0"/>
        <w:rPr>
          <w:sz w:val="20"/>
          <w:szCs w:val="20"/>
          <w:color w:val="auto"/>
        </w:rPr>
      </w:pPr>
      <w:r>
        <w:rPr>
          <w:rFonts w:ascii="Arial" w:cs="Arial" w:eastAsia="Arial" w:hAnsi="Arial"/>
          <w:sz w:val="16"/>
          <w:szCs w:val="16"/>
          <w:color w:val="auto"/>
        </w:rPr>
        <w:t>Indicate by check mark whether the registrant is submitting the Form 6-K in paper as permitted by Regulation S-T Rule 101(b)(1):</w:t>
      </w:r>
    </w:p>
    <w:p>
      <w:pPr>
        <w:spacing w:after="0" w:line="32" w:lineRule="exact"/>
        <w:rPr>
          <w:sz w:val="24"/>
          <w:szCs w:val="24"/>
          <w:color w:val="auto"/>
        </w:rPr>
      </w:pPr>
    </w:p>
    <w:p>
      <w:pPr>
        <w:ind w:left="4360"/>
        <w:spacing w:after="0"/>
        <w:tabs>
          <w:tab w:leader="none" w:pos="6500" w:val="left"/>
        </w:tabs>
        <w:rPr>
          <w:sz w:val="20"/>
          <w:szCs w:val="20"/>
          <w:color w:val="auto"/>
        </w:rPr>
      </w:pPr>
      <w:r>
        <w:rPr>
          <w:rFonts w:ascii="Arial" w:cs="Arial" w:eastAsia="Arial" w:hAnsi="Arial"/>
          <w:sz w:val="16"/>
          <w:szCs w:val="16"/>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89" w:lineRule="exact"/>
        <w:rPr>
          <w:sz w:val="24"/>
          <w:szCs w:val="24"/>
          <w:color w:val="auto"/>
        </w:rPr>
      </w:pPr>
    </w:p>
    <w:p>
      <w:pPr>
        <w:spacing w:after="0"/>
        <w:rPr>
          <w:sz w:val="20"/>
          <w:szCs w:val="20"/>
          <w:color w:val="auto"/>
        </w:rPr>
      </w:pPr>
      <w:r>
        <w:rPr>
          <w:rFonts w:ascii="Arial" w:cs="Arial" w:eastAsia="Arial" w:hAnsi="Arial"/>
          <w:sz w:val="16"/>
          <w:szCs w:val="16"/>
          <w:color w:val="auto"/>
        </w:rPr>
        <w:t>Indicate by check mark whether the registrant is submitting the Form 6-K in paper as permitted by Regulation S-T Rule 101(b)(7):</w:t>
      </w:r>
    </w:p>
    <w:p>
      <w:pPr>
        <w:spacing w:after="0" w:line="32" w:lineRule="exact"/>
        <w:rPr>
          <w:sz w:val="24"/>
          <w:szCs w:val="24"/>
          <w:color w:val="auto"/>
        </w:rPr>
      </w:pPr>
    </w:p>
    <w:p>
      <w:pPr>
        <w:ind w:left="4360"/>
        <w:spacing w:after="0"/>
        <w:tabs>
          <w:tab w:leader="none" w:pos="6500" w:val="left"/>
        </w:tabs>
        <w:rPr>
          <w:sz w:val="20"/>
          <w:szCs w:val="20"/>
          <w:color w:val="auto"/>
        </w:rPr>
      </w:pPr>
      <w:r>
        <w:rPr>
          <w:rFonts w:ascii="Arial" w:cs="Arial" w:eastAsia="Arial" w:hAnsi="Arial"/>
          <w:sz w:val="16"/>
          <w:szCs w:val="16"/>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89" w:lineRule="exact"/>
        <w:rPr>
          <w:sz w:val="24"/>
          <w:szCs w:val="24"/>
          <w:color w:val="auto"/>
        </w:rPr>
      </w:pPr>
    </w:p>
    <w:p>
      <w:pPr>
        <w:spacing w:after="0" w:line="246" w:lineRule="auto"/>
        <w:rPr>
          <w:sz w:val="20"/>
          <w:szCs w:val="20"/>
          <w:color w:val="auto"/>
        </w:rPr>
      </w:pPr>
      <w:r>
        <w:rPr>
          <w:rFonts w:ascii="Arial" w:cs="Arial" w:eastAsia="Arial" w:hAnsi="Arial"/>
          <w:sz w:val="16"/>
          <w:szCs w:val="16"/>
          <w:color w:val="auto"/>
        </w:rPr>
        <w:t>Indicate by check mark whether the registrant by furnishing the information contained in this Form is also thereby furnishing the information to the Commission pursuant to Rule12g3-2(b) under the Securities Exchange Act of 1934.</w:t>
      </w:r>
    </w:p>
    <w:p>
      <w:pPr>
        <w:spacing w:after="0" w:line="1" w:lineRule="exact"/>
        <w:rPr>
          <w:sz w:val="24"/>
          <w:szCs w:val="24"/>
          <w:color w:val="auto"/>
        </w:rPr>
      </w:pPr>
    </w:p>
    <w:p>
      <w:pPr>
        <w:ind w:left="4360"/>
        <w:spacing w:after="0"/>
        <w:tabs>
          <w:tab w:leader="none" w:pos="6500" w:val="left"/>
        </w:tabs>
        <w:rPr>
          <w:sz w:val="20"/>
          <w:szCs w:val="20"/>
          <w:color w:val="auto"/>
        </w:rPr>
      </w:pPr>
      <w:r>
        <w:rPr>
          <w:rFonts w:ascii="Arial" w:cs="Arial" w:eastAsia="Arial" w:hAnsi="Arial"/>
          <w:sz w:val="16"/>
          <w:szCs w:val="16"/>
          <w:color w:val="auto"/>
        </w:rPr>
        <w:t>Yes______</w:t>
      </w:r>
      <w:r>
        <w:rPr>
          <w:sz w:val="20"/>
          <w:szCs w:val="20"/>
          <w:color w:val="auto"/>
        </w:rPr>
        <w:tab/>
      </w:r>
      <w:r>
        <w:rPr>
          <w:rFonts w:ascii="Arial" w:cs="Arial" w:eastAsia="Arial" w:hAnsi="Arial"/>
          <w:sz w:val="16"/>
          <w:szCs w:val="16"/>
          <w:color w:val="auto"/>
        </w:rPr>
        <w:t>No___</w:t>
      </w:r>
      <w:r>
        <w:rPr>
          <w:rFonts w:ascii="Arial" w:cs="Arial" w:eastAsia="Arial" w:hAnsi="Arial"/>
          <w:sz w:val="16"/>
          <w:szCs w:val="16"/>
          <w:b w:val="1"/>
          <w:bCs w:val="1"/>
          <w:color w:val="auto"/>
        </w:rPr>
        <w:t>X</w:t>
      </w:r>
      <w:r>
        <w:rPr>
          <w:rFonts w:ascii="Arial" w:cs="Arial" w:eastAsia="Arial" w:hAnsi="Arial"/>
          <w:sz w:val="16"/>
          <w:szCs w:val="16"/>
          <w:color w:val="auto"/>
        </w:rPr>
        <w:t>___</w:t>
      </w:r>
    </w:p>
    <w:p>
      <w:pPr>
        <w:spacing w:after="0" w:line="289" w:lineRule="exact"/>
        <w:rPr>
          <w:sz w:val="24"/>
          <w:szCs w:val="24"/>
          <w:color w:val="auto"/>
        </w:rPr>
      </w:pPr>
    </w:p>
    <w:p>
      <w:pPr>
        <w:spacing w:after="0"/>
        <w:rPr>
          <w:sz w:val="20"/>
          <w:szCs w:val="20"/>
          <w:color w:val="auto"/>
        </w:rPr>
      </w:pPr>
      <w:r>
        <w:rPr>
          <w:rFonts w:ascii="Arial" w:cs="Arial" w:eastAsia="Arial" w:hAnsi="Arial"/>
          <w:sz w:val="16"/>
          <w:szCs w:val="16"/>
          <w:color w:val="auto"/>
        </w:rPr>
        <w:t xml:space="preserve">If "Yes" is marked, indicate below the file number assigned to the registrant in connection with Rule 12g3-2(b):82 </w:t>
      </w:r>
      <w:r>
        <w:rPr>
          <w:rFonts w:ascii="Arial" w:cs="Arial" w:eastAsia="Arial" w:hAnsi="Arial"/>
          <w:sz w:val="16"/>
          <w:szCs w:val="16"/>
          <w:b w:val="1"/>
          <w:bCs w:val="1"/>
          <w:color w:val="auto"/>
        </w:rPr>
        <w:t>N/A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-19685</wp:posOffset>
            </wp:positionH>
            <wp:positionV relativeFrom="paragraph">
              <wp:posOffset>625475</wp:posOffset>
            </wp:positionV>
            <wp:extent cx="7157720" cy="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0400"/>
          </w:cols>
          <w:pgMar w:left="340" w:top="1246" w:right="1159" w:bottom="1440" w:gutter="0" w:footer="0" w:header="0"/>
        </w:sectPr>
      </w:pPr>
    </w:p>
    <w:bookmarkStart w:id="1" w:name="page2"/>
    <w:bookmarkEnd w:id="1"/>
    <w:p>
      <w:pPr>
        <w:spacing w:after="0"/>
        <w:rPr>
          <w:sz w:val="20"/>
          <w:szCs w:val="20"/>
          <w:color w:val="auto"/>
        </w:rPr>
      </w:pPr>
      <w:r>
        <w:rPr>
          <w:rFonts w:ascii="Arial" w:cs="Arial" w:eastAsia="Arial" w:hAnsi="Arial"/>
          <w:sz w:val="16"/>
          <w:szCs w:val="16"/>
          <w:b w:val="1"/>
          <w:bCs w:val="1"/>
          <w:color w:val="auto"/>
        </w:rPr>
        <w:t>ICON plc</w:t>
      </w:r>
    </w:p>
    <w:p>
      <w:pPr>
        <w:spacing w:after="0" w:line="167"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16"/>
          <w:szCs w:val="16"/>
          <w:color w:val="auto"/>
        </w:rPr>
        <w:t>This report on Form 6-K is hereby incorporated by reference in the registration statement on Form F-3 (Registration No. 333-133371) of ICON plc and in the prospectus contained therein, registration statement on Form F-4 (Registration No. 333-254891) of ICON plc and in the prospectus contained therein, registration statement on Form S-8 (Registration No. 333-152802) of ICON plc, registration statement on Form S-8 (Registration No. 333-190068) of ICON plc, registration statement on Form S-8 (Registration No. 333-231527) of ICON plc, registration statement on Form S-8 (Registration No. 333-254891) of ICON plc, and registration statement on Form S-8 (Registration No. 333-257578) of ICON plc and this report on Form 6-K shall be deemed a part of each such registration statement from the date on which this report is filed, to the extent not superseded by documents or reports subsequently filed or furnished by ICON plc under the Securities Act of 1933 or the Securities Exchange Act of 1934.</w: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57" w:right="339" w:bottom="1440" w:gutter="0" w:footer="0" w:header="0"/>
        </w:sectPr>
      </w:pPr>
    </w:p>
    <w:bookmarkStart w:id="2" w:name="page3"/>
    <w:bookmarkEnd w:id="2"/>
    <w:p>
      <w:pPr>
        <w:spacing w:after="0"/>
        <w:rPr>
          <w:sz w:val="20"/>
          <w:szCs w:val="20"/>
          <w:color w:val="auto"/>
        </w:rPr>
      </w:pPr>
      <w:r>
        <w:rPr>
          <w:rFonts w:ascii="Arial" w:cs="Arial" w:eastAsia="Arial" w:hAnsi="Arial"/>
          <w:sz w:val="16"/>
          <w:szCs w:val="16"/>
          <w:b w:val="1"/>
          <w:bCs w:val="1"/>
          <w:color w:val="auto"/>
        </w:rPr>
        <w:t>GENERAL</w:t>
      </w:r>
    </w:p>
    <w:p>
      <w:pPr>
        <w:spacing w:after="0" w:line="248" w:lineRule="exact"/>
        <w:rPr>
          <w:sz w:val="20"/>
          <w:szCs w:val="20"/>
          <w:color w:val="auto"/>
        </w:rPr>
      </w:pPr>
    </w:p>
    <w:p>
      <w:pPr>
        <w:jc w:val="center"/>
        <w:ind w:right="-39"/>
        <w:spacing w:after="0"/>
        <w:rPr>
          <w:sz w:val="20"/>
          <w:szCs w:val="20"/>
          <w:color w:val="auto"/>
        </w:rPr>
      </w:pPr>
      <w:r>
        <w:rPr>
          <w:rFonts w:ascii="Arial" w:cs="Arial" w:eastAsia="Arial" w:hAnsi="Arial"/>
          <w:sz w:val="16"/>
          <w:szCs w:val="16"/>
          <w:color w:val="auto"/>
        </w:rPr>
        <w:t>As used herein, “ICON”, the “Company” and “we” refer to ICON plc and its consolidated subsidiaries, unless the context requires otherwise.</w:t>
      </w:r>
    </w:p>
    <w:p>
      <w:pPr>
        <w:spacing w:after="0" w:line="26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Business</w:t>
      </w:r>
    </w:p>
    <w:p>
      <w:pPr>
        <w:spacing w:after="0" w:line="248"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ICON public limited company (“ICON”) is a clinical research organization (“CRO”), providing outsourced development services on a global basis to the pharmaceutical, biotechnology and medical device industries. We specialize in the strategic development, management and analysis of programs that support all stages of the clinical development process - from compound selection to Phase I-IV clinical studies. Our vision is to be the global CRO partner of choice in drug development by delivering best in class information, solutions and performance in clinical and outcomes research.</w:t>
      </w:r>
    </w:p>
    <w:p>
      <w:pPr>
        <w:spacing w:after="0" w:line="213"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 service” solution. At March 31, 2022 we had approximately 39,300 employees, in 138 locations in 53 countries. During the three months ended March 31, 2022, we derived approximately 51.0%, 43.3% and 5.7% of our revenue in the United States, Europe and Rest of World respectively.</w:t>
      </w:r>
    </w:p>
    <w:p>
      <w:pPr>
        <w:spacing w:after="0" w:line="200"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We began operations in 1990 and have expanded our business through organic growth, together with a number of strategic acquisitions to enhance our capabilities and expertise in certain areas of the clinical development process. We are incorporated in Ireland and our principal executive office is located at: South County Business Park, Leopardstown, Dublin 18, D18 X5R3, Republic of Ireland. The contact telephone number of this office is +353-1-291-2000.</w:t>
      </w:r>
    </w:p>
    <w:p>
      <w:pPr>
        <w:spacing w:after="0" w:line="19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Recent developments</w:t>
      </w:r>
    </w:p>
    <w:p>
      <w:pPr>
        <w:spacing w:after="0" w:line="26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Senior Secured Credit Facilities repayment</w:t>
      </w:r>
    </w:p>
    <w:p>
      <w:pPr>
        <w:spacing w:after="0" w:line="246" w:lineRule="exact"/>
        <w:rPr>
          <w:sz w:val="20"/>
          <w:szCs w:val="20"/>
          <w:color w:val="auto"/>
        </w:rPr>
      </w:pPr>
    </w:p>
    <w:p>
      <w:pPr>
        <w:jc w:val="both"/>
        <w:ind w:right="20" w:firstLine="648"/>
        <w:spacing w:after="0" w:line="304" w:lineRule="auto"/>
        <w:rPr>
          <w:sz w:val="20"/>
          <w:szCs w:val="20"/>
          <w:color w:val="auto"/>
        </w:rPr>
      </w:pPr>
      <w:r>
        <w:rPr>
          <w:rFonts w:ascii="Arial" w:cs="Arial" w:eastAsia="Arial" w:hAnsi="Arial"/>
          <w:sz w:val="16"/>
          <w:szCs w:val="16"/>
          <w:color w:val="auto"/>
        </w:rPr>
        <w:t>On March 31, 2022 the Company repaid $300.0 million of the senior secured term loan facility and made a quarterly interest payment of $35.1 million. These repayments resulted in an accelerated charge associated with previously capitalized fees of $3.2 million.</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Share repurchase program</w:t>
      </w:r>
    </w:p>
    <w:p>
      <w:pPr>
        <w:spacing w:after="0" w:line="246" w:lineRule="exact"/>
        <w:rPr>
          <w:sz w:val="20"/>
          <w:szCs w:val="20"/>
          <w:color w:val="auto"/>
        </w:rPr>
      </w:pPr>
    </w:p>
    <w:p>
      <w:pPr>
        <w:jc w:val="both"/>
        <w:ind w:right="20" w:firstLine="648"/>
        <w:spacing w:after="0" w:line="304" w:lineRule="auto"/>
        <w:rPr>
          <w:sz w:val="20"/>
          <w:szCs w:val="20"/>
          <w:color w:val="auto"/>
        </w:rPr>
      </w:pPr>
      <w:r>
        <w:rPr>
          <w:rFonts w:ascii="Arial" w:cs="Arial" w:eastAsia="Arial" w:hAnsi="Arial"/>
          <w:sz w:val="16"/>
          <w:szCs w:val="16"/>
          <w:color w:val="auto"/>
        </w:rPr>
        <w:t>On February 18, 2022, the Company commenced a further share buyback program. The share buyback program was completed during the three months ended March 31, 2022 with a total of 420,530 ordinary shares redeemed by the Company for a total consideration of $100.0 million.</w:t>
      </w:r>
    </w:p>
    <w:p>
      <w:pPr>
        <w:spacing w:after="0" w:line="168" w:lineRule="exact"/>
        <w:rPr>
          <w:sz w:val="20"/>
          <w:szCs w:val="20"/>
          <w:color w:val="auto"/>
        </w:rPr>
      </w:pPr>
    </w:p>
    <w:p>
      <w:pPr>
        <w:jc w:val="both"/>
        <w:ind w:right="20" w:firstLine="648"/>
        <w:spacing w:after="0" w:line="304" w:lineRule="auto"/>
        <w:rPr>
          <w:sz w:val="20"/>
          <w:szCs w:val="20"/>
          <w:color w:val="auto"/>
        </w:rPr>
      </w:pPr>
      <w:r>
        <w:rPr>
          <w:rFonts w:ascii="Arial" w:cs="Arial" w:eastAsia="Arial" w:hAnsi="Arial"/>
          <w:sz w:val="16"/>
          <w:szCs w:val="16"/>
          <w:color w:val="auto"/>
        </w:rPr>
        <w:t>All ordinary shares that were redeemed under the buyback program were canceled in accordance with the Constitution of the Company and the nominal value of these shares transferred to other undenominated capital as required by Irish Company law.</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Ukraine situation</w:t>
      </w:r>
    </w:p>
    <w:p>
      <w:pPr>
        <w:spacing w:after="0" w:line="246" w:lineRule="exact"/>
        <w:rPr>
          <w:sz w:val="20"/>
          <w:szCs w:val="20"/>
          <w:color w:val="auto"/>
        </w:rPr>
      </w:pPr>
    </w:p>
    <w:p>
      <w:pPr>
        <w:jc w:val="both"/>
        <w:ind w:right="20" w:firstLine="648"/>
        <w:spacing w:after="0" w:line="275" w:lineRule="auto"/>
        <w:rPr>
          <w:sz w:val="20"/>
          <w:szCs w:val="20"/>
          <w:color w:val="auto"/>
        </w:rPr>
      </w:pPr>
      <w:r>
        <w:rPr>
          <w:rFonts w:ascii="Arial" w:cs="Arial" w:eastAsia="Arial" w:hAnsi="Arial"/>
          <w:sz w:val="16"/>
          <w:szCs w:val="16"/>
          <w:color w:val="auto"/>
        </w:rPr>
        <w:t>On February 24, 2022 Russia invaded Ukraine creating significant instability and unrest in the region. The Company's operations in these affected regions have been significantly curtailed as a result of these events. The Company's operations in the affected regions are approximately 1%-2% of the Company's turnover and the financial impact of the unrest is not material to the Company during the three months ended March 31, 2022.</w:t>
      </w:r>
    </w:p>
    <w:p>
      <w:pPr>
        <w:spacing w:after="0" w:line="205"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During these concerning times, the Company's key focus is on the safety of their employees, their families, patients, investigators and on the mitigation of adverse impacts on ongoing clinical trials. The Company has worked to ensure the safety of employees and their families based in the Ukraine through the implementation of a number of employee assistance programs. These programs aim to provide affected employees and their families with transportation, accommodation in neighboring countries, financial assistance, communications and other support services as required.</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PRA Health Sciences, Inc. - Merger Completion</w:t>
      </w:r>
    </w:p>
    <w:p>
      <w:pPr>
        <w:spacing w:after="0" w:line="260"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On July 1, 2021, ICON completed the Acquisition of PRA by means of a merger whereby Indigo Merger Sub, Inc., a Delaware corporation and subsidiary of ICON, merged with and into PRA, the parent of the PRA Health Sciences Group ("the Acquisition" and "the Merger"). The combined Group retained the name ICON and brought together approximately 38,000 employees (as at the Merger date) across the globe, creating one of the world’s most advanced healthcare intelligence and clinical research organizations.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3" w:name="page4"/>
    <w:bookmarkEnd w:id="3"/>
    <w:p>
      <w:pPr>
        <w:jc w:val="both"/>
        <w:ind w:firstLine="648"/>
        <w:spacing w:after="0" w:line="275" w:lineRule="auto"/>
        <w:rPr>
          <w:sz w:val="20"/>
          <w:szCs w:val="20"/>
          <w:color w:val="auto"/>
        </w:rPr>
      </w:pPr>
      <w:r>
        <w:rPr>
          <w:rFonts w:ascii="Arial" w:cs="Arial" w:eastAsia="Arial" w:hAnsi="Arial"/>
          <w:sz w:val="16"/>
          <w:szCs w:val="16"/>
          <w:color w:val="auto"/>
        </w:rPr>
        <w:t>The combined Company leverages its enhanced operations to transform clinical trials and accelerate biopharma customers’ commercial success through the development of much needed medicines and medical devices. The new ICON has a renewed focus on leveraging data, applying technology and accessing diverse patient populations to speed up drug development.</w:t>
      </w:r>
    </w:p>
    <w:p>
      <w:pPr>
        <w:spacing w:after="0" w:line="191"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Upon completion of the Merger, pursuant to the terms of the Merger Agreement, PRA became a wholly owned subsidiary of ICON. Under the terms of the Merger, PRA shareholders received per share $80 in cash and 0.4125 shares of ICON stock. The trading of PRA common stock on NASDAQ was suspended prior to market open on July 1, 2021.</w:t>
      </w:r>
    </w:p>
    <w:p>
      <w:pPr>
        <w:spacing w:after="0" w:line="191"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The total value of the Merger consideration is $12.0 billion and has resulted in the recognition of goodwill of $8.1 billion, intangible assets of $4.9 billion and an associated deferred tax liability of $1.1 billion. The accounting for the Merger remains provisional for the period ended March 31, 2022 and the Company expects to finalize the accounting by June 30, 2022.</w:t>
      </w:r>
    </w:p>
    <w:p>
      <w:pPr>
        <w:spacing w:after="0" w:line="205"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6"/>
          <w:szCs w:val="16"/>
          <w:color w:val="auto"/>
        </w:rPr>
        <w:t>The financial information presented in this Form 6-K reflect the results of the combined Company for the three months ended March 31, 2022. The financial information presented for the three months ended March 31, 2021 are as previously reported and do not reflect the pre-Merger results of PRA, other than where clearly stated and required by GAAP.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4" w:name="page5"/>
    <w:bookmarkEnd w:id="4"/>
    <w:p>
      <w:pPr>
        <w:ind w:left="5400"/>
        <w:spacing w:after="0"/>
        <w:rPr>
          <w:sz w:val="20"/>
          <w:szCs w:val="20"/>
          <w:color w:val="auto"/>
        </w:rPr>
      </w:pPr>
      <w:r>
        <w:rPr>
          <w:rFonts w:ascii="Arial" w:cs="Arial" w:eastAsia="Arial" w:hAnsi="Arial"/>
          <w:sz w:val="16"/>
          <w:szCs w:val="16"/>
          <w:b w:val="1"/>
          <w:bCs w:val="1"/>
          <w:color w:val="auto"/>
        </w:rPr>
        <w:t>ICON plc</w:t>
      </w:r>
    </w:p>
    <w:p>
      <w:pPr>
        <w:spacing w:after="0" w:line="35" w:lineRule="exact"/>
        <w:rPr>
          <w:sz w:val="20"/>
          <w:szCs w:val="20"/>
          <w:color w:val="auto"/>
        </w:rPr>
      </w:pPr>
    </w:p>
    <w:p>
      <w:pPr>
        <w:ind w:left="3680"/>
        <w:spacing w:after="0"/>
        <w:rPr>
          <w:sz w:val="20"/>
          <w:szCs w:val="20"/>
          <w:color w:val="auto"/>
        </w:rPr>
      </w:pPr>
      <w:r>
        <w:rPr>
          <w:rFonts w:ascii="Arial" w:cs="Arial" w:eastAsia="Arial" w:hAnsi="Arial"/>
          <w:sz w:val="16"/>
          <w:szCs w:val="16"/>
          <w:b w:val="1"/>
          <w:bCs w:val="1"/>
          <w:color w:val="auto"/>
        </w:rPr>
        <w:t>CONDENSED CONSOLIDATED BALANCE SHEETS</w:t>
      </w:r>
    </w:p>
    <w:p>
      <w:pPr>
        <w:spacing w:after="0" w:line="5"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AS AT MARCH 31, 2022 AND DECEMBER 31, 2021</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140" w:type="dxa"/>
            <w:vAlign w:val="bottom"/>
            <w:shd w:val="clear" w:color="auto" w:fill="CCEEFF"/>
          </w:tcPr>
          <w:p>
            <w:pPr>
              <w:spacing w:after="0"/>
              <w:rPr>
                <w:sz w:val="18"/>
                <w:szCs w:val="18"/>
                <w:color w:val="auto"/>
              </w:rPr>
            </w:pP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299"/>
              <w:spacing w:after="0"/>
              <w:rPr>
                <w:sz w:val="20"/>
                <w:szCs w:val="20"/>
                <w:color w:val="auto"/>
              </w:rPr>
            </w:pPr>
            <w:r>
              <w:rPr>
                <w:rFonts w:ascii="Arial" w:cs="Arial" w:eastAsia="Arial" w:hAnsi="Arial"/>
                <w:sz w:val="16"/>
                <w:szCs w:val="16"/>
                <w:b w:val="1"/>
                <w:bCs w:val="1"/>
                <w:color w:val="auto"/>
              </w:rPr>
              <w:t>(Unaudited)</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ind w:right="359"/>
              <w:spacing w:after="0"/>
              <w:rPr>
                <w:sz w:val="20"/>
                <w:szCs w:val="20"/>
                <w:color w:val="auto"/>
              </w:rPr>
            </w:pPr>
            <w:r>
              <w:rPr>
                <w:rFonts w:ascii="Arial" w:cs="Arial" w:eastAsia="Arial" w:hAnsi="Arial"/>
                <w:sz w:val="16"/>
                <w:szCs w:val="16"/>
                <w:b w:val="1"/>
                <w:bCs w:val="1"/>
                <w:color w:val="auto"/>
              </w:rPr>
              <w:t>(Audited)</w:t>
            </w:r>
          </w:p>
        </w:tc>
        <w:tc>
          <w:tcPr>
            <w:tcW w:w="0" w:type="dxa"/>
            <w:vAlign w:val="bottom"/>
          </w:tcPr>
          <w:p>
            <w:pPr>
              <w:spacing w:after="0"/>
              <w:rPr>
                <w:sz w:val="1"/>
                <w:szCs w:val="1"/>
                <w:color w:val="auto"/>
              </w:rPr>
            </w:pPr>
          </w:p>
        </w:tc>
      </w:tr>
      <w:tr>
        <w:trPr>
          <w:trHeight w:val="162"/>
        </w:trPr>
        <w:tc>
          <w:tcPr>
            <w:tcW w:w="71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400" w:type="dxa"/>
            <w:vAlign w:val="bottom"/>
          </w:tcPr>
          <w:p>
            <w:pPr>
              <w:jc w:val="right"/>
              <w:spacing w:after="0" w:line="162" w:lineRule="exact"/>
              <w:rPr>
                <w:sz w:val="20"/>
                <w:szCs w:val="20"/>
                <w:color w:val="auto"/>
              </w:rPr>
            </w:pPr>
            <w:r>
              <w:rPr>
                <w:rFonts w:ascii="Arial" w:cs="Arial" w:eastAsia="Arial" w:hAnsi="Arial"/>
                <w:sz w:val="16"/>
                <w:szCs w:val="16"/>
                <w:b w:val="1"/>
                <w:bCs w:val="1"/>
                <w:color w:val="auto"/>
              </w:rPr>
              <w:t>March 31,</w:t>
            </w:r>
          </w:p>
        </w:tc>
        <w:tc>
          <w:tcPr>
            <w:tcW w:w="1640" w:type="dxa"/>
            <w:vAlign w:val="bottom"/>
            <w:gridSpan w:val="2"/>
            <w:vMerge w:val="restart"/>
          </w:tcPr>
          <w:p>
            <w:pPr>
              <w:jc w:val="right"/>
              <w:spacing w:after="0"/>
              <w:rPr>
                <w:sz w:val="20"/>
                <w:szCs w:val="20"/>
                <w:color w:val="auto"/>
              </w:rPr>
            </w:pPr>
            <w:r>
              <w:rPr>
                <w:rFonts w:ascii="Arial" w:cs="Arial" w:eastAsia="Arial" w:hAnsi="Arial"/>
                <w:sz w:val="16"/>
                <w:szCs w:val="16"/>
                <w:b w:val="1"/>
                <w:bCs w:val="1"/>
                <w:color w:val="auto"/>
              </w:rPr>
              <w:t>December 31, 2021</w:t>
            </w:r>
          </w:p>
        </w:tc>
        <w:tc>
          <w:tcPr>
            <w:tcW w:w="0" w:type="dxa"/>
            <w:vAlign w:val="bottom"/>
          </w:tcPr>
          <w:p>
            <w:pPr>
              <w:spacing w:after="0"/>
              <w:rPr>
                <w:sz w:val="1"/>
                <w:szCs w:val="1"/>
                <w:color w:val="auto"/>
              </w:rPr>
            </w:pPr>
          </w:p>
        </w:tc>
      </w:tr>
      <w:tr>
        <w:trPr>
          <w:trHeight w:val="216"/>
        </w:trPr>
        <w:tc>
          <w:tcPr>
            <w:tcW w:w="71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2022</w:t>
            </w:r>
          </w:p>
        </w:tc>
        <w:tc>
          <w:tcPr>
            <w:tcW w:w="1640" w:type="dxa"/>
            <w:vAlign w:val="bottom"/>
            <w:tcBorders>
              <w:bottom w:val="single" w:sz="8" w:color="auto"/>
            </w:tcBorders>
            <w:gridSpan w:val="2"/>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1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ASSETS</w:t>
            </w:r>
          </w:p>
        </w:tc>
        <w:tc>
          <w:tcPr>
            <w:tcW w:w="1060" w:type="dxa"/>
            <w:vAlign w:val="bottom"/>
            <w:shd w:val="clear" w:color="auto" w:fill="CCEEFF"/>
          </w:tcPr>
          <w:p>
            <w:pPr>
              <w:spacing w:after="0"/>
              <w:rPr>
                <w:sz w:val="18"/>
                <w:szCs w:val="18"/>
                <w:color w:val="auto"/>
              </w:rPr>
            </w:pPr>
          </w:p>
        </w:tc>
        <w:tc>
          <w:tcPr>
            <w:tcW w:w="3040" w:type="dxa"/>
            <w:vAlign w:val="bottom"/>
            <w:gridSpan w:val="3"/>
            <w:shd w:val="clear" w:color="auto" w:fill="CCEEFF"/>
          </w:tcPr>
          <w:p>
            <w:pPr>
              <w:jc w:val="right"/>
              <w:ind w:right="999"/>
              <w:spacing w:after="0"/>
              <w:rPr>
                <w:sz w:val="20"/>
                <w:szCs w:val="20"/>
                <w:color w:val="auto"/>
              </w:rPr>
            </w:pPr>
            <w:r>
              <w:rPr>
                <w:rFonts w:ascii="Arial" w:cs="Arial" w:eastAsia="Arial" w:hAnsi="Arial"/>
                <w:sz w:val="16"/>
                <w:szCs w:val="16"/>
                <w:b w:val="1"/>
                <w:bCs w:val="1"/>
                <w:color w:val="auto"/>
              </w:rPr>
              <w:t>(in thousands)</w:t>
            </w:r>
          </w:p>
        </w:tc>
        <w:tc>
          <w:tcPr>
            <w:tcW w:w="0" w:type="dxa"/>
            <w:vAlign w:val="bottom"/>
          </w:tcPr>
          <w:p>
            <w:pPr>
              <w:spacing w:after="0"/>
              <w:rPr>
                <w:sz w:val="1"/>
                <w:szCs w:val="1"/>
                <w:color w:val="auto"/>
              </w:rPr>
            </w:pPr>
          </w:p>
        </w:tc>
      </w:tr>
      <w:tr>
        <w:trPr>
          <w:trHeight w:val="215"/>
        </w:trPr>
        <w:tc>
          <w:tcPr>
            <w:tcW w:w="7140" w:type="dxa"/>
            <w:vAlign w:val="bottom"/>
          </w:tcPr>
          <w:p>
            <w:pPr>
              <w:ind w:left="20"/>
              <w:spacing w:after="0"/>
              <w:rPr>
                <w:sz w:val="20"/>
                <w:szCs w:val="20"/>
                <w:color w:val="auto"/>
              </w:rPr>
            </w:pPr>
            <w:r>
              <w:rPr>
                <w:rFonts w:ascii="Arial" w:cs="Arial" w:eastAsia="Arial" w:hAnsi="Arial"/>
                <w:sz w:val="16"/>
                <w:szCs w:val="16"/>
                <w:color w:val="auto"/>
              </w:rPr>
              <w:t>Current Assets:</w:t>
            </w:r>
          </w:p>
        </w:tc>
        <w:tc>
          <w:tcPr>
            <w:tcW w:w="10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Cash and cash equivalents</w:t>
            </w:r>
          </w:p>
        </w:tc>
        <w:tc>
          <w:tcPr>
            <w:tcW w:w="10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559,098</w:t>
            </w:r>
          </w:p>
        </w:tc>
        <w:tc>
          <w:tcPr>
            <w:tcW w:w="3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752,213</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Available for sale investments</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1,712</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1,712</w:t>
            </w: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Accounts receivable, net of allowance for credit losses</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1,371,409</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1,342,770</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Unbilled revenue</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674,509</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623,121</w:t>
            </w: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Other receivables</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60,233</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56,760</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Prepayments and other current assets</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151,140</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114,323</w:t>
            </w:r>
          </w:p>
        </w:tc>
        <w:tc>
          <w:tcPr>
            <w:tcW w:w="0" w:type="dxa"/>
            <w:vAlign w:val="bottom"/>
          </w:tcPr>
          <w:p>
            <w:pPr>
              <w:spacing w:after="0"/>
              <w:rPr>
                <w:sz w:val="1"/>
                <w:szCs w:val="1"/>
                <w:color w:val="auto"/>
              </w:rPr>
            </w:pPr>
          </w:p>
        </w:tc>
      </w:tr>
      <w:tr>
        <w:trPr>
          <w:trHeight w:val="224"/>
        </w:trPr>
        <w:tc>
          <w:tcPr>
            <w:tcW w:w="714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color w:val="auto"/>
              </w:rPr>
              <w:t>Income taxes receivable</w:t>
            </w:r>
          </w:p>
        </w:tc>
        <w:tc>
          <w:tcPr>
            <w:tcW w:w="1060" w:type="dxa"/>
            <w:vAlign w:val="bottom"/>
            <w:tcBorders>
              <w:bottom w:val="single" w:sz="8" w:color="auto"/>
            </w:tcBorders>
            <w:shd w:val="clear" w:color="auto" w:fill="CCEEFF"/>
          </w:tcPr>
          <w:p>
            <w:pPr>
              <w:spacing w:after="0"/>
              <w:rPr>
                <w:sz w:val="19"/>
                <w:szCs w:val="19"/>
                <w:color w:val="auto"/>
              </w:rPr>
            </w:pPr>
          </w:p>
        </w:tc>
        <w:tc>
          <w:tcPr>
            <w:tcW w:w="14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52,245</w:t>
            </w:r>
          </w:p>
        </w:tc>
        <w:tc>
          <w:tcPr>
            <w:tcW w:w="34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50,299</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Total current assets</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2,870,346</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2,941,198</w:t>
            </w:r>
          </w:p>
        </w:tc>
        <w:tc>
          <w:tcPr>
            <w:tcW w:w="0" w:type="dxa"/>
            <w:vAlign w:val="bottom"/>
          </w:tcPr>
          <w:p>
            <w:pPr>
              <w:spacing w:after="0"/>
              <w:rPr>
                <w:sz w:val="1"/>
                <w:szCs w:val="1"/>
                <w:color w:val="auto"/>
              </w:rPr>
            </w:pPr>
          </w:p>
        </w:tc>
      </w:tr>
      <w:tr>
        <w:trPr>
          <w:trHeight w:val="163"/>
        </w:trPr>
        <w:tc>
          <w:tcPr>
            <w:tcW w:w="7140" w:type="dxa"/>
            <w:vAlign w:val="bottom"/>
            <w:shd w:val="clear" w:color="auto" w:fill="CCEEFF"/>
          </w:tcPr>
          <w:p>
            <w:pPr>
              <w:spacing w:after="0"/>
              <w:rPr>
                <w:sz w:val="14"/>
                <w:szCs w:val="14"/>
                <w:color w:val="auto"/>
              </w:rPr>
            </w:pPr>
          </w:p>
        </w:tc>
        <w:tc>
          <w:tcPr>
            <w:tcW w:w="1060" w:type="dxa"/>
            <w:vAlign w:val="bottom"/>
            <w:shd w:val="clear" w:color="auto" w:fill="CCEEFF"/>
          </w:tcPr>
          <w:p>
            <w:pPr>
              <w:spacing w:after="0"/>
              <w:rPr>
                <w:sz w:val="14"/>
                <w:szCs w:val="14"/>
                <w:color w:val="auto"/>
              </w:rPr>
            </w:pPr>
          </w:p>
        </w:tc>
        <w:tc>
          <w:tcPr>
            <w:tcW w:w="1400" w:type="dxa"/>
            <w:vAlign w:val="bottom"/>
            <w:shd w:val="clear" w:color="auto" w:fill="CCEEFF"/>
          </w:tcPr>
          <w:p>
            <w:pPr>
              <w:spacing w:after="0"/>
              <w:rPr>
                <w:sz w:val="14"/>
                <w:szCs w:val="14"/>
                <w:color w:val="auto"/>
              </w:rPr>
            </w:pPr>
          </w:p>
        </w:tc>
        <w:tc>
          <w:tcPr>
            <w:tcW w:w="340" w:type="dxa"/>
            <w:vAlign w:val="bottom"/>
            <w:shd w:val="clear" w:color="auto" w:fill="CCEEFF"/>
          </w:tcPr>
          <w:p>
            <w:pPr>
              <w:spacing w:after="0"/>
              <w:rPr>
                <w:sz w:val="14"/>
                <w:szCs w:val="14"/>
                <w:color w:val="auto"/>
              </w:rPr>
            </w:pPr>
          </w:p>
        </w:tc>
        <w:tc>
          <w:tcPr>
            <w:tcW w:w="130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5"/>
        </w:trPr>
        <w:tc>
          <w:tcPr>
            <w:tcW w:w="7140" w:type="dxa"/>
            <w:vAlign w:val="bottom"/>
          </w:tcPr>
          <w:p>
            <w:pPr>
              <w:ind w:left="20"/>
              <w:spacing w:after="0"/>
              <w:rPr>
                <w:sz w:val="20"/>
                <w:szCs w:val="20"/>
                <w:color w:val="auto"/>
              </w:rPr>
            </w:pPr>
            <w:r>
              <w:rPr>
                <w:rFonts w:ascii="Arial" w:cs="Arial" w:eastAsia="Arial" w:hAnsi="Arial"/>
                <w:sz w:val="16"/>
                <w:szCs w:val="16"/>
                <w:color w:val="auto"/>
              </w:rPr>
              <w:t>Non-current Assets:</w:t>
            </w:r>
          </w:p>
        </w:tc>
        <w:tc>
          <w:tcPr>
            <w:tcW w:w="10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Property, plant and equipment, net</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322,546</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336,444</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Goodwill</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9,027,983</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9,037,931</w:t>
            </w: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Intangible assets</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4,592,587</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4,710,843</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Operating right-of-use assets</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187,295</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198,123</w:t>
            </w: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Other receivables</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66,310</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70,557</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Income taxes receivable</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13,841</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18,637</w:t>
            </w: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Deferred tax asset</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54,362</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48,392</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Equity method investments</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1,588</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2,373</w:t>
            </w:r>
          </w:p>
        </w:tc>
        <w:tc>
          <w:tcPr>
            <w:tcW w:w="0" w:type="dxa"/>
            <w:vAlign w:val="bottom"/>
          </w:tcPr>
          <w:p>
            <w:pPr>
              <w:spacing w:after="0"/>
              <w:rPr>
                <w:sz w:val="1"/>
                <w:szCs w:val="1"/>
                <w:color w:val="auto"/>
              </w:rPr>
            </w:pPr>
          </w:p>
        </w:tc>
      </w:tr>
      <w:tr>
        <w:trPr>
          <w:trHeight w:val="216"/>
        </w:trPr>
        <w:tc>
          <w:tcPr>
            <w:tcW w:w="714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color w:val="auto"/>
              </w:rPr>
              <w:t>Investments in equity- long term</w:t>
            </w:r>
          </w:p>
        </w:tc>
        <w:tc>
          <w:tcPr>
            <w:tcW w:w="1060" w:type="dxa"/>
            <w:vAlign w:val="bottom"/>
            <w:tcBorders>
              <w:bottom w:val="single" w:sz="8" w:color="auto"/>
            </w:tcBorders>
            <w:shd w:val="clear" w:color="auto" w:fill="CCEEFF"/>
          </w:tcPr>
          <w:p>
            <w:pPr>
              <w:spacing w:after="0"/>
              <w:rPr>
                <w:sz w:val="18"/>
                <w:szCs w:val="18"/>
                <w:color w:val="auto"/>
              </w:rPr>
            </w:pPr>
          </w:p>
        </w:tc>
        <w:tc>
          <w:tcPr>
            <w:tcW w:w="14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25,996</w:t>
            </w:r>
          </w:p>
        </w:tc>
        <w:tc>
          <w:tcPr>
            <w:tcW w:w="34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22,592</w:t>
            </w:r>
          </w:p>
        </w:tc>
        <w:tc>
          <w:tcPr>
            <w:tcW w:w="0" w:type="dxa"/>
            <w:vAlign w:val="bottom"/>
          </w:tcPr>
          <w:p>
            <w:pPr>
              <w:spacing w:after="0"/>
              <w:rPr>
                <w:sz w:val="1"/>
                <w:szCs w:val="1"/>
                <w:color w:val="auto"/>
              </w:rPr>
            </w:pPr>
          </w:p>
        </w:tc>
      </w:tr>
      <w:tr>
        <w:trPr>
          <w:trHeight w:val="209"/>
        </w:trPr>
        <w:tc>
          <w:tcPr>
            <w:tcW w:w="71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 Assets</w:t>
            </w:r>
          </w:p>
        </w:tc>
        <w:tc>
          <w:tcPr>
            <w:tcW w:w="10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4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17,162,854</w:t>
            </w:r>
          </w:p>
        </w:tc>
        <w:tc>
          <w:tcPr>
            <w:tcW w:w="34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17,387,090</w:t>
            </w:r>
          </w:p>
        </w:tc>
        <w:tc>
          <w:tcPr>
            <w:tcW w:w="0" w:type="dxa"/>
            <w:vAlign w:val="bottom"/>
          </w:tcPr>
          <w:p>
            <w:pPr>
              <w:spacing w:after="0"/>
              <w:rPr>
                <w:sz w:val="1"/>
                <w:szCs w:val="1"/>
                <w:color w:val="auto"/>
              </w:rPr>
            </w:pPr>
          </w:p>
        </w:tc>
      </w:tr>
      <w:tr>
        <w:trPr>
          <w:trHeight w:val="210"/>
        </w:trPr>
        <w:tc>
          <w:tcPr>
            <w:tcW w:w="71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LIABILITIES AND SHAREHOLDERS’ EQUITY</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140" w:type="dxa"/>
            <w:vAlign w:val="bottom"/>
          </w:tcPr>
          <w:p>
            <w:pPr>
              <w:ind w:left="20"/>
              <w:spacing w:after="0"/>
              <w:rPr>
                <w:sz w:val="20"/>
                <w:szCs w:val="20"/>
                <w:color w:val="auto"/>
              </w:rPr>
            </w:pPr>
            <w:r>
              <w:rPr>
                <w:rFonts w:ascii="Arial" w:cs="Arial" w:eastAsia="Arial" w:hAnsi="Arial"/>
                <w:sz w:val="16"/>
                <w:szCs w:val="16"/>
                <w:color w:val="auto"/>
              </w:rPr>
              <w:t>Current Liabilities:</w:t>
            </w:r>
          </w:p>
        </w:tc>
        <w:tc>
          <w:tcPr>
            <w:tcW w:w="10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Accounts payable</w:t>
            </w:r>
          </w:p>
        </w:tc>
        <w:tc>
          <w:tcPr>
            <w:tcW w:w="10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63,508</w:t>
            </w:r>
          </w:p>
        </w:tc>
        <w:tc>
          <w:tcPr>
            <w:tcW w:w="3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90,764</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Unearned revenue</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1,300,980</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1,323,961</w:t>
            </w: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Other liabilities</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1,081,150</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949,629</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Income taxes payable</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40,644</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59,433</w:t>
            </w:r>
          </w:p>
        </w:tc>
        <w:tc>
          <w:tcPr>
            <w:tcW w:w="0" w:type="dxa"/>
            <w:vAlign w:val="bottom"/>
          </w:tcPr>
          <w:p>
            <w:pPr>
              <w:spacing w:after="0"/>
              <w:rPr>
                <w:sz w:val="1"/>
                <w:szCs w:val="1"/>
                <w:color w:val="auto"/>
              </w:rPr>
            </w:pPr>
          </w:p>
        </w:tc>
      </w:tr>
      <w:tr>
        <w:trPr>
          <w:trHeight w:val="224"/>
        </w:trPr>
        <w:tc>
          <w:tcPr>
            <w:tcW w:w="714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color w:val="auto"/>
              </w:rPr>
              <w:t>Current bank credit lines and loan facilities</w:t>
            </w:r>
          </w:p>
        </w:tc>
        <w:tc>
          <w:tcPr>
            <w:tcW w:w="1060" w:type="dxa"/>
            <w:vAlign w:val="bottom"/>
            <w:tcBorders>
              <w:bottom w:val="single" w:sz="8" w:color="auto"/>
            </w:tcBorders>
            <w:shd w:val="clear" w:color="auto" w:fill="CCEEFF"/>
          </w:tcPr>
          <w:p>
            <w:pPr>
              <w:spacing w:after="0"/>
              <w:rPr>
                <w:sz w:val="19"/>
                <w:szCs w:val="19"/>
                <w:color w:val="auto"/>
              </w:rPr>
            </w:pPr>
          </w:p>
        </w:tc>
        <w:tc>
          <w:tcPr>
            <w:tcW w:w="14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55,150</w:t>
            </w:r>
          </w:p>
        </w:tc>
        <w:tc>
          <w:tcPr>
            <w:tcW w:w="34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55,150</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Total current liabilities</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2,541,432</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2,478,937</w:t>
            </w: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20"/>
              <w:spacing w:after="0"/>
              <w:rPr>
                <w:sz w:val="20"/>
                <w:szCs w:val="20"/>
                <w:color w:val="auto"/>
              </w:rPr>
            </w:pPr>
            <w:r>
              <w:rPr>
                <w:rFonts w:ascii="Arial" w:cs="Arial" w:eastAsia="Arial" w:hAnsi="Arial"/>
                <w:sz w:val="16"/>
                <w:szCs w:val="16"/>
                <w:color w:val="auto"/>
              </w:rPr>
              <w:t>Non-current Liabilities:</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Non-current bank credit lines and loan facilities</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5,086,943</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5,381,162</w:t>
            </w: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Lease liabilities</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154,345</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159,483</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Non-current other liabilities</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38,170</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42,596</w:t>
            </w: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Non-current income taxes payable</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214,748</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172,109</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Deferred tax liability</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1,057,899</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1,085,976</w:t>
            </w:r>
          </w:p>
        </w:tc>
        <w:tc>
          <w:tcPr>
            <w:tcW w:w="0" w:type="dxa"/>
            <w:vAlign w:val="bottom"/>
          </w:tcPr>
          <w:p>
            <w:pPr>
              <w:spacing w:after="0"/>
              <w:rPr>
                <w:sz w:val="1"/>
                <w:szCs w:val="1"/>
                <w:color w:val="auto"/>
              </w:rPr>
            </w:pPr>
          </w:p>
        </w:tc>
      </w:tr>
      <w:tr>
        <w:trPr>
          <w:trHeight w:val="224"/>
        </w:trPr>
        <w:tc>
          <w:tcPr>
            <w:tcW w:w="714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color w:val="auto"/>
              </w:rPr>
              <w:t>Commitments and contingencies</w:t>
            </w:r>
          </w:p>
        </w:tc>
        <w:tc>
          <w:tcPr>
            <w:tcW w:w="1060" w:type="dxa"/>
            <w:vAlign w:val="bottom"/>
            <w:tcBorders>
              <w:bottom w:val="single" w:sz="8" w:color="auto"/>
            </w:tcBorders>
            <w:shd w:val="clear" w:color="auto" w:fill="CCEEFF"/>
          </w:tcPr>
          <w:p>
            <w:pPr>
              <w:spacing w:after="0"/>
              <w:rPr>
                <w:sz w:val="19"/>
                <w:szCs w:val="19"/>
                <w:color w:val="auto"/>
              </w:rPr>
            </w:pPr>
          </w:p>
        </w:tc>
        <w:tc>
          <w:tcPr>
            <w:tcW w:w="14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34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223"/>
        </w:trPr>
        <w:tc>
          <w:tcPr>
            <w:tcW w:w="7140" w:type="dxa"/>
            <w:vAlign w:val="bottom"/>
            <w:tcBorders>
              <w:bottom w:val="single" w:sz="8" w:color="auto"/>
            </w:tcBorders>
          </w:tcPr>
          <w:p>
            <w:pPr>
              <w:ind w:left="360"/>
              <w:spacing w:after="0"/>
              <w:rPr>
                <w:sz w:val="20"/>
                <w:szCs w:val="20"/>
                <w:color w:val="auto"/>
              </w:rPr>
            </w:pPr>
            <w:r>
              <w:rPr>
                <w:rFonts w:ascii="Arial" w:cs="Arial" w:eastAsia="Arial" w:hAnsi="Arial"/>
                <w:sz w:val="16"/>
                <w:szCs w:val="16"/>
                <w:color w:val="auto"/>
              </w:rPr>
              <w:t>Total Liabilities</w:t>
            </w:r>
          </w:p>
        </w:tc>
        <w:tc>
          <w:tcPr>
            <w:tcW w:w="1060" w:type="dxa"/>
            <w:vAlign w:val="bottom"/>
            <w:tcBorders>
              <w:bottom w:val="single" w:sz="8" w:color="auto"/>
            </w:tcBorders>
          </w:tcPr>
          <w:p>
            <w:pPr>
              <w:spacing w:after="0"/>
              <w:rPr>
                <w:sz w:val="19"/>
                <w:szCs w:val="19"/>
                <w:color w:val="auto"/>
              </w:rPr>
            </w:pPr>
          </w:p>
        </w:tc>
        <w:tc>
          <w:tcPr>
            <w:tcW w:w="14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9,093,537</w:t>
            </w:r>
          </w:p>
        </w:tc>
        <w:tc>
          <w:tcPr>
            <w:tcW w:w="34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9,320,263</w:t>
            </w:r>
          </w:p>
        </w:tc>
        <w:tc>
          <w:tcPr>
            <w:tcW w:w="0" w:type="dxa"/>
            <w:vAlign w:val="bottom"/>
          </w:tcPr>
          <w:p>
            <w:pPr>
              <w:spacing w:after="0"/>
              <w:rPr>
                <w:sz w:val="1"/>
                <w:szCs w:val="1"/>
                <w:color w:val="auto"/>
              </w:rPr>
            </w:pPr>
          </w:p>
        </w:tc>
      </w:tr>
      <w:tr>
        <w:trPr>
          <w:trHeight w:val="203"/>
        </w:trPr>
        <w:tc>
          <w:tcPr>
            <w:tcW w:w="7140" w:type="dxa"/>
            <w:vAlign w:val="bottom"/>
            <w:shd w:val="clear" w:color="auto" w:fill="CCEEFF"/>
          </w:tcPr>
          <w:p>
            <w:pPr>
              <w:spacing w:after="0"/>
              <w:rPr>
                <w:sz w:val="17"/>
                <w:szCs w:val="17"/>
                <w:color w:val="auto"/>
              </w:rPr>
            </w:pPr>
          </w:p>
        </w:tc>
        <w:tc>
          <w:tcPr>
            <w:tcW w:w="1060" w:type="dxa"/>
            <w:vAlign w:val="bottom"/>
            <w:shd w:val="clear" w:color="auto" w:fill="CCEEFF"/>
          </w:tcPr>
          <w:p>
            <w:pPr>
              <w:spacing w:after="0"/>
              <w:rPr>
                <w:sz w:val="17"/>
                <w:szCs w:val="17"/>
                <w:color w:val="auto"/>
              </w:rPr>
            </w:pPr>
          </w:p>
        </w:tc>
        <w:tc>
          <w:tcPr>
            <w:tcW w:w="1400" w:type="dxa"/>
            <w:vAlign w:val="bottom"/>
            <w:shd w:val="clear" w:color="auto" w:fill="CCEEFF"/>
          </w:tcPr>
          <w:p>
            <w:pPr>
              <w:spacing w:after="0"/>
              <w:rPr>
                <w:sz w:val="17"/>
                <w:szCs w:val="17"/>
                <w:color w:val="auto"/>
              </w:rPr>
            </w:pPr>
          </w:p>
        </w:tc>
        <w:tc>
          <w:tcPr>
            <w:tcW w:w="340" w:type="dxa"/>
            <w:vAlign w:val="bottom"/>
            <w:shd w:val="clear" w:color="auto" w:fill="CCEEFF"/>
          </w:tcPr>
          <w:p>
            <w:pPr>
              <w:spacing w:after="0"/>
              <w:rPr>
                <w:sz w:val="17"/>
                <w:szCs w:val="17"/>
                <w:color w:val="auto"/>
              </w:rPr>
            </w:pPr>
          </w:p>
        </w:tc>
        <w:tc>
          <w:tcPr>
            <w:tcW w:w="1300" w:type="dxa"/>
            <w:vAlign w:val="bottom"/>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7140" w:type="dxa"/>
            <w:vAlign w:val="bottom"/>
          </w:tcPr>
          <w:p>
            <w:pPr>
              <w:ind w:left="20"/>
              <w:spacing w:after="0"/>
              <w:rPr>
                <w:sz w:val="20"/>
                <w:szCs w:val="20"/>
                <w:color w:val="auto"/>
              </w:rPr>
            </w:pPr>
            <w:r>
              <w:rPr>
                <w:rFonts w:ascii="Arial" w:cs="Arial" w:eastAsia="Arial" w:hAnsi="Arial"/>
                <w:sz w:val="16"/>
                <w:szCs w:val="16"/>
                <w:color w:val="auto"/>
              </w:rPr>
              <w:t>Shareholders' Equity:</w:t>
            </w:r>
          </w:p>
        </w:tc>
        <w:tc>
          <w:tcPr>
            <w:tcW w:w="10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Ordinary shares, par value 6 euro cents per share; 100,000,000 shares authorized,</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81,293,012 shares issued and outstanding at March 31, 2022 and</w:t>
            </w:r>
          </w:p>
        </w:tc>
        <w:tc>
          <w:tcPr>
            <w:tcW w:w="10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81,554,683 shares issued and outstanding at December 31, 2021</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6,622</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6,640</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Additional paid-in capital</w:t>
            </w:r>
          </w:p>
        </w:tc>
        <w:tc>
          <w:tcPr>
            <w:tcW w:w="1060" w:type="dxa"/>
            <w:vAlign w:val="bottom"/>
          </w:tcPr>
          <w:p>
            <w:pPr>
              <w:spacing w:after="0"/>
              <w:rPr>
                <w:sz w:val="18"/>
                <w:szCs w:val="18"/>
                <w:color w:val="auto"/>
              </w:rPr>
            </w:pPr>
          </w:p>
        </w:tc>
        <w:tc>
          <w:tcPr>
            <w:tcW w:w="1400" w:type="dxa"/>
            <w:vAlign w:val="bottom"/>
          </w:tcPr>
          <w:p>
            <w:pPr>
              <w:jc w:val="right"/>
              <w:ind w:right="39"/>
              <w:spacing w:after="0"/>
              <w:rPr>
                <w:sz w:val="20"/>
                <w:szCs w:val="20"/>
                <w:color w:val="auto"/>
              </w:rPr>
            </w:pPr>
            <w:r>
              <w:rPr>
                <w:rFonts w:ascii="Arial" w:cs="Arial" w:eastAsia="Arial" w:hAnsi="Arial"/>
                <w:sz w:val="16"/>
                <w:szCs w:val="16"/>
                <w:color w:val="auto"/>
              </w:rPr>
              <w:t>6,760,238</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6,733,910</w:t>
            </w:r>
          </w:p>
        </w:tc>
        <w:tc>
          <w:tcPr>
            <w:tcW w:w="0" w:type="dxa"/>
            <w:vAlign w:val="bottom"/>
          </w:tcPr>
          <w:p>
            <w:pPr>
              <w:spacing w:after="0"/>
              <w:rPr>
                <w:sz w:val="1"/>
                <w:szCs w:val="1"/>
                <w:color w:val="auto"/>
              </w:rPr>
            </w:pPr>
          </w:p>
        </w:tc>
      </w:tr>
      <w:tr>
        <w:trPr>
          <w:trHeight w:val="217"/>
        </w:trPr>
        <w:tc>
          <w:tcPr>
            <w:tcW w:w="7140" w:type="dxa"/>
            <w:vAlign w:val="bottom"/>
            <w:shd w:val="clear" w:color="auto" w:fill="CCEEFF"/>
          </w:tcPr>
          <w:p>
            <w:pPr>
              <w:ind w:left="360"/>
              <w:spacing w:after="0"/>
              <w:rPr>
                <w:sz w:val="20"/>
                <w:szCs w:val="20"/>
                <w:color w:val="auto"/>
              </w:rPr>
            </w:pPr>
            <w:r>
              <w:rPr>
                <w:rFonts w:ascii="Arial" w:cs="Arial" w:eastAsia="Arial" w:hAnsi="Arial"/>
                <w:sz w:val="16"/>
                <w:szCs w:val="16"/>
                <w:color w:val="auto"/>
              </w:rPr>
              <w:t>Other undenominated capital</w:t>
            </w:r>
          </w:p>
        </w:tc>
        <w:tc>
          <w:tcPr>
            <w:tcW w:w="1060" w:type="dxa"/>
            <w:vAlign w:val="bottom"/>
            <w:shd w:val="clear" w:color="auto" w:fill="CCEEFF"/>
          </w:tcPr>
          <w:p>
            <w:pPr>
              <w:spacing w:after="0"/>
              <w:rPr>
                <w:sz w:val="18"/>
                <w:szCs w:val="18"/>
                <w:color w:val="auto"/>
              </w:rPr>
            </w:pPr>
          </w:p>
        </w:tc>
        <w:tc>
          <w:tcPr>
            <w:tcW w:w="14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1,162</w:t>
            </w:r>
          </w:p>
        </w:tc>
        <w:tc>
          <w:tcPr>
            <w:tcW w:w="34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1,134</w:t>
            </w:r>
          </w:p>
        </w:tc>
        <w:tc>
          <w:tcPr>
            <w:tcW w:w="0" w:type="dxa"/>
            <w:vAlign w:val="bottom"/>
          </w:tcPr>
          <w:p>
            <w:pPr>
              <w:spacing w:after="0"/>
              <w:rPr>
                <w:sz w:val="1"/>
                <w:szCs w:val="1"/>
                <w:color w:val="auto"/>
              </w:rPr>
            </w:pPr>
          </w:p>
        </w:tc>
      </w:tr>
      <w:tr>
        <w:trPr>
          <w:trHeight w:val="215"/>
        </w:trPr>
        <w:tc>
          <w:tcPr>
            <w:tcW w:w="7140" w:type="dxa"/>
            <w:vAlign w:val="bottom"/>
          </w:tcPr>
          <w:p>
            <w:pPr>
              <w:ind w:left="360"/>
              <w:spacing w:after="0"/>
              <w:rPr>
                <w:sz w:val="20"/>
                <w:szCs w:val="20"/>
                <w:color w:val="auto"/>
              </w:rPr>
            </w:pPr>
            <w:r>
              <w:rPr>
                <w:rFonts w:ascii="Arial" w:cs="Arial" w:eastAsia="Arial" w:hAnsi="Arial"/>
                <w:sz w:val="16"/>
                <w:szCs w:val="16"/>
                <w:color w:val="auto"/>
              </w:rPr>
              <w:t>Accumulated other comprehensive loss</w:t>
            </w:r>
          </w:p>
        </w:tc>
        <w:tc>
          <w:tcPr>
            <w:tcW w:w="1060" w:type="dxa"/>
            <w:vAlign w:val="bottom"/>
          </w:tcPr>
          <w:p>
            <w:pPr>
              <w:spacing w:after="0"/>
              <w:rPr>
                <w:sz w:val="18"/>
                <w:szCs w:val="18"/>
                <w:color w:val="auto"/>
              </w:rPr>
            </w:pPr>
          </w:p>
        </w:tc>
        <w:tc>
          <w:tcPr>
            <w:tcW w:w="1400" w:type="dxa"/>
            <w:vAlign w:val="bottom"/>
          </w:tcPr>
          <w:p>
            <w:pPr>
              <w:jc w:val="right"/>
              <w:spacing w:after="0"/>
              <w:rPr>
                <w:sz w:val="20"/>
                <w:szCs w:val="20"/>
                <w:color w:val="auto"/>
              </w:rPr>
            </w:pPr>
            <w:r>
              <w:rPr>
                <w:rFonts w:ascii="Arial" w:cs="Arial" w:eastAsia="Arial" w:hAnsi="Arial"/>
                <w:sz w:val="16"/>
                <w:szCs w:val="16"/>
                <w:color w:val="auto"/>
              </w:rPr>
              <w:t>(126,755)</w:t>
            </w:r>
          </w:p>
        </w:tc>
        <w:tc>
          <w:tcPr>
            <w:tcW w:w="34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(90,937)</w:t>
            </w:r>
          </w:p>
        </w:tc>
        <w:tc>
          <w:tcPr>
            <w:tcW w:w="0" w:type="dxa"/>
            <w:vAlign w:val="bottom"/>
          </w:tcPr>
          <w:p>
            <w:pPr>
              <w:spacing w:after="0"/>
              <w:rPr>
                <w:sz w:val="1"/>
                <w:szCs w:val="1"/>
                <w:color w:val="auto"/>
              </w:rPr>
            </w:pPr>
          </w:p>
        </w:tc>
      </w:tr>
      <w:tr>
        <w:trPr>
          <w:trHeight w:val="224"/>
        </w:trPr>
        <w:tc>
          <w:tcPr>
            <w:tcW w:w="714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color w:val="auto"/>
              </w:rPr>
              <w:t>Retained earnings</w:t>
            </w:r>
          </w:p>
        </w:tc>
        <w:tc>
          <w:tcPr>
            <w:tcW w:w="1060" w:type="dxa"/>
            <w:vAlign w:val="bottom"/>
            <w:tcBorders>
              <w:bottom w:val="single" w:sz="8" w:color="auto"/>
            </w:tcBorders>
            <w:shd w:val="clear" w:color="auto" w:fill="CCEEFF"/>
          </w:tcPr>
          <w:p>
            <w:pPr>
              <w:spacing w:after="0"/>
              <w:rPr>
                <w:sz w:val="19"/>
                <w:szCs w:val="19"/>
                <w:color w:val="auto"/>
              </w:rPr>
            </w:pPr>
          </w:p>
        </w:tc>
        <w:tc>
          <w:tcPr>
            <w:tcW w:w="14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1,428,050</w:t>
            </w:r>
          </w:p>
        </w:tc>
        <w:tc>
          <w:tcPr>
            <w:tcW w:w="34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1,416,080</w:t>
            </w:r>
          </w:p>
        </w:tc>
        <w:tc>
          <w:tcPr>
            <w:tcW w:w="0" w:type="dxa"/>
            <w:vAlign w:val="bottom"/>
          </w:tcPr>
          <w:p>
            <w:pPr>
              <w:spacing w:after="0"/>
              <w:rPr>
                <w:sz w:val="1"/>
                <w:szCs w:val="1"/>
                <w:color w:val="auto"/>
              </w:rPr>
            </w:pPr>
          </w:p>
        </w:tc>
      </w:tr>
      <w:tr>
        <w:trPr>
          <w:trHeight w:val="210"/>
        </w:trPr>
        <w:tc>
          <w:tcPr>
            <w:tcW w:w="7140" w:type="dxa"/>
            <w:vAlign w:val="bottom"/>
            <w:tcBorders>
              <w:bottom w:val="single" w:sz="8" w:color="auto"/>
            </w:tcBorders>
          </w:tcPr>
          <w:p>
            <w:pPr>
              <w:ind w:left="340"/>
              <w:spacing w:after="0"/>
              <w:rPr>
                <w:sz w:val="20"/>
                <w:szCs w:val="20"/>
                <w:color w:val="auto"/>
              </w:rPr>
            </w:pPr>
            <w:r>
              <w:rPr>
                <w:rFonts w:ascii="Arial" w:cs="Arial" w:eastAsia="Arial" w:hAnsi="Arial"/>
                <w:sz w:val="16"/>
                <w:szCs w:val="16"/>
                <w:color w:val="auto"/>
              </w:rPr>
              <w:t>Total Shareholders' Equity</w:t>
            </w:r>
          </w:p>
        </w:tc>
        <w:tc>
          <w:tcPr>
            <w:tcW w:w="1060" w:type="dxa"/>
            <w:vAlign w:val="bottom"/>
            <w:tcBorders>
              <w:bottom w:val="single" w:sz="8" w:color="auto"/>
            </w:tcBorders>
          </w:tcPr>
          <w:p>
            <w:pPr>
              <w:spacing w:after="0"/>
              <w:rPr>
                <w:sz w:val="18"/>
                <w:szCs w:val="18"/>
                <w:color w:val="auto"/>
              </w:rPr>
            </w:pPr>
          </w:p>
        </w:tc>
        <w:tc>
          <w:tcPr>
            <w:tcW w:w="14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8,069,317</w:t>
            </w:r>
          </w:p>
        </w:tc>
        <w:tc>
          <w:tcPr>
            <w:tcW w:w="34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8,066,827</w:t>
            </w:r>
          </w:p>
        </w:tc>
        <w:tc>
          <w:tcPr>
            <w:tcW w:w="0" w:type="dxa"/>
            <w:vAlign w:val="bottom"/>
          </w:tcPr>
          <w:p>
            <w:pPr>
              <w:spacing w:after="0"/>
              <w:rPr>
                <w:sz w:val="1"/>
                <w:szCs w:val="1"/>
                <w:color w:val="auto"/>
              </w:rPr>
            </w:pPr>
          </w:p>
        </w:tc>
      </w:tr>
      <w:tr>
        <w:trPr>
          <w:trHeight w:val="240"/>
        </w:trPr>
        <w:tc>
          <w:tcPr>
            <w:tcW w:w="7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 Liabilities and Shareholders' Equity</w:t>
            </w:r>
          </w:p>
        </w:tc>
        <w:tc>
          <w:tcPr>
            <w:tcW w:w="10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4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17,162,854</w:t>
            </w:r>
          </w:p>
        </w:tc>
        <w:tc>
          <w:tcPr>
            <w:tcW w:w="34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17,387,090</w:t>
            </w:r>
          </w:p>
        </w:tc>
        <w:tc>
          <w:tcPr>
            <w:tcW w:w="0" w:type="dxa"/>
            <w:vAlign w:val="bottom"/>
          </w:tcPr>
          <w:p>
            <w:pPr>
              <w:spacing w:after="0"/>
              <w:rPr>
                <w:sz w:val="1"/>
                <w:szCs w:val="1"/>
                <w:color w:val="auto"/>
              </w:rPr>
            </w:pPr>
          </w:p>
        </w:tc>
      </w:tr>
      <w:tr>
        <w:trPr>
          <w:trHeight w:val="20"/>
        </w:trPr>
        <w:tc>
          <w:tcPr>
            <w:tcW w:w="7140" w:type="dxa"/>
            <w:vAlign w:val="bottom"/>
            <w:tcBorders>
              <w:top w:val="single" w:sz="8" w:color="CCEEFF"/>
              <w:bottom w:val="single" w:sz="8" w:color="auto"/>
            </w:tcBorders>
          </w:tcPr>
          <w:p>
            <w:pPr>
              <w:spacing w:after="0" w:line="20" w:lineRule="exact"/>
              <w:rPr>
                <w:sz w:val="1"/>
                <w:szCs w:val="1"/>
                <w:color w:val="auto"/>
              </w:rPr>
            </w:pPr>
          </w:p>
        </w:tc>
        <w:tc>
          <w:tcPr>
            <w:tcW w:w="1060" w:type="dxa"/>
            <w:vAlign w:val="bottom"/>
            <w:tcBorders>
              <w:top w:val="single" w:sz="8" w:color="CCEEFF"/>
              <w:bottom w:val="single" w:sz="8" w:color="auto"/>
            </w:tcBorders>
          </w:tcPr>
          <w:p>
            <w:pPr>
              <w:spacing w:after="0" w:line="20" w:lineRule="exact"/>
              <w:rPr>
                <w:sz w:val="1"/>
                <w:szCs w:val="1"/>
                <w:color w:val="auto"/>
              </w:rPr>
            </w:pPr>
          </w:p>
        </w:tc>
        <w:tc>
          <w:tcPr>
            <w:tcW w:w="140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condensed consolidated financial statements.</w:t>
      </w:r>
    </w:p>
    <w:p>
      <w:pPr>
        <w:sectPr>
          <w:pgSz w:w="11900" w:h="16838" w:orient="portrait"/>
          <w:cols w:equalWidth="0" w:num="1">
            <w:col w:w="11240"/>
          </w:cols>
          <w:pgMar w:left="320" w:top="463"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82550</wp:posOffset>
            </wp:positionV>
            <wp:extent cx="7157720" cy="425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63" w:right="339" w:bottom="1440" w:gutter="0" w:footer="0" w:header="0"/>
          <w:type w:val="continuous"/>
        </w:sectPr>
      </w:pPr>
    </w:p>
    <w:bookmarkStart w:id="5" w:name="page6"/>
    <w:bookmarkEnd w:id="5"/>
    <w:p>
      <w:pPr>
        <w:jc w:val="center"/>
        <w:spacing w:after="0"/>
        <w:rPr>
          <w:sz w:val="20"/>
          <w:szCs w:val="20"/>
          <w:color w:val="auto"/>
        </w:rPr>
      </w:pPr>
      <w:r>
        <w:rPr>
          <w:rFonts w:ascii="Arial" w:cs="Arial" w:eastAsia="Arial" w:hAnsi="Arial"/>
          <w:sz w:val="16"/>
          <w:szCs w:val="16"/>
          <w:b w:val="1"/>
          <w:bCs w:val="1"/>
          <w:color w:val="auto"/>
        </w:rPr>
        <w:t>ICON plc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CONDENSED CONSOLIDATED STATEMENTS OF OPERATIONS</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FOR THE THREE MONTHS ENDED MARCH 31, 2022 AND MARCH 31, 2021</w:t>
      </w:r>
    </w:p>
    <w:p>
      <w:pPr>
        <w:spacing w:after="0" w:line="5" w:lineRule="exact"/>
        <w:rPr>
          <w:sz w:val="20"/>
          <w:szCs w:val="20"/>
          <w:color w:val="auto"/>
        </w:rPr>
      </w:pPr>
    </w:p>
    <w:p>
      <w:pPr>
        <w:jc w:val="center"/>
        <w:ind w:right="-39"/>
        <w:spacing w:after="0"/>
        <w:rPr>
          <w:sz w:val="20"/>
          <w:szCs w:val="20"/>
          <w:color w:val="auto"/>
        </w:rPr>
      </w:pPr>
      <w:r>
        <w:rPr>
          <w:rFonts w:ascii="Arial" w:cs="Arial" w:eastAsia="Arial" w:hAnsi="Arial"/>
          <w:sz w:val="16"/>
          <w:szCs w:val="16"/>
          <w:b w:val="1"/>
          <w:bCs w:val="1"/>
          <w:color w:val="auto"/>
        </w:rPr>
        <w:t>(UNAUDITED)</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48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2920" w:type="dxa"/>
            <w:vAlign w:val="bottom"/>
            <w:tcBorders>
              <w:bottom w:val="single" w:sz="8" w:color="auto"/>
            </w:tcBorders>
            <w:gridSpan w:val="3"/>
            <w:shd w:val="clear" w:color="auto" w:fill="CCEEFF"/>
          </w:tcPr>
          <w:p>
            <w:pPr>
              <w:jc w:val="right"/>
              <w:ind w:right="699"/>
              <w:spacing w:after="0"/>
              <w:rPr>
                <w:sz w:val="20"/>
                <w:szCs w:val="20"/>
                <w:color w:val="auto"/>
              </w:rPr>
            </w:pPr>
            <w:r>
              <w:rPr>
                <w:rFonts w:ascii="Arial" w:cs="Arial" w:eastAsia="Arial" w:hAnsi="Arial"/>
                <w:sz w:val="16"/>
                <w:szCs w:val="16"/>
                <w:b w:val="1"/>
                <w:bCs w:val="1"/>
                <w:color w:val="auto"/>
              </w:rPr>
              <w:t>Three Months Ended</w:t>
            </w:r>
          </w:p>
        </w:tc>
      </w:tr>
      <w:tr>
        <w:trPr>
          <w:trHeight w:val="210"/>
        </w:trPr>
        <w:tc>
          <w:tcPr>
            <w:tcW w:w="648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2022</w:t>
            </w:r>
          </w:p>
        </w:tc>
        <w:tc>
          <w:tcPr>
            <w:tcW w:w="28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155"/>
        </w:trPr>
        <w:tc>
          <w:tcPr>
            <w:tcW w:w="6480" w:type="dxa"/>
            <w:vAlign w:val="bottom"/>
            <w:shd w:val="clear" w:color="auto" w:fill="CCEEFF"/>
          </w:tcPr>
          <w:p>
            <w:pPr>
              <w:spacing w:after="0"/>
              <w:rPr>
                <w:sz w:val="13"/>
                <w:szCs w:val="13"/>
                <w:color w:val="auto"/>
              </w:rPr>
            </w:pPr>
          </w:p>
        </w:tc>
        <w:tc>
          <w:tcPr>
            <w:tcW w:w="4760" w:type="dxa"/>
            <w:vAlign w:val="bottom"/>
            <w:gridSpan w:val="5"/>
            <w:shd w:val="clear" w:color="auto" w:fill="CCEEFF"/>
          </w:tcPr>
          <w:p>
            <w:pPr>
              <w:jc w:val="right"/>
              <w:spacing w:after="0" w:line="155" w:lineRule="exact"/>
              <w:rPr>
                <w:sz w:val="20"/>
                <w:szCs w:val="20"/>
                <w:color w:val="auto"/>
              </w:rPr>
            </w:pPr>
            <w:r>
              <w:rPr>
                <w:rFonts w:ascii="Arial" w:cs="Arial" w:eastAsia="Arial" w:hAnsi="Arial"/>
                <w:sz w:val="16"/>
                <w:szCs w:val="16"/>
                <w:b w:val="1"/>
                <w:bCs w:val="1"/>
                <w:color w:val="auto"/>
              </w:rPr>
              <w:t>(in thousands except share and per share</w:t>
            </w:r>
          </w:p>
        </w:tc>
      </w:tr>
      <w:tr>
        <w:trPr>
          <w:trHeight w:val="216"/>
        </w:trPr>
        <w:tc>
          <w:tcPr>
            <w:tcW w:w="6480" w:type="dxa"/>
            <w:vAlign w:val="bottom"/>
            <w:shd w:val="clear" w:color="auto" w:fill="CCEEFF"/>
          </w:tcPr>
          <w:p>
            <w:pPr>
              <w:spacing w:after="0"/>
              <w:rPr>
                <w:sz w:val="18"/>
                <w:szCs w:val="18"/>
                <w:color w:val="auto"/>
              </w:rPr>
            </w:pPr>
          </w:p>
        </w:tc>
        <w:tc>
          <w:tcPr>
            <w:tcW w:w="1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right"/>
              <w:ind w:right="59"/>
              <w:spacing w:after="0"/>
              <w:rPr>
                <w:sz w:val="20"/>
                <w:szCs w:val="20"/>
                <w:color w:val="auto"/>
              </w:rPr>
            </w:pPr>
            <w:r>
              <w:rPr>
                <w:rFonts w:ascii="Arial" w:cs="Arial" w:eastAsia="Arial" w:hAnsi="Arial"/>
                <w:sz w:val="16"/>
                <w:szCs w:val="16"/>
                <w:b w:val="1"/>
                <w:bCs w:val="1"/>
                <w:color w:val="auto"/>
              </w:rPr>
              <w:t>data)</w:t>
            </w:r>
          </w:p>
        </w:tc>
        <w:tc>
          <w:tcPr>
            <w:tcW w:w="1300" w:type="dxa"/>
            <w:vAlign w:val="bottom"/>
            <w:shd w:val="clear" w:color="auto" w:fill="CCEEFF"/>
          </w:tcPr>
          <w:p>
            <w:pPr>
              <w:spacing w:after="0"/>
              <w:rPr>
                <w:sz w:val="18"/>
                <w:szCs w:val="18"/>
                <w:color w:val="auto"/>
              </w:rPr>
            </w:pPr>
          </w:p>
        </w:tc>
      </w:tr>
      <w:tr>
        <w:trPr>
          <w:trHeight w:val="270"/>
        </w:trPr>
        <w:tc>
          <w:tcPr>
            <w:tcW w:w="648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16"/>
        </w:trPr>
        <w:tc>
          <w:tcPr>
            <w:tcW w:w="6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Revenue</w:t>
            </w:r>
          </w:p>
        </w:tc>
        <w:tc>
          <w:tcPr>
            <w:tcW w:w="1840" w:type="dxa"/>
            <w:vAlign w:val="bottom"/>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3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1,901,764</w:t>
            </w:r>
          </w:p>
        </w:tc>
        <w:tc>
          <w:tcPr>
            <w:tcW w:w="28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858,198</w:t>
            </w:r>
          </w:p>
        </w:tc>
      </w:tr>
      <w:tr>
        <w:trPr>
          <w:trHeight w:val="270"/>
        </w:trPr>
        <w:tc>
          <w:tcPr>
            <w:tcW w:w="6480" w:type="dxa"/>
            <w:vAlign w:val="bottom"/>
          </w:tcPr>
          <w:p>
            <w:pPr>
              <w:spacing w:after="0"/>
              <w:rPr>
                <w:sz w:val="23"/>
                <w:szCs w:val="23"/>
                <w:color w:val="auto"/>
              </w:rPr>
            </w:pPr>
          </w:p>
        </w:tc>
        <w:tc>
          <w:tcPr>
            <w:tcW w:w="160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300" w:type="dxa"/>
            <w:vAlign w:val="bottom"/>
          </w:tcPr>
          <w:p>
            <w:pPr>
              <w:spacing w:after="0"/>
              <w:rPr>
                <w:sz w:val="23"/>
                <w:szCs w:val="23"/>
                <w:color w:val="auto"/>
              </w:rPr>
            </w:pPr>
          </w:p>
        </w:tc>
      </w:tr>
      <w:tr>
        <w:trPr>
          <w:trHeight w:val="216"/>
        </w:trPr>
        <w:tc>
          <w:tcPr>
            <w:tcW w:w="6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Costs and expenses:</w:t>
            </w:r>
          </w:p>
        </w:tc>
        <w:tc>
          <w:tcPr>
            <w:tcW w:w="1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r>
        <w:trPr>
          <w:trHeight w:val="215"/>
        </w:trPr>
        <w:tc>
          <w:tcPr>
            <w:tcW w:w="6480" w:type="dxa"/>
            <w:vAlign w:val="bottom"/>
          </w:tcPr>
          <w:p>
            <w:pPr>
              <w:ind w:left="360"/>
              <w:spacing w:after="0"/>
              <w:rPr>
                <w:sz w:val="20"/>
                <w:szCs w:val="20"/>
                <w:color w:val="auto"/>
              </w:rPr>
            </w:pPr>
            <w:r>
              <w:rPr>
                <w:rFonts w:ascii="Arial" w:cs="Arial" w:eastAsia="Arial" w:hAnsi="Arial"/>
                <w:sz w:val="16"/>
                <w:szCs w:val="16"/>
                <w:color w:val="auto"/>
              </w:rPr>
              <w:t>Direct costs (excluding depreciation and amortization)</w:t>
            </w:r>
          </w:p>
        </w:tc>
        <w:tc>
          <w:tcPr>
            <w:tcW w:w="1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ind w:right="39"/>
              <w:spacing w:after="0"/>
              <w:rPr>
                <w:sz w:val="20"/>
                <w:szCs w:val="20"/>
                <w:color w:val="auto"/>
              </w:rPr>
            </w:pPr>
            <w:r>
              <w:rPr>
                <w:rFonts w:ascii="Arial" w:cs="Arial" w:eastAsia="Arial" w:hAnsi="Arial"/>
                <w:sz w:val="16"/>
                <w:szCs w:val="16"/>
                <w:color w:val="auto"/>
              </w:rPr>
              <w:t>1,378,467</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626,244</w:t>
            </w:r>
          </w:p>
        </w:tc>
      </w:tr>
      <w:tr>
        <w:trPr>
          <w:trHeight w:val="217"/>
        </w:trPr>
        <w:tc>
          <w:tcPr>
            <w:tcW w:w="6480" w:type="dxa"/>
            <w:vAlign w:val="bottom"/>
            <w:shd w:val="clear" w:color="auto" w:fill="CCEEFF"/>
          </w:tcPr>
          <w:p>
            <w:pPr>
              <w:ind w:left="360"/>
              <w:spacing w:after="0"/>
              <w:rPr>
                <w:sz w:val="20"/>
                <w:szCs w:val="20"/>
                <w:color w:val="auto"/>
              </w:rPr>
            </w:pPr>
            <w:r>
              <w:rPr>
                <w:rFonts w:ascii="Arial" w:cs="Arial" w:eastAsia="Arial" w:hAnsi="Arial"/>
                <w:sz w:val="16"/>
                <w:szCs w:val="16"/>
                <w:color w:val="auto"/>
              </w:rPr>
              <w:t>Selling, general and administrative expense</w:t>
            </w:r>
          </w:p>
        </w:tc>
        <w:tc>
          <w:tcPr>
            <w:tcW w:w="1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195,261</w:t>
            </w:r>
          </w:p>
        </w:tc>
        <w:tc>
          <w:tcPr>
            <w:tcW w:w="2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86,034</w:t>
            </w:r>
          </w:p>
        </w:tc>
      </w:tr>
      <w:tr>
        <w:trPr>
          <w:trHeight w:val="215"/>
        </w:trPr>
        <w:tc>
          <w:tcPr>
            <w:tcW w:w="6480" w:type="dxa"/>
            <w:vAlign w:val="bottom"/>
          </w:tcPr>
          <w:p>
            <w:pPr>
              <w:ind w:left="360"/>
              <w:spacing w:after="0"/>
              <w:rPr>
                <w:sz w:val="20"/>
                <w:szCs w:val="20"/>
                <w:color w:val="auto"/>
              </w:rPr>
            </w:pPr>
            <w:r>
              <w:rPr>
                <w:rFonts w:ascii="Arial" w:cs="Arial" w:eastAsia="Arial" w:hAnsi="Arial"/>
                <w:sz w:val="16"/>
                <w:szCs w:val="16"/>
                <w:color w:val="auto"/>
              </w:rPr>
              <w:t>Depreciation and amortization</w:t>
            </w:r>
          </w:p>
        </w:tc>
        <w:tc>
          <w:tcPr>
            <w:tcW w:w="1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ind w:right="39"/>
              <w:spacing w:after="0"/>
              <w:rPr>
                <w:sz w:val="20"/>
                <w:szCs w:val="20"/>
                <w:color w:val="auto"/>
              </w:rPr>
            </w:pPr>
            <w:r>
              <w:rPr>
                <w:rFonts w:ascii="Arial" w:cs="Arial" w:eastAsia="Arial" w:hAnsi="Arial"/>
                <w:sz w:val="16"/>
                <w:szCs w:val="16"/>
                <w:color w:val="auto"/>
              </w:rPr>
              <w:t>141,405</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17,405</w:t>
            </w:r>
          </w:p>
        </w:tc>
      </w:tr>
      <w:tr>
        <w:trPr>
          <w:trHeight w:val="217"/>
        </w:trPr>
        <w:tc>
          <w:tcPr>
            <w:tcW w:w="6480" w:type="dxa"/>
            <w:vAlign w:val="bottom"/>
            <w:shd w:val="clear" w:color="auto" w:fill="CCEEFF"/>
          </w:tcPr>
          <w:p>
            <w:pPr>
              <w:ind w:left="360"/>
              <w:spacing w:after="0"/>
              <w:rPr>
                <w:sz w:val="20"/>
                <w:szCs w:val="20"/>
                <w:color w:val="auto"/>
              </w:rPr>
            </w:pPr>
            <w:r>
              <w:rPr>
                <w:rFonts w:ascii="Arial" w:cs="Arial" w:eastAsia="Arial" w:hAnsi="Arial"/>
                <w:sz w:val="16"/>
                <w:szCs w:val="16"/>
                <w:color w:val="auto"/>
              </w:rPr>
              <w:t>Transaction and integration-related expenses</w:t>
            </w:r>
          </w:p>
        </w:tc>
        <w:tc>
          <w:tcPr>
            <w:tcW w:w="1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12,085</w:t>
            </w:r>
          </w:p>
        </w:tc>
        <w:tc>
          <w:tcPr>
            <w:tcW w:w="2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12,501</w:t>
            </w:r>
          </w:p>
        </w:tc>
      </w:tr>
      <w:tr>
        <w:trPr>
          <w:trHeight w:val="209"/>
        </w:trPr>
        <w:tc>
          <w:tcPr>
            <w:tcW w:w="6480" w:type="dxa"/>
            <w:vAlign w:val="bottom"/>
            <w:tcBorders>
              <w:bottom w:val="single" w:sz="8" w:color="auto"/>
            </w:tcBorders>
          </w:tcPr>
          <w:p>
            <w:pPr>
              <w:ind w:left="360"/>
              <w:spacing w:after="0"/>
              <w:rPr>
                <w:sz w:val="20"/>
                <w:szCs w:val="20"/>
                <w:color w:val="auto"/>
              </w:rPr>
            </w:pPr>
            <w:r>
              <w:rPr>
                <w:rFonts w:ascii="Arial" w:cs="Arial" w:eastAsia="Arial" w:hAnsi="Arial"/>
                <w:sz w:val="16"/>
                <w:szCs w:val="16"/>
                <w:color w:val="auto"/>
              </w:rPr>
              <w:t>Restructuring</w:t>
            </w:r>
          </w:p>
        </w:tc>
        <w:tc>
          <w:tcPr>
            <w:tcW w:w="16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4,207</w:t>
            </w:r>
          </w:p>
        </w:tc>
        <w:tc>
          <w:tcPr>
            <w:tcW w:w="28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r>
      <w:tr>
        <w:trPr>
          <w:trHeight w:val="243"/>
        </w:trPr>
        <w:tc>
          <w:tcPr>
            <w:tcW w:w="6480" w:type="dxa"/>
            <w:vAlign w:val="bottom"/>
            <w:shd w:val="clear" w:color="auto" w:fill="CCEEFF"/>
          </w:tcPr>
          <w:p>
            <w:pPr>
              <w:spacing w:after="0"/>
              <w:rPr>
                <w:sz w:val="21"/>
                <w:szCs w:val="21"/>
                <w:color w:val="auto"/>
              </w:rPr>
            </w:pPr>
          </w:p>
        </w:tc>
        <w:tc>
          <w:tcPr>
            <w:tcW w:w="16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34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1300" w:type="dxa"/>
            <w:vAlign w:val="bottom"/>
            <w:shd w:val="clear" w:color="auto" w:fill="CCEEFF"/>
          </w:tcPr>
          <w:p>
            <w:pPr>
              <w:spacing w:after="0"/>
              <w:rPr>
                <w:sz w:val="21"/>
                <w:szCs w:val="21"/>
                <w:color w:val="auto"/>
              </w:rPr>
            </w:pPr>
          </w:p>
        </w:tc>
      </w:tr>
      <w:tr>
        <w:trPr>
          <w:trHeight w:val="223"/>
        </w:trPr>
        <w:tc>
          <w:tcPr>
            <w:tcW w:w="6480" w:type="dxa"/>
            <w:vAlign w:val="bottom"/>
            <w:tcBorders>
              <w:bottom w:val="single" w:sz="8" w:color="auto"/>
            </w:tcBorders>
          </w:tcPr>
          <w:p>
            <w:pPr>
              <w:ind w:left="240"/>
              <w:spacing w:after="0"/>
              <w:rPr>
                <w:sz w:val="20"/>
                <w:szCs w:val="20"/>
                <w:color w:val="auto"/>
              </w:rPr>
            </w:pPr>
            <w:r>
              <w:rPr>
                <w:rFonts w:ascii="Arial" w:cs="Arial" w:eastAsia="Arial" w:hAnsi="Arial"/>
                <w:sz w:val="16"/>
                <w:szCs w:val="16"/>
                <w:color w:val="auto"/>
              </w:rPr>
              <w:t>Total costs and expenses</w:t>
            </w:r>
          </w:p>
        </w:tc>
        <w:tc>
          <w:tcPr>
            <w:tcW w:w="16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1,731,425</w:t>
            </w:r>
          </w:p>
        </w:tc>
        <w:tc>
          <w:tcPr>
            <w:tcW w:w="2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742,184</w:t>
            </w:r>
          </w:p>
        </w:tc>
      </w:tr>
      <w:tr>
        <w:trPr>
          <w:trHeight w:val="243"/>
        </w:trPr>
        <w:tc>
          <w:tcPr>
            <w:tcW w:w="6480" w:type="dxa"/>
            <w:vAlign w:val="bottom"/>
            <w:shd w:val="clear" w:color="auto" w:fill="CCEEFF"/>
          </w:tcPr>
          <w:p>
            <w:pPr>
              <w:spacing w:after="0"/>
              <w:rPr>
                <w:sz w:val="21"/>
                <w:szCs w:val="21"/>
                <w:color w:val="auto"/>
              </w:rPr>
            </w:pPr>
          </w:p>
        </w:tc>
        <w:tc>
          <w:tcPr>
            <w:tcW w:w="16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34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1300" w:type="dxa"/>
            <w:vAlign w:val="bottom"/>
            <w:shd w:val="clear" w:color="auto" w:fill="CCEEFF"/>
          </w:tcPr>
          <w:p>
            <w:pPr>
              <w:spacing w:after="0"/>
              <w:rPr>
                <w:sz w:val="21"/>
                <w:szCs w:val="21"/>
                <w:color w:val="auto"/>
              </w:rPr>
            </w:pPr>
          </w:p>
        </w:tc>
      </w:tr>
      <w:tr>
        <w:trPr>
          <w:trHeight w:val="215"/>
        </w:trPr>
        <w:tc>
          <w:tcPr>
            <w:tcW w:w="6480" w:type="dxa"/>
            <w:vAlign w:val="bottom"/>
          </w:tcPr>
          <w:p>
            <w:pPr>
              <w:ind w:left="20"/>
              <w:spacing w:after="0"/>
              <w:rPr>
                <w:sz w:val="20"/>
                <w:szCs w:val="20"/>
                <w:color w:val="auto"/>
              </w:rPr>
            </w:pPr>
            <w:r>
              <w:rPr>
                <w:rFonts w:ascii="Arial" w:cs="Arial" w:eastAsia="Arial" w:hAnsi="Arial"/>
                <w:sz w:val="16"/>
                <w:szCs w:val="16"/>
                <w:color w:val="auto"/>
              </w:rPr>
              <w:t>Income from operations</w:t>
            </w:r>
          </w:p>
        </w:tc>
        <w:tc>
          <w:tcPr>
            <w:tcW w:w="1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ind w:right="39"/>
              <w:spacing w:after="0"/>
              <w:rPr>
                <w:sz w:val="20"/>
                <w:szCs w:val="20"/>
                <w:color w:val="auto"/>
              </w:rPr>
            </w:pPr>
            <w:r>
              <w:rPr>
                <w:rFonts w:ascii="Arial" w:cs="Arial" w:eastAsia="Arial" w:hAnsi="Arial"/>
                <w:sz w:val="16"/>
                <w:szCs w:val="16"/>
                <w:color w:val="auto"/>
              </w:rPr>
              <w:t>170,339</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116,014</w:t>
            </w:r>
          </w:p>
        </w:tc>
      </w:tr>
      <w:tr>
        <w:trPr>
          <w:trHeight w:val="217"/>
        </w:trPr>
        <w:tc>
          <w:tcPr>
            <w:tcW w:w="6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income</w:t>
            </w:r>
          </w:p>
        </w:tc>
        <w:tc>
          <w:tcPr>
            <w:tcW w:w="1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127</w:t>
            </w:r>
          </w:p>
        </w:tc>
        <w:tc>
          <w:tcPr>
            <w:tcW w:w="2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257</w:t>
            </w:r>
          </w:p>
        </w:tc>
      </w:tr>
      <w:tr>
        <w:trPr>
          <w:trHeight w:val="223"/>
        </w:trPr>
        <w:tc>
          <w:tcPr>
            <w:tcW w:w="648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Interest expense</w:t>
            </w:r>
          </w:p>
        </w:tc>
        <w:tc>
          <w:tcPr>
            <w:tcW w:w="16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(44,425)</w:t>
            </w:r>
          </w:p>
        </w:tc>
        <w:tc>
          <w:tcPr>
            <w:tcW w:w="2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(2,727)</w:t>
            </w:r>
          </w:p>
        </w:tc>
      </w:tr>
      <w:tr>
        <w:trPr>
          <w:trHeight w:val="243"/>
        </w:trPr>
        <w:tc>
          <w:tcPr>
            <w:tcW w:w="6480" w:type="dxa"/>
            <w:vAlign w:val="bottom"/>
            <w:shd w:val="clear" w:color="auto" w:fill="CCEEFF"/>
          </w:tcPr>
          <w:p>
            <w:pPr>
              <w:spacing w:after="0"/>
              <w:rPr>
                <w:sz w:val="21"/>
                <w:szCs w:val="21"/>
                <w:color w:val="auto"/>
              </w:rPr>
            </w:pPr>
          </w:p>
        </w:tc>
        <w:tc>
          <w:tcPr>
            <w:tcW w:w="1600" w:type="dxa"/>
            <w:vAlign w:val="bottom"/>
            <w:shd w:val="clear" w:color="auto" w:fill="CCEEFF"/>
          </w:tcPr>
          <w:p>
            <w:pPr>
              <w:spacing w:after="0"/>
              <w:rPr>
                <w:sz w:val="21"/>
                <w:szCs w:val="21"/>
                <w:color w:val="auto"/>
              </w:rPr>
            </w:pPr>
          </w:p>
        </w:tc>
        <w:tc>
          <w:tcPr>
            <w:tcW w:w="240" w:type="dxa"/>
            <w:vAlign w:val="bottom"/>
            <w:shd w:val="clear" w:color="auto" w:fill="CCEEFF"/>
          </w:tcPr>
          <w:p>
            <w:pPr>
              <w:spacing w:after="0"/>
              <w:rPr>
                <w:sz w:val="21"/>
                <w:szCs w:val="21"/>
                <w:color w:val="auto"/>
              </w:rPr>
            </w:pPr>
          </w:p>
        </w:tc>
        <w:tc>
          <w:tcPr>
            <w:tcW w:w="1340" w:type="dxa"/>
            <w:vAlign w:val="bottom"/>
            <w:shd w:val="clear" w:color="auto" w:fill="CCEEFF"/>
          </w:tcPr>
          <w:p>
            <w:pPr>
              <w:spacing w:after="0"/>
              <w:rPr>
                <w:sz w:val="21"/>
                <w:szCs w:val="21"/>
                <w:color w:val="auto"/>
              </w:rPr>
            </w:pPr>
          </w:p>
        </w:tc>
        <w:tc>
          <w:tcPr>
            <w:tcW w:w="280" w:type="dxa"/>
            <w:vAlign w:val="bottom"/>
            <w:shd w:val="clear" w:color="auto" w:fill="CCEEFF"/>
          </w:tcPr>
          <w:p>
            <w:pPr>
              <w:spacing w:after="0"/>
              <w:rPr>
                <w:sz w:val="21"/>
                <w:szCs w:val="21"/>
                <w:color w:val="auto"/>
              </w:rPr>
            </w:pPr>
          </w:p>
        </w:tc>
        <w:tc>
          <w:tcPr>
            <w:tcW w:w="1300" w:type="dxa"/>
            <w:vAlign w:val="bottom"/>
            <w:shd w:val="clear" w:color="auto" w:fill="CCEEFF"/>
          </w:tcPr>
          <w:p>
            <w:pPr>
              <w:spacing w:after="0"/>
              <w:rPr>
                <w:sz w:val="21"/>
                <w:szCs w:val="21"/>
                <w:color w:val="auto"/>
              </w:rPr>
            </w:pPr>
          </w:p>
        </w:tc>
      </w:tr>
      <w:tr>
        <w:trPr>
          <w:trHeight w:val="215"/>
        </w:trPr>
        <w:tc>
          <w:tcPr>
            <w:tcW w:w="6480" w:type="dxa"/>
            <w:vAlign w:val="bottom"/>
          </w:tcPr>
          <w:p>
            <w:pPr>
              <w:ind w:left="20"/>
              <w:spacing w:after="0"/>
              <w:rPr>
                <w:sz w:val="20"/>
                <w:szCs w:val="20"/>
                <w:color w:val="auto"/>
              </w:rPr>
            </w:pPr>
            <w:r>
              <w:rPr>
                <w:rFonts w:ascii="Arial" w:cs="Arial" w:eastAsia="Arial" w:hAnsi="Arial"/>
                <w:sz w:val="16"/>
                <w:szCs w:val="16"/>
                <w:color w:val="auto"/>
              </w:rPr>
              <w:t>Income before provision for income taxes</w:t>
            </w:r>
          </w:p>
        </w:tc>
        <w:tc>
          <w:tcPr>
            <w:tcW w:w="1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jc w:val="right"/>
              <w:ind w:right="39"/>
              <w:spacing w:after="0"/>
              <w:rPr>
                <w:sz w:val="20"/>
                <w:szCs w:val="20"/>
                <w:color w:val="auto"/>
              </w:rPr>
            </w:pPr>
            <w:r>
              <w:rPr>
                <w:rFonts w:ascii="Arial" w:cs="Arial" w:eastAsia="Arial" w:hAnsi="Arial"/>
                <w:sz w:val="16"/>
                <w:szCs w:val="16"/>
                <w:color w:val="auto"/>
              </w:rPr>
              <w:t>126,041</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113,544</w:t>
            </w:r>
          </w:p>
        </w:tc>
      </w:tr>
      <w:tr>
        <w:trPr>
          <w:trHeight w:val="224"/>
        </w:trPr>
        <w:tc>
          <w:tcPr>
            <w:tcW w:w="64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Provision for income taxes</w:t>
            </w:r>
          </w:p>
        </w:tc>
        <w:tc>
          <w:tcPr>
            <w:tcW w:w="1600" w:type="dxa"/>
            <w:vAlign w:val="bottom"/>
            <w:tcBorders>
              <w:bottom w:val="single" w:sz="8" w:color="auto"/>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(13,286)</w:t>
            </w:r>
          </w:p>
        </w:tc>
        <w:tc>
          <w:tcPr>
            <w:tcW w:w="28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(16,148)</w:t>
            </w:r>
          </w:p>
        </w:tc>
      </w:tr>
      <w:tr>
        <w:trPr>
          <w:trHeight w:val="243"/>
        </w:trPr>
        <w:tc>
          <w:tcPr>
            <w:tcW w:w="648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134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300" w:type="dxa"/>
            <w:vAlign w:val="bottom"/>
          </w:tcPr>
          <w:p>
            <w:pPr>
              <w:spacing w:after="0"/>
              <w:rPr>
                <w:sz w:val="21"/>
                <w:szCs w:val="21"/>
                <w:color w:val="auto"/>
              </w:rPr>
            </w:pPr>
          </w:p>
        </w:tc>
      </w:tr>
      <w:tr>
        <w:trPr>
          <w:trHeight w:val="216"/>
        </w:trPr>
        <w:tc>
          <w:tcPr>
            <w:tcW w:w="6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Income before share of earnings from equity method investments</w:t>
            </w:r>
          </w:p>
        </w:tc>
        <w:tc>
          <w:tcPr>
            <w:tcW w:w="1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112,755</w:t>
            </w:r>
          </w:p>
        </w:tc>
        <w:tc>
          <w:tcPr>
            <w:tcW w:w="28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97,396</w:t>
            </w:r>
          </w:p>
        </w:tc>
      </w:tr>
      <w:tr>
        <w:trPr>
          <w:trHeight w:val="223"/>
        </w:trPr>
        <w:tc>
          <w:tcPr>
            <w:tcW w:w="648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Share of losses in equity method investments</w:t>
            </w:r>
          </w:p>
        </w:tc>
        <w:tc>
          <w:tcPr>
            <w:tcW w:w="1600" w:type="dxa"/>
            <w:vAlign w:val="bottom"/>
            <w:tcBorders>
              <w:bottom w:val="single" w:sz="8" w:color="auto"/>
            </w:tcBorders>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(785)</w:t>
            </w:r>
          </w:p>
        </w:tc>
        <w:tc>
          <w:tcPr>
            <w:tcW w:w="2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(274)</w:t>
            </w:r>
          </w:p>
        </w:tc>
      </w:tr>
      <w:tr>
        <w:trPr>
          <w:trHeight w:val="237"/>
        </w:trPr>
        <w:tc>
          <w:tcPr>
            <w:tcW w:w="6480" w:type="dxa"/>
            <w:vAlign w:val="bottom"/>
            <w:tcBorders>
              <w:bottom w:val="single" w:sz="8" w:color="auto"/>
            </w:tcBorders>
            <w:shd w:val="clear" w:color="auto" w:fill="CCEEFF"/>
          </w:tcPr>
          <w:p>
            <w:pPr>
              <w:spacing w:after="0"/>
              <w:rPr>
                <w:sz w:val="20"/>
                <w:szCs w:val="20"/>
                <w:color w:val="auto"/>
              </w:rPr>
            </w:pPr>
          </w:p>
        </w:tc>
        <w:tc>
          <w:tcPr>
            <w:tcW w:w="1600" w:type="dxa"/>
            <w:vAlign w:val="bottom"/>
            <w:tcBorders>
              <w:bottom w:val="single" w:sz="8" w:color="auto"/>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1340" w:type="dxa"/>
            <w:vAlign w:val="bottom"/>
            <w:tcBorders>
              <w:bottom w:val="single" w:sz="8" w:color="auto"/>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1300" w:type="dxa"/>
            <w:vAlign w:val="bottom"/>
            <w:tcBorders>
              <w:bottom w:val="single" w:sz="8" w:color="auto"/>
            </w:tcBorders>
            <w:shd w:val="clear" w:color="auto" w:fill="CCEEFF"/>
          </w:tcPr>
          <w:p>
            <w:pPr>
              <w:spacing w:after="0"/>
              <w:rPr>
                <w:sz w:val="20"/>
                <w:szCs w:val="20"/>
                <w:color w:val="auto"/>
              </w:rPr>
            </w:pPr>
          </w:p>
        </w:tc>
      </w:tr>
      <w:tr>
        <w:trPr>
          <w:trHeight w:val="189"/>
        </w:trPr>
        <w:tc>
          <w:tcPr>
            <w:tcW w:w="648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Net income attributable to the Group</w:t>
            </w:r>
          </w:p>
        </w:tc>
        <w:tc>
          <w:tcPr>
            <w:tcW w:w="184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111,970</w:t>
            </w:r>
          </w:p>
        </w:tc>
        <w:tc>
          <w:tcPr>
            <w:tcW w:w="2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97,122</w:t>
            </w:r>
          </w:p>
        </w:tc>
      </w:tr>
      <w:tr>
        <w:trPr>
          <w:trHeight w:val="20"/>
        </w:trPr>
        <w:tc>
          <w:tcPr>
            <w:tcW w:w="648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223"/>
        </w:trPr>
        <w:tc>
          <w:tcPr>
            <w:tcW w:w="6480" w:type="dxa"/>
            <w:vAlign w:val="bottom"/>
            <w:shd w:val="clear" w:color="auto" w:fill="CCEEFF"/>
          </w:tcPr>
          <w:p>
            <w:pPr>
              <w:spacing w:after="0"/>
              <w:rPr>
                <w:sz w:val="19"/>
                <w:szCs w:val="19"/>
                <w:color w:val="auto"/>
              </w:rPr>
            </w:pPr>
          </w:p>
        </w:tc>
        <w:tc>
          <w:tcPr>
            <w:tcW w:w="1600" w:type="dxa"/>
            <w:vAlign w:val="bottom"/>
            <w:shd w:val="clear" w:color="auto" w:fill="CCEEFF"/>
          </w:tcPr>
          <w:p>
            <w:pPr>
              <w:spacing w:after="0"/>
              <w:rPr>
                <w:sz w:val="19"/>
                <w:szCs w:val="19"/>
                <w:color w:val="auto"/>
              </w:rPr>
            </w:pPr>
          </w:p>
        </w:tc>
        <w:tc>
          <w:tcPr>
            <w:tcW w:w="240" w:type="dxa"/>
            <w:vAlign w:val="bottom"/>
            <w:shd w:val="clear" w:color="auto" w:fill="CCEEFF"/>
          </w:tcPr>
          <w:p>
            <w:pPr>
              <w:spacing w:after="0"/>
              <w:rPr>
                <w:sz w:val="19"/>
                <w:szCs w:val="19"/>
                <w:color w:val="auto"/>
              </w:rPr>
            </w:pPr>
          </w:p>
        </w:tc>
        <w:tc>
          <w:tcPr>
            <w:tcW w:w="1340" w:type="dxa"/>
            <w:vAlign w:val="bottom"/>
            <w:shd w:val="clear" w:color="auto" w:fill="CCEEFF"/>
          </w:tcPr>
          <w:p>
            <w:pPr>
              <w:spacing w:after="0"/>
              <w:rPr>
                <w:sz w:val="19"/>
                <w:szCs w:val="19"/>
                <w:color w:val="auto"/>
              </w:rPr>
            </w:pPr>
          </w:p>
        </w:tc>
        <w:tc>
          <w:tcPr>
            <w:tcW w:w="280" w:type="dxa"/>
            <w:vAlign w:val="bottom"/>
            <w:shd w:val="clear" w:color="auto" w:fill="CCEEFF"/>
          </w:tcPr>
          <w:p>
            <w:pPr>
              <w:spacing w:after="0"/>
              <w:rPr>
                <w:sz w:val="19"/>
                <w:szCs w:val="19"/>
                <w:color w:val="auto"/>
              </w:rPr>
            </w:pPr>
          </w:p>
        </w:tc>
        <w:tc>
          <w:tcPr>
            <w:tcW w:w="1300" w:type="dxa"/>
            <w:vAlign w:val="bottom"/>
            <w:shd w:val="clear" w:color="auto" w:fill="CCEEFF"/>
          </w:tcPr>
          <w:p>
            <w:pPr>
              <w:spacing w:after="0"/>
              <w:rPr>
                <w:sz w:val="19"/>
                <w:szCs w:val="19"/>
                <w:color w:val="auto"/>
              </w:rPr>
            </w:pPr>
          </w:p>
        </w:tc>
      </w:tr>
      <w:tr>
        <w:trPr>
          <w:trHeight w:val="215"/>
        </w:trPr>
        <w:tc>
          <w:tcPr>
            <w:tcW w:w="6480" w:type="dxa"/>
            <w:vAlign w:val="bottom"/>
          </w:tcPr>
          <w:p>
            <w:pPr>
              <w:ind w:left="20"/>
              <w:spacing w:after="0"/>
              <w:rPr>
                <w:sz w:val="20"/>
                <w:szCs w:val="20"/>
                <w:color w:val="auto"/>
              </w:rPr>
            </w:pPr>
            <w:r>
              <w:rPr>
                <w:rFonts w:ascii="Arial" w:cs="Arial" w:eastAsia="Arial" w:hAnsi="Arial"/>
                <w:sz w:val="16"/>
                <w:szCs w:val="16"/>
                <w:color w:val="auto"/>
              </w:rPr>
              <w:t>Net income per Ordinary Share attributable to the Group (note 14):</w:t>
            </w:r>
          </w:p>
        </w:tc>
        <w:tc>
          <w:tcPr>
            <w:tcW w:w="160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57"/>
        </w:trPr>
        <w:tc>
          <w:tcPr>
            <w:tcW w:w="6480" w:type="dxa"/>
            <w:vAlign w:val="bottom"/>
            <w:shd w:val="clear" w:color="auto" w:fill="CCEEFF"/>
          </w:tcPr>
          <w:p>
            <w:pPr>
              <w:spacing w:after="0"/>
              <w:rPr>
                <w:sz w:val="22"/>
                <w:szCs w:val="22"/>
                <w:color w:val="auto"/>
              </w:rPr>
            </w:pPr>
          </w:p>
        </w:tc>
        <w:tc>
          <w:tcPr>
            <w:tcW w:w="1600" w:type="dxa"/>
            <w:vAlign w:val="bottom"/>
            <w:shd w:val="clear" w:color="auto" w:fill="CCEEFF"/>
          </w:tcPr>
          <w:p>
            <w:pPr>
              <w:spacing w:after="0"/>
              <w:rPr>
                <w:sz w:val="22"/>
                <w:szCs w:val="22"/>
                <w:color w:val="auto"/>
              </w:rPr>
            </w:pPr>
          </w:p>
        </w:tc>
        <w:tc>
          <w:tcPr>
            <w:tcW w:w="240" w:type="dxa"/>
            <w:vAlign w:val="bottom"/>
            <w:shd w:val="clear" w:color="auto" w:fill="CCEEFF"/>
          </w:tcPr>
          <w:p>
            <w:pPr>
              <w:spacing w:after="0"/>
              <w:rPr>
                <w:sz w:val="22"/>
                <w:szCs w:val="22"/>
                <w:color w:val="auto"/>
              </w:rPr>
            </w:pPr>
          </w:p>
        </w:tc>
        <w:tc>
          <w:tcPr>
            <w:tcW w:w="1340" w:type="dxa"/>
            <w:vAlign w:val="bottom"/>
            <w:shd w:val="clear" w:color="auto" w:fill="CCEEFF"/>
          </w:tcPr>
          <w:p>
            <w:pPr>
              <w:spacing w:after="0"/>
              <w:rPr>
                <w:sz w:val="22"/>
                <w:szCs w:val="22"/>
                <w:color w:val="auto"/>
              </w:rPr>
            </w:pPr>
          </w:p>
        </w:tc>
        <w:tc>
          <w:tcPr>
            <w:tcW w:w="280" w:type="dxa"/>
            <w:vAlign w:val="bottom"/>
            <w:shd w:val="clear" w:color="auto" w:fill="CCEEFF"/>
          </w:tcPr>
          <w:p>
            <w:pPr>
              <w:spacing w:after="0"/>
              <w:rPr>
                <w:sz w:val="22"/>
                <w:szCs w:val="22"/>
                <w:color w:val="auto"/>
              </w:rPr>
            </w:pPr>
          </w:p>
        </w:tc>
        <w:tc>
          <w:tcPr>
            <w:tcW w:w="1300" w:type="dxa"/>
            <w:vAlign w:val="bottom"/>
            <w:shd w:val="clear" w:color="auto" w:fill="CCEEFF"/>
          </w:tcPr>
          <w:p>
            <w:pPr>
              <w:spacing w:after="0"/>
              <w:rPr>
                <w:sz w:val="22"/>
                <w:szCs w:val="22"/>
                <w:color w:val="auto"/>
              </w:rPr>
            </w:pPr>
          </w:p>
        </w:tc>
      </w:tr>
      <w:tr>
        <w:trPr>
          <w:trHeight w:val="215"/>
        </w:trPr>
        <w:tc>
          <w:tcPr>
            <w:tcW w:w="6480" w:type="dxa"/>
            <w:vAlign w:val="bottom"/>
            <w:tcBorders>
              <w:bottom w:val="single" w:sz="8" w:color="auto"/>
            </w:tcBorders>
          </w:tcPr>
          <w:p>
            <w:pPr>
              <w:ind w:left="360"/>
              <w:spacing w:after="0"/>
              <w:rPr>
                <w:sz w:val="20"/>
                <w:szCs w:val="20"/>
                <w:color w:val="auto"/>
              </w:rPr>
            </w:pPr>
            <w:r>
              <w:rPr>
                <w:rFonts w:ascii="Arial" w:cs="Arial" w:eastAsia="Arial" w:hAnsi="Arial"/>
                <w:sz w:val="16"/>
                <w:szCs w:val="16"/>
                <w:color w:val="auto"/>
              </w:rPr>
              <w:t>Basic</w:t>
            </w:r>
          </w:p>
        </w:tc>
        <w:tc>
          <w:tcPr>
            <w:tcW w:w="1840" w:type="dxa"/>
            <w:vAlign w:val="bottom"/>
            <w:tcBorders>
              <w:bottom w:val="single" w:sz="8" w:color="auto"/>
            </w:tcBorders>
            <w:gridSpan w:val="2"/>
          </w:tcPr>
          <w:p>
            <w:pPr>
              <w:jc w:val="right"/>
              <w:ind w:right="14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1.37</w:t>
            </w:r>
          </w:p>
        </w:tc>
        <w:tc>
          <w:tcPr>
            <w:tcW w:w="28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1.84</w:t>
            </w:r>
          </w:p>
        </w:tc>
      </w:tr>
      <w:tr>
        <w:trPr>
          <w:trHeight w:val="20"/>
        </w:trPr>
        <w:tc>
          <w:tcPr>
            <w:tcW w:w="648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r>
        <w:trPr>
          <w:trHeight w:val="209"/>
        </w:trPr>
        <w:tc>
          <w:tcPr>
            <w:tcW w:w="648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color w:val="auto"/>
              </w:rPr>
              <w:t>Diluted</w:t>
            </w:r>
          </w:p>
        </w:tc>
        <w:tc>
          <w:tcPr>
            <w:tcW w:w="1840" w:type="dxa"/>
            <w:vAlign w:val="bottom"/>
            <w:tcBorders>
              <w:bottom w:val="single" w:sz="8" w:color="auto"/>
            </w:tcBorders>
            <w:gridSpan w:val="2"/>
            <w:shd w:val="clear" w:color="auto" w:fill="CCEEFF"/>
          </w:tcPr>
          <w:p>
            <w:pPr>
              <w:jc w:val="right"/>
              <w:ind w:right="14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1.36</w:t>
            </w:r>
          </w:p>
        </w:tc>
        <w:tc>
          <w:tcPr>
            <w:tcW w:w="28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1.82</w:t>
            </w:r>
          </w:p>
        </w:tc>
      </w:tr>
      <w:tr>
        <w:trPr>
          <w:trHeight w:val="20"/>
        </w:trPr>
        <w:tc>
          <w:tcPr>
            <w:tcW w:w="648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r>
      <w:tr>
        <w:trPr>
          <w:trHeight w:val="204"/>
        </w:trPr>
        <w:tc>
          <w:tcPr>
            <w:tcW w:w="648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16"/>
        </w:trPr>
        <w:tc>
          <w:tcPr>
            <w:tcW w:w="6480" w:type="dxa"/>
            <w:vAlign w:val="bottom"/>
            <w:shd w:val="clear" w:color="auto" w:fill="CCEEFF"/>
          </w:tcPr>
          <w:p>
            <w:pPr>
              <w:ind w:left="20"/>
              <w:spacing w:after="0"/>
              <w:rPr>
                <w:sz w:val="20"/>
                <w:szCs w:val="20"/>
                <w:color w:val="auto"/>
              </w:rPr>
            </w:pPr>
            <w:r>
              <w:rPr>
                <w:rFonts w:ascii="Arial" w:cs="Arial" w:eastAsia="Arial" w:hAnsi="Arial"/>
                <w:sz w:val="16"/>
                <w:szCs w:val="16"/>
                <w:color w:val="auto"/>
              </w:rPr>
              <w:t>Weighted average number of Ordinary Shares outstanding (note 14):</w:t>
            </w:r>
          </w:p>
        </w:tc>
        <w:tc>
          <w:tcPr>
            <w:tcW w:w="160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3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r>
      <w:tr>
        <w:trPr>
          <w:trHeight w:val="257"/>
        </w:trPr>
        <w:tc>
          <w:tcPr>
            <w:tcW w:w="6480" w:type="dxa"/>
            <w:vAlign w:val="bottom"/>
          </w:tcPr>
          <w:p>
            <w:pPr>
              <w:spacing w:after="0"/>
              <w:rPr>
                <w:sz w:val="22"/>
                <w:szCs w:val="22"/>
                <w:color w:val="auto"/>
              </w:rPr>
            </w:pPr>
          </w:p>
        </w:tc>
        <w:tc>
          <w:tcPr>
            <w:tcW w:w="160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34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1300" w:type="dxa"/>
            <w:vAlign w:val="bottom"/>
          </w:tcPr>
          <w:p>
            <w:pPr>
              <w:spacing w:after="0"/>
              <w:rPr>
                <w:sz w:val="22"/>
                <w:szCs w:val="22"/>
                <w:color w:val="auto"/>
              </w:rPr>
            </w:pPr>
          </w:p>
        </w:tc>
      </w:tr>
      <w:tr>
        <w:trPr>
          <w:trHeight w:val="240"/>
        </w:trPr>
        <w:tc>
          <w:tcPr>
            <w:tcW w:w="648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color w:val="auto"/>
              </w:rPr>
              <w:t>Basic</w:t>
            </w:r>
          </w:p>
        </w:tc>
        <w:tc>
          <w:tcPr>
            <w:tcW w:w="1600" w:type="dxa"/>
            <w:vAlign w:val="bottom"/>
            <w:tcBorders>
              <w:bottom w:val="single" w:sz="8" w:color="auto"/>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13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81,463,303</w:t>
            </w:r>
          </w:p>
        </w:tc>
        <w:tc>
          <w:tcPr>
            <w:tcW w:w="280" w:type="dxa"/>
            <w:vAlign w:val="bottom"/>
            <w:tcBorders>
              <w:bottom w:val="single" w:sz="8" w:color="auto"/>
            </w:tcBorders>
            <w:shd w:val="clear" w:color="auto" w:fill="CCEEFF"/>
          </w:tcPr>
          <w:p>
            <w:pPr>
              <w:spacing w:after="0"/>
              <w:rPr>
                <w:sz w:val="20"/>
                <w:szCs w:val="20"/>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52,811,460</w:t>
            </w:r>
          </w:p>
        </w:tc>
      </w:tr>
      <w:tr>
        <w:trPr>
          <w:trHeight w:val="20"/>
        </w:trPr>
        <w:tc>
          <w:tcPr>
            <w:tcW w:w="648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r>
      <w:tr>
        <w:trPr>
          <w:trHeight w:val="204"/>
        </w:trPr>
        <w:tc>
          <w:tcPr>
            <w:tcW w:w="648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300" w:type="dxa"/>
            <w:vAlign w:val="bottom"/>
          </w:tcPr>
          <w:p>
            <w:pPr>
              <w:spacing w:after="0"/>
              <w:rPr>
                <w:sz w:val="17"/>
                <w:szCs w:val="17"/>
                <w:color w:val="auto"/>
              </w:rPr>
            </w:pPr>
          </w:p>
        </w:tc>
      </w:tr>
      <w:tr>
        <w:trPr>
          <w:trHeight w:val="240"/>
        </w:trPr>
        <w:tc>
          <w:tcPr>
            <w:tcW w:w="6480" w:type="dxa"/>
            <w:vAlign w:val="bottom"/>
            <w:tcBorders>
              <w:bottom w:val="single" w:sz="8" w:color="auto"/>
            </w:tcBorders>
            <w:shd w:val="clear" w:color="auto" w:fill="CCEEFF"/>
          </w:tcPr>
          <w:p>
            <w:pPr>
              <w:ind w:left="360"/>
              <w:spacing w:after="0"/>
              <w:rPr>
                <w:sz w:val="20"/>
                <w:szCs w:val="20"/>
                <w:color w:val="auto"/>
              </w:rPr>
            </w:pPr>
            <w:r>
              <w:rPr>
                <w:rFonts w:ascii="Arial" w:cs="Arial" w:eastAsia="Arial" w:hAnsi="Arial"/>
                <w:sz w:val="16"/>
                <w:szCs w:val="16"/>
                <w:color w:val="auto"/>
              </w:rPr>
              <w:t>Diluted</w:t>
            </w:r>
          </w:p>
        </w:tc>
        <w:tc>
          <w:tcPr>
            <w:tcW w:w="1600" w:type="dxa"/>
            <w:vAlign w:val="bottom"/>
            <w:tcBorders>
              <w:bottom w:val="single" w:sz="8" w:color="auto"/>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134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82,613,098</w:t>
            </w:r>
          </w:p>
        </w:tc>
        <w:tc>
          <w:tcPr>
            <w:tcW w:w="280" w:type="dxa"/>
            <w:vAlign w:val="bottom"/>
            <w:tcBorders>
              <w:bottom w:val="single" w:sz="8" w:color="auto"/>
            </w:tcBorders>
            <w:shd w:val="clear" w:color="auto" w:fill="CCEEFF"/>
          </w:tcPr>
          <w:p>
            <w:pPr>
              <w:spacing w:after="0"/>
              <w:rPr>
                <w:sz w:val="20"/>
                <w:szCs w:val="20"/>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53,310,453</w:t>
            </w:r>
          </w:p>
        </w:tc>
      </w:tr>
      <w:tr>
        <w:trPr>
          <w:trHeight w:val="20"/>
        </w:trPr>
        <w:tc>
          <w:tcPr>
            <w:tcW w:w="6480" w:type="dxa"/>
            <w:vAlign w:val="bottom"/>
            <w:tcBorders>
              <w:top w:val="single" w:sz="8" w:color="CCEEFF"/>
              <w:bottom w:val="single" w:sz="8" w:color="auto"/>
            </w:tcBorders>
          </w:tcPr>
          <w:p>
            <w:pPr>
              <w:spacing w:after="0" w:line="20" w:lineRule="exact"/>
              <w:rPr>
                <w:sz w:val="1"/>
                <w:szCs w:val="1"/>
                <w:color w:val="auto"/>
              </w:rPr>
            </w:pPr>
          </w:p>
        </w:tc>
        <w:tc>
          <w:tcPr>
            <w:tcW w:w="1600" w:type="dxa"/>
            <w:vAlign w:val="bottom"/>
            <w:tcBorders>
              <w:top w:val="single" w:sz="8" w:color="CCEEFF"/>
              <w:bottom w:val="single" w:sz="8" w:color="auto"/>
            </w:tcBorders>
          </w:tcPr>
          <w:p>
            <w:pPr>
              <w:spacing w:after="0" w:line="20" w:lineRule="exact"/>
              <w:rPr>
                <w:sz w:val="1"/>
                <w:szCs w:val="1"/>
                <w:color w:val="auto"/>
              </w:rPr>
            </w:pPr>
          </w:p>
        </w:tc>
        <w:tc>
          <w:tcPr>
            <w:tcW w:w="24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449" w:right="339" w:bottom="1440" w:gutter="0" w:footer="0" w:header="0"/>
        </w:sectPr>
      </w:pPr>
    </w:p>
    <w:bookmarkStart w:id="6" w:name="page7"/>
    <w:bookmarkEnd w:id="6"/>
    <w:p>
      <w:pPr>
        <w:jc w:val="center"/>
        <w:spacing w:after="0"/>
        <w:rPr>
          <w:sz w:val="20"/>
          <w:szCs w:val="20"/>
          <w:color w:val="auto"/>
        </w:rPr>
      </w:pPr>
      <w:r>
        <w:rPr>
          <w:rFonts w:ascii="Arial" w:cs="Arial" w:eastAsia="Arial" w:hAnsi="Arial"/>
          <w:sz w:val="16"/>
          <w:szCs w:val="16"/>
          <w:b w:val="1"/>
          <w:bCs w:val="1"/>
          <w:color w:val="auto"/>
        </w:rPr>
        <w:t>ICON plc</w:t>
      </w:r>
    </w:p>
    <w:p>
      <w:pPr>
        <w:spacing w:after="0" w:line="21" w:lineRule="exact"/>
        <w:rPr>
          <w:sz w:val="20"/>
          <w:szCs w:val="20"/>
          <w:color w:val="auto"/>
        </w:rPr>
      </w:pPr>
    </w:p>
    <w:p>
      <w:pPr>
        <w:jc w:val="center"/>
        <w:spacing w:after="0" w:line="270" w:lineRule="auto"/>
        <w:rPr>
          <w:sz w:val="20"/>
          <w:szCs w:val="20"/>
          <w:color w:val="auto"/>
        </w:rPr>
      </w:pPr>
      <w:r>
        <w:rPr>
          <w:rFonts w:ascii="Arial" w:cs="Arial" w:eastAsia="Arial" w:hAnsi="Arial"/>
          <w:sz w:val="16"/>
          <w:szCs w:val="16"/>
          <w:b w:val="1"/>
          <w:bCs w:val="1"/>
          <w:color w:val="auto"/>
        </w:rPr>
        <w:t>CONDENSED CONSOLIDATED STATEMENTS OF COMPREHENSIVE INCOME FOR THE THREE MONTHS ENDED MARCH 31, 2022 AND MARCH 31, 2021 (UNAUDITED)</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960" w:type="dxa"/>
            <w:vAlign w:val="bottom"/>
            <w:shd w:val="clear" w:color="auto" w:fill="CCEEFF"/>
          </w:tcPr>
          <w:p>
            <w:pPr>
              <w:spacing w:after="0"/>
              <w:rPr>
                <w:sz w:val="16"/>
                <w:szCs w:val="16"/>
                <w:color w:val="auto"/>
              </w:rPr>
            </w:pPr>
          </w:p>
        </w:tc>
        <w:tc>
          <w:tcPr>
            <w:tcW w:w="2460" w:type="dxa"/>
            <w:vAlign w:val="bottom"/>
            <w:shd w:val="clear" w:color="auto" w:fill="CCEEFF"/>
          </w:tcPr>
          <w:p>
            <w:pPr>
              <w:spacing w:after="0"/>
              <w:rPr>
                <w:sz w:val="16"/>
                <w:szCs w:val="16"/>
                <w:color w:val="auto"/>
              </w:rPr>
            </w:pPr>
          </w:p>
        </w:tc>
        <w:tc>
          <w:tcPr>
            <w:tcW w:w="420" w:type="dxa"/>
            <w:vAlign w:val="bottom"/>
            <w:shd w:val="clear" w:color="auto" w:fill="CCEEFF"/>
          </w:tcPr>
          <w:p>
            <w:pPr>
              <w:spacing w:after="0"/>
              <w:rPr>
                <w:sz w:val="16"/>
                <w:szCs w:val="16"/>
                <w:color w:val="auto"/>
              </w:rPr>
            </w:pPr>
          </w:p>
        </w:tc>
        <w:tc>
          <w:tcPr>
            <w:tcW w:w="2400" w:type="dxa"/>
            <w:vAlign w:val="bottom"/>
            <w:gridSpan w:val="6"/>
            <w:shd w:val="clear" w:color="auto" w:fill="CCEEFF"/>
          </w:tcPr>
          <w:p>
            <w:pPr>
              <w:jc w:val="center"/>
              <w:ind w:right="800"/>
              <w:spacing w:after="0"/>
              <w:rPr>
                <w:sz w:val="20"/>
                <w:szCs w:val="20"/>
                <w:color w:val="auto"/>
              </w:rPr>
            </w:pPr>
            <w:r>
              <w:rPr>
                <w:rFonts w:ascii="Arial" w:cs="Arial" w:eastAsia="Arial" w:hAnsi="Arial"/>
                <w:sz w:val="16"/>
                <w:szCs w:val="16"/>
                <w:b w:val="1"/>
                <w:bCs w:val="1"/>
                <w:color w:val="auto"/>
              </w:rPr>
              <w:t>Three Months Ended</w:t>
            </w:r>
          </w:p>
        </w:tc>
      </w:tr>
      <w:tr>
        <w:trPr>
          <w:trHeight w:val="21"/>
        </w:trPr>
        <w:tc>
          <w:tcPr>
            <w:tcW w:w="5960" w:type="dxa"/>
            <w:vAlign w:val="bottom"/>
            <w:tcBorders>
              <w:top w:val="single" w:sz="8" w:color="CCEEFF"/>
            </w:tcBorders>
            <w:shd w:val="clear" w:color="auto" w:fill="CCEEFF"/>
          </w:tcPr>
          <w:p>
            <w:pPr>
              <w:spacing w:after="0" w:line="20" w:lineRule="exact"/>
              <w:rPr>
                <w:sz w:val="1"/>
                <w:szCs w:val="1"/>
                <w:color w:val="auto"/>
              </w:rPr>
            </w:pPr>
          </w:p>
        </w:tc>
        <w:tc>
          <w:tcPr>
            <w:tcW w:w="2460" w:type="dxa"/>
            <w:vAlign w:val="bottom"/>
            <w:tcBorders>
              <w:top w:val="single" w:sz="8" w:color="CCEEFF"/>
            </w:tcBorders>
            <w:shd w:val="clear" w:color="auto" w:fill="CCEEFF"/>
          </w:tcPr>
          <w:p>
            <w:pPr>
              <w:spacing w:after="0" w:line="20" w:lineRule="exact"/>
              <w:rPr>
                <w:sz w:val="1"/>
                <w:szCs w:val="1"/>
                <w:color w:val="auto"/>
              </w:rPr>
            </w:pPr>
          </w:p>
        </w:tc>
        <w:tc>
          <w:tcPr>
            <w:tcW w:w="420" w:type="dxa"/>
            <w:vAlign w:val="bottom"/>
            <w:tcBorders>
              <w:top w:val="single" w:sz="8" w:color="CCEEFF"/>
            </w:tcBorders>
            <w:shd w:val="clear" w:color="auto" w:fill="CCEEFF"/>
          </w:tcPr>
          <w:p>
            <w:pPr>
              <w:spacing w:after="0" w:line="20" w:lineRule="exact"/>
              <w:rPr>
                <w:sz w:val="1"/>
                <w:szCs w:val="1"/>
                <w:color w:val="auto"/>
              </w:rPr>
            </w:pPr>
          </w:p>
        </w:tc>
        <w:tc>
          <w:tcPr>
            <w:tcW w:w="740" w:type="dxa"/>
            <w:vAlign w:val="bottom"/>
            <w:tcBorders>
              <w:top w:val="single" w:sz="8" w:color="auto"/>
            </w:tcBorders>
            <w:shd w:val="clear" w:color="auto" w:fill="CCEEFF"/>
          </w:tcPr>
          <w:p>
            <w:pPr>
              <w:spacing w:after="0" w:line="20" w:lineRule="exact"/>
              <w:rPr>
                <w:sz w:val="1"/>
                <w:szCs w:val="1"/>
                <w:color w:val="auto"/>
              </w:rPr>
            </w:pPr>
          </w:p>
        </w:tc>
        <w:tc>
          <w:tcPr>
            <w:tcW w:w="60" w:type="dxa"/>
            <w:vAlign w:val="bottom"/>
            <w:tcBorders>
              <w:top w:val="single" w:sz="8" w:color="auto"/>
            </w:tcBorders>
            <w:shd w:val="clear" w:color="auto" w:fill="CCEEFF"/>
          </w:tcPr>
          <w:p>
            <w:pPr>
              <w:spacing w:after="0" w:line="20" w:lineRule="exact"/>
              <w:rPr>
                <w:sz w:val="1"/>
                <w:szCs w:val="1"/>
                <w:color w:val="auto"/>
              </w:rPr>
            </w:pPr>
          </w:p>
        </w:tc>
        <w:tc>
          <w:tcPr>
            <w:tcW w:w="420" w:type="dxa"/>
            <w:vAlign w:val="bottom"/>
            <w:tcBorders>
              <w:top w:val="single" w:sz="8" w:color="auto"/>
            </w:tcBorders>
            <w:shd w:val="clear" w:color="auto" w:fill="CCEEFF"/>
          </w:tcPr>
          <w:p>
            <w:pPr>
              <w:spacing w:after="0" w:line="20" w:lineRule="exact"/>
              <w:rPr>
                <w:sz w:val="1"/>
                <w:szCs w:val="1"/>
                <w:color w:val="auto"/>
              </w:rPr>
            </w:pPr>
          </w:p>
        </w:tc>
        <w:tc>
          <w:tcPr>
            <w:tcW w:w="380" w:type="dxa"/>
            <w:vAlign w:val="bottom"/>
            <w:tcBorders>
              <w:top w:val="single" w:sz="8" w:color="auto"/>
            </w:tcBorders>
            <w:shd w:val="clear" w:color="auto" w:fill="CCEEFF"/>
          </w:tcPr>
          <w:p>
            <w:pPr>
              <w:spacing w:after="0" w:line="20" w:lineRule="exact"/>
              <w:rPr>
                <w:sz w:val="1"/>
                <w:szCs w:val="1"/>
                <w:color w:val="auto"/>
              </w:rPr>
            </w:pPr>
          </w:p>
        </w:tc>
        <w:tc>
          <w:tcPr>
            <w:tcW w:w="780" w:type="dxa"/>
            <w:vAlign w:val="bottom"/>
            <w:tcBorders>
              <w:top w:val="single" w:sz="8" w:color="CCEEFF"/>
            </w:tcBorders>
            <w:shd w:val="clear" w:color="auto" w:fill="CCEEFF"/>
          </w:tcPr>
          <w:p>
            <w:pPr>
              <w:spacing w:after="0" w:line="20" w:lineRule="exact"/>
              <w:rPr>
                <w:sz w:val="1"/>
                <w:szCs w:val="1"/>
                <w:color w:val="auto"/>
              </w:rPr>
            </w:pPr>
          </w:p>
        </w:tc>
        <w:tc>
          <w:tcPr>
            <w:tcW w:w="20" w:type="dxa"/>
            <w:vAlign w:val="bottom"/>
            <w:tcBorders>
              <w:top w:val="single" w:sz="8" w:color="CCEEFF"/>
            </w:tcBorders>
            <w:shd w:val="clear" w:color="auto" w:fill="CCEEFF"/>
          </w:tcPr>
          <w:p>
            <w:pPr>
              <w:spacing w:after="0" w:line="20" w:lineRule="exact"/>
              <w:rPr>
                <w:sz w:val="1"/>
                <w:szCs w:val="1"/>
                <w:color w:val="auto"/>
              </w:rPr>
            </w:pPr>
          </w:p>
        </w:tc>
      </w:tr>
      <w:tr>
        <w:trPr>
          <w:trHeight w:val="176"/>
        </w:trPr>
        <w:tc>
          <w:tcPr>
            <w:tcW w:w="5960" w:type="dxa"/>
            <w:vAlign w:val="bottom"/>
          </w:tcPr>
          <w:p>
            <w:pPr>
              <w:spacing w:after="0"/>
              <w:rPr>
                <w:sz w:val="15"/>
                <w:szCs w:val="15"/>
                <w:color w:val="auto"/>
              </w:rPr>
            </w:pPr>
          </w:p>
        </w:tc>
        <w:tc>
          <w:tcPr>
            <w:tcW w:w="2460" w:type="dxa"/>
            <w:vAlign w:val="bottom"/>
          </w:tcPr>
          <w:p>
            <w:pPr>
              <w:spacing w:after="0"/>
              <w:rPr>
                <w:sz w:val="15"/>
                <w:szCs w:val="15"/>
                <w:color w:val="auto"/>
              </w:rPr>
            </w:pPr>
          </w:p>
        </w:tc>
        <w:tc>
          <w:tcPr>
            <w:tcW w:w="1220" w:type="dxa"/>
            <w:vAlign w:val="bottom"/>
            <w:gridSpan w:val="3"/>
          </w:tcPr>
          <w:p>
            <w:pPr>
              <w:spacing w:after="0" w:line="175" w:lineRule="exact"/>
              <w:rPr>
                <w:sz w:val="20"/>
                <w:szCs w:val="20"/>
                <w:color w:val="auto"/>
              </w:rPr>
            </w:pPr>
            <w:r>
              <w:rPr>
                <w:rFonts w:ascii="Arial" w:cs="Arial" w:eastAsia="Arial" w:hAnsi="Arial"/>
                <w:sz w:val="16"/>
                <w:szCs w:val="16"/>
                <w:b w:val="1"/>
                <w:bCs w:val="1"/>
                <w:color w:val="auto"/>
              </w:rPr>
              <w:t>March 31, 2022</w:t>
            </w:r>
          </w:p>
        </w:tc>
        <w:tc>
          <w:tcPr>
            <w:tcW w:w="420" w:type="dxa"/>
            <w:vAlign w:val="bottom"/>
          </w:tcPr>
          <w:p>
            <w:pPr>
              <w:spacing w:after="0"/>
              <w:rPr>
                <w:sz w:val="15"/>
                <w:szCs w:val="15"/>
                <w:color w:val="auto"/>
              </w:rPr>
            </w:pPr>
          </w:p>
        </w:tc>
        <w:tc>
          <w:tcPr>
            <w:tcW w:w="1180" w:type="dxa"/>
            <w:vAlign w:val="bottom"/>
            <w:gridSpan w:val="3"/>
          </w:tcPr>
          <w:p>
            <w:pPr>
              <w:spacing w:after="0" w:line="175" w:lineRule="exact"/>
              <w:rPr>
                <w:sz w:val="20"/>
                <w:szCs w:val="20"/>
                <w:color w:val="auto"/>
              </w:rPr>
            </w:pPr>
            <w:r>
              <w:rPr>
                <w:rFonts w:ascii="Arial" w:cs="Arial" w:eastAsia="Arial" w:hAnsi="Arial"/>
                <w:sz w:val="16"/>
                <w:szCs w:val="16"/>
                <w:b w:val="1"/>
                <w:bCs w:val="1"/>
                <w:color w:val="auto"/>
              </w:rPr>
              <w:t>March 31, 2021</w:t>
            </w:r>
          </w:p>
        </w:tc>
      </w:tr>
      <w:tr>
        <w:trPr>
          <w:trHeight w:val="20"/>
        </w:trPr>
        <w:tc>
          <w:tcPr>
            <w:tcW w:w="5960" w:type="dxa"/>
            <w:vAlign w:val="bottom"/>
            <w:tcBorders>
              <w:bottom w:val="single" w:sz="8" w:color="auto"/>
            </w:tcBorders>
          </w:tcPr>
          <w:p>
            <w:pPr>
              <w:spacing w:after="0" w:line="20" w:lineRule="exact"/>
              <w:rPr>
                <w:sz w:val="1"/>
                <w:szCs w:val="1"/>
                <w:color w:val="auto"/>
              </w:rPr>
            </w:pPr>
          </w:p>
        </w:tc>
        <w:tc>
          <w:tcPr>
            <w:tcW w:w="2460" w:type="dxa"/>
            <w:vAlign w:val="bottom"/>
            <w:tcBorders>
              <w:bottom w:val="single" w:sz="8" w:color="auto"/>
            </w:tcBorders>
          </w:tcPr>
          <w:p>
            <w:pPr>
              <w:spacing w:after="0" w:line="20" w:lineRule="exact"/>
              <w:rPr>
                <w:sz w:val="1"/>
                <w:szCs w:val="1"/>
                <w:color w:val="auto"/>
              </w:rPr>
            </w:pPr>
          </w:p>
        </w:tc>
        <w:tc>
          <w:tcPr>
            <w:tcW w:w="4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r>
      <w:tr>
        <w:trPr>
          <w:trHeight w:val="210"/>
        </w:trPr>
        <w:tc>
          <w:tcPr>
            <w:tcW w:w="5960" w:type="dxa"/>
            <w:vAlign w:val="bottom"/>
            <w:shd w:val="clear" w:color="auto" w:fill="CCEEFF"/>
          </w:tcPr>
          <w:p>
            <w:pPr>
              <w:spacing w:after="0"/>
              <w:rPr>
                <w:sz w:val="18"/>
                <w:szCs w:val="18"/>
                <w:color w:val="auto"/>
              </w:rPr>
            </w:pPr>
          </w:p>
        </w:tc>
        <w:tc>
          <w:tcPr>
            <w:tcW w:w="24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2400" w:type="dxa"/>
            <w:vAlign w:val="bottom"/>
            <w:gridSpan w:val="6"/>
            <w:shd w:val="clear" w:color="auto" w:fill="CCEEFF"/>
          </w:tcPr>
          <w:p>
            <w:pPr>
              <w:jc w:val="center"/>
              <w:ind w:right="780"/>
              <w:spacing w:after="0"/>
              <w:rPr>
                <w:sz w:val="20"/>
                <w:szCs w:val="20"/>
                <w:color w:val="auto"/>
              </w:rPr>
            </w:pPr>
            <w:r>
              <w:rPr>
                <w:rFonts w:ascii="Arial" w:cs="Arial" w:eastAsia="Arial" w:hAnsi="Arial"/>
                <w:sz w:val="16"/>
                <w:szCs w:val="16"/>
                <w:color w:val="auto"/>
              </w:rPr>
              <w:t>(in thousands)</w:t>
            </w:r>
          </w:p>
        </w:tc>
      </w:tr>
      <w:tr>
        <w:trPr>
          <w:trHeight w:val="215"/>
        </w:trPr>
        <w:tc>
          <w:tcPr>
            <w:tcW w:w="5960" w:type="dxa"/>
            <w:vAlign w:val="bottom"/>
          </w:tcPr>
          <w:p>
            <w:pPr>
              <w:ind w:left="20"/>
              <w:spacing w:after="0"/>
              <w:rPr>
                <w:sz w:val="20"/>
                <w:szCs w:val="20"/>
                <w:color w:val="auto"/>
              </w:rPr>
            </w:pPr>
            <w:r>
              <w:rPr>
                <w:rFonts w:ascii="Arial" w:cs="Arial" w:eastAsia="Arial" w:hAnsi="Arial"/>
                <w:sz w:val="16"/>
                <w:szCs w:val="16"/>
                <w:color w:val="auto"/>
              </w:rPr>
              <w:t>Comprehensive income:</w:t>
            </w:r>
          </w:p>
        </w:tc>
        <w:tc>
          <w:tcPr>
            <w:tcW w:w="24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7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0" w:type="dxa"/>
            <w:vAlign w:val="bottom"/>
          </w:tcPr>
          <w:p>
            <w:pPr>
              <w:spacing w:after="0"/>
              <w:rPr>
                <w:sz w:val="18"/>
                <w:szCs w:val="18"/>
                <w:color w:val="auto"/>
              </w:rPr>
            </w:pPr>
          </w:p>
        </w:tc>
      </w:tr>
      <w:tr>
        <w:trPr>
          <w:trHeight w:val="217"/>
        </w:trPr>
        <w:tc>
          <w:tcPr>
            <w:tcW w:w="5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income attributable to the group</w:t>
            </w:r>
          </w:p>
        </w:tc>
        <w:tc>
          <w:tcPr>
            <w:tcW w:w="246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111,970</w:t>
            </w:r>
          </w:p>
        </w:tc>
        <w:tc>
          <w:tcPr>
            <w:tcW w:w="60" w:type="dxa"/>
            <w:vAlign w:val="bottom"/>
            <w:shd w:val="clear" w:color="auto" w:fill="CCEEFF"/>
          </w:tcPr>
          <w:p>
            <w:pPr>
              <w:spacing w:after="0"/>
              <w:rPr>
                <w:sz w:val="18"/>
                <w:szCs w:val="18"/>
                <w:color w:val="auto"/>
              </w:rPr>
            </w:pPr>
          </w:p>
        </w:tc>
        <w:tc>
          <w:tcPr>
            <w:tcW w:w="42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97,122</w:t>
            </w:r>
          </w:p>
        </w:tc>
        <w:tc>
          <w:tcPr>
            <w:tcW w:w="20" w:type="dxa"/>
            <w:vAlign w:val="bottom"/>
            <w:shd w:val="clear" w:color="auto" w:fill="CCEEFF"/>
          </w:tcPr>
          <w:p>
            <w:pPr>
              <w:spacing w:after="0"/>
              <w:rPr>
                <w:sz w:val="18"/>
                <w:szCs w:val="18"/>
                <w:color w:val="auto"/>
              </w:rPr>
            </w:pPr>
          </w:p>
        </w:tc>
      </w:tr>
      <w:tr>
        <w:trPr>
          <w:trHeight w:val="270"/>
        </w:trPr>
        <w:tc>
          <w:tcPr>
            <w:tcW w:w="5960" w:type="dxa"/>
            <w:vAlign w:val="bottom"/>
          </w:tcPr>
          <w:p>
            <w:pPr>
              <w:spacing w:after="0"/>
              <w:rPr>
                <w:sz w:val="23"/>
                <w:szCs w:val="23"/>
                <w:color w:val="auto"/>
              </w:rPr>
            </w:pPr>
          </w:p>
        </w:tc>
        <w:tc>
          <w:tcPr>
            <w:tcW w:w="24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74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7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216"/>
        </w:trPr>
        <w:tc>
          <w:tcPr>
            <w:tcW w:w="5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Currency translation adjustment</w:t>
            </w:r>
          </w:p>
        </w:tc>
        <w:tc>
          <w:tcPr>
            <w:tcW w:w="246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(35,995)</w:t>
            </w:r>
          </w:p>
        </w:tc>
        <w:tc>
          <w:tcPr>
            <w:tcW w:w="60" w:type="dxa"/>
            <w:vAlign w:val="bottom"/>
            <w:shd w:val="clear" w:color="auto" w:fill="CCEEFF"/>
          </w:tcPr>
          <w:p>
            <w:pPr>
              <w:spacing w:after="0"/>
              <w:rPr>
                <w:sz w:val="18"/>
                <w:szCs w:val="18"/>
                <w:color w:val="auto"/>
              </w:rPr>
            </w:pPr>
          </w:p>
        </w:tc>
        <w:tc>
          <w:tcPr>
            <w:tcW w:w="420" w:type="dxa"/>
            <w:vAlign w:val="bottom"/>
            <w:shd w:val="clear" w:color="auto" w:fill="CCEEFF"/>
          </w:tcPr>
          <w:p>
            <w:pPr>
              <w:spacing w:after="0"/>
              <w:rPr>
                <w:sz w:val="18"/>
                <w:szCs w:val="18"/>
                <w:color w:val="auto"/>
              </w:rPr>
            </w:pPr>
          </w:p>
        </w:tc>
        <w:tc>
          <w:tcPr>
            <w:tcW w:w="1160" w:type="dxa"/>
            <w:vAlign w:val="bottom"/>
            <w:gridSpan w:val="2"/>
            <w:shd w:val="clear" w:color="auto" w:fill="CCEEFF"/>
          </w:tcPr>
          <w:p>
            <w:pPr>
              <w:jc w:val="right"/>
              <w:spacing w:after="0"/>
              <w:rPr>
                <w:sz w:val="20"/>
                <w:szCs w:val="20"/>
                <w:color w:val="auto"/>
              </w:rPr>
            </w:pPr>
            <w:r>
              <w:rPr>
                <w:rFonts w:ascii="Arial" w:cs="Arial" w:eastAsia="Arial" w:hAnsi="Arial"/>
                <w:sz w:val="16"/>
                <w:szCs w:val="16"/>
                <w:color w:val="auto"/>
              </w:rPr>
              <w:t>(19,151)</w:t>
            </w:r>
          </w:p>
        </w:tc>
        <w:tc>
          <w:tcPr>
            <w:tcW w:w="20" w:type="dxa"/>
            <w:vAlign w:val="bottom"/>
            <w:shd w:val="clear" w:color="auto" w:fill="CCEEFF"/>
          </w:tcPr>
          <w:p>
            <w:pPr>
              <w:spacing w:after="0"/>
              <w:rPr>
                <w:sz w:val="18"/>
                <w:szCs w:val="18"/>
                <w:color w:val="auto"/>
              </w:rPr>
            </w:pPr>
          </w:p>
        </w:tc>
      </w:tr>
      <w:tr>
        <w:trPr>
          <w:trHeight w:val="215"/>
        </w:trPr>
        <w:tc>
          <w:tcPr>
            <w:tcW w:w="5960" w:type="dxa"/>
            <w:vAlign w:val="bottom"/>
          </w:tcPr>
          <w:p>
            <w:pPr>
              <w:ind w:left="20"/>
              <w:spacing w:after="0"/>
              <w:rPr>
                <w:sz w:val="20"/>
                <w:szCs w:val="20"/>
                <w:color w:val="auto"/>
              </w:rPr>
            </w:pPr>
            <w:r>
              <w:rPr>
                <w:rFonts w:ascii="Arial" w:cs="Arial" w:eastAsia="Arial" w:hAnsi="Arial"/>
                <w:sz w:val="16"/>
                <w:szCs w:val="16"/>
                <w:color w:val="auto"/>
              </w:rPr>
              <w:t>Currency impact of long term funding (net of tax)</w:t>
            </w:r>
          </w:p>
        </w:tc>
        <w:tc>
          <w:tcPr>
            <w:tcW w:w="2460" w:type="dxa"/>
            <w:vAlign w:val="bottom"/>
          </w:tcPr>
          <w:p>
            <w:pPr>
              <w:spacing w:after="0"/>
              <w:rPr>
                <w:sz w:val="18"/>
                <w:szCs w:val="18"/>
                <w:color w:val="auto"/>
              </w:rPr>
            </w:pPr>
          </w:p>
        </w:tc>
        <w:tc>
          <w:tcPr>
            <w:tcW w:w="1160" w:type="dxa"/>
            <w:vAlign w:val="bottom"/>
            <w:gridSpan w:val="2"/>
          </w:tcPr>
          <w:p>
            <w:pPr>
              <w:jc w:val="right"/>
              <w:spacing w:after="0"/>
              <w:rPr>
                <w:sz w:val="20"/>
                <w:szCs w:val="20"/>
                <w:color w:val="auto"/>
              </w:rPr>
            </w:pPr>
            <w:r>
              <w:rPr>
                <w:rFonts w:ascii="Arial" w:cs="Arial" w:eastAsia="Arial" w:hAnsi="Arial"/>
                <w:sz w:val="16"/>
                <w:szCs w:val="16"/>
                <w:color w:val="auto"/>
              </w:rPr>
              <w:t>177</w:t>
            </w:r>
          </w:p>
        </w:tc>
        <w:tc>
          <w:tcPr>
            <w:tcW w:w="6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60" w:type="dxa"/>
            <w:vAlign w:val="bottom"/>
            <w:gridSpan w:val="2"/>
          </w:tcPr>
          <w:p>
            <w:pPr>
              <w:jc w:val="right"/>
              <w:spacing w:after="0"/>
              <w:rPr>
                <w:sz w:val="20"/>
                <w:szCs w:val="20"/>
                <w:color w:val="auto"/>
              </w:rPr>
            </w:pPr>
            <w:r>
              <w:rPr>
                <w:rFonts w:ascii="Arial" w:cs="Arial" w:eastAsia="Arial" w:hAnsi="Arial"/>
                <w:sz w:val="16"/>
                <w:szCs w:val="16"/>
                <w:color w:val="auto"/>
              </w:rPr>
              <w:t>(402)</w:t>
            </w:r>
          </w:p>
        </w:tc>
        <w:tc>
          <w:tcPr>
            <w:tcW w:w="20" w:type="dxa"/>
            <w:vAlign w:val="bottom"/>
          </w:tcPr>
          <w:p>
            <w:pPr>
              <w:spacing w:after="0"/>
              <w:rPr>
                <w:sz w:val="18"/>
                <w:szCs w:val="18"/>
                <w:color w:val="auto"/>
              </w:rPr>
            </w:pPr>
          </w:p>
        </w:tc>
      </w:tr>
      <w:tr>
        <w:trPr>
          <w:trHeight w:val="216"/>
        </w:trPr>
        <w:tc>
          <w:tcPr>
            <w:tcW w:w="59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Amortization of interest rate hedge</w:t>
            </w:r>
          </w:p>
        </w:tc>
        <w:tc>
          <w:tcPr>
            <w:tcW w:w="2460" w:type="dxa"/>
            <w:vAlign w:val="bottom"/>
            <w:tcBorders>
              <w:bottom w:val="single" w:sz="8" w:color="auto"/>
            </w:tcBorders>
            <w:shd w:val="clear" w:color="auto" w:fill="CCEEFF"/>
          </w:tcPr>
          <w:p>
            <w:pPr>
              <w:spacing w:after="0"/>
              <w:rPr>
                <w:sz w:val="18"/>
                <w:szCs w:val="18"/>
                <w:color w:val="auto"/>
              </w:rPr>
            </w:pPr>
          </w:p>
        </w:tc>
        <w:tc>
          <w:tcPr>
            <w:tcW w:w="42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w:t>
            </w:r>
          </w:p>
        </w:tc>
        <w:tc>
          <w:tcPr>
            <w:tcW w:w="42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gridSpan w:val="2"/>
            <w:shd w:val="clear" w:color="auto" w:fill="CCEEFF"/>
          </w:tcPr>
          <w:p>
            <w:pPr>
              <w:jc w:val="right"/>
              <w:ind w:right="60"/>
              <w:spacing w:after="0"/>
              <w:rPr>
                <w:sz w:val="20"/>
                <w:szCs w:val="20"/>
                <w:color w:val="auto"/>
              </w:rPr>
            </w:pPr>
            <w:r>
              <w:rPr>
                <w:rFonts w:ascii="Arial" w:cs="Arial" w:eastAsia="Arial" w:hAnsi="Arial"/>
                <w:sz w:val="16"/>
                <w:szCs w:val="16"/>
                <w:color w:val="auto"/>
              </w:rPr>
              <w:t>56</w:t>
            </w:r>
          </w:p>
        </w:tc>
        <w:tc>
          <w:tcPr>
            <w:tcW w:w="20" w:type="dxa"/>
            <w:vAlign w:val="bottom"/>
            <w:tcBorders>
              <w:bottom w:val="single" w:sz="8" w:color="auto"/>
            </w:tcBorders>
            <w:shd w:val="clear" w:color="auto" w:fill="CCEEFF"/>
          </w:tcPr>
          <w:p>
            <w:pPr>
              <w:spacing w:after="0"/>
              <w:rPr>
                <w:sz w:val="18"/>
                <w:szCs w:val="18"/>
                <w:color w:val="auto"/>
              </w:rPr>
            </w:pPr>
          </w:p>
        </w:tc>
      </w:tr>
      <w:tr>
        <w:trPr>
          <w:trHeight w:val="210"/>
        </w:trPr>
        <w:tc>
          <w:tcPr>
            <w:tcW w:w="59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 comprehensive income attributable to the group</w:t>
            </w:r>
          </w:p>
        </w:tc>
        <w:tc>
          <w:tcPr>
            <w:tcW w:w="246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color w:val="auto"/>
              </w:rPr>
              <w:t>76,152</w:t>
            </w:r>
          </w:p>
        </w:tc>
        <w:tc>
          <w:tcPr>
            <w:tcW w:w="6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gridSpan w:val="2"/>
          </w:tcPr>
          <w:p>
            <w:pPr>
              <w:jc w:val="right"/>
              <w:ind w:right="60"/>
              <w:spacing w:after="0"/>
              <w:rPr>
                <w:sz w:val="20"/>
                <w:szCs w:val="20"/>
                <w:color w:val="auto"/>
              </w:rPr>
            </w:pPr>
            <w:r>
              <w:rPr>
                <w:rFonts w:ascii="Arial" w:cs="Arial" w:eastAsia="Arial" w:hAnsi="Arial"/>
                <w:sz w:val="16"/>
                <w:szCs w:val="16"/>
                <w:color w:val="auto"/>
              </w:rPr>
              <w:t>77,625</w:t>
            </w:r>
          </w:p>
        </w:tc>
        <w:tc>
          <w:tcPr>
            <w:tcW w:w="20" w:type="dxa"/>
            <w:vAlign w:val="bottom"/>
            <w:tcBorders>
              <w:bottom w:val="single" w:sz="8" w:color="auto"/>
            </w:tcBorders>
          </w:tcPr>
          <w:p>
            <w:pPr>
              <w:spacing w:after="0"/>
              <w:rPr>
                <w:sz w:val="18"/>
                <w:szCs w:val="18"/>
                <w:color w:val="auto"/>
              </w:rPr>
            </w:pPr>
          </w:p>
        </w:tc>
      </w:tr>
      <w:tr>
        <w:trPr>
          <w:trHeight w:val="21"/>
        </w:trPr>
        <w:tc>
          <w:tcPr>
            <w:tcW w:w="5960" w:type="dxa"/>
            <w:vAlign w:val="bottom"/>
            <w:tcBorders>
              <w:bottom w:val="single" w:sz="8" w:color="auto"/>
            </w:tcBorders>
          </w:tcPr>
          <w:p>
            <w:pPr>
              <w:spacing w:after="0" w:line="20" w:lineRule="exact"/>
              <w:rPr>
                <w:sz w:val="1"/>
                <w:szCs w:val="1"/>
                <w:color w:val="auto"/>
              </w:rPr>
            </w:pPr>
          </w:p>
        </w:tc>
        <w:tc>
          <w:tcPr>
            <w:tcW w:w="24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7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r>
    </w:tbl>
    <w:p>
      <w:pPr>
        <w:spacing w:after="0" w:line="28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condensed consolidated financial statements.</w:t>
      </w: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6"/>
          <w:szCs w:val="16"/>
          <w:b w:val="1"/>
          <w:bCs w:val="1"/>
          <w:color w:val="auto"/>
        </w:rPr>
        <w:t>ICON plc</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CONDENSED CONSOLIDATED STATEMENTS OF SHAREHOLDERS' EQUITY</w:t>
      </w:r>
    </w:p>
    <w:p>
      <w:pPr>
        <w:spacing w:after="0" w:line="19" w:lineRule="exact"/>
        <w:rPr>
          <w:sz w:val="20"/>
          <w:szCs w:val="20"/>
          <w:color w:val="auto"/>
        </w:rPr>
      </w:pPr>
    </w:p>
    <w:p>
      <w:pPr>
        <w:jc w:val="center"/>
        <w:spacing w:after="0"/>
        <w:rPr>
          <w:sz w:val="20"/>
          <w:szCs w:val="20"/>
          <w:color w:val="auto"/>
        </w:rPr>
      </w:pPr>
      <w:r>
        <w:rPr>
          <w:rFonts w:ascii="Arial" w:cs="Arial" w:eastAsia="Arial" w:hAnsi="Arial"/>
          <w:sz w:val="16"/>
          <w:szCs w:val="16"/>
          <w:b w:val="1"/>
          <w:bCs w:val="1"/>
          <w:color w:val="auto"/>
        </w:rPr>
        <w:t>(UNAUDITED)</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gridSpan w:val="2"/>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Group</w:t>
            </w:r>
          </w:p>
        </w:tc>
        <w:tc>
          <w:tcPr>
            <w:tcW w:w="88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33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Additional</w:t>
            </w:r>
          </w:p>
        </w:tc>
        <w:tc>
          <w:tcPr>
            <w:tcW w:w="400" w:type="dxa"/>
            <w:vAlign w:val="bottom"/>
          </w:tcPr>
          <w:p>
            <w:pPr>
              <w:spacing w:after="0"/>
              <w:rPr>
                <w:sz w:val="13"/>
                <w:szCs w:val="13"/>
                <w:color w:val="auto"/>
              </w:rPr>
            </w:pPr>
          </w:p>
        </w:tc>
        <w:tc>
          <w:tcPr>
            <w:tcW w:w="86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Other</w:t>
            </w:r>
          </w:p>
        </w:tc>
        <w:tc>
          <w:tcPr>
            <w:tcW w:w="1260" w:type="dxa"/>
            <w:vAlign w:val="bottom"/>
            <w:gridSpan w:val="2"/>
          </w:tcPr>
          <w:p>
            <w:pPr>
              <w:jc w:val="right"/>
              <w:spacing w:after="0" w:line="155" w:lineRule="exact"/>
              <w:rPr>
                <w:sz w:val="20"/>
                <w:szCs w:val="20"/>
                <w:color w:val="auto"/>
              </w:rPr>
            </w:pPr>
            <w:r>
              <w:rPr>
                <w:rFonts w:ascii="Arial" w:cs="Arial" w:eastAsia="Arial" w:hAnsi="Arial"/>
                <w:sz w:val="16"/>
                <w:szCs w:val="16"/>
                <w:b w:val="1"/>
                <w:bCs w:val="1"/>
                <w:color w:val="auto"/>
              </w:rPr>
              <w:t>Accumulated</w:t>
            </w:r>
          </w:p>
        </w:tc>
        <w:tc>
          <w:tcPr>
            <w:tcW w:w="1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3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40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380" w:type="dxa"/>
            <w:vAlign w:val="bottom"/>
          </w:tcPr>
          <w:p>
            <w:pPr>
              <w:spacing w:after="0"/>
              <w:rPr>
                <w:sz w:val="14"/>
                <w:szCs w:val="14"/>
                <w:color w:val="auto"/>
              </w:rPr>
            </w:pPr>
          </w:p>
        </w:tc>
        <w:tc>
          <w:tcPr>
            <w:tcW w:w="880" w:type="dxa"/>
            <w:vAlign w:val="bottom"/>
          </w:tcPr>
          <w:p>
            <w:pPr>
              <w:jc w:val="right"/>
              <w:spacing w:after="0" w:line="162" w:lineRule="exact"/>
              <w:rPr>
                <w:sz w:val="20"/>
                <w:szCs w:val="20"/>
                <w:color w:val="auto"/>
              </w:rPr>
            </w:pPr>
            <w:r>
              <w:rPr>
                <w:rFonts w:ascii="Arial" w:cs="Arial" w:eastAsia="Arial" w:hAnsi="Arial"/>
                <w:sz w:val="16"/>
                <w:szCs w:val="16"/>
                <w:b w:val="1"/>
                <w:bCs w:val="1"/>
                <w:color w:val="auto"/>
              </w:rPr>
              <w:t>Other</w:t>
            </w:r>
          </w:p>
        </w:tc>
        <w:tc>
          <w:tcPr>
            <w:tcW w:w="180" w:type="dxa"/>
            <w:vAlign w:val="bottom"/>
          </w:tcPr>
          <w:p>
            <w:pPr>
              <w:spacing w:after="0"/>
              <w:rPr>
                <w:sz w:val="14"/>
                <w:szCs w:val="1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Retained</w:t>
            </w: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360" w:type="dxa"/>
            <w:vAlign w:val="bottom"/>
          </w:tcPr>
          <w:p>
            <w:pPr>
              <w:spacing w:after="0"/>
              <w:rPr>
                <w:sz w:val="14"/>
                <w:szCs w:val="14"/>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Shares</w:t>
            </w:r>
          </w:p>
        </w:tc>
        <w:tc>
          <w:tcPr>
            <w:tcW w:w="280" w:type="dxa"/>
            <w:vAlign w:val="bottom"/>
          </w:tcPr>
          <w:p>
            <w:pPr>
              <w:spacing w:after="0"/>
              <w:rPr>
                <w:sz w:val="14"/>
                <w:szCs w:val="14"/>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Amount</w:t>
            </w:r>
          </w:p>
        </w:tc>
        <w:tc>
          <w:tcPr>
            <w:tcW w:w="180" w:type="dxa"/>
            <w:vAlign w:val="bottom"/>
          </w:tcPr>
          <w:p>
            <w:pPr>
              <w:spacing w:after="0"/>
              <w:rPr>
                <w:sz w:val="14"/>
                <w:szCs w:val="14"/>
                <w:color w:val="auto"/>
              </w:rPr>
            </w:pPr>
          </w:p>
        </w:tc>
        <w:tc>
          <w:tcPr>
            <w:tcW w:w="3460" w:type="dxa"/>
            <w:vAlign w:val="bottom"/>
            <w:gridSpan w:val="5"/>
          </w:tcPr>
          <w:p>
            <w:pPr>
              <w:jc w:val="right"/>
              <w:spacing w:after="0" w:line="162" w:lineRule="exact"/>
              <w:rPr>
                <w:sz w:val="20"/>
                <w:szCs w:val="20"/>
                <w:color w:val="auto"/>
              </w:rPr>
            </w:pPr>
            <w:r>
              <w:rPr>
                <w:rFonts w:ascii="Arial" w:cs="Arial" w:eastAsia="Arial" w:hAnsi="Arial"/>
                <w:sz w:val="16"/>
                <w:szCs w:val="16"/>
                <w:b w:val="1"/>
                <w:bCs w:val="1"/>
                <w:color w:val="auto"/>
              </w:rPr>
              <w:t>Paid-in Undenominated Comprehensive</w:t>
            </w:r>
          </w:p>
        </w:tc>
        <w:tc>
          <w:tcPr>
            <w:tcW w:w="180" w:type="dxa"/>
            <w:vAlign w:val="bottom"/>
          </w:tcPr>
          <w:p>
            <w:pPr>
              <w:spacing w:after="0"/>
              <w:rPr>
                <w:sz w:val="14"/>
                <w:szCs w:val="14"/>
                <w:color w:val="auto"/>
              </w:rPr>
            </w:pPr>
          </w:p>
        </w:tc>
        <w:tc>
          <w:tcPr>
            <w:tcW w:w="88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216"/>
        </w:trPr>
        <w:tc>
          <w:tcPr>
            <w:tcW w:w="33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vMerge w:val="continue"/>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vMerge w:val="continue"/>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Capital</w:t>
            </w:r>
          </w:p>
        </w:tc>
        <w:tc>
          <w:tcPr>
            <w:tcW w:w="4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Capital</w:t>
            </w:r>
          </w:p>
        </w:tc>
        <w:tc>
          <w:tcPr>
            <w:tcW w:w="3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Loss</w:t>
            </w:r>
          </w:p>
        </w:tc>
        <w:tc>
          <w:tcPr>
            <w:tcW w:w="1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Earnings</w:t>
            </w: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3460" w:type="dxa"/>
            <w:vAlign w:val="bottom"/>
            <w:tcBorders>
              <w:bottom w:val="single" w:sz="8" w:color="auto"/>
            </w:tcBorders>
            <w:gridSpan w:val="5"/>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(dollars in thousands, except share data)</w:t>
            </w: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360" w:type="dxa"/>
            <w:vAlign w:val="bottom"/>
            <w:tcBorders>
              <w:bottom w:val="single" w:sz="8" w:color="auto"/>
            </w:tcBorders>
          </w:tcPr>
          <w:p>
            <w:pPr>
              <w:ind w:left="80"/>
              <w:spacing w:after="0"/>
              <w:rPr>
                <w:sz w:val="20"/>
                <w:szCs w:val="20"/>
                <w:color w:val="auto"/>
              </w:rPr>
            </w:pPr>
            <w:r>
              <w:rPr>
                <w:rFonts w:ascii="Arial" w:cs="Arial" w:eastAsia="Arial" w:hAnsi="Arial"/>
                <w:sz w:val="16"/>
                <w:szCs w:val="16"/>
                <w:b w:val="1"/>
                <w:bCs w:val="1"/>
                <w:color w:val="auto"/>
              </w:rPr>
              <w:t>Balance at December 31, 2021</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81,554,683</w:t>
            </w:r>
          </w:p>
        </w:tc>
        <w:tc>
          <w:tcPr>
            <w:tcW w:w="2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6,640</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6,733,910</w:t>
            </w: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1,134</w:t>
            </w:r>
          </w:p>
        </w:tc>
        <w:tc>
          <w:tcPr>
            <w:tcW w:w="38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(90,937)</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1,416,080</w:t>
            </w: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8,066,827</w:t>
            </w:r>
          </w:p>
        </w:tc>
        <w:tc>
          <w:tcPr>
            <w:tcW w:w="0" w:type="dxa"/>
            <w:vAlign w:val="bottom"/>
          </w:tcPr>
          <w:p>
            <w:pPr>
              <w:spacing w:after="0"/>
              <w:rPr>
                <w:sz w:val="1"/>
                <w:szCs w:val="1"/>
                <w:color w:val="auto"/>
              </w:rPr>
            </w:pPr>
          </w:p>
        </w:tc>
      </w:tr>
      <w:tr>
        <w:trPr>
          <w:trHeight w:val="210"/>
        </w:trPr>
        <w:tc>
          <w:tcPr>
            <w:tcW w:w="3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income</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111,970</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111,970</w:t>
            </w:r>
          </w:p>
        </w:tc>
        <w:tc>
          <w:tcPr>
            <w:tcW w:w="0" w:type="dxa"/>
            <w:vAlign w:val="bottom"/>
          </w:tcPr>
          <w:p>
            <w:pPr>
              <w:spacing w:after="0"/>
              <w:rPr>
                <w:sz w:val="1"/>
                <w:szCs w:val="1"/>
                <w:color w:val="auto"/>
              </w:rPr>
            </w:pPr>
          </w:p>
        </w:tc>
      </w:tr>
      <w:tr>
        <w:trPr>
          <w:trHeight w:val="215"/>
        </w:trPr>
        <w:tc>
          <w:tcPr>
            <w:tcW w:w="3360" w:type="dxa"/>
            <w:vAlign w:val="bottom"/>
          </w:tcPr>
          <w:p>
            <w:pPr>
              <w:ind w:left="20"/>
              <w:spacing w:after="0"/>
              <w:rPr>
                <w:sz w:val="20"/>
                <w:szCs w:val="20"/>
                <w:color w:val="auto"/>
              </w:rPr>
            </w:pPr>
            <w:r>
              <w:rPr>
                <w:rFonts w:ascii="Arial" w:cs="Arial" w:eastAsia="Arial" w:hAnsi="Arial"/>
                <w:sz w:val="16"/>
                <w:szCs w:val="16"/>
                <w:color w:val="auto"/>
              </w:rPr>
              <w:t>Exercise of share options</w:t>
            </w:r>
          </w:p>
        </w:tc>
        <w:tc>
          <w:tcPr>
            <w:tcW w:w="1000" w:type="dxa"/>
            <w:vAlign w:val="bottom"/>
          </w:tcPr>
          <w:p>
            <w:pPr>
              <w:jc w:val="right"/>
              <w:spacing w:after="0"/>
              <w:rPr>
                <w:sz w:val="20"/>
                <w:szCs w:val="20"/>
                <w:color w:val="auto"/>
              </w:rPr>
            </w:pPr>
            <w:r>
              <w:rPr>
                <w:rFonts w:ascii="Arial" w:cs="Arial" w:eastAsia="Arial" w:hAnsi="Arial"/>
                <w:sz w:val="16"/>
                <w:szCs w:val="16"/>
                <w:color w:val="auto"/>
              </w:rPr>
              <w:t>84,090</w:t>
            </w: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6</w:t>
            </w: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7,491</w:t>
            </w:r>
          </w:p>
        </w:tc>
        <w:tc>
          <w:tcPr>
            <w:tcW w:w="4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7,497</w:t>
            </w:r>
          </w:p>
        </w:tc>
        <w:tc>
          <w:tcPr>
            <w:tcW w:w="0" w:type="dxa"/>
            <w:vAlign w:val="bottom"/>
          </w:tcPr>
          <w:p>
            <w:pPr>
              <w:spacing w:after="0"/>
              <w:rPr>
                <w:sz w:val="1"/>
                <w:szCs w:val="1"/>
                <w:color w:val="auto"/>
              </w:rPr>
            </w:pPr>
          </w:p>
        </w:tc>
      </w:tr>
      <w:tr>
        <w:trPr>
          <w:trHeight w:val="163"/>
        </w:trPr>
        <w:tc>
          <w:tcPr>
            <w:tcW w:w="3360" w:type="dxa"/>
            <w:vAlign w:val="bottom"/>
            <w:shd w:val="clear" w:color="auto" w:fill="CCEEFF"/>
          </w:tcPr>
          <w:p>
            <w:pPr>
              <w:ind w:left="20"/>
              <w:spacing w:after="0" w:line="163" w:lineRule="exact"/>
              <w:rPr>
                <w:sz w:val="20"/>
                <w:szCs w:val="20"/>
                <w:color w:val="auto"/>
              </w:rPr>
            </w:pPr>
            <w:r>
              <w:rPr>
                <w:rFonts w:ascii="Arial" w:cs="Arial" w:eastAsia="Arial" w:hAnsi="Arial"/>
                <w:sz w:val="16"/>
                <w:szCs w:val="16"/>
                <w:color w:val="auto"/>
              </w:rPr>
              <w:t>Issue of restricted share units / performance</w:t>
            </w:r>
          </w:p>
        </w:tc>
        <w:tc>
          <w:tcPr>
            <w:tcW w:w="10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74,769</w:t>
            </w:r>
          </w:p>
        </w:tc>
        <w:tc>
          <w:tcPr>
            <w:tcW w:w="280" w:type="dxa"/>
            <w:vAlign w:val="bottom"/>
            <w:shd w:val="clear" w:color="auto" w:fill="CCEEFF"/>
          </w:tcPr>
          <w:p>
            <w:pPr>
              <w:spacing w:after="0"/>
              <w:rPr>
                <w:sz w:val="14"/>
                <w:szCs w:val="14"/>
                <w:color w:val="auto"/>
              </w:rPr>
            </w:pPr>
          </w:p>
        </w:tc>
        <w:tc>
          <w:tcPr>
            <w:tcW w:w="8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180" w:type="dxa"/>
            <w:vAlign w:val="bottom"/>
            <w:shd w:val="clear" w:color="auto" w:fill="CCEEFF"/>
          </w:tcPr>
          <w:p>
            <w:pPr>
              <w:spacing w:after="0"/>
              <w:rPr>
                <w:sz w:val="14"/>
                <w:szCs w:val="14"/>
                <w:color w:val="auto"/>
              </w:rPr>
            </w:pPr>
          </w:p>
        </w:tc>
        <w:tc>
          <w:tcPr>
            <w:tcW w:w="94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4"/>
                <w:szCs w:val="14"/>
                <w:color w:val="auto"/>
              </w:rPr>
            </w:pPr>
          </w:p>
        </w:tc>
        <w:tc>
          <w:tcPr>
            <w:tcW w:w="86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4"/>
                <w:szCs w:val="14"/>
                <w:color w:val="auto"/>
              </w:rPr>
            </w:pPr>
          </w:p>
        </w:tc>
        <w:tc>
          <w:tcPr>
            <w:tcW w:w="88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4"/>
                <w:szCs w:val="14"/>
                <w:color w:val="auto"/>
              </w:rPr>
            </w:pPr>
          </w:p>
        </w:tc>
        <w:tc>
          <w:tcPr>
            <w:tcW w:w="900" w:type="dxa"/>
            <w:vAlign w:val="bottom"/>
            <w:vMerge w:val="restart"/>
            <w:shd w:val="clear" w:color="auto" w:fill="CCEEFF"/>
          </w:tcPr>
          <w:p>
            <w:pPr>
              <w:jc w:val="right"/>
              <w:spacing w:after="0"/>
              <w:rPr>
                <w:sz w:val="20"/>
                <w:szCs w:val="20"/>
                <w:color w:val="auto"/>
              </w:rPr>
            </w:pPr>
            <w:r>
              <w:rPr>
                <w:rFonts w:ascii="Arial" w:cs="Arial" w:eastAsia="Arial" w:hAnsi="Arial"/>
                <w:sz w:val="16"/>
                <w:szCs w:val="16"/>
                <w:color w:val="auto"/>
              </w:rPr>
              <w:t>4</w:t>
            </w:r>
          </w:p>
        </w:tc>
        <w:tc>
          <w:tcPr>
            <w:tcW w:w="0" w:type="dxa"/>
            <w:vAlign w:val="bottom"/>
          </w:tcPr>
          <w:p>
            <w:pPr>
              <w:spacing w:after="0"/>
              <w:rPr>
                <w:sz w:val="1"/>
                <w:szCs w:val="1"/>
                <w:color w:val="auto"/>
              </w:rPr>
            </w:pPr>
          </w:p>
        </w:tc>
      </w:tr>
      <w:tr>
        <w:trPr>
          <w:trHeight w:val="216"/>
        </w:trPr>
        <w:tc>
          <w:tcPr>
            <w:tcW w:w="3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share units</w:t>
            </w:r>
          </w:p>
        </w:tc>
        <w:tc>
          <w:tcPr>
            <w:tcW w:w="1000" w:type="dxa"/>
            <w:vAlign w:val="bottom"/>
            <w:vMerge w:val="continue"/>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80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40" w:type="dxa"/>
            <w:vAlign w:val="bottom"/>
            <w:vMerge w:val="continue"/>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860" w:type="dxa"/>
            <w:vAlign w:val="bottom"/>
            <w:vMerge w:val="continue"/>
            <w:shd w:val="clear" w:color="auto" w:fill="CCEEFF"/>
          </w:tcPr>
          <w:p>
            <w:pPr>
              <w:spacing w:after="0"/>
              <w:rPr>
                <w:sz w:val="18"/>
                <w:szCs w:val="18"/>
                <w:color w:val="auto"/>
              </w:rPr>
            </w:pPr>
          </w:p>
        </w:tc>
        <w:tc>
          <w:tcPr>
            <w:tcW w:w="38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80" w:type="dxa"/>
            <w:vAlign w:val="bottom"/>
            <w:vMerge w:val="continue"/>
            <w:shd w:val="clear" w:color="auto" w:fill="CCEEFF"/>
          </w:tcPr>
          <w:p>
            <w:pPr>
              <w:spacing w:after="0"/>
              <w:rPr>
                <w:sz w:val="18"/>
                <w:szCs w:val="18"/>
                <w:color w:val="auto"/>
              </w:rPr>
            </w:pPr>
          </w:p>
        </w:tc>
        <w:tc>
          <w:tcPr>
            <w:tcW w:w="200" w:type="dxa"/>
            <w:vAlign w:val="bottom"/>
            <w:shd w:val="clear" w:color="auto" w:fill="CCEEFF"/>
          </w:tcPr>
          <w:p>
            <w:pPr>
              <w:spacing w:after="0"/>
              <w:rPr>
                <w:sz w:val="18"/>
                <w:szCs w:val="18"/>
                <w:color w:val="auto"/>
              </w:rPr>
            </w:pPr>
          </w:p>
        </w:tc>
        <w:tc>
          <w:tcPr>
            <w:tcW w:w="900" w:type="dxa"/>
            <w:vAlign w:val="bottom"/>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360" w:type="dxa"/>
            <w:vAlign w:val="bottom"/>
          </w:tcPr>
          <w:p>
            <w:pPr>
              <w:ind w:left="20"/>
              <w:spacing w:after="0"/>
              <w:rPr>
                <w:sz w:val="20"/>
                <w:szCs w:val="20"/>
                <w:color w:val="auto"/>
              </w:rPr>
            </w:pPr>
            <w:r>
              <w:rPr>
                <w:rFonts w:ascii="Arial" w:cs="Arial" w:eastAsia="Arial" w:hAnsi="Arial"/>
                <w:sz w:val="16"/>
                <w:szCs w:val="16"/>
                <w:color w:val="auto"/>
              </w:rPr>
              <w:t>Non-cash stock compensation expense</w:t>
            </w: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18,840</w:t>
            </w:r>
          </w:p>
        </w:tc>
        <w:tc>
          <w:tcPr>
            <w:tcW w:w="4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18,840</w:t>
            </w:r>
          </w:p>
        </w:tc>
        <w:tc>
          <w:tcPr>
            <w:tcW w:w="0" w:type="dxa"/>
            <w:vAlign w:val="bottom"/>
          </w:tcPr>
          <w:p>
            <w:pPr>
              <w:spacing w:after="0"/>
              <w:rPr>
                <w:sz w:val="1"/>
                <w:szCs w:val="1"/>
                <w:color w:val="auto"/>
              </w:rPr>
            </w:pPr>
          </w:p>
        </w:tc>
      </w:tr>
      <w:tr>
        <w:trPr>
          <w:trHeight w:val="217"/>
        </w:trPr>
        <w:tc>
          <w:tcPr>
            <w:tcW w:w="3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Share issuance costs</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4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215"/>
        </w:trPr>
        <w:tc>
          <w:tcPr>
            <w:tcW w:w="3360" w:type="dxa"/>
            <w:vAlign w:val="bottom"/>
          </w:tcPr>
          <w:p>
            <w:pPr>
              <w:ind w:left="20"/>
              <w:spacing w:after="0"/>
              <w:rPr>
                <w:sz w:val="20"/>
                <w:szCs w:val="20"/>
                <w:color w:val="auto"/>
              </w:rPr>
            </w:pPr>
            <w:r>
              <w:rPr>
                <w:rFonts w:ascii="Arial" w:cs="Arial" w:eastAsia="Arial" w:hAnsi="Arial"/>
                <w:sz w:val="16"/>
                <w:szCs w:val="16"/>
                <w:color w:val="auto"/>
              </w:rPr>
              <w:t>Share repurchase program</w:t>
            </w:r>
          </w:p>
        </w:tc>
        <w:tc>
          <w:tcPr>
            <w:tcW w:w="1000" w:type="dxa"/>
            <w:vAlign w:val="bottom"/>
          </w:tcPr>
          <w:p>
            <w:pPr>
              <w:jc w:val="right"/>
              <w:spacing w:after="0"/>
              <w:rPr>
                <w:sz w:val="20"/>
                <w:szCs w:val="20"/>
                <w:color w:val="auto"/>
              </w:rPr>
            </w:pPr>
            <w:r>
              <w:rPr>
                <w:rFonts w:ascii="Arial" w:cs="Arial" w:eastAsia="Arial" w:hAnsi="Arial"/>
                <w:sz w:val="16"/>
                <w:szCs w:val="16"/>
                <w:color w:val="auto"/>
              </w:rPr>
              <w:t>(420,530)</w:t>
            </w: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(28)</w:t>
            </w: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28</w:t>
            </w:r>
          </w:p>
        </w:tc>
        <w:tc>
          <w:tcPr>
            <w:tcW w:w="3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(99,983)</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(99,983)</w:t>
            </w:r>
          </w:p>
        </w:tc>
        <w:tc>
          <w:tcPr>
            <w:tcW w:w="0" w:type="dxa"/>
            <w:vAlign w:val="bottom"/>
          </w:tcPr>
          <w:p>
            <w:pPr>
              <w:spacing w:after="0"/>
              <w:rPr>
                <w:sz w:val="1"/>
                <w:szCs w:val="1"/>
                <w:color w:val="auto"/>
              </w:rPr>
            </w:pPr>
          </w:p>
        </w:tc>
      </w:tr>
      <w:tr>
        <w:trPr>
          <w:trHeight w:val="217"/>
        </w:trPr>
        <w:tc>
          <w:tcPr>
            <w:tcW w:w="3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Share repurchase costs</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215"/>
        </w:trPr>
        <w:tc>
          <w:tcPr>
            <w:tcW w:w="33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 comprehensive loss, net of tax</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3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(35,818)</w:t>
            </w:r>
          </w:p>
        </w:tc>
        <w:tc>
          <w:tcPr>
            <w:tcW w:w="1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(35,818)</w:t>
            </w:r>
          </w:p>
        </w:tc>
        <w:tc>
          <w:tcPr>
            <w:tcW w:w="0" w:type="dxa"/>
            <w:vAlign w:val="bottom"/>
          </w:tcPr>
          <w:p>
            <w:pPr>
              <w:spacing w:after="0"/>
              <w:rPr>
                <w:sz w:val="1"/>
                <w:szCs w:val="1"/>
                <w:color w:val="auto"/>
              </w:rPr>
            </w:pPr>
          </w:p>
        </w:tc>
      </w:tr>
      <w:tr>
        <w:trPr>
          <w:trHeight w:val="235"/>
        </w:trPr>
        <w:tc>
          <w:tcPr>
            <w:tcW w:w="336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6"/>
                <w:szCs w:val="16"/>
                <w:b w:val="1"/>
                <w:bCs w:val="1"/>
                <w:color w:val="auto"/>
              </w:rPr>
              <w:t>Balance at March 31, 2022</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81,293,012</w:t>
            </w:r>
          </w:p>
        </w:tc>
        <w:tc>
          <w:tcPr>
            <w:tcW w:w="28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6,622</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6,760,238</w:t>
            </w:r>
          </w:p>
        </w:tc>
        <w:tc>
          <w:tcPr>
            <w:tcW w:w="40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w w:val="89"/>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1,162</w:t>
            </w:r>
          </w:p>
        </w:tc>
        <w:tc>
          <w:tcPr>
            <w:tcW w:w="38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(126,755)</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w w:val="89"/>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1,428,050</w:t>
            </w:r>
          </w:p>
        </w:tc>
        <w:tc>
          <w:tcPr>
            <w:tcW w:w="20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b w:val="1"/>
                <w:bCs w:val="1"/>
                <w:color w:val="auto"/>
                <w:w w:val="89"/>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8,069,317</w:t>
            </w:r>
          </w:p>
        </w:tc>
        <w:tc>
          <w:tcPr>
            <w:tcW w:w="0" w:type="dxa"/>
            <w:vAlign w:val="bottom"/>
          </w:tcPr>
          <w:p>
            <w:pPr>
              <w:spacing w:after="0"/>
              <w:rPr>
                <w:sz w:val="1"/>
                <w:szCs w:val="1"/>
                <w:color w:val="auto"/>
              </w:rPr>
            </w:pPr>
          </w:p>
        </w:tc>
      </w:tr>
      <w:tr>
        <w:trPr>
          <w:trHeight w:val="20"/>
        </w:trPr>
        <w:tc>
          <w:tcPr>
            <w:tcW w:w="336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80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940" w:type="dxa"/>
            <w:vAlign w:val="bottom"/>
            <w:tcBorders>
              <w:top w:val="single" w:sz="8" w:color="CCEEFF"/>
              <w:bottom w:val="single" w:sz="8" w:color="auto"/>
            </w:tcBorders>
          </w:tcPr>
          <w:p>
            <w:pPr>
              <w:spacing w:after="0" w:line="20" w:lineRule="exact"/>
              <w:rPr>
                <w:sz w:val="1"/>
                <w:szCs w:val="1"/>
                <w:color w:val="auto"/>
              </w:rPr>
            </w:pPr>
          </w:p>
        </w:tc>
        <w:tc>
          <w:tcPr>
            <w:tcW w:w="400" w:type="dxa"/>
            <w:vAlign w:val="bottom"/>
            <w:tcBorders>
              <w:top w:val="single" w:sz="8" w:color="CCEEFF"/>
              <w:bottom w:val="single" w:sz="8" w:color="auto"/>
            </w:tcBorders>
          </w:tcPr>
          <w:p>
            <w:pPr>
              <w:spacing w:after="0" w:line="20" w:lineRule="exact"/>
              <w:rPr>
                <w:sz w:val="1"/>
                <w:szCs w:val="1"/>
                <w:color w:val="auto"/>
              </w:rPr>
            </w:pPr>
          </w:p>
        </w:tc>
        <w:tc>
          <w:tcPr>
            <w:tcW w:w="1240" w:type="dxa"/>
            <w:vAlign w:val="bottom"/>
            <w:tcBorders>
              <w:top w:val="single" w:sz="8" w:color="CCEEFF"/>
              <w:bottom w:val="single" w:sz="8" w:color="auto"/>
            </w:tcBorders>
            <w:gridSpan w:val="2"/>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880" w:type="dxa"/>
            <w:vAlign w:val="bottom"/>
            <w:tcBorders>
              <w:top w:val="single" w:sz="8" w:color="CCEEFF"/>
              <w:bottom w:val="single" w:sz="8" w:color="auto"/>
            </w:tcBorders>
          </w:tcPr>
          <w:p>
            <w:pPr>
              <w:spacing w:after="0" w:line="20" w:lineRule="exact"/>
              <w:rPr>
                <w:sz w:val="1"/>
                <w:szCs w:val="1"/>
                <w:color w:val="auto"/>
              </w:rPr>
            </w:pPr>
          </w:p>
        </w:tc>
        <w:tc>
          <w:tcPr>
            <w:tcW w:w="200" w:type="dxa"/>
            <w:vAlign w:val="bottom"/>
            <w:tcBorders>
              <w:top w:val="single" w:sz="8" w:color="CCEEFF"/>
              <w:bottom w:val="single" w:sz="8" w:color="auto"/>
            </w:tcBorders>
          </w:tcPr>
          <w:p>
            <w:pPr>
              <w:spacing w:after="0" w:line="20" w:lineRule="exact"/>
              <w:rPr>
                <w:sz w:val="1"/>
                <w:szCs w:val="1"/>
                <w:color w:val="auto"/>
              </w:rPr>
            </w:pPr>
          </w:p>
        </w:tc>
        <w:tc>
          <w:tcPr>
            <w:tcW w:w="90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568"/>
        </w:trPr>
        <w:tc>
          <w:tcPr>
            <w:tcW w:w="3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240" w:type="dxa"/>
            <w:vAlign w:val="bottom"/>
            <w:gridSpan w:val="2"/>
          </w:tcPr>
          <w:p>
            <w:pPr>
              <w:spacing w:after="0"/>
              <w:rPr>
                <w:sz w:val="24"/>
                <w:szCs w:val="24"/>
                <w:color w:val="auto"/>
              </w:rPr>
            </w:pPr>
          </w:p>
        </w:tc>
        <w:tc>
          <w:tcPr>
            <w:tcW w:w="88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36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gridSpan w:val="2"/>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Group</w:t>
            </w:r>
          </w:p>
        </w:tc>
        <w:tc>
          <w:tcPr>
            <w:tcW w:w="88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336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94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Additional</w:t>
            </w:r>
          </w:p>
        </w:tc>
        <w:tc>
          <w:tcPr>
            <w:tcW w:w="400" w:type="dxa"/>
            <w:vAlign w:val="bottom"/>
          </w:tcPr>
          <w:p>
            <w:pPr>
              <w:spacing w:after="0"/>
              <w:rPr>
                <w:sz w:val="13"/>
                <w:szCs w:val="13"/>
                <w:color w:val="auto"/>
              </w:rPr>
            </w:pPr>
          </w:p>
        </w:tc>
        <w:tc>
          <w:tcPr>
            <w:tcW w:w="86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Other</w:t>
            </w:r>
          </w:p>
        </w:tc>
        <w:tc>
          <w:tcPr>
            <w:tcW w:w="1260" w:type="dxa"/>
            <w:vAlign w:val="bottom"/>
            <w:gridSpan w:val="2"/>
          </w:tcPr>
          <w:p>
            <w:pPr>
              <w:jc w:val="right"/>
              <w:spacing w:after="0" w:line="155" w:lineRule="exact"/>
              <w:rPr>
                <w:sz w:val="20"/>
                <w:szCs w:val="20"/>
                <w:color w:val="auto"/>
              </w:rPr>
            </w:pPr>
            <w:r>
              <w:rPr>
                <w:rFonts w:ascii="Arial" w:cs="Arial" w:eastAsia="Arial" w:hAnsi="Arial"/>
                <w:sz w:val="16"/>
                <w:szCs w:val="16"/>
                <w:b w:val="1"/>
                <w:bCs w:val="1"/>
                <w:color w:val="auto"/>
              </w:rPr>
              <w:t>Accumulated</w:t>
            </w:r>
          </w:p>
        </w:tc>
        <w:tc>
          <w:tcPr>
            <w:tcW w:w="18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62"/>
        </w:trPr>
        <w:tc>
          <w:tcPr>
            <w:tcW w:w="336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40" w:type="dxa"/>
            <w:vAlign w:val="bottom"/>
            <w:vMerge w:val="continue"/>
          </w:tcPr>
          <w:p>
            <w:pPr>
              <w:spacing w:after="0"/>
              <w:rPr>
                <w:sz w:val="14"/>
                <w:szCs w:val="14"/>
                <w:color w:val="auto"/>
              </w:rPr>
            </w:pPr>
          </w:p>
        </w:tc>
        <w:tc>
          <w:tcPr>
            <w:tcW w:w="400" w:type="dxa"/>
            <w:vAlign w:val="bottom"/>
          </w:tcPr>
          <w:p>
            <w:pPr>
              <w:spacing w:after="0"/>
              <w:rPr>
                <w:sz w:val="14"/>
                <w:szCs w:val="14"/>
                <w:color w:val="auto"/>
              </w:rPr>
            </w:pPr>
          </w:p>
        </w:tc>
        <w:tc>
          <w:tcPr>
            <w:tcW w:w="860" w:type="dxa"/>
            <w:vAlign w:val="bottom"/>
            <w:vMerge w:val="continue"/>
          </w:tcPr>
          <w:p>
            <w:pPr>
              <w:spacing w:after="0"/>
              <w:rPr>
                <w:sz w:val="14"/>
                <w:szCs w:val="14"/>
                <w:color w:val="auto"/>
              </w:rPr>
            </w:pPr>
          </w:p>
        </w:tc>
        <w:tc>
          <w:tcPr>
            <w:tcW w:w="380" w:type="dxa"/>
            <w:vAlign w:val="bottom"/>
          </w:tcPr>
          <w:p>
            <w:pPr>
              <w:spacing w:after="0"/>
              <w:rPr>
                <w:sz w:val="14"/>
                <w:szCs w:val="14"/>
                <w:color w:val="auto"/>
              </w:rPr>
            </w:pPr>
          </w:p>
        </w:tc>
        <w:tc>
          <w:tcPr>
            <w:tcW w:w="880" w:type="dxa"/>
            <w:vAlign w:val="bottom"/>
          </w:tcPr>
          <w:p>
            <w:pPr>
              <w:jc w:val="right"/>
              <w:spacing w:after="0" w:line="162" w:lineRule="exact"/>
              <w:rPr>
                <w:sz w:val="20"/>
                <w:szCs w:val="20"/>
                <w:color w:val="auto"/>
              </w:rPr>
            </w:pPr>
            <w:r>
              <w:rPr>
                <w:rFonts w:ascii="Arial" w:cs="Arial" w:eastAsia="Arial" w:hAnsi="Arial"/>
                <w:sz w:val="16"/>
                <w:szCs w:val="16"/>
                <w:b w:val="1"/>
                <w:bCs w:val="1"/>
                <w:color w:val="auto"/>
              </w:rPr>
              <w:t>Other</w:t>
            </w:r>
          </w:p>
        </w:tc>
        <w:tc>
          <w:tcPr>
            <w:tcW w:w="180" w:type="dxa"/>
            <w:vAlign w:val="bottom"/>
          </w:tcPr>
          <w:p>
            <w:pPr>
              <w:spacing w:after="0"/>
              <w:rPr>
                <w:sz w:val="14"/>
                <w:szCs w:val="1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Retained</w:t>
            </w: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3360" w:type="dxa"/>
            <w:vAlign w:val="bottom"/>
          </w:tcPr>
          <w:p>
            <w:pPr>
              <w:spacing w:after="0"/>
              <w:rPr>
                <w:sz w:val="14"/>
                <w:szCs w:val="14"/>
                <w:color w:val="auto"/>
              </w:rPr>
            </w:pPr>
          </w:p>
        </w:tc>
        <w:tc>
          <w:tcPr>
            <w:tcW w:w="10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Shares</w:t>
            </w:r>
          </w:p>
        </w:tc>
        <w:tc>
          <w:tcPr>
            <w:tcW w:w="280" w:type="dxa"/>
            <w:vAlign w:val="bottom"/>
          </w:tcPr>
          <w:p>
            <w:pPr>
              <w:spacing w:after="0"/>
              <w:rPr>
                <w:sz w:val="14"/>
                <w:szCs w:val="14"/>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Amount</w:t>
            </w:r>
          </w:p>
        </w:tc>
        <w:tc>
          <w:tcPr>
            <w:tcW w:w="180" w:type="dxa"/>
            <w:vAlign w:val="bottom"/>
          </w:tcPr>
          <w:p>
            <w:pPr>
              <w:spacing w:after="0"/>
              <w:rPr>
                <w:sz w:val="14"/>
                <w:szCs w:val="14"/>
                <w:color w:val="auto"/>
              </w:rPr>
            </w:pPr>
          </w:p>
        </w:tc>
        <w:tc>
          <w:tcPr>
            <w:tcW w:w="3460" w:type="dxa"/>
            <w:vAlign w:val="bottom"/>
            <w:gridSpan w:val="5"/>
          </w:tcPr>
          <w:p>
            <w:pPr>
              <w:jc w:val="right"/>
              <w:spacing w:after="0" w:line="162" w:lineRule="exact"/>
              <w:rPr>
                <w:sz w:val="20"/>
                <w:szCs w:val="20"/>
                <w:color w:val="auto"/>
              </w:rPr>
            </w:pPr>
            <w:r>
              <w:rPr>
                <w:rFonts w:ascii="Arial" w:cs="Arial" w:eastAsia="Arial" w:hAnsi="Arial"/>
                <w:sz w:val="16"/>
                <w:szCs w:val="16"/>
                <w:b w:val="1"/>
                <w:bCs w:val="1"/>
                <w:color w:val="auto"/>
              </w:rPr>
              <w:t>Paid-in Undenominated Comprehensive</w:t>
            </w:r>
          </w:p>
        </w:tc>
        <w:tc>
          <w:tcPr>
            <w:tcW w:w="180" w:type="dxa"/>
            <w:vAlign w:val="bottom"/>
          </w:tcPr>
          <w:p>
            <w:pPr>
              <w:spacing w:after="0"/>
              <w:rPr>
                <w:sz w:val="14"/>
                <w:szCs w:val="14"/>
                <w:color w:val="auto"/>
              </w:rPr>
            </w:pPr>
          </w:p>
        </w:tc>
        <w:tc>
          <w:tcPr>
            <w:tcW w:w="880" w:type="dxa"/>
            <w:vAlign w:val="bottom"/>
            <w:vMerge w:val="continue"/>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vMerge w:val="restart"/>
          </w:tcPr>
          <w:p>
            <w:pPr>
              <w:jc w:val="right"/>
              <w:spacing w:after="0"/>
              <w:rPr>
                <w:sz w:val="20"/>
                <w:szCs w:val="20"/>
                <w:color w:val="auto"/>
              </w:rPr>
            </w:pPr>
            <w:r>
              <w:rPr>
                <w:rFonts w:ascii="Arial" w:cs="Arial" w:eastAsia="Arial" w:hAnsi="Arial"/>
                <w:sz w:val="16"/>
                <w:szCs w:val="16"/>
                <w:b w:val="1"/>
                <w:bCs w:val="1"/>
                <w:color w:val="auto"/>
              </w:rPr>
              <w:t>Total</w:t>
            </w:r>
          </w:p>
        </w:tc>
        <w:tc>
          <w:tcPr>
            <w:tcW w:w="0" w:type="dxa"/>
            <w:vAlign w:val="bottom"/>
          </w:tcPr>
          <w:p>
            <w:pPr>
              <w:spacing w:after="0"/>
              <w:rPr>
                <w:sz w:val="1"/>
                <w:szCs w:val="1"/>
                <w:color w:val="auto"/>
              </w:rPr>
            </w:pPr>
          </w:p>
        </w:tc>
      </w:tr>
      <w:tr>
        <w:trPr>
          <w:trHeight w:val="216"/>
        </w:trPr>
        <w:tc>
          <w:tcPr>
            <w:tcW w:w="33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vMerge w:val="continue"/>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vMerge w:val="continue"/>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Capital</w:t>
            </w:r>
          </w:p>
        </w:tc>
        <w:tc>
          <w:tcPr>
            <w:tcW w:w="400" w:type="dxa"/>
            <w:vAlign w:val="bottom"/>
            <w:tcBorders>
              <w:bottom w:val="single" w:sz="8" w:color="auto"/>
            </w:tcBorders>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Capital</w:t>
            </w:r>
          </w:p>
        </w:tc>
        <w:tc>
          <w:tcPr>
            <w:tcW w:w="3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Loss</w:t>
            </w:r>
          </w:p>
        </w:tc>
        <w:tc>
          <w:tcPr>
            <w:tcW w:w="18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Earnings</w:t>
            </w:r>
          </w:p>
        </w:tc>
        <w:tc>
          <w:tcPr>
            <w:tcW w:w="2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36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3460" w:type="dxa"/>
            <w:vAlign w:val="bottom"/>
            <w:tcBorders>
              <w:bottom w:val="single" w:sz="8" w:color="auto"/>
            </w:tcBorders>
            <w:gridSpan w:val="5"/>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(dollars in thousands, except share data)</w:t>
            </w: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360" w:type="dxa"/>
            <w:vAlign w:val="bottom"/>
            <w:tcBorders>
              <w:bottom w:val="single" w:sz="8" w:color="auto"/>
            </w:tcBorders>
          </w:tcPr>
          <w:p>
            <w:pPr>
              <w:ind w:left="80"/>
              <w:spacing w:after="0"/>
              <w:rPr>
                <w:sz w:val="20"/>
                <w:szCs w:val="20"/>
                <w:color w:val="auto"/>
              </w:rPr>
            </w:pPr>
            <w:r>
              <w:rPr>
                <w:rFonts w:ascii="Arial" w:cs="Arial" w:eastAsia="Arial" w:hAnsi="Arial"/>
                <w:sz w:val="16"/>
                <w:szCs w:val="16"/>
                <w:b w:val="1"/>
                <w:bCs w:val="1"/>
                <w:color w:val="auto"/>
              </w:rPr>
              <w:t>Balance at Balance at December 31, 2020</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52,788,093</w:t>
            </w:r>
          </w:p>
        </w:tc>
        <w:tc>
          <w:tcPr>
            <w:tcW w:w="2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4,580</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617,104</w:t>
            </w: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1,134</w:t>
            </w:r>
          </w:p>
        </w:tc>
        <w:tc>
          <w:tcPr>
            <w:tcW w:w="38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(35,477)</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w w:val="8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1,262,895</w:t>
            </w: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1,850,236</w:t>
            </w:r>
          </w:p>
        </w:tc>
        <w:tc>
          <w:tcPr>
            <w:tcW w:w="0" w:type="dxa"/>
            <w:vAlign w:val="bottom"/>
          </w:tcPr>
          <w:p>
            <w:pPr>
              <w:spacing w:after="0"/>
              <w:rPr>
                <w:sz w:val="1"/>
                <w:szCs w:val="1"/>
                <w:color w:val="auto"/>
              </w:rPr>
            </w:pPr>
          </w:p>
        </w:tc>
      </w:tr>
      <w:tr>
        <w:trPr>
          <w:trHeight w:val="210"/>
        </w:trPr>
        <w:tc>
          <w:tcPr>
            <w:tcW w:w="3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Net income</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97,122</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97,122</w:t>
            </w:r>
          </w:p>
        </w:tc>
        <w:tc>
          <w:tcPr>
            <w:tcW w:w="0" w:type="dxa"/>
            <w:vAlign w:val="bottom"/>
          </w:tcPr>
          <w:p>
            <w:pPr>
              <w:spacing w:after="0"/>
              <w:rPr>
                <w:sz w:val="1"/>
                <w:szCs w:val="1"/>
                <w:color w:val="auto"/>
              </w:rPr>
            </w:pPr>
          </w:p>
        </w:tc>
      </w:tr>
      <w:tr>
        <w:trPr>
          <w:trHeight w:val="162"/>
        </w:trPr>
        <w:tc>
          <w:tcPr>
            <w:tcW w:w="3360" w:type="dxa"/>
            <w:vAlign w:val="bottom"/>
          </w:tcPr>
          <w:p>
            <w:pPr>
              <w:ind w:left="20"/>
              <w:spacing w:after="0" w:line="162" w:lineRule="exact"/>
              <w:rPr>
                <w:sz w:val="20"/>
                <w:szCs w:val="20"/>
                <w:color w:val="auto"/>
              </w:rPr>
            </w:pPr>
            <w:r>
              <w:rPr>
                <w:rFonts w:ascii="Arial" w:cs="Arial" w:eastAsia="Arial" w:hAnsi="Arial"/>
                <w:sz w:val="16"/>
                <w:szCs w:val="16"/>
                <w:color w:val="auto"/>
              </w:rPr>
              <w:t>Issue of restricted share units / performance</w:t>
            </w:r>
          </w:p>
        </w:tc>
        <w:tc>
          <w:tcPr>
            <w:tcW w:w="1000" w:type="dxa"/>
            <w:vAlign w:val="bottom"/>
            <w:vMerge w:val="restart"/>
          </w:tcPr>
          <w:p>
            <w:pPr>
              <w:jc w:val="right"/>
              <w:spacing w:after="0"/>
              <w:rPr>
                <w:sz w:val="20"/>
                <w:szCs w:val="20"/>
                <w:color w:val="auto"/>
              </w:rPr>
            </w:pPr>
            <w:r>
              <w:rPr>
                <w:rFonts w:ascii="Arial" w:cs="Arial" w:eastAsia="Arial" w:hAnsi="Arial"/>
                <w:sz w:val="16"/>
                <w:szCs w:val="16"/>
                <w:color w:val="auto"/>
              </w:rPr>
              <w:t>70,097</w:t>
            </w:r>
          </w:p>
        </w:tc>
        <w:tc>
          <w:tcPr>
            <w:tcW w:w="280" w:type="dxa"/>
            <w:vAlign w:val="bottom"/>
          </w:tcPr>
          <w:p>
            <w:pPr>
              <w:spacing w:after="0"/>
              <w:rPr>
                <w:sz w:val="14"/>
                <w:szCs w:val="14"/>
                <w:color w:val="auto"/>
              </w:rPr>
            </w:pPr>
          </w:p>
        </w:tc>
        <w:tc>
          <w:tcPr>
            <w:tcW w:w="800" w:type="dxa"/>
            <w:vAlign w:val="bottom"/>
            <w:vMerge w:val="restart"/>
          </w:tcPr>
          <w:p>
            <w:pPr>
              <w:jc w:val="right"/>
              <w:spacing w:after="0"/>
              <w:rPr>
                <w:sz w:val="20"/>
                <w:szCs w:val="20"/>
                <w:color w:val="auto"/>
              </w:rPr>
            </w:pPr>
            <w:r>
              <w:rPr>
                <w:rFonts w:ascii="Arial" w:cs="Arial" w:eastAsia="Arial" w:hAnsi="Arial"/>
                <w:sz w:val="16"/>
                <w:szCs w:val="16"/>
                <w:color w:val="auto"/>
              </w:rPr>
              <w:t>5</w:t>
            </w:r>
          </w:p>
        </w:tc>
        <w:tc>
          <w:tcPr>
            <w:tcW w:w="180" w:type="dxa"/>
            <w:vAlign w:val="bottom"/>
          </w:tcPr>
          <w:p>
            <w:pPr>
              <w:spacing w:after="0"/>
              <w:rPr>
                <w:sz w:val="14"/>
                <w:szCs w:val="14"/>
                <w:color w:val="auto"/>
              </w:rPr>
            </w:pPr>
          </w:p>
        </w:tc>
        <w:tc>
          <w:tcPr>
            <w:tcW w:w="94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400" w:type="dxa"/>
            <w:vAlign w:val="bottom"/>
          </w:tcPr>
          <w:p>
            <w:pPr>
              <w:spacing w:after="0"/>
              <w:rPr>
                <w:sz w:val="14"/>
                <w:szCs w:val="14"/>
                <w:color w:val="auto"/>
              </w:rPr>
            </w:pPr>
          </w:p>
        </w:tc>
        <w:tc>
          <w:tcPr>
            <w:tcW w:w="86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4"/>
                <w:szCs w:val="1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4"/>
                <w:szCs w:val="14"/>
                <w:color w:val="auto"/>
              </w:rPr>
            </w:pPr>
          </w:p>
        </w:tc>
        <w:tc>
          <w:tcPr>
            <w:tcW w:w="880" w:type="dxa"/>
            <w:vAlign w:val="bottom"/>
            <w:vMerge w:val="restart"/>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4"/>
                <w:szCs w:val="14"/>
                <w:color w:val="auto"/>
              </w:rPr>
            </w:pPr>
          </w:p>
        </w:tc>
        <w:tc>
          <w:tcPr>
            <w:tcW w:w="900" w:type="dxa"/>
            <w:vAlign w:val="bottom"/>
            <w:vMerge w:val="restart"/>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15"/>
        </w:trPr>
        <w:tc>
          <w:tcPr>
            <w:tcW w:w="3360" w:type="dxa"/>
            <w:vAlign w:val="bottom"/>
          </w:tcPr>
          <w:p>
            <w:pPr>
              <w:ind w:left="20"/>
              <w:spacing w:after="0"/>
              <w:rPr>
                <w:sz w:val="20"/>
                <w:szCs w:val="20"/>
                <w:color w:val="auto"/>
              </w:rPr>
            </w:pPr>
            <w:r>
              <w:rPr>
                <w:rFonts w:ascii="Arial" w:cs="Arial" w:eastAsia="Arial" w:hAnsi="Arial"/>
                <w:sz w:val="16"/>
                <w:szCs w:val="16"/>
                <w:color w:val="auto"/>
              </w:rPr>
              <w:t>share units</w:t>
            </w:r>
          </w:p>
        </w:tc>
        <w:tc>
          <w:tcPr>
            <w:tcW w:w="1000" w:type="dxa"/>
            <w:vAlign w:val="bottom"/>
            <w:vMerge w:val="continue"/>
          </w:tcPr>
          <w:p>
            <w:pPr>
              <w:spacing w:after="0"/>
              <w:rPr>
                <w:sz w:val="18"/>
                <w:szCs w:val="18"/>
                <w:color w:val="auto"/>
              </w:rPr>
            </w:pPr>
          </w:p>
        </w:tc>
        <w:tc>
          <w:tcPr>
            <w:tcW w:w="280" w:type="dxa"/>
            <w:vAlign w:val="bottom"/>
          </w:tcPr>
          <w:p>
            <w:pPr>
              <w:spacing w:after="0"/>
              <w:rPr>
                <w:sz w:val="18"/>
                <w:szCs w:val="18"/>
                <w:color w:val="auto"/>
              </w:rPr>
            </w:pPr>
          </w:p>
        </w:tc>
        <w:tc>
          <w:tcPr>
            <w:tcW w:w="80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940" w:type="dxa"/>
            <w:vAlign w:val="bottom"/>
            <w:vMerge w:val="continue"/>
          </w:tcPr>
          <w:p>
            <w:pPr>
              <w:spacing w:after="0"/>
              <w:rPr>
                <w:sz w:val="18"/>
                <w:szCs w:val="18"/>
                <w:color w:val="auto"/>
              </w:rPr>
            </w:pPr>
          </w:p>
        </w:tc>
        <w:tc>
          <w:tcPr>
            <w:tcW w:w="400" w:type="dxa"/>
            <w:vAlign w:val="bottom"/>
          </w:tcPr>
          <w:p>
            <w:pPr>
              <w:spacing w:after="0"/>
              <w:rPr>
                <w:sz w:val="18"/>
                <w:szCs w:val="18"/>
                <w:color w:val="auto"/>
              </w:rPr>
            </w:pPr>
          </w:p>
        </w:tc>
        <w:tc>
          <w:tcPr>
            <w:tcW w:w="860" w:type="dxa"/>
            <w:vAlign w:val="bottom"/>
            <w:vMerge w:val="continue"/>
          </w:tcPr>
          <w:p>
            <w:pPr>
              <w:spacing w:after="0"/>
              <w:rPr>
                <w:sz w:val="18"/>
                <w:szCs w:val="18"/>
                <w:color w:val="auto"/>
              </w:rPr>
            </w:pPr>
          </w:p>
        </w:tc>
        <w:tc>
          <w:tcPr>
            <w:tcW w:w="38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180" w:type="dxa"/>
            <w:vAlign w:val="bottom"/>
          </w:tcPr>
          <w:p>
            <w:pPr>
              <w:spacing w:after="0"/>
              <w:rPr>
                <w:sz w:val="18"/>
                <w:szCs w:val="18"/>
                <w:color w:val="auto"/>
              </w:rPr>
            </w:pPr>
          </w:p>
        </w:tc>
        <w:tc>
          <w:tcPr>
            <w:tcW w:w="880" w:type="dxa"/>
            <w:vAlign w:val="bottom"/>
            <w:vMerge w:val="continue"/>
          </w:tcPr>
          <w:p>
            <w:pPr>
              <w:spacing w:after="0"/>
              <w:rPr>
                <w:sz w:val="18"/>
                <w:szCs w:val="18"/>
                <w:color w:val="auto"/>
              </w:rPr>
            </w:pPr>
          </w:p>
        </w:tc>
        <w:tc>
          <w:tcPr>
            <w:tcW w:w="200" w:type="dxa"/>
            <w:vAlign w:val="bottom"/>
          </w:tcPr>
          <w:p>
            <w:pPr>
              <w:spacing w:after="0"/>
              <w:rPr>
                <w:sz w:val="18"/>
                <w:szCs w:val="18"/>
                <w:color w:val="auto"/>
              </w:rPr>
            </w:pPr>
          </w:p>
        </w:tc>
        <w:tc>
          <w:tcPr>
            <w:tcW w:w="90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3360" w:type="dxa"/>
            <w:vAlign w:val="bottom"/>
            <w:shd w:val="clear" w:color="auto" w:fill="CCEEFF"/>
          </w:tcPr>
          <w:p>
            <w:pPr>
              <w:ind w:left="20"/>
              <w:spacing w:after="0"/>
              <w:rPr>
                <w:sz w:val="20"/>
                <w:szCs w:val="20"/>
                <w:color w:val="auto"/>
              </w:rPr>
            </w:pPr>
            <w:r>
              <w:rPr>
                <w:rFonts w:ascii="Arial" w:cs="Arial" w:eastAsia="Arial" w:hAnsi="Arial"/>
                <w:sz w:val="16"/>
                <w:szCs w:val="16"/>
                <w:color w:val="auto"/>
              </w:rPr>
              <w:t>Non-cash stock compensation expense</w:t>
            </w: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6,310</w:t>
            </w:r>
          </w:p>
        </w:tc>
        <w:tc>
          <w:tcPr>
            <w:tcW w:w="40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6,310</w:t>
            </w:r>
          </w:p>
        </w:tc>
        <w:tc>
          <w:tcPr>
            <w:tcW w:w="0" w:type="dxa"/>
            <w:vAlign w:val="bottom"/>
          </w:tcPr>
          <w:p>
            <w:pPr>
              <w:spacing w:after="0"/>
              <w:rPr>
                <w:sz w:val="1"/>
                <w:szCs w:val="1"/>
                <w:color w:val="auto"/>
              </w:rPr>
            </w:pPr>
          </w:p>
        </w:tc>
      </w:tr>
      <w:tr>
        <w:trPr>
          <w:trHeight w:val="215"/>
        </w:trPr>
        <w:tc>
          <w:tcPr>
            <w:tcW w:w="3360" w:type="dxa"/>
            <w:vAlign w:val="bottom"/>
          </w:tcPr>
          <w:p>
            <w:pPr>
              <w:ind w:left="20"/>
              <w:spacing w:after="0"/>
              <w:rPr>
                <w:sz w:val="20"/>
                <w:szCs w:val="20"/>
                <w:color w:val="auto"/>
              </w:rPr>
            </w:pPr>
            <w:r>
              <w:rPr>
                <w:rFonts w:ascii="Arial" w:cs="Arial" w:eastAsia="Arial" w:hAnsi="Arial"/>
                <w:sz w:val="16"/>
                <w:szCs w:val="16"/>
                <w:color w:val="auto"/>
              </w:rPr>
              <w:t>Share issuance costs</w:t>
            </w:r>
          </w:p>
        </w:tc>
        <w:tc>
          <w:tcPr>
            <w:tcW w:w="1000" w:type="dxa"/>
            <w:vAlign w:val="bottom"/>
          </w:tcPr>
          <w:p>
            <w:pPr>
              <w:jc w:val="right"/>
              <w:spacing w:after="0"/>
              <w:rPr>
                <w:sz w:val="20"/>
                <w:szCs w:val="20"/>
                <w:color w:val="auto"/>
              </w:rPr>
            </w:pPr>
            <w:r>
              <w:rPr>
                <w:rFonts w:ascii="Arial" w:cs="Arial" w:eastAsia="Arial" w:hAnsi="Arial"/>
                <w:sz w:val="16"/>
                <w:szCs w:val="16"/>
                <w:color w:val="auto"/>
              </w:rPr>
              <w:t>—</w:t>
            </w:r>
          </w:p>
        </w:tc>
        <w:tc>
          <w:tcPr>
            <w:tcW w:w="2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940" w:type="dxa"/>
            <w:vAlign w:val="bottom"/>
          </w:tcPr>
          <w:p>
            <w:pPr>
              <w:jc w:val="right"/>
              <w:spacing w:after="0"/>
              <w:rPr>
                <w:sz w:val="20"/>
                <w:szCs w:val="20"/>
                <w:color w:val="auto"/>
              </w:rPr>
            </w:pPr>
            <w:r>
              <w:rPr>
                <w:rFonts w:ascii="Arial" w:cs="Arial" w:eastAsia="Arial" w:hAnsi="Arial"/>
                <w:sz w:val="16"/>
                <w:szCs w:val="16"/>
                <w:color w:val="auto"/>
              </w:rPr>
              <w:t>(5)</w:t>
            </w:r>
          </w:p>
        </w:tc>
        <w:tc>
          <w:tcPr>
            <w:tcW w:w="4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Arial" w:cs="Arial" w:eastAsia="Arial" w:hAnsi="Arial"/>
                <w:sz w:val="16"/>
                <w:szCs w:val="16"/>
                <w:color w:val="auto"/>
              </w:rPr>
              <w:t>—</w:t>
            </w:r>
          </w:p>
        </w:tc>
        <w:tc>
          <w:tcPr>
            <w:tcW w:w="3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18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Arial" w:cs="Arial" w:eastAsia="Arial" w:hAnsi="Arial"/>
                <w:sz w:val="16"/>
                <w:szCs w:val="16"/>
                <w:color w:val="auto"/>
              </w:rPr>
              <w:t>—</w:t>
            </w:r>
          </w:p>
        </w:tc>
        <w:tc>
          <w:tcPr>
            <w:tcW w:w="2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216"/>
        </w:trPr>
        <w:tc>
          <w:tcPr>
            <w:tcW w:w="33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Other comprehensive loss, net of tax</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4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3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(19,497)</w:t>
            </w:r>
          </w:p>
        </w:tc>
        <w:tc>
          <w:tcPr>
            <w:tcW w:w="18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(19,497)</w:t>
            </w:r>
          </w:p>
        </w:tc>
        <w:tc>
          <w:tcPr>
            <w:tcW w:w="0" w:type="dxa"/>
            <w:vAlign w:val="bottom"/>
          </w:tcPr>
          <w:p>
            <w:pPr>
              <w:spacing w:after="0"/>
              <w:rPr>
                <w:sz w:val="1"/>
                <w:szCs w:val="1"/>
                <w:color w:val="auto"/>
              </w:rPr>
            </w:pPr>
          </w:p>
        </w:tc>
      </w:tr>
      <w:tr>
        <w:trPr>
          <w:trHeight w:val="210"/>
        </w:trPr>
        <w:tc>
          <w:tcPr>
            <w:tcW w:w="3360" w:type="dxa"/>
            <w:vAlign w:val="bottom"/>
            <w:tcBorders>
              <w:bottom w:val="single" w:sz="8" w:color="auto"/>
            </w:tcBorders>
          </w:tcPr>
          <w:p>
            <w:pPr>
              <w:ind w:left="80"/>
              <w:spacing w:after="0"/>
              <w:rPr>
                <w:sz w:val="20"/>
                <w:szCs w:val="20"/>
                <w:color w:val="auto"/>
              </w:rPr>
            </w:pPr>
            <w:r>
              <w:rPr>
                <w:rFonts w:ascii="Arial" w:cs="Arial" w:eastAsia="Arial" w:hAnsi="Arial"/>
                <w:sz w:val="16"/>
                <w:szCs w:val="16"/>
                <w:b w:val="1"/>
                <w:bCs w:val="1"/>
                <w:color w:val="auto"/>
              </w:rPr>
              <w:t>Balance at March 31, 2021</w:t>
            </w: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52,858,190</w:t>
            </w:r>
          </w:p>
        </w:tc>
        <w:tc>
          <w:tcPr>
            <w:tcW w:w="280" w:type="dxa"/>
            <w:vAlign w:val="bottom"/>
            <w:tcBorders>
              <w:bottom w:val="single" w:sz="8" w:color="auto"/>
            </w:tcBorders>
          </w:tcPr>
          <w:p>
            <w:pPr>
              <w:jc w:val="right"/>
              <w:ind w:right="79"/>
              <w:spacing w:after="0"/>
              <w:rPr>
                <w:sz w:val="20"/>
                <w:szCs w:val="20"/>
                <w:color w:val="auto"/>
              </w:rPr>
            </w:pPr>
            <w:r>
              <w:rPr>
                <w:rFonts w:ascii="Arial" w:cs="Arial" w:eastAsia="Arial" w:hAnsi="Arial"/>
                <w:sz w:val="16"/>
                <w:szCs w:val="16"/>
                <w:b w:val="1"/>
                <w:bCs w:val="1"/>
                <w:color w:val="auto"/>
              </w:rPr>
              <w:t>$</w:t>
            </w:r>
          </w:p>
        </w:tc>
        <w:tc>
          <w:tcPr>
            <w:tcW w:w="8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4,585</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9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623,409</w:t>
            </w:r>
          </w:p>
        </w:tc>
        <w:tc>
          <w:tcPr>
            <w:tcW w:w="4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b w:val="1"/>
                <w:bCs w:val="1"/>
                <w:color w:val="auto"/>
                <w:w w:val="89"/>
              </w:rPr>
              <w:t>$</w:t>
            </w:r>
          </w:p>
        </w:tc>
        <w:tc>
          <w:tcPr>
            <w:tcW w:w="8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1,134</w:t>
            </w:r>
          </w:p>
        </w:tc>
        <w:tc>
          <w:tcPr>
            <w:tcW w:w="38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b w:val="1"/>
                <w:bCs w:val="1"/>
                <w:color w:val="auto"/>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(54,974)</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w w:val="89"/>
              </w:rPr>
              <w:t>$</w:t>
            </w:r>
          </w:p>
        </w:tc>
        <w:tc>
          <w:tcPr>
            <w:tcW w:w="8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1,360,017</w:t>
            </w:r>
          </w:p>
        </w:tc>
        <w:tc>
          <w:tcPr>
            <w:tcW w:w="20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b w:val="1"/>
                <w:bCs w:val="1"/>
                <w:color w:val="auto"/>
                <w:w w:val="89"/>
              </w:rPr>
              <w:t>$</w:t>
            </w: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1,934,171</w:t>
            </w:r>
          </w:p>
        </w:tc>
        <w:tc>
          <w:tcPr>
            <w:tcW w:w="0" w:type="dxa"/>
            <w:vAlign w:val="bottom"/>
          </w:tcPr>
          <w:p>
            <w:pPr>
              <w:spacing w:after="0"/>
              <w:rPr>
                <w:sz w:val="1"/>
                <w:szCs w:val="1"/>
                <w:color w:val="auto"/>
              </w:rPr>
            </w:pPr>
          </w:p>
        </w:tc>
      </w:tr>
      <w:tr>
        <w:trPr>
          <w:trHeight w:val="20"/>
        </w:trPr>
        <w:tc>
          <w:tcPr>
            <w:tcW w:w="336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8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86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88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9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2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The accompanying notes are an integral part of these condensed consolidated financial statements</w:t>
      </w: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8" w:name="page9"/>
    <w:bookmarkEnd w:id="8"/>
    <w:p>
      <w:pPr>
        <w:jc w:val="center"/>
        <w:ind w:right="-139"/>
        <w:spacing w:after="0"/>
        <w:rPr>
          <w:sz w:val="20"/>
          <w:szCs w:val="20"/>
          <w:color w:val="auto"/>
        </w:rPr>
      </w:pPr>
      <w:r>
        <w:rPr>
          <w:rFonts w:ascii="Arial" w:cs="Arial" w:eastAsia="Arial" w:hAnsi="Arial"/>
          <w:sz w:val="16"/>
          <w:szCs w:val="16"/>
          <w:b w:val="1"/>
          <w:bCs w:val="1"/>
          <w:color w:val="auto"/>
        </w:rPr>
        <w:t>ICON plc</w:t>
      </w:r>
    </w:p>
    <w:p>
      <w:pPr>
        <w:spacing w:after="0" w:line="21" w:lineRule="exact"/>
        <w:rPr>
          <w:sz w:val="20"/>
          <w:szCs w:val="20"/>
          <w:color w:val="auto"/>
        </w:rPr>
      </w:pPr>
    </w:p>
    <w:p>
      <w:pPr>
        <w:jc w:val="center"/>
        <w:ind w:right="-139"/>
        <w:spacing w:after="0"/>
        <w:rPr>
          <w:sz w:val="20"/>
          <w:szCs w:val="20"/>
          <w:color w:val="auto"/>
        </w:rPr>
      </w:pPr>
      <w:r>
        <w:rPr>
          <w:rFonts w:ascii="Arial" w:cs="Arial" w:eastAsia="Arial" w:hAnsi="Arial"/>
          <w:sz w:val="16"/>
          <w:szCs w:val="16"/>
          <w:b w:val="1"/>
          <w:bCs w:val="1"/>
          <w:color w:val="auto"/>
        </w:rPr>
        <w:t>CONDENSED CONSOLIDATED STATEMENTS OF CASH FLOWS</w:t>
      </w:r>
    </w:p>
    <w:p>
      <w:pPr>
        <w:spacing w:after="0" w:line="19" w:lineRule="exact"/>
        <w:rPr>
          <w:sz w:val="20"/>
          <w:szCs w:val="20"/>
          <w:color w:val="auto"/>
        </w:rPr>
      </w:pPr>
    </w:p>
    <w:p>
      <w:pPr>
        <w:jc w:val="center"/>
        <w:ind w:right="-139"/>
        <w:spacing w:after="0"/>
        <w:rPr>
          <w:sz w:val="20"/>
          <w:szCs w:val="20"/>
          <w:color w:val="auto"/>
        </w:rPr>
      </w:pPr>
      <w:r>
        <w:rPr>
          <w:rFonts w:ascii="Arial" w:cs="Arial" w:eastAsia="Arial" w:hAnsi="Arial"/>
          <w:sz w:val="16"/>
          <w:szCs w:val="16"/>
          <w:b w:val="1"/>
          <w:bCs w:val="1"/>
          <w:color w:val="auto"/>
        </w:rPr>
        <w:t>FOR THE THREE MONTHS ENDED MARCH 31, 2022 AND MARCH 31, 2021 (UNAUDITED)</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460" w:type="dxa"/>
            <w:vAlign w:val="bottom"/>
            <w:shd w:val="clear" w:color="auto" w:fill="CCEEFF"/>
          </w:tcPr>
          <w:p>
            <w:pPr>
              <w:spacing w:after="0"/>
              <w:rPr>
                <w:sz w:val="18"/>
                <w:szCs w:val="18"/>
                <w:color w:val="auto"/>
              </w:rPr>
            </w:pPr>
          </w:p>
        </w:tc>
        <w:tc>
          <w:tcPr>
            <w:tcW w:w="320" w:type="dxa"/>
            <w:vAlign w:val="bottom"/>
            <w:tcBorders>
              <w:bottom w:val="single" w:sz="8" w:color="auto"/>
            </w:tcBorders>
            <w:shd w:val="clear" w:color="auto" w:fill="CCEEFF"/>
          </w:tcPr>
          <w:p>
            <w:pPr>
              <w:spacing w:after="0"/>
              <w:rPr>
                <w:sz w:val="18"/>
                <w:szCs w:val="18"/>
                <w:color w:val="auto"/>
              </w:rPr>
            </w:pPr>
          </w:p>
        </w:tc>
        <w:tc>
          <w:tcPr>
            <w:tcW w:w="2320" w:type="dxa"/>
            <w:vAlign w:val="bottom"/>
            <w:tcBorders>
              <w:bottom w:val="single" w:sz="8" w:color="auto"/>
            </w:tcBorders>
            <w:gridSpan w:val="3"/>
            <w:shd w:val="clear" w:color="auto" w:fill="CCEEFF"/>
          </w:tcPr>
          <w:p>
            <w:pPr>
              <w:jc w:val="center"/>
              <w:ind w:right="239"/>
              <w:spacing w:after="0"/>
              <w:rPr>
                <w:sz w:val="20"/>
                <w:szCs w:val="20"/>
                <w:color w:val="auto"/>
              </w:rPr>
            </w:pPr>
            <w:r>
              <w:rPr>
                <w:rFonts w:ascii="Arial" w:cs="Arial" w:eastAsia="Arial" w:hAnsi="Arial"/>
                <w:sz w:val="16"/>
                <w:szCs w:val="16"/>
                <w:b w:val="1"/>
                <w:bCs w:val="1"/>
                <w:color w:val="auto"/>
              </w:rPr>
              <w:t>Three Months Ended</w:t>
            </w:r>
          </w:p>
        </w:tc>
      </w:tr>
      <w:tr>
        <w:trPr>
          <w:trHeight w:val="209"/>
        </w:trPr>
        <w:tc>
          <w:tcPr>
            <w:tcW w:w="84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March 31, 2022</w:t>
            </w:r>
          </w:p>
        </w:tc>
        <w:tc>
          <w:tcPr>
            <w:tcW w:w="132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10"/>
        </w:trPr>
        <w:tc>
          <w:tcPr>
            <w:tcW w:w="8460" w:type="dxa"/>
            <w:vAlign w:val="bottom"/>
            <w:shd w:val="clear" w:color="auto" w:fill="CCEEFF"/>
          </w:tcPr>
          <w:p>
            <w:pPr>
              <w:spacing w:after="0"/>
              <w:rPr>
                <w:sz w:val="18"/>
                <w:szCs w:val="18"/>
                <w:color w:val="auto"/>
              </w:rPr>
            </w:pPr>
          </w:p>
        </w:tc>
        <w:tc>
          <w:tcPr>
            <w:tcW w:w="320" w:type="dxa"/>
            <w:vAlign w:val="bottom"/>
            <w:shd w:val="clear" w:color="auto" w:fill="CCEEFF"/>
          </w:tcPr>
          <w:p>
            <w:pPr>
              <w:spacing w:after="0"/>
              <w:rPr>
                <w:sz w:val="18"/>
                <w:szCs w:val="18"/>
                <w:color w:val="auto"/>
              </w:rPr>
            </w:pPr>
          </w:p>
        </w:tc>
        <w:tc>
          <w:tcPr>
            <w:tcW w:w="1620" w:type="dxa"/>
            <w:vAlign w:val="bottom"/>
            <w:gridSpan w:val="2"/>
            <w:shd w:val="clear" w:color="auto" w:fill="CCEEFF"/>
          </w:tcPr>
          <w:p>
            <w:pPr>
              <w:jc w:val="center"/>
              <w:ind w:left="299"/>
              <w:spacing w:after="0"/>
              <w:rPr>
                <w:sz w:val="20"/>
                <w:szCs w:val="20"/>
                <w:color w:val="auto"/>
              </w:rPr>
            </w:pPr>
            <w:r>
              <w:rPr>
                <w:rFonts w:ascii="Arial" w:cs="Arial" w:eastAsia="Arial" w:hAnsi="Arial"/>
                <w:sz w:val="16"/>
                <w:szCs w:val="16"/>
                <w:b w:val="1"/>
                <w:bCs w:val="1"/>
                <w:color w:val="auto"/>
              </w:rPr>
              <w:t>(in thousands)</w:t>
            </w:r>
          </w:p>
        </w:tc>
        <w:tc>
          <w:tcPr>
            <w:tcW w:w="700" w:type="dxa"/>
            <w:vAlign w:val="bottom"/>
            <w:shd w:val="clear" w:color="auto" w:fill="CCEEFF"/>
          </w:tcPr>
          <w:p>
            <w:pPr>
              <w:spacing w:after="0"/>
              <w:rPr>
                <w:sz w:val="18"/>
                <w:szCs w:val="18"/>
                <w:color w:val="auto"/>
              </w:rPr>
            </w:pPr>
          </w:p>
        </w:tc>
      </w:tr>
      <w:tr>
        <w:trPr>
          <w:trHeight w:val="216"/>
        </w:trPr>
        <w:tc>
          <w:tcPr>
            <w:tcW w:w="8460" w:type="dxa"/>
            <w:vAlign w:val="bottom"/>
          </w:tcPr>
          <w:p>
            <w:pPr>
              <w:ind w:left="140"/>
              <w:spacing w:after="0"/>
              <w:rPr>
                <w:sz w:val="20"/>
                <w:szCs w:val="20"/>
                <w:color w:val="auto"/>
              </w:rPr>
            </w:pPr>
            <w:r>
              <w:rPr>
                <w:rFonts w:ascii="Arial" w:cs="Arial" w:eastAsia="Arial" w:hAnsi="Arial"/>
                <w:sz w:val="16"/>
                <w:szCs w:val="16"/>
                <w:b w:val="1"/>
                <w:bCs w:val="1"/>
                <w:color w:val="auto"/>
              </w:rPr>
              <w:t>Cash flows from operating activities:</w:t>
            </w:r>
          </w:p>
        </w:tc>
        <w:tc>
          <w:tcPr>
            <w:tcW w:w="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r>
      <w:tr>
        <w:trPr>
          <w:trHeight w:val="216"/>
        </w:trPr>
        <w:tc>
          <w:tcPr>
            <w:tcW w:w="8460" w:type="dxa"/>
            <w:vAlign w:val="bottom"/>
            <w:shd w:val="clear" w:color="auto" w:fill="CCEEFF"/>
          </w:tcPr>
          <w:p>
            <w:pPr>
              <w:ind w:left="140"/>
              <w:spacing w:after="0"/>
              <w:rPr>
                <w:sz w:val="20"/>
                <w:szCs w:val="20"/>
                <w:color w:val="auto"/>
              </w:rPr>
            </w:pPr>
            <w:r>
              <w:rPr>
                <w:rFonts w:ascii="Arial" w:cs="Arial" w:eastAsia="Arial" w:hAnsi="Arial"/>
                <w:sz w:val="16"/>
                <w:szCs w:val="16"/>
                <w:color w:val="auto"/>
              </w:rPr>
              <w:t>Net income</w:t>
            </w:r>
          </w:p>
        </w:tc>
        <w:tc>
          <w:tcPr>
            <w:tcW w:w="32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10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111,970</w:t>
            </w:r>
          </w:p>
        </w:tc>
        <w:tc>
          <w:tcPr>
            <w:tcW w:w="620" w:type="dxa"/>
            <w:vAlign w:val="bottom"/>
            <w:shd w:val="clear" w:color="auto" w:fill="CCEEFF"/>
          </w:tcPr>
          <w:p>
            <w:pPr>
              <w:jc w:val="right"/>
              <w:ind w:right="379"/>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97,122</w:t>
            </w:r>
          </w:p>
        </w:tc>
      </w:tr>
      <w:tr>
        <w:trPr>
          <w:trHeight w:val="257"/>
        </w:trPr>
        <w:tc>
          <w:tcPr>
            <w:tcW w:w="84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700" w:type="dxa"/>
            <w:vAlign w:val="bottom"/>
          </w:tcPr>
          <w:p>
            <w:pPr>
              <w:spacing w:after="0"/>
              <w:rPr>
                <w:sz w:val="22"/>
                <w:szCs w:val="22"/>
                <w:color w:val="auto"/>
              </w:rPr>
            </w:pPr>
          </w:p>
        </w:tc>
      </w:tr>
      <w:tr>
        <w:trPr>
          <w:trHeight w:val="216"/>
        </w:trPr>
        <w:tc>
          <w:tcPr>
            <w:tcW w:w="8460" w:type="dxa"/>
            <w:vAlign w:val="bottom"/>
            <w:shd w:val="clear" w:color="auto" w:fill="CCEEFF"/>
          </w:tcPr>
          <w:p>
            <w:pPr>
              <w:ind w:left="120"/>
              <w:spacing w:after="0"/>
              <w:rPr>
                <w:sz w:val="20"/>
                <w:szCs w:val="20"/>
                <w:color w:val="auto"/>
              </w:rPr>
            </w:pPr>
            <w:r>
              <w:rPr>
                <w:rFonts w:ascii="Arial" w:cs="Arial" w:eastAsia="Arial" w:hAnsi="Arial"/>
                <w:sz w:val="16"/>
                <w:szCs w:val="16"/>
                <w:color w:val="auto"/>
              </w:rPr>
              <w:t>Adjustments to reconcile net income to net cash provided by operating activities:</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r>
      <w:tr>
        <w:trPr>
          <w:trHeight w:val="215"/>
        </w:trPr>
        <w:tc>
          <w:tcPr>
            <w:tcW w:w="8460" w:type="dxa"/>
            <w:vAlign w:val="bottom"/>
          </w:tcPr>
          <w:p>
            <w:pPr>
              <w:ind w:left="220"/>
              <w:spacing w:after="0"/>
              <w:rPr>
                <w:sz w:val="20"/>
                <w:szCs w:val="20"/>
                <w:color w:val="auto"/>
              </w:rPr>
            </w:pPr>
            <w:r>
              <w:rPr>
                <w:rFonts w:ascii="Arial" w:cs="Arial" w:eastAsia="Arial" w:hAnsi="Arial"/>
                <w:sz w:val="16"/>
                <w:szCs w:val="16"/>
                <w:color w:val="auto"/>
              </w:rPr>
              <w:t>Depreciation and amortization expense</w:t>
            </w:r>
          </w:p>
        </w:tc>
        <w:tc>
          <w:tcPr>
            <w:tcW w:w="32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141,405</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19,837</w:t>
            </w:r>
          </w:p>
        </w:tc>
      </w:tr>
      <w:tr>
        <w:trPr>
          <w:trHeight w:val="217"/>
        </w:trPr>
        <w:tc>
          <w:tcPr>
            <w:tcW w:w="84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Impairment of long lived assets</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3,574</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8460" w:type="dxa"/>
            <w:vAlign w:val="bottom"/>
          </w:tcPr>
          <w:p>
            <w:pPr>
              <w:ind w:left="220"/>
              <w:spacing w:after="0"/>
              <w:rPr>
                <w:sz w:val="20"/>
                <w:szCs w:val="20"/>
                <w:color w:val="auto"/>
              </w:rPr>
            </w:pPr>
            <w:r>
              <w:rPr>
                <w:rFonts w:ascii="Arial" w:cs="Arial" w:eastAsia="Arial" w:hAnsi="Arial"/>
                <w:sz w:val="16"/>
                <w:szCs w:val="16"/>
                <w:color w:val="auto"/>
              </w:rPr>
              <w:t>Reduction in carrying value of operating right-of-use assets</w:t>
            </w:r>
          </w:p>
        </w:tc>
        <w:tc>
          <w:tcPr>
            <w:tcW w:w="32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13,077</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4,683</w:t>
            </w:r>
          </w:p>
        </w:tc>
      </w:tr>
      <w:tr>
        <w:trPr>
          <w:trHeight w:val="217"/>
        </w:trPr>
        <w:tc>
          <w:tcPr>
            <w:tcW w:w="84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Loss on equity method investments</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785</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274</w:t>
            </w:r>
          </w:p>
        </w:tc>
      </w:tr>
      <w:tr>
        <w:trPr>
          <w:trHeight w:val="215"/>
        </w:trPr>
        <w:tc>
          <w:tcPr>
            <w:tcW w:w="8460" w:type="dxa"/>
            <w:vAlign w:val="bottom"/>
          </w:tcPr>
          <w:p>
            <w:pPr>
              <w:ind w:left="220"/>
              <w:spacing w:after="0"/>
              <w:rPr>
                <w:sz w:val="20"/>
                <w:szCs w:val="20"/>
                <w:color w:val="auto"/>
              </w:rPr>
            </w:pPr>
            <w:r>
              <w:rPr>
                <w:rFonts w:ascii="Arial" w:cs="Arial" w:eastAsia="Arial" w:hAnsi="Arial"/>
                <w:sz w:val="16"/>
                <w:szCs w:val="16"/>
                <w:color w:val="auto"/>
              </w:rPr>
              <w:t>Charge on interest rate hedge</w:t>
            </w:r>
          </w:p>
        </w:tc>
        <w:tc>
          <w:tcPr>
            <w:tcW w:w="32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56</w:t>
            </w:r>
          </w:p>
        </w:tc>
      </w:tr>
      <w:tr>
        <w:trPr>
          <w:trHeight w:val="217"/>
        </w:trPr>
        <w:tc>
          <w:tcPr>
            <w:tcW w:w="84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Amortization of financing costs and debt discount</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5,781</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139</w:t>
            </w:r>
          </w:p>
        </w:tc>
      </w:tr>
      <w:tr>
        <w:trPr>
          <w:trHeight w:val="215"/>
        </w:trPr>
        <w:tc>
          <w:tcPr>
            <w:tcW w:w="8460" w:type="dxa"/>
            <w:vAlign w:val="bottom"/>
          </w:tcPr>
          <w:p>
            <w:pPr>
              <w:ind w:left="220"/>
              <w:spacing w:after="0"/>
              <w:rPr>
                <w:sz w:val="20"/>
                <w:szCs w:val="20"/>
                <w:color w:val="auto"/>
              </w:rPr>
            </w:pPr>
            <w:r>
              <w:rPr>
                <w:rFonts w:ascii="Arial" w:cs="Arial" w:eastAsia="Arial" w:hAnsi="Arial"/>
                <w:sz w:val="16"/>
                <w:szCs w:val="16"/>
                <w:color w:val="auto"/>
              </w:rPr>
              <w:t>Stock compensation expense</w:t>
            </w:r>
          </w:p>
        </w:tc>
        <w:tc>
          <w:tcPr>
            <w:tcW w:w="320" w:type="dxa"/>
            <w:vAlign w:val="bottom"/>
          </w:tcPr>
          <w:p>
            <w:pPr>
              <w:spacing w:after="0"/>
              <w:rPr>
                <w:sz w:val="18"/>
                <w:szCs w:val="18"/>
                <w:color w:val="auto"/>
              </w:rPr>
            </w:pPr>
          </w:p>
        </w:tc>
        <w:tc>
          <w:tcPr>
            <w:tcW w:w="1000" w:type="dxa"/>
            <w:vAlign w:val="bottom"/>
          </w:tcPr>
          <w:p>
            <w:pPr>
              <w:jc w:val="right"/>
              <w:ind w:right="39"/>
              <w:spacing w:after="0"/>
              <w:rPr>
                <w:sz w:val="20"/>
                <w:szCs w:val="20"/>
                <w:color w:val="auto"/>
              </w:rPr>
            </w:pPr>
            <w:r>
              <w:rPr>
                <w:rFonts w:ascii="Arial" w:cs="Arial" w:eastAsia="Arial" w:hAnsi="Arial"/>
                <w:sz w:val="16"/>
                <w:szCs w:val="16"/>
                <w:color w:val="auto"/>
              </w:rPr>
              <w:t>18,903</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6,394</w:t>
            </w:r>
          </w:p>
        </w:tc>
      </w:tr>
      <w:tr>
        <w:trPr>
          <w:trHeight w:val="217"/>
        </w:trPr>
        <w:tc>
          <w:tcPr>
            <w:tcW w:w="84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Deferred tax benefit</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(34,702)</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(664)</w:t>
            </w:r>
          </w:p>
        </w:tc>
      </w:tr>
      <w:tr>
        <w:trPr>
          <w:trHeight w:val="215"/>
        </w:trPr>
        <w:tc>
          <w:tcPr>
            <w:tcW w:w="8460" w:type="dxa"/>
            <w:vAlign w:val="bottom"/>
          </w:tcPr>
          <w:p>
            <w:pPr>
              <w:ind w:left="220"/>
              <w:spacing w:after="0"/>
              <w:rPr>
                <w:sz w:val="20"/>
                <w:szCs w:val="20"/>
                <w:color w:val="auto"/>
              </w:rPr>
            </w:pPr>
            <w:r>
              <w:rPr>
                <w:rFonts w:ascii="Arial" w:cs="Arial" w:eastAsia="Arial" w:hAnsi="Arial"/>
                <w:sz w:val="16"/>
                <w:szCs w:val="16"/>
                <w:color w:val="auto"/>
              </w:rPr>
              <w:t>Unrealized foreign exchange gain</w:t>
            </w: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(7,323)</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(1,060)</w:t>
            </w:r>
          </w:p>
        </w:tc>
      </w:tr>
      <w:tr>
        <w:trPr>
          <w:trHeight w:val="217"/>
        </w:trPr>
        <w:tc>
          <w:tcPr>
            <w:tcW w:w="84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Other non-cash items</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(2,895)</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(744)</w:t>
            </w:r>
          </w:p>
        </w:tc>
      </w:tr>
      <w:tr>
        <w:trPr>
          <w:trHeight w:val="215"/>
        </w:trPr>
        <w:tc>
          <w:tcPr>
            <w:tcW w:w="8460" w:type="dxa"/>
            <w:vAlign w:val="bottom"/>
          </w:tcPr>
          <w:p>
            <w:pPr>
              <w:ind w:left="120"/>
              <w:spacing w:after="0"/>
              <w:rPr>
                <w:sz w:val="20"/>
                <w:szCs w:val="20"/>
                <w:color w:val="auto"/>
              </w:rPr>
            </w:pPr>
            <w:r>
              <w:rPr>
                <w:rFonts w:ascii="Arial" w:cs="Arial" w:eastAsia="Arial" w:hAnsi="Arial"/>
                <w:sz w:val="16"/>
                <w:szCs w:val="16"/>
                <w:color w:val="auto"/>
              </w:rPr>
              <w:t>Changes in operating assets and liabilities:</w:t>
            </w:r>
          </w:p>
        </w:tc>
        <w:tc>
          <w:tcPr>
            <w:tcW w:w="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r>
      <w:tr>
        <w:trPr>
          <w:trHeight w:val="217"/>
        </w:trPr>
        <w:tc>
          <w:tcPr>
            <w:tcW w:w="84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Accounts receivable</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(35,461)</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52,015</w:t>
            </w:r>
          </w:p>
        </w:tc>
      </w:tr>
      <w:tr>
        <w:trPr>
          <w:trHeight w:val="215"/>
        </w:trPr>
        <w:tc>
          <w:tcPr>
            <w:tcW w:w="8460" w:type="dxa"/>
            <w:vAlign w:val="bottom"/>
          </w:tcPr>
          <w:p>
            <w:pPr>
              <w:ind w:left="220"/>
              <w:spacing w:after="0"/>
              <w:rPr>
                <w:sz w:val="20"/>
                <w:szCs w:val="20"/>
                <w:color w:val="auto"/>
              </w:rPr>
            </w:pPr>
            <w:r>
              <w:rPr>
                <w:rFonts w:ascii="Arial" w:cs="Arial" w:eastAsia="Arial" w:hAnsi="Arial"/>
                <w:sz w:val="16"/>
                <w:szCs w:val="16"/>
                <w:color w:val="auto"/>
              </w:rPr>
              <w:t>Unbilled revenue</w:t>
            </w: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(55,427)</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11,796</w:t>
            </w:r>
          </w:p>
        </w:tc>
      </w:tr>
      <w:tr>
        <w:trPr>
          <w:trHeight w:val="217"/>
        </w:trPr>
        <w:tc>
          <w:tcPr>
            <w:tcW w:w="84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Unearned revenue</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(16,812)</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(50,079)</w:t>
            </w:r>
          </w:p>
        </w:tc>
      </w:tr>
      <w:tr>
        <w:trPr>
          <w:trHeight w:val="215"/>
        </w:trPr>
        <w:tc>
          <w:tcPr>
            <w:tcW w:w="8460" w:type="dxa"/>
            <w:vAlign w:val="bottom"/>
            <w:tcBorders>
              <w:bottom w:val="single" w:sz="8" w:color="auto"/>
            </w:tcBorders>
          </w:tcPr>
          <w:p>
            <w:pPr>
              <w:ind w:left="220"/>
              <w:spacing w:after="0"/>
              <w:rPr>
                <w:sz w:val="20"/>
                <w:szCs w:val="20"/>
                <w:color w:val="auto"/>
              </w:rPr>
            </w:pPr>
            <w:r>
              <w:rPr>
                <w:rFonts w:ascii="Arial" w:cs="Arial" w:eastAsia="Arial" w:hAnsi="Arial"/>
                <w:sz w:val="16"/>
                <w:szCs w:val="16"/>
                <w:color w:val="auto"/>
              </w:rPr>
              <w:t>Other net assets</w:t>
            </w:r>
          </w:p>
        </w:tc>
        <w:tc>
          <w:tcPr>
            <w:tcW w:w="3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84,041</w:t>
            </w:r>
          </w:p>
        </w:tc>
        <w:tc>
          <w:tcPr>
            <w:tcW w:w="62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(27,849)</w:t>
            </w:r>
          </w:p>
        </w:tc>
      </w:tr>
      <w:tr>
        <w:trPr>
          <w:trHeight w:val="210"/>
        </w:trPr>
        <w:tc>
          <w:tcPr>
            <w:tcW w:w="8460" w:type="dxa"/>
            <w:vAlign w:val="bottom"/>
            <w:shd w:val="clear" w:color="auto" w:fill="CCEEFF"/>
          </w:tcPr>
          <w:p>
            <w:pPr>
              <w:ind w:left="140"/>
              <w:spacing w:after="0"/>
              <w:rPr>
                <w:sz w:val="20"/>
                <w:szCs w:val="20"/>
                <w:color w:val="auto"/>
              </w:rPr>
            </w:pPr>
            <w:r>
              <w:rPr>
                <w:rFonts w:ascii="Arial" w:cs="Arial" w:eastAsia="Arial" w:hAnsi="Arial"/>
                <w:sz w:val="16"/>
                <w:szCs w:val="16"/>
                <w:color w:val="auto"/>
              </w:rPr>
              <w:t>Net cash provided by operating activities</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226,916</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111,920</w:t>
            </w:r>
          </w:p>
        </w:tc>
      </w:tr>
      <w:tr>
        <w:trPr>
          <w:trHeight w:val="257"/>
        </w:trPr>
        <w:tc>
          <w:tcPr>
            <w:tcW w:w="846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0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700" w:type="dxa"/>
            <w:vAlign w:val="bottom"/>
          </w:tcPr>
          <w:p>
            <w:pPr>
              <w:spacing w:after="0"/>
              <w:rPr>
                <w:sz w:val="22"/>
                <w:szCs w:val="22"/>
                <w:color w:val="auto"/>
              </w:rPr>
            </w:pPr>
          </w:p>
        </w:tc>
      </w:tr>
      <w:tr>
        <w:trPr>
          <w:trHeight w:val="216"/>
        </w:trPr>
        <w:tc>
          <w:tcPr>
            <w:tcW w:w="8460" w:type="dxa"/>
            <w:vAlign w:val="bottom"/>
            <w:shd w:val="clear" w:color="auto" w:fill="CCEEFF"/>
          </w:tcPr>
          <w:p>
            <w:pPr>
              <w:ind w:left="140"/>
              <w:spacing w:after="0"/>
              <w:rPr>
                <w:sz w:val="20"/>
                <w:szCs w:val="20"/>
                <w:color w:val="auto"/>
              </w:rPr>
            </w:pPr>
            <w:r>
              <w:rPr>
                <w:rFonts w:ascii="Arial" w:cs="Arial" w:eastAsia="Arial" w:hAnsi="Arial"/>
                <w:sz w:val="16"/>
                <w:szCs w:val="16"/>
                <w:b w:val="1"/>
                <w:bCs w:val="1"/>
                <w:color w:val="auto"/>
              </w:rPr>
              <w:t>Cash flows from investing activities:</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r>
      <w:tr>
        <w:trPr>
          <w:trHeight w:val="215"/>
        </w:trPr>
        <w:tc>
          <w:tcPr>
            <w:tcW w:w="8460" w:type="dxa"/>
            <w:vAlign w:val="bottom"/>
          </w:tcPr>
          <w:p>
            <w:pPr>
              <w:ind w:left="220"/>
              <w:spacing w:after="0"/>
              <w:rPr>
                <w:sz w:val="20"/>
                <w:szCs w:val="20"/>
                <w:color w:val="auto"/>
              </w:rPr>
            </w:pPr>
            <w:r>
              <w:rPr>
                <w:rFonts w:ascii="Arial" w:cs="Arial" w:eastAsia="Arial" w:hAnsi="Arial"/>
                <w:sz w:val="16"/>
                <w:szCs w:val="16"/>
                <w:color w:val="auto"/>
              </w:rPr>
              <w:t>Purchase of property, plant and equipment</w:t>
            </w: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(19,632)</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(8,704)</w:t>
            </w:r>
          </w:p>
        </w:tc>
      </w:tr>
      <w:tr>
        <w:trPr>
          <w:trHeight w:val="216"/>
        </w:trPr>
        <w:tc>
          <w:tcPr>
            <w:tcW w:w="846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Sale/ (purchase) of investments in equity - long term</w:t>
            </w: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96</w:t>
            </w:r>
          </w:p>
        </w:tc>
        <w:tc>
          <w:tcPr>
            <w:tcW w:w="6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(599)</w:t>
            </w:r>
          </w:p>
        </w:tc>
      </w:tr>
      <w:tr>
        <w:trPr>
          <w:trHeight w:val="210"/>
        </w:trPr>
        <w:tc>
          <w:tcPr>
            <w:tcW w:w="8460" w:type="dxa"/>
            <w:vAlign w:val="bottom"/>
          </w:tcPr>
          <w:p>
            <w:pPr>
              <w:ind w:left="140"/>
              <w:spacing w:after="0"/>
              <w:rPr>
                <w:sz w:val="20"/>
                <w:szCs w:val="20"/>
                <w:color w:val="auto"/>
              </w:rPr>
            </w:pPr>
            <w:r>
              <w:rPr>
                <w:rFonts w:ascii="Arial" w:cs="Arial" w:eastAsia="Arial" w:hAnsi="Arial"/>
                <w:sz w:val="16"/>
                <w:szCs w:val="16"/>
                <w:color w:val="auto"/>
              </w:rPr>
              <w:t>Net cash used in investing activities</w:t>
            </w: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(19,536)</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(9,303)</w:t>
            </w:r>
          </w:p>
        </w:tc>
      </w:tr>
      <w:tr>
        <w:trPr>
          <w:trHeight w:val="257"/>
        </w:trPr>
        <w:tc>
          <w:tcPr>
            <w:tcW w:w="846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r>
      <w:tr>
        <w:trPr>
          <w:trHeight w:val="216"/>
        </w:trPr>
        <w:tc>
          <w:tcPr>
            <w:tcW w:w="8460" w:type="dxa"/>
            <w:vAlign w:val="bottom"/>
          </w:tcPr>
          <w:p>
            <w:pPr>
              <w:ind w:left="140"/>
              <w:spacing w:after="0"/>
              <w:rPr>
                <w:sz w:val="20"/>
                <w:szCs w:val="20"/>
                <w:color w:val="auto"/>
              </w:rPr>
            </w:pPr>
            <w:r>
              <w:rPr>
                <w:rFonts w:ascii="Arial" w:cs="Arial" w:eastAsia="Arial" w:hAnsi="Arial"/>
                <w:sz w:val="16"/>
                <w:szCs w:val="16"/>
                <w:b w:val="1"/>
                <w:bCs w:val="1"/>
                <w:color w:val="auto"/>
              </w:rPr>
              <w:t>Cash flows from financing activities:</w:t>
            </w:r>
          </w:p>
        </w:tc>
        <w:tc>
          <w:tcPr>
            <w:tcW w:w="3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r>
      <w:tr>
        <w:trPr>
          <w:trHeight w:val="216"/>
        </w:trPr>
        <w:tc>
          <w:tcPr>
            <w:tcW w:w="84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Proceeds from exercise of equity compensation</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7,491</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w:t>
            </w:r>
          </w:p>
        </w:tc>
      </w:tr>
      <w:tr>
        <w:trPr>
          <w:trHeight w:val="215"/>
        </w:trPr>
        <w:tc>
          <w:tcPr>
            <w:tcW w:w="8460" w:type="dxa"/>
            <w:vAlign w:val="bottom"/>
          </w:tcPr>
          <w:p>
            <w:pPr>
              <w:ind w:left="220"/>
              <w:spacing w:after="0"/>
              <w:rPr>
                <w:sz w:val="20"/>
                <w:szCs w:val="20"/>
                <w:color w:val="auto"/>
              </w:rPr>
            </w:pPr>
            <w:r>
              <w:rPr>
                <w:rFonts w:ascii="Arial" w:cs="Arial" w:eastAsia="Arial" w:hAnsi="Arial"/>
                <w:sz w:val="16"/>
                <w:szCs w:val="16"/>
                <w:color w:val="auto"/>
              </w:rPr>
              <w:t>Share issue costs</w:t>
            </w: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(5)</w:t>
            </w:r>
          </w:p>
        </w:tc>
      </w:tr>
      <w:tr>
        <w:trPr>
          <w:trHeight w:val="217"/>
        </w:trPr>
        <w:tc>
          <w:tcPr>
            <w:tcW w:w="8460" w:type="dxa"/>
            <w:vAlign w:val="bottom"/>
            <w:shd w:val="clear" w:color="auto" w:fill="CCEEFF"/>
          </w:tcPr>
          <w:p>
            <w:pPr>
              <w:ind w:left="220"/>
              <w:spacing w:after="0"/>
              <w:rPr>
                <w:sz w:val="20"/>
                <w:szCs w:val="20"/>
                <w:color w:val="auto"/>
              </w:rPr>
            </w:pPr>
            <w:r>
              <w:rPr>
                <w:rFonts w:ascii="Arial" w:cs="Arial" w:eastAsia="Arial" w:hAnsi="Arial"/>
                <w:sz w:val="16"/>
                <w:szCs w:val="16"/>
                <w:color w:val="auto"/>
              </w:rPr>
              <w:t>Repurchase of ordinary shares</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(99,983)</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8460" w:type="dxa"/>
            <w:vAlign w:val="bottom"/>
          </w:tcPr>
          <w:p>
            <w:pPr>
              <w:ind w:left="220"/>
              <w:spacing w:after="0"/>
              <w:rPr>
                <w:sz w:val="20"/>
                <w:szCs w:val="20"/>
                <w:color w:val="auto"/>
              </w:rPr>
            </w:pPr>
            <w:r>
              <w:rPr>
                <w:rFonts w:ascii="Arial" w:cs="Arial" w:eastAsia="Arial" w:hAnsi="Arial"/>
                <w:sz w:val="16"/>
                <w:szCs w:val="16"/>
                <w:color w:val="auto"/>
              </w:rPr>
              <w:t>Share repurchase costs</w:t>
            </w: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(17)</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16"/>
        </w:trPr>
        <w:tc>
          <w:tcPr>
            <w:tcW w:w="8460" w:type="dxa"/>
            <w:vAlign w:val="bottom"/>
            <w:tcBorders>
              <w:bottom w:val="single" w:sz="8" w:color="auto"/>
            </w:tcBorders>
            <w:shd w:val="clear" w:color="auto" w:fill="CCEEFF"/>
          </w:tcPr>
          <w:p>
            <w:pPr>
              <w:ind w:left="220"/>
              <w:spacing w:after="0"/>
              <w:rPr>
                <w:sz w:val="20"/>
                <w:szCs w:val="20"/>
                <w:color w:val="auto"/>
              </w:rPr>
            </w:pPr>
            <w:r>
              <w:rPr>
                <w:rFonts w:ascii="Arial" w:cs="Arial" w:eastAsia="Arial" w:hAnsi="Arial"/>
                <w:sz w:val="16"/>
                <w:szCs w:val="16"/>
                <w:color w:val="auto"/>
              </w:rPr>
              <w:t>Repayment of bank credit lines and loan facilities</w:t>
            </w:r>
          </w:p>
        </w:tc>
        <w:tc>
          <w:tcPr>
            <w:tcW w:w="3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(300,000)</w:t>
            </w:r>
          </w:p>
        </w:tc>
        <w:tc>
          <w:tcPr>
            <w:tcW w:w="62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0"/>
        </w:trPr>
        <w:tc>
          <w:tcPr>
            <w:tcW w:w="8460" w:type="dxa"/>
            <w:vAlign w:val="bottom"/>
          </w:tcPr>
          <w:p>
            <w:pPr>
              <w:ind w:left="20"/>
              <w:spacing w:after="0"/>
              <w:rPr>
                <w:sz w:val="20"/>
                <w:szCs w:val="20"/>
                <w:color w:val="auto"/>
              </w:rPr>
            </w:pPr>
            <w:r>
              <w:rPr>
                <w:rFonts w:ascii="Arial" w:cs="Arial" w:eastAsia="Arial" w:hAnsi="Arial"/>
                <w:sz w:val="16"/>
                <w:szCs w:val="16"/>
                <w:color w:val="auto"/>
              </w:rPr>
              <w:t>Net cash used in financing activities</w:t>
            </w:r>
          </w:p>
        </w:tc>
        <w:tc>
          <w:tcPr>
            <w:tcW w:w="320" w:type="dxa"/>
            <w:vAlign w:val="bottom"/>
          </w:tcPr>
          <w:p>
            <w:pPr>
              <w:spacing w:after="0"/>
              <w:rPr>
                <w:sz w:val="18"/>
                <w:szCs w:val="18"/>
                <w:color w:val="auto"/>
              </w:rPr>
            </w:pPr>
          </w:p>
        </w:tc>
        <w:tc>
          <w:tcPr>
            <w:tcW w:w="1000" w:type="dxa"/>
            <w:vAlign w:val="bottom"/>
          </w:tcPr>
          <w:p>
            <w:pPr>
              <w:jc w:val="right"/>
              <w:spacing w:after="0"/>
              <w:rPr>
                <w:sz w:val="20"/>
                <w:szCs w:val="20"/>
                <w:color w:val="auto"/>
              </w:rPr>
            </w:pPr>
            <w:r>
              <w:rPr>
                <w:rFonts w:ascii="Arial" w:cs="Arial" w:eastAsia="Arial" w:hAnsi="Arial"/>
                <w:sz w:val="16"/>
                <w:szCs w:val="16"/>
                <w:color w:val="auto"/>
              </w:rPr>
              <w:t>(392,512)</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w:t>
            </w:r>
          </w:p>
        </w:tc>
      </w:tr>
      <w:tr>
        <w:trPr>
          <w:trHeight w:val="257"/>
        </w:trPr>
        <w:tc>
          <w:tcPr>
            <w:tcW w:w="8460" w:type="dxa"/>
            <w:vAlign w:val="bottom"/>
            <w:shd w:val="clear" w:color="auto" w:fill="CCEEFF"/>
          </w:tcPr>
          <w:p>
            <w:pPr>
              <w:spacing w:after="0"/>
              <w:rPr>
                <w:sz w:val="22"/>
                <w:szCs w:val="22"/>
                <w:color w:val="auto"/>
              </w:rPr>
            </w:pPr>
          </w:p>
        </w:tc>
        <w:tc>
          <w:tcPr>
            <w:tcW w:w="320" w:type="dxa"/>
            <w:vAlign w:val="bottom"/>
            <w:shd w:val="clear" w:color="auto" w:fill="CCEEFF"/>
          </w:tcPr>
          <w:p>
            <w:pPr>
              <w:spacing w:after="0"/>
              <w:rPr>
                <w:sz w:val="22"/>
                <w:szCs w:val="22"/>
                <w:color w:val="auto"/>
              </w:rPr>
            </w:pPr>
          </w:p>
        </w:tc>
        <w:tc>
          <w:tcPr>
            <w:tcW w:w="1000" w:type="dxa"/>
            <w:vAlign w:val="bottom"/>
            <w:shd w:val="clear" w:color="auto" w:fill="CCEEFF"/>
          </w:tcPr>
          <w:p>
            <w:pPr>
              <w:spacing w:after="0"/>
              <w:rPr>
                <w:sz w:val="22"/>
                <w:szCs w:val="22"/>
                <w:color w:val="auto"/>
              </w:rPr>
            </w:pPr>
          </w:p>
        </w:tc>
        <w:tc>
          <w:tcPr>
            <w:tcW w:w="620" w:type="dxa"/>
            <w:vAlign w:val="bottom"/>
            <w:shd w:val="clear" w:color="auto" w:fill="CCEEFF"/>
          </w:tcPr>
          <w:p>
            <w:pPr>
              <w:spacing w:after="0"/>
              <w:rPr>
                <w:sz w:val="22"/>
                <w:szCs w:val="22"/>
                <w:color w:val="auto"/>
              </w:rPr>
            </w:pPr>
          </w:p>
        </w:tc>
        <w:tc>
          <w:tcPr>
            <w:tcW w:w="700" w:type="dxa"/>
            <w:vAlign w:val="bottom"/>
            <w:shd w:val="clear" w:color="auto" w:fill="CCEEFF"/>
          </w:tcPr>
          <w:p>
            <w:pPr>
              <w:spacing w:after="0"/>
              <w:rPr>
                <w:sz w:val="22"/>
                <w:szCs w:val="22"/>
                <w:color w:val="auto"/>
              </w:rPr>
            </w:pPr>
          </w:p>
        </w:tc>
      </w:tr>
      <w:tr>
        <w:trPr>
          <w:trHeight w:val="223"/>
        </w:trPr>
        <w:tc>
          <w:tcPr>
            <w:tcW w:w="84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Effect of exchange rate movements on cash</w:t>
            </w:r>
          </w:p>
        </w:tc>
        <w:tc>
          <w:tcPr>
            <w:tcW w:w="3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(7,983)</w:t>
            </w:r>
          </w:p>
        </w:tc>
        <w:tc>
          <w:tcPr>
            <w:tcW w:w="6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(467)</w:t>
            </w:r>
          </w:p>
        </w:tc>
      </w:tr>
      <w:tr>
        <w:trPr>
          <w:trHeight w:val="216"/>
        </w:trPr>
        <w:tc>
          <w:tcPr>
            <w:tcW w:w="84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Net (decrease)/ increase in cash and cash equivalents</w:t>
            </w:r>
          </w:p>
        </w:tc>
        <w:tc>
          <w:tcPr>
            <w:tcW w:w="3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(193,115)</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102,150</w:t>
            </w:r>
          </w:p>
        </w:tc>
      </w:tr>
      <w:tr>
        <w:trPr>
          <w:trHeight w:val="223"/>
        </w:trPr>
        <w:tc>
          <w:tcPr>
            <w:tcW w:w="84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Cash and cash equivalents at beginning of period</w:t>
            </w:r>
          </w:p>
        </w:tc>
        <w:tc>
          <w:tcPr>
            <w:tcW w:w="3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752,213</w:t>
            </w:r>
          </w:p>
        </w:tc>
        <w:tc>
          <w:tcPr>
            <w:tcW w:w="62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840,305</w:t>
            </w:r>
          </w:p>
        </w:tc>
      </w:tr>
      <w:tr>
        <w:trPr>
          <w:trHeight w:val="241"/>
        </w:trPr>
        <w:tc>
          <w:tcPr>
            <w:tcW w:w="84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Cash and cash equivalents at end of period</w:t>
            </w:r>
          </w:p>
        </w:tc>
        <w:tc>
          <w:tcPr>
            <w:tcW w:w="320" w:type="dxa"/>
            <w:vAlign w:val="bottom"/>
            <w:tcBorders>
              <w:bottom w:val="single" w:sz="8" w:color="auto"/>
            </w:tcBorders>
            <w:shd w:val="clear" w:color="auto" w:fill="CCEEFF"/>
          </w:tcPr>
          <w:p>
            <w:pPr>
              <w:spacing w:after="0"/>
              <w:rPr>
                <w:sz w:val="20"/>
                <w:szCs w:val="20"/>
                <w:color w:val="auto"/>
              </w:rPr>
            </w:pPr>
          </w:p>
        </w:tc>
        <w:tc>
          <w:tcPr>
            <w:tcW w:w="10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559,098</w:t>
            </w:r>
          </w:p>
        </w:tc>
        <w:tc>
          <w:tcPr>
            <w:tcW w:w="620" w:type="dxa"/>
            <w:vAlign w:val="bottom"/>
            <w:tcBorders>
              <w:bottom w:val="single" w:sz="8" w:color="auto"/>
            </w:tcBorders>
            <w:shd w:val="clear" w:color="auto" w:fill="CCEEFF"/>
          </w:tcPr>
          <w:p>
            <w:pPr>
              <w:spacing w:after="0"/>
              <w:rPr>
                <w:sz w:val="20"/>
                <w:szCs w:val="20"/>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942,455</w:t>
            </w:r>
          </w:p>
        </w:tc>
      </w:tr>
      <w:tr>
        <w:trPr>
          <w:trHeight w:val="20"/>
        </w:trPr>
        <w:tc>
          <w:tcPr>
            <w:tcW w:w="846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00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bl>
    <w:p>
      <w:pPr>
        <w:spacing w:after="0" w:line="323" w:lineRule="exact"/>
        <w:rPr>
          <w:sz w:val="20"/>
          <w:szCs w:val="20"/>
          <w:color w:val="auto"/>
        </w:rPr>
      </w:pPr>
    </w:p>
    <w:p>
      <w:pPr>
        <w:jc w:val="center"/>
        <w:ind w:right="-139"/>
        <w:spacing w:after="0"/>
        <w:rPr>
          <w:sz w:val="20"/>
          <w:szCs w:val="20"/>
          <w:color w:val="auto"/>
        </w:rPr>
      </w:pPr>
      <w:r>
        <w:rPr>
          <w:rFonts w:ascii="Arial" w:cs="Arial" w:eastAsia="Arial" w:hAnsi="Arial"/>
          <w:sz w:val="16"/>
          <w:szCs w:val="16"/>
          <w:color w:val="auto"/>
        </w:rPr>
        <w:t>The accompanying notes are an integral part of these condensed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ind w:right="-139"/>
        <w:spacing w:after="0"/>
        <w:rPr>
          <w:sz w:val="20"/>
          <w:szCs w:val="20"/>
          <w:color w:val="auto"/>
        </w:rPr>
      </w:pPr>
      <w:r>
        <w:rPr>
          <w:rFonts w:ascii="Arial" w:cs="Arial" w:eastAsia="Arial" w:hAnsi="Arial"/>
          <w:sz w:val="16"/>
          <w:szCs w:val="16"/>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00"/>
          </w:cols>
          <w:pgMar w:left="320" w:top="449" w:right="479" w:bottom="1440" w:gutter="0" w:footer="0" w:header="0"/>
        </w:sectPr>
      </w:pPr>
    </w:p>
    <w:bookmarkStart w:id="9" w:name="page10"/>
    <w:bookmarkEnd w:id="9"/>
    <w:p>
      <w:pPr>
        <w:jc w:val="center"/>
        <w:spacing w:after="0"/>
        <w:rPr>
          <w:sz w:val="20"/>
          <w:szCs w:val="20"/>
          <w:color w:val="auto"/>
        </w:rPr>
      </w:pPr>
      <w:r>
        <w:rPr>
          <w:rFonts w:ascii="Arial" w:cs="Arial" w:eastAsia="Arial" w:hAnsi="Arial"/>
          <w:sz w:val="16"/>
          <w:szCs w:val="16"/>
          <w:b w:val="1"/>
          <w:bCs w:val="1"/>
          <w:color w:val="auto"/>
        </w:rPr>
        <w:t>ICON plc</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6"/>
          <w:szCs w:val="16"/>
          <w:b w:val="1"/>
          <w:bCs w:val="1"/>
          <w:color w:val="auto"/>
        </w:rPr>
        <w:t>NOTES TO THE CONDENSED CONSOLIDATED FINANCIAL STATEMENTS</w:t>
      </w:r>
    </w:p>
    <w:p>
      <w:pPr>
        <w:spacing w:after="0" w:line="19" w:lineRule="exact"/>
        <w:rPr>
          <w:sz w:val="20"/>
          <w:szCs w:val="20"/>
          <w:color w:val="auto"/>
        </w:rPr>
      </w:pPr>
    </w:p>
    <w:p>
      <w:pPr>
        <w:ind w:left="5100"/>
        <w:spacing w:after="0"/>
        <w:rPr>
          <w:sz w:val="20"/>
          <w:szCs w:val="20"/>
          <w:color w:val="auto"/>
        </w:rPr>
      </w:pPr>
      <w:r>
        <w:rPr>
          <w:rFonts w:ascii="Arial" w:cs="Arial" w:eastAsia="Arial" w:hAnsi="Arial"/>
          <w:sz w:val="16"/>
          <w:szCs w:val="16"/>
          <w:b w:val="1"/>
          <w:bCs w:val="1"/>
          <w:color w:val="auto"/>
        </w:rPr>
        <w:t>(UNAUDITED)</w:t>
      </w:r>
    </w:p>
    <w:p>
      <w:pPr>
        <w:spacing w:after="0" w:line="5" w:lineRule="exact"/>
        <w:rPr>
          <w:sz w:val="20"/>
          <w:szCs w:val="20"/>
          <w:color w:val="auto"/>
        </w:rPr>
      </w:pPr>
    </w:p>
    <w:p>
      <w:pPr>
        <w:ind w:left="5040"/>
        <w:spacing w:after="0"/>
        <w:rPr>
          <w:sz w:val="20"/>
          <w:szCs w:val="20"/>
          <w:color w:val="auto"/>
        </w:rPr>
      </w:pPr>
      <w:r>
        <w:rPr>
          <w:rFonts w:ascii="Arial" w:cs="Arial" w:eastAsia="Arial" w:hAnsi="Arial"/>
          <w:sz w:val="16"/>
          <w:szCs w:val="16"/>
          <w:b w:val="1"/>
          <w:bCs w:val="1"/>
          <w:color w:val="auto"/>
        </w:rPr>
        <w:t>March 31, 2022</w:t>
      </w:r>
    </w:p>
    <w:p>
      <w:pPr>
        <w:spacing w:after="0" w:line="27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 Basis of presentation</w:t>
      </w:r>
    </w:p>
    <w:p>
      <w:pPr>
        <w:spacing w:after="0" w:line="248"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These condensed consolidated financial statements which have been prepared in accordance with United States Generally Accepted Accounting Principles (“US GAAP”) have not been audited. The condensed consolidated financial statements reflect all adjustments, which are, in the opinion of management, necessary to present a fair statement of the operating results and financial position for the periods presented. The preparation of the condensed consolidated financial statements in conformity with US GAAP requires management to make estimates and assumptions that affect reported amounts and disclosures in the condensed consolidated financial statements. Actual results could differ from those estimates.</w:t>
      </w:r>
    </w:p>
    <w:p>
      <w:pPr>
        <w:spacing w:after="0" w:line="199"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 xml:space="preserve">The condensed consolidated financial statements should be read in conjunction with the accounting policies and notes to the consolidated financial statements included in ICON’s Form 20-F for the year ended December 31, 2021 (see </w:t>
      </w:r>
      <w:r>
        <w:rPr>
          <w:rFonts w:ascii="Arial" w:cs="Arial" w:eastAsia="Arial" w:hAnsi="Arial"/>
          <w:sz w:val="16"/>
          <w:szCs w:val="16"/>
          <w:i w:val="1"/>
          <w:iCs w:val="1"/>
          <w:color w:val="auto"/>
        </w:rPr>
        <w:t>note 2 - Significant accounting policies</w:t>
      </w:r>
      <w:r>
        <w:rPr>
          <w:rFonts w:ascii="Arial" w:cs="Arial" w:eastAsia="Arial" w:hAnsi="Arial"/>
          <w:sz w:val="16"/>
          <w:szCs w:val="16"/>
          <w:color w:val="auto"/>
        </w:rPr>
        <w:t xml:space="preserve"> for impact of adoption of any new accounting standards). Operating results for the three months ended March 31, 2022 are not necessarily indicative of the results that may be expected for the fiscal period ending December 31, 2022.</w:t>
      </w:r>
    </w:p>
    <w:p>
      <w:pPr>
        <w:spacing w:after="0" w:line="186" w:lineRule="exact"/>
        <w:rPr>
          <w:sz w:val="20"/>
          <w:szCs w:val="20"/>
          <w:color w:val="auto"/>
        </w:rPr>
      </w:pPr>
    </w:p>
    <w:p>
      <w:pPr>
        <w:jc w:val="both"/>
        <w:ind w:firstLine="648"/>
        <w:spacing w:after="0" w:line="247" w:lineRule="auto"/>
        <w:rPr>
          <w:sz w:val="20"/>
          <w:szCs w:val="20"/>
          <w:color w:val="auto"/>
        </w:rPr>
      </w:pPr>
      <w:r>
        <w:rPr>
          <w:rFonts w:ascii="Arial" w:cs="Arial" w:eastAsia="Arial" w:hAnsi="Arial"/>
          <w:sz w:val="16"/>
          <w:szCs w:val="16"/>
          <w:color w:val="auto"/>
        </w:rPr>
        <w:t>Certain prior period amounts in the consolidated financial statements and accompanying notes have been reclassified to conform to the current period’s presentation. Most notably, the Company has presented transaction and integration-related expenses as a separate line in the Condensed Consolidated Statement of Operations and reclassified certain costs incurred in the three months ended March 31, 2021 within this line. These costs consist of transaction related expenses incurred as part of the Merger. These costs amounted to $12.5 million and were previously presented in the selling, general and administrative expenses but have been reclassified to transaction and integration-related expenses to conform to the current period’s presentation.</w:t>
      </w:r>
    </w:p>
    <w:p>
      <w:pPr>
        <w:spacing w:after="0" w:line="200" w:lineRule="exact"/>
        <w:rPr>
          <w:sz w:val="20"/>
          <w:szCs w:val="20"/>
          <w:color w:val="auto"/>
        </w:rPr>
      </w:pPr>
    </w:p>
    <w:p>
      <w:pPr>
        <w:spacing w:after="0" w:line="29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2. Significant accounting policies</w:t>
      </w:r>
    </w:p>
    <w:p>
      <w:pPr>
        <w:spacing w:after="0" w:line="277"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Revenue recognition</w:t>
      </w:r>
    </w:p>
    <w:p>
      <w:pPr>
        <w:spacing w:after="0" w:line="273"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The Company earns revenues by providing a number of different services to its customers. These services, which are integral elements of the clinical development process, include clinical trials management, consulting, contract staffing, data services and laboratory services. Contracts range in duration from a number of months to several years.</w:t>
      </w:r>
    </w:p>
    <w:p>
      <w:pPr>
        <w:spacing w:after="0" w:line="205"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6"/>
          <w:szCs w:val="16"/>
          <w:color w:val="auto"/>
        </w:rPr>
        <w:t>ASC 606 requires application of five steps: (1) identify the contract(s) with a customer; (2) identify the performance obligation in the contract; (3) determine the transaction price; (4) allocate the transaction price to the performance obligations in the contract; and (5) recognize revenue when (or as) the entity satisfies the performance obligation(s).</w:t>
      </w:r>
    </w:p>
    <w:p>
      <w:pPr>
        <w:spacing w:after="0" w:line="214"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Clinical trial service revenue</w:t>
      </w:r>
    </w:p>
    <w:p>
      <w:pPr>
        <w:spacing w:after="0" w:line="19"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6"/>
          <w:szCs w:val="16"/>
          <w:color w:val="auto"/>
        </w:rPr>
        <w:t>A clinical trial service is a single performance obligation satisfied over time, i.e. the full-service obligation in respect of a clinical trial (including those services performed by investigators and other parties) is considered a single performance obligation. Promises offered to the customer are not distinct within the context of the contract. We have concluded that ICON is the contract principal in respect of both direct services and in the use of third parties (principally investigator services) that support the clinical research project. The transaction price is determined by reference to the contract or change order value (total service revenue and pass-through/ reimbursable expenses) adjusted to reflect a realizable contract value. Revenue is recognized as the single performance obligation is satisfied. The progress towards completion for clinical service contracts is measured based on an input measure being total project costs incurred (inclusive of third party costs) at each reporting period as a percentage of forecasted total project costs.</w:t>
      </w:r>
    </w:p>
    <w:p>
      <w:pPr>
        <w:spacing w:after="0" w:line="20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Contracting services revenue</w:t>
      </w:r>
    </w:p>
    <w:p>
      <w:pPr>
        <w:spacing w:after="0" w:line="1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6"/>
          <w:szCs w:val="16"/>
          <w:color w:val="auto"/>
        </w:rPr>
        <w:t>The Company has availed of the practical expedient which results in recognition of revenue on a right to invoice basis. Application of the practical expedient reflects the right to consideration from the customer in an amount that corresponds directly with the value to the customer of the performance completion to date. This reflects hours performed by contract staff.</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Consulting services revenue</w:t>
      </w:r>
    </w:p>
    <w:p>
      <w:pPr>
        <w:spacing w:after="0" w:line="29" w:lineRule="exact"/>
        <w:rPr>
          <w:sz w:val="20"/>
          <w:szCs w:val="20"/>
          <w:color w:val="auto"/>
        </w:rPr>
      </w:pPr>
    </w:p>
    <w:p>
      <w:pPr>
        <w:jc w:val="both"/>
        <w:ind w:firstLine="648"/>
        <w:spacing w:after="0" w:line="263" w:lineRule="auto"/>
        <w:rPr>
          <w:sz w:val="20"/>
          <w:szCs w:val="20"/>
          <w:color w:val="auto"/>
        </w:rPr>
      </w:pPr>
      <w:r>
        <w:rPr>
          <w:rFonts w:ascii="Arial" w:cs="Arial" w:eastAsia="Arial" w:hAnsi="Arial"/>
          <w:sz w:val="16"/>
          <w:szCs w:val="16"/>
          <w:color w:val="auto"/>
        </w:rPr>
        <w:t>We have concluded that our consulting services contracts represent a single performance obligation satisfied over time. The transaction price is determined by reference to contract or change order value. Revenue is recognized as the performance obligation is satisfied. The progress towards completion for consulting contracts is measured based on total project inputs (time) at each reporting period as a percentage of forecasted total project inputs.</w:t>
      </w:r>
    </w:p>
    <w:p>
      <w:pPr>
        <w:sectPr>
          <w:pgSz w:w="11900" w:h="16838" w:orient="portrait"/>
          <w:cols w:equalWidth="0" w:num="1">
            <w:col w:w="11240"/>
          </w:cols>
          <w:pgMar w:left="320" w:top="895"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jc w:val="center"/>
        <w:spacing w:after="0"/>
        <w:rPr>
          <w:sz w:val="20"/>
          <w:szCs w:val="20"/>
          <w:color w:val="auto"/>
        </w:rPr>
      </w:pPr>
      <w:r>
        <w:rPr>
          <w:rFonts w:ascii="Arial" w:cs="Arial" w:eastAsia="Arial" w:hAnsi="Arial"/>
          <w:sz w:val="14"/>
          <w:szCs w:val="14"/>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82550</wp:posOffset>
            </wp:positionV>
            <wp:extent cx="7157720" cy="425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type w:val="continuous"/>
        </w:sectPr>
      </w:pPr>
    </w:p>
    <w:bookmarkStart w:id="10" w:name="page11"/>
    <w:bookmarkEnd w:id="10"/>
    <w:p>
      <w:pPr>
        <w:spacing w:after="0"/>
        <w:rPr>
          <w:sz w:val="20"/>
          <w:szCs w:val="20"/>
          <w:color w:val="auto"/>
        </w:rPr>
      </w:pPr>
      <w:r>
        <w:rPr>
          <w:rFonts w:ascii="Arial" w:cs="Arial" w:eastAsia="Arial" w:hAnsi="Arial"/>
          <w:sz w:val="16"/>
          <w:szCs w:val="16"/>
          <w:i w:val="1"/>
          <w:iCs w:val="1"/>
          <w:color w:val="auto"/>
        </w:rPr>
        <w:t>Laboratory services revenue</w:t>
      </w:r>
    </w:p>
    <w:p>
      <w:pPr>
        <w:spacing w:after="0" w:line="1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6"/>
          <w:szCs w:val="16"/>
          <w:color w:val="auto"/>
        </w:rPr>
        <w:t>Revenue is recognized when, or as, obligations under the terms of a contract are satisfied, which occurs when control of the products or services are transferred to the customer. Revenue for laboratory services is measured as the amount of consideration we expect to receive in exchange for transferring products or services. Where contracts with customers contain multiple performance obligations, the transaction price is allocated to each performance obligation based on the estimated relative selling price of the promised good or service. Service revenue is recognized over time as the services are delivered to the customer based on the extent of progress towards completion of the performance obligation. The determination of the methodology to measure progress requires judgment and is based on the nature of services provided. This requires an assessment of the transfer of value to the customer. The right to invoice measure of progress is generally related to rate per unit contracts, as the extent of progress towards completion is measured based on discrete service or time-based increments, such as samples tested or labor hours incurred. Revenue is recorded in the amount invoiced since that amounts corresponds to the value of the Company's performance and the transfer of value to the customer.</w:t>
      </w:r>
    </w:p>
    <w:p>
      <w:pPr>
        <w:spacing w:after="0" w:line="21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Data services revenue</w:t>
      </w:r>
    </w:p>
    <w:p>
      <w:pPr>
        <w:spacing w:after="0" w:line="19"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Company provides data reports and analytics to customers based on agreed-upon specifications, including the timing of delivery, which is typically either weekly, monthly, or quarterly. If a customer requests more than one type of data report or series of data reports within a contract, each distinct type of data report is a separate performance obligation. The contracts provide for the Company to be compensated for the value of each deliverable. The transaction price is determined using list prices, discount agreements, if any, and negotiations with the customers, and generally includes any out-of-pocket expenses. Typically, the Company bills in advance of services being provided with the amount being recorded as unearned revenue.</w:t>
      </w:r>
    </w:p>
    <w:p>
      <w:pPr>
        <w:spacing w:after="0" w:line="202"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When multiple performance obligations exist, the transaction price is allocated to performance obligations on a relative standalone selling price basis. In cases where the Company contracts to provide a series of data reports, or in some cases data, the Company recognizes revenue over time using the “units delivered” output method as the data or reports are delivered. Expense reimbursements are recorded to revenue as the expenses are incurred as they relate directly to the services performed.</w:t>
      </w: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Commissions</w:t>
      </w:r>
    </w:p>
    <w:p>
      <w:pPr>
        <w:spacing w:after="0" w:line="19" w:lineRule="exact"/>
        <w:rPr>
          <w:sz w:val="20"/>
          <w:szCs w:val="20"/>
          <w:color w:val="auto"/>
        </w:rPr>
      </w:pPr>
    </w:p>
    <w:p>
      <w:pPr>
        <w:jc w:val="both"/>
        <w:ind w:firstLine="648"/>
        <w:spacing w:after="0" w:line="264" w:lineRule="auto"/>
        <w:rPr>
          <w:sz w:val="20"/>
          <w:szCs w:val="20"/>
          <w:color w:val="auto"/>
        </w:rPr>
      </w:pPr>
      <w:r>
        <w:rPr>
          <w:rFonts w:ascii="Arial" w:cs="Arial" w:eastAsia="Arial" w:hAnsi="Arial"/>
          <w:sz w:val="16"/>
          <w:szCs w:val="16"/>
          <w:color w:val="auto"/>
        </w:rPr>
        <w:t>Incremental costs of obtaining a contract are recognized as an asset on the Condensed Consolidated Balance Sheet in respect of those contracts that exceed one year. Where commission costs relate to contracts that are less than one year, the practical expedient is applied as the amortization period of the asset which would arise on deferral would be one year or less.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Business Combinations</w:t>
      </w:r>
    </w:p>
    <w:p>
      <w:pPr>
        <w:spacing w:after="0" w:line="287"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6"/>
          <w:szCs w:val="16"/>
          <w:color w:val="auto"/>
        </w:rPr>
        <w:t>The cost of a business combination is measured as the aggregate of the fair values at the date of exchange of assets given, liabilities incurred or assumed and equity instruments issued in exchange for control. Where a business combination agreement provides for an adjustment to the cost of the acquisition which is contingent upon future events, the amount of the estimated adjustment is recognized at the acquisition date at the fair value of the contingent consideration. Any changes to this estimate outside the measurement period will depend on the classification of the contingent consideration. If the contingent consideration is classified as equity it shall not be re-measured and the settlement shall be accounted for within equity. If the contingent consideration is classified as a liability any adjustments will be accounted for through the Consolidated Statement of Operations or Other Comprehensive Income depending on whether the liability is considered a financial instrument.</w:t>
      </w:r>
    </w:p>
    <w:p>
      <w:pPr>
        <w:spacing w:after="0" w:line="217"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assets, liabilities and contingent liabilities of businesses acquired are measured at their fair values at the date of acquisition. In the case of a business combination which is completed in stages, the fair values of the identifiable assets, liabilities and contingent liabilities are determined at the date of each exchange transaction. When the initial accounting for a business combination is determined provisionally, any subsequent adjustments to the provisional values allocated to the identifiable assets, liabilities and contingent liabilities are made within twelve months of the acquisition date and presented as adjustments to goodwill in the reporting period in which the adjustments are determined.</w:t>
      </w:r>
    </w:p>
    <w:p>
      <w:pPr>
        <w:spacing w:after="0" w:line="205"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Company allocates a share of net income to the noncontrolling interest holders based on percentage ownership.</w:t>
      </w:r>
    </w:p>
    <w:p>
      <w:pPr>
        <w:spacing w:after="0" w:line="291"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Intangible Assets</w:t>
      </w:r>
    </w:p>
    <w:p>
      <w:pPr>
        <w:spacing w:after="0" w:line="27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Intangible assets are amortized on a straight line basis over their estimated useful life.</w:t>
      </w: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7" w:right="339" w:bottom="1440" w:gutter="0" w:footer="0" w:header="0"/>
        </w:sectPr>
      </w:pPr>
    </w:p>
    <w:bookmarkStart w:id="11" w:name="page12"/>
    <w:bookmarkEnd w:id="11"/>
    <w:tbl>
      <w:tblPr>
        <w:tblLayout w:type="fixed"/>
        <w:tblInd w:w="0" w:type="dxa"/>
        <w:tblCellMar>
          <w:top w:w="0" w:type="dxa"/>
          <w:left w:w="0" w:type="dxa"/>
          <w:bottom w:w="0" w:type="dxa"/>
          <w:right w:w="0" w:type="dxa"/>
        </w:tblCellMar>
      </w:tblPr>
      <w:tr>
        <w:trPr>
          <w:trHeight w:val="223"/>
        </w:trPr>
        <w:tc>
          <w:tcPr>
            <w:tcW w:w="8140" w:type="dxa"/>
            <w:vAlign w:val="bottom"/>
          </w:tcPr>
          <w:p>
            <w:pPr>
              <w:spacing w:after="0"/>
              <w:rPr>
                <w:sz w:val="20"/>
                <w:szCs w:val="20"/>
                <w:color w:val="auto"/>
              </w:rPr>
            </w:pPr>
            <w:r>
              <w:rPr>
                <w:rFonts w:ascii="Arial" w:cs="Arial" w:eastAsia="Arial" w:hAnsi="Arial"/>
                <w:sz w:val="16"/>
                <w:szCs w:val="16"/>
                <w:b w:val="1"/>
                <w:bCs w:val="1"/>
                <w:color w:val="auto"/>
              </w:rPr>
              <w:t>3. Revenue</w:t>
            </w: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80" w:type="dxa"/>
            <w:vAlign w:val="bottom"/>
          </w:tcPr>
          <w:p>
            <w:pPr>
              <w:spacing w:after="0"/>
              <w:rPr>
                <w:sz w:val="19"/>
                <w:szCs w:val="19"/>
                <w:color w:val="auto"/>
              </w:rPr>
            </w:pPr>
          </w:p>
        </w:tc>
      </w:tr>
      <w:tr>
        <w:trPr>
          <w:trHeight w:val="424"/>
        </w:trPr>
        <w:tc>
          <w:tcPr>
            <w:tcW w:w="8140" w:type="dxa"/>
            <w:vAlign w:val="bottom"/>
          </w:tcPr>
          <w:p>
            <w:pPr>
              <w:ind w:left="660"/>
              <w:spacing w:after="0"/>
              <w:rPr>
                <w:sz w:val="20"/>
                <w:szCs w:val="20"/>
                <w:color w:val="auto"/>
              </w:rPr>
            </w:pPr>
            <w:r>
              <w:rPr>
                <w:rFonts w:ascii="Arial" w:cs="Arial" w:eastAsia="Arial" w:hAnsi="Arial"/>
                <w:sz w:val="16"/>
                <w:szCs w:val="16"/>
                <w:color w:val="auto"/>
              </w:rPr>
              <w:t>Revenue disaggregated by customer profile is as follows:</w:t>
            </w: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110"/>
        </w:trPr>
        <w:tc>
          <w:tcPr>
            <w:tcW w:w="8140" w:type="dxa"/>
            <w:vAlign w:val="bottom"/>
          </w:tcPr>
          <w:p>
            <w:pPr>
              <w:spacing w:after="0"/>
              <w:rPr>
                <w:sz w:val="9"/>
                <w:szCs w:val="9"/>
                <w:color w:val="auto"/>
              </w:rPr>
            </w:pPr>
          </w:p>
        </w:tc>
        <w:tc>
          <w:tcPr>
            <w:tcW w:w="220" w:type="dxa"/>
            <w:vAlign w:val="bottom"/>
          </w:tcPr>
          <w:p>
            <w:pPr>
              <w:spacing w:after="0"/>
              <w:rPr>
                <w:sz w:val="9"/>
                <w:szCs w:val="9"/>
                <w:color w:val="auto"/>
              </w:rPr>
            </w:pPr>
          </w:p>
        </w:tc>
        <w:tc>
          <w:tcPr>
            <w:tcW w:w="2780" w:type="dxa"/>
            <w:vAlign w:val="bottom"/>
            <w:gridSpan w:val="3"/>
          </w:tcPr>
          <w:p>
            <w:pPr>
              <w:spacing w:after="0"/>
              <w:rPr>
                <w:sz w:val="9"/>
                <w:szCs w:val="9"/>
                <w:color w:val="auto"/>
              </w:rPr>
            </w:pPr>
          </w:p>
        </w:tc>
      </w:tr>
      <w:tr>
        <w:trPr>
          <w:trHeight w:val="216"/>
        </w:trPr>
        <w:tc>
          <w:tcPr>
            <w:tcW w:w="814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2780" w:type="dxa"/>
            <w:vAlign w:val="bottom"/>
            <w:tcBorders>
              <w:bottom w:val="single" w:sz="8" w:color="auto"/>
            </w:tcBorders>
            <w:gridSpan w:val="3"/>
            <w:shd w:val="clear" w:color="auto" w:fill="CCEEFF"/>
          </w:tcPr>
          <w:p>
            <w:pPr>
              <w:jc w:val="right"/>
              <w:ind w:right="619"/>
              <w:spacing w:after="0"/>
              <w:rPr>
                <w:sz w:val="20"/>
                <w:szCs w:val="20"/>
                <w:color w:val="auto"/>
              </w:rPr>
            </w:pPr>
            <w:r>
              <w:rPr>
                <w:rFonts w:ascii="Arial" w:cs="Arial" w:eastAsia="Arial" w:hAnsi="Arial"/>
                <w:sz w:val="16"/>
                <w:szCs w:val="16"/>
                <w:b w:val="1"/>
                <w:bCs w:val="1"/>
                <w:color w:val="auto"/>
              </w:rPr>
              <w:t>Three Months Ended</w:t>
            </w:r>
          </w:p>
        </w:tc>
      </w:tr>
      <w:tr>
        <w:trPr>
          <w:trHeight w:val="209"/>
        </w:trPr>
        <w:tc>
          <w:tcPr>
            <w:tcW w:w="8140" w:type="dxa"/>
            <w:vAlign w:val="bottom"/>
            <w:tcBorders>
              <w:bottom w:val="single" w:sz="8" w:color="auto"/>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2022</w:t>
            </w:r>
          </w:p>
        </w:tc>
        <w:tc>
          <w:tcPr>
            <w:tcW w:w="22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10"/>
        </w:trPr>
        <w:tc>
          <w:tcPr>
            <w:tcW w:w="81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2780" w:type="dxa"/>
            <w:vAlign w:val="bottom"/>
            <w:gridSpan w:val="3"/>
            <w:shd w:val="clear" w:color="auto" w:fill="CCEEFF"/>
          </w:tcPr>
          <w:p>
            <w:pPr>
              <w:jc w:val="right"/>
              <w:ind w:right="859"/>
              <w:spacing w:after="0"/>
              <w:rPr>
                <w:sz w:val="20"/>
                <w:szCs w:val="20"/>
                <w:color w:val="auto"/>
              </w:rPr>
            </w:pPr>
            <w:r>
              <w:rPr>
                <w:rFonts w:ascii="Arial" w:cs="Arial" w:eastAsia="Arial" w:hAnsi="Arial"/>
                <w:sz w:val="16"/>
                <w:szCs w:val="16"/>
                <w:b w:val="1"/>
                <w:bCs w:val="1"/>
                <w:color w:val="auto"/>
              </w:rPr>
              <w:t>(in thousands)</w:t>
            </w:r>
          </w:p>
        </w:tc>
      </w:tr>
      <w:tr>
        <w:trPr>
          <w:trHeight w:val="270"/>
        </w:trPr>
        <w:tc>
          <w:tcPr>
            <w:tcW w:w="814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280" w:type="dxa"/>
            <w:vAlign w:val="bottom"/>
          </w:tcPr>
          <w:p>
            <w:pPr>
              <w:spacing w:after="0"/>
              <w:rPr>
                <w:sz w:val="23"/>
                <w:szCs w:val="23"/>
                <w:color w:val="auto"/>
              </w:rPr>
            </w:pPr>
          </w:p>
        </w:tc>
      </w:tr>
      <w:tr>
        <w:trPr>
          <w:trHeight w:val="216"/>
        </w:trPr>
        <w:tc>
          <w:tcPr>
            <w:tcW w:w="8140" w:type="dxa"/>
            <w:vAlign w:val="bottom"/>
            <w:shd w:val="clear" w:color="auto" w:fill="CCEEFF"/>
          </w:tcPr>
          <w:p>
            <w:pPr>
              <w:ind w:left="20"/>
              <w:spacing w:after="0"/>
              <w:rPr>
                <w:sz w:val="20"/>
                <w:szCs w:val="20"/>
                <w:color w:val="auto"/>
              </w:rPr>
            </w:pPr>
            <w:r>
              <w:rPr>
                <w:rFonts w:ascii="Arial" w:cs="Arial" w:eastAsia="Arial" w:hAnsi="Arial"/>
                <w:sz w:val="16"/>
                <w:szCs w:val="16"/>
                <w:color w:val="auto"/>
              </w:rPr>
              <w:t>Clients 1-5</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544,625</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394,194</w:t>
            </w:r>
          </w:p>
        </w:tc>
      </w:tr>
      <w:tr>
        <w:trPr>
          <w:trHeight w:val="215"/>
        </w:trPr>
        <w:tc>
          <w:tcPr>
            <w:tcW w:w="8140" w:type="dxa"/>
            <w:vAlign w:val="bottom"/>
          </w:tcPr>
          <w:p>
            <w:pPr>
              <w:ind w:left="20"/>
              <w:spacing w:after="0"/>
              <w:rPr>
                <w:sz w:val="20"/>
                <w:szCs w:val="20"/>
                <w:color w:val="auto"/>
              </w:rPr>
            </w:pPr>
            <w:r>
              <w:rPr>
                <w:rFonts w:ascii="Arial" w:cs="Arial" w:eastAsia="Arial" w:hAnsi="Arial"/>
                <w:sz w:val="16"/>
                <w:szCs w:val="16"/>
                <w:color w:val="auto"/>
              </w:rPr>
              <w:t>Clients 6-10</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287,740</w:t>
            </w:r>
          </w:p>
        </w:tc>
        <w:tc>
          <w:tcPr>
            <w:tcW w:w="2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124,098</w:t>
            </w:r>
          </w:p>
        </w:tc>
      </w:tr>
      <w:tr>
        <w:trPr>
          <w:trHeight w:val="217"/>
        </w:trPr>
        <w:tc>
          <w:tcPr>
            <w:tcW w:w="8140" w:type="dxa"/>
            <w:vAlign w:val="bottom"/>
            <w:shd w:val="clear" w:color="auto" w:fill="CCEEFF"/>
          </w:tcPr>
          <w:p>
            <w:pPr>
              <w:ind w:left="20"/>
              <w:spacing w:after="0"/>
              <w:rPr>
                <w:sz w:val="20"/>
                <w:szCs w:val="20"/>
                <w:color w:val="auto"/>
              </w:rPr>
            </w:pPr>
            <w:r>
              <w:rPr>
                <w:rFonts w:ascii="Arial" w:cs="Arial" w:eastAsia="Arial" w:hAnsi="Arial"/>
                <w:sz w:val="16"/>
                <w:szCs w:val="16"/>
                <w:color w:val="auto"/>
              </w:rPr>
              <w:t>Clients 11-25</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362,192</w:t>
            </w:r>
          </w:p>
        </w:tc>
        <w:tc>
          <w:tcPr>
            <w:tcW w:w="220" w:type="dxa"/>
            <w:vAlign w:val="bottom"/>
            <w:shd w:val="clear" w:color="auto" w:fill="CCEEFF"/>
          </w:tcPr>
          <w:p>
            <w:pPr>
              <w:spacing w:after="0"/>
              <w:rPr>
                <w:sz w:val="18"/>
                <w:szCs w:val="18"/>
                <w:color w:val="auto"/>
              </w:rPr>
            </w:pPr>
          </w:p>
        </w:tc>
        <w:tc>
          <w:tcPr>
            <w:tcW w:w="12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141,124</w:t>
            </w:r>
          </w:p>
        </w:tc>
      </w:tr>
      <w:tr>
        <w:trPr>
          <w:trHeight w:val="223"/>
        </w:trPr>
        <w:tc>
          <w:tcPr>
            <w:tcW w:w="81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Other</w:t>
            </w:r>
          </w:p>
        </w:tc>
        <w:tc>
          <w:tcPr>
            <w:tcW w:w="22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707,207</w:t>
            </w:r>
          </w:p>
        </w:tc>
        <w:tc>
          <w:tcPr>
            <w:tcW w:w="220" w:type="dxa"/>
            <w:vAlign w:val="bottom"/>
            <w:tcBorders>
              <w:bottom w:val="single" w:sz="8" w:color="auto"/>
            </w:tcBorders>
          </w:tcPr>
          <w:p>
            <w:pPr>
              <w:spacing w:after="0"/>
              <w:rPr>
                <w:sz w:val="19"/>
                <w:szCs w:val="19"/>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198,782</w:t>
            </w:r>
          </w:p>
        </w:tc>
      </w:tr>
      <w:tr>
        <w:trPr>
          <w:trHeight w:val="256"/>
        </w:trPr>
        <w:tc>
          <w:tcPr>
            <w:tcW w:w="814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80" w:type="dxa"/>
            <w:vAlign w:val="bottom"/>
            <w:shd w:val="clear" w:color="auto" w:fill="CCEEFF"/>
          </w:tcPr>
          <w:p>
            <w:pPr>
              <w:spacing w:after="0"/>
              <w:rPr>
                <w:sz w:val="22"/>
                <w:szCs w:val="22"/>
                <w:color w:val="auto"/>
              </w:rPr>
            </w:pPr>
          </w:p>
        </w:tc>
        <w:tc>
          <w:tcPr>
            <w:tcW w:w="220" w:type="dxa"/>
            <w:vAlign w:val="bottom"/>
            <w:shd w:val="clear" w:color="auto" w:fill="CCEEFF"/>
          </w:tcPr>
          <w:p>
            <w:pPr>
              <w:spacing w:after="0"/>
              <w:rPr>
                <w:sz w:val="22"/>
                <w:szCs w:val="22"/>
                <w:color w:val="auto"/>
              </w:rPr>
            </w:pPr>
          </w:p>
        </w:tc>
        <w:tc>
          <w:tcPr>
            <w:tcW w:w="1280" w:type="dxa"/>
            <w:vAlign w:val="bottom"/>
            <w:shd w:val="clear" w:color="auto" w:fill="CCEEFF"/>
          </w:tcPr>
          <w:p>
            <w:pPr>
              <w:spacing w:after="0"/>
              <w:rPr>
                <w:sz w:val="22"/>
                <w:szCs w:val="22"/>
                <w:color w:val="auto"/>
              </w:rPr>
            </w:pPr>
          </w:p>
        </w:tc>
      </w:tr>
      <w:tr>
        <w:trPr>
          <w:trHeight w:val="215"/>
        </w:trPr>
        <w:tc>
          <w:tcPr>
            <w:tcW w:w="81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w:t>
            </w: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1,901,764</w:t>
            </w:r>
          </w:p>
        </w:tc>
        <w:tc>
          <w:tcPr>
            <w:tcW w:w="220" w:type="dxa"/>
            <w:vAlign w:val="bottom"/>
            <w:tcBorders>
              <w:bottom w:val="single" w:sz="8" w:color="auto"/>
            </w:tcBorders>
          </w:tcPr>
          <w:p>
            <w:pPr>
              <w:jc w:val="right"/>
              <w:ind w:right="19"/>
              <w:spacing w:after="0"/>
              <w:rPr>
                <w:sz w:val="20"/>
                <w:szCs w:val="20"/>
                <w:color w:val="auto"/>
              </w:rPr>
            </w:pPr>
            <w:r>
              <w:rPr>
                <w:rFonts w:ascii="Arial" w:cs="Arial" w:eastAsia="Arial" w:hAnsi="Arial"/>
                <w:sz w:val="16"/>
                <w:szCs w:val="16"/>
                <w:color w:val="auto"/>
              </w:rPr>
              <w:t>$</w:t>
            </w: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858,198</w:t>
            </w:r>
          </w:p>
        </w:tc>
      </w:tr>
      <w:tr>
        <w:trPr>
          <w:trHeight w:val="21"/>
        </w:trPr>
        <w:tc>
          <w:tcPr>
            <w:tcW w:w="814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c>
          <w:tcPr>
            <w:tcW w:w="220" w:type="dxa"/>
            <w:vAlign w:val="bottom"/>
            <w:tcBorders>
              <w:bottom w:val="single" w:sz="8" w:color="auto"/>
            </w:tcBorders>
          </w:tcPr>
          <w:p>
            <w:pPr>
              <w:spacing w:after="0" w:line="20" w:lineRule="exact"/>
              <w:rPr>
                <w:sz w:val="1"/>
                <w:szCs w:val="1"/>
                <w:color w:val="auto"/>
              </w:rPr>
            </w:pPr>
          </w:p>
        </w:tc>
        <w:tc>
          <w:tcPr>
            <w:tcW w:w="1280" w:type="dxa"/>
            <w:vAlign w:val="bottom"/>
            <w:tcBorders>
              <w:bottom w:val="single" w:sz="8" w:color="auto"/>
            </w:tcBorders>
          </w:tcPr>
          <w:p>
            <w:pPr>
              <w:spacing w:after="0" w:line="20" w:lineRule="exact"/>
              <w:rPr>
                <w:sz w:val="1"/>
                <w:szCs w:val="1"/>
                <w:color w:val="auto"/>
              </w:rPr>
            </w:pPr>
          </w:p>
        </w:tc>
      </w:tr>
    </w:tbl>
    <w:p>
      <w:pPr>
        <w:spacing w:after="0" w:line="32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Revenue from individual customers greater than 10% of consolidated revenue in the respective periods was as follows:</w:t>
      </w: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400" w:type="dxa"/>
            <w:vAlign w:val="bottom"/>
            <w:shd w:val="clear" w:color="auto" w:fill="CCEEFF"/>
          </w:tcPr>
          <w:p>
            <w:pPr>
              <w:spacing w:after="0"/>
              <w:rPr>
                <w:sz w:val="18"/>
                <w:szCs w:val="18"/>
                <w:color w:val="auto"/>
              </w:rPr>
            </w:pPr>
          </w:p>
        </w:tc>
        <w:tc>
          <w:tcPr>
            <w:tcW w:w="2780" w:type="dxa"/>
            <w:vAlign w:val="bottom"/>
            <w:gridSpan w:val="5"/>
            <w:shd w:val="clear" w:color="auto" w:fill="CCEEFF"/>
          </w:tcPr>
          <w:p>
            <w:pPr>
              <w:ind w:left="440"/>
              <w:spacing w:after="0"/>
              <w:rPr>
                <w:sz w:val="20"/>
                <w:szCs w:val="20"/>
                <w:color w:val="auto"/>
              </w:rPr>
            </w:pPr>
            <w:r>
              <w:rPr>
                <w:rFonts w:ascii="Arial" w:cs="Arial" w:eastAsia="Arial" w:hAnsi="Arial"/>
                <w:sz w:val="16"/>
                <w:szCs w:val="16"/>
                <w:b w:val="1"/>
                <w:bCs w:val="1"/>
                <w:color w:val="auto"/>
              </w:rPr>
              <w:t>Three Months Ended</w:t>
            </w:r>
          </w:p>
        </w:tc>
      </w:tr>
      <w:tr>
        <w:trPr>
          <w:trHeight w:val="176"/>
        </w:trPr>
        <w:tc>
          <w:tcPr>
            <w:tcW w:w="8400" w:type="dxa"/>
            <w:vAlign w:val="bottom"/>
          </w:tcPr>
          <w:p>
            <w:pPr>
              <w:spacing w:after="0"/>
              <w:rPr>
                <w:sz w:val="15"/>
                <w:szCs w:val="15"/>
                <w:color w:val="auto"/>
              </w:rPr>
            </w:pPr>
          </w:p>
        </w:tc>
        <w:tc>
          <w:tcPr>
            <w:tcW w:w="1380" w:type="dxa"/>
            <w:vAlign w:val="bottom"/>
            <w:gridSpan w:val="2"/>
          </w:tcPr>
          <w:p>
            <w:pPr>
              <w:jc w:val="right"/>
              <w:ind w:right="240"/>
              <w:spacing w:after="0" w:line="175" w:lineRule="exact"/>
              <w:rPr>
                <w:sz w:val="20"/>
                <w:szCs w:val="20"/>
                <w:color w:val="auto"/>
              </w:rPr>
            </w:pPr>
            <w:r>
              <w:rPr>
                <w:rFonts w:ascii="Arial" w:cs="Arial" w:eastAsia="Arial" w:hAnsi="Arial"/>
                <w:sz w:val="16"/>
                <w:szCs w:val="16"/>
                <w:b w:val="1"/>
                <w:bCs w:val="1"/>
                <w:color w:val="auto"/>
                <w:w w:val="98"/>
              </w:rPr>
              <w:t>March 31, 2022</w:t>
            </w:r>
          </w:p>
        </w:tc>
        <w:tc>
          <w:tcPr>
            <w:tcW w:w="1400" w:type="dxa"/>
            <w:vAlign w:val="bottom"/>
            <w:gridSpan w:val="3"/>
          </w:tcPr>
          <w:p>
            <w:pPr>
              <w:ind w:left="220"/>
              <w:spacing w:after="0" w:line="175" w:lineRule="exact"/>
              <w:rPr>
                <w:sz w:val="20"/>
                <w:szCs w:val="20"/>
                <w:color w:val="auto"/>
              </w:rPr>
            </w:pPr>
            <w:r>
              <w:rPr>
                <w:rFonts w:ascii="Arial" w:cs="Arial" w:eastAsia="Arial" w:hAnsi="Arial"/>
                <w:sz w:val="16"/>
                <w:szCs w:val="16"/>
                <w:b w:val="1"/>
                <w:bCs w:val="1"/>
                <w:color w:val="auto"/>
              </w:rPr>
              <w:t>March 31, 2021</w:t>
            </w:r>
          </w:p>
        </w:tc>
      </w:tr>
      <w:tr>
        <w:trPr>
          <w:trHeight w:val="20"/>
        </w:trPr>
        <w:tc>
          <w:tcPr>
            <w:tcW w:w="8400" w:type="dxa"/>
            <w:vAlign w:val="bottom"/>
          </w:tcPr>
          <w:p>
            <w:pPr>
              <w:spacing w:after="0" w:line="20" w:lineRule="exact"/>
              <w:rPr>
                <w:sz w:val="1"/>
                <w:szCs w:val="1"/>
                <w:color w:val="auto"/>
              </w:rPr>
            </w:pPr>
          </w:p>
        </w:tc>
        <w:tc>
          <w:tcPr>
            <w:tcW w:w="1140" w:type="dxa"/>
            <w:vAlign w:val="bottom"/>
            <w:tcBorders>
              <w:top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160" w:type="dxa"/>
            <w:vAlign w:val="bottom"/>
            <w:tcBorders>
              <w:top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6"/>
        </w:trPr>
        <w:tc>
          <w:tcPr>
            <w:tcW w:w="840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Customer:</w:t>
            </w:r>
          </w:p>
        </w:tc>
        <w:tc>
          <w:tcPr>
            <w:tcW w:w="114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r>
      <w:tr>
        <w:trPr>
          <w:trHeight w:val="216"/>
        </w:trPr>
        <w:tc>
          <w:tcPr>
            <w:tcW w:w="8400" w:type="dxa"/>
            <w:vAlign w:val="bottom"/>
          </w:tcPr>
          <w:p>
            <w:pPr>
              <w:ind w:left="20"/>
              <w:spacing w:after="0"/>
              <w:rPr>
                <w:sz w:val="20"/>
                <w:szCs w:val="20"/>
                <w:color w:val="auto"/>
              </w:rPr>
            </w:pPr>
            <w:r>
              <w:rPr>
                <w:rFonts w:ascii="Arial" w:cs="Arial" w:eastAsia="Arial" w:hAnsi="Arial"/>
                <w:sz w:val="16"/>
                <w:szCs w:val="16"/>
                <w:color w:val="auto"/>
              </w:rPr>
              <w:t>Customer A</w:t>
            </w:r>
          </w:p>
        </w:tc>
        <w:tc>
          <w:tcPr>
            <w:tcW w:w="1380" w:type="dxa"/>
            <w:vAlign w:val="bottom"/>
            <w:gridSpan w:val="2"/>
          </w:tcPr>
          <w:p>
            <w:pPr>
              <w:jc w:val="right"/>
              <w:ind w:right="240"/>
              <w:spacing w:after="0"/>
              <w:rPr>
                <w:sz w:val="20"/>
                <w:szCs w:val="20"/>
                <w:color w:val="auto"/>
              </w:rPr>
            </w:pPr>
            <w:r>
              <w:rPr>
                <w:rFonts w:ascii="Arial" w:cs="Arial" w:eastAsia="Arial" w:hAnsi="Arial"/>
                <w:sz w:val="16"/>
                <w:szCs w:val="16"/>
                <w:b w:val="1"/>
                <w:bCs w:val="1"/>
                <w:color w:val="auto"/>
              </w:rPr>
              <w:t>*</w:t>
            </w:r>
          </w:p>
        </w:tc>
        <w:tc>
          <w:tcPr>
            <w:tcW w:w="1400" w:type="dxa"/>
            <w:vAlign w:val="bottom"/>
            <w:gridSpan w:val="3"/>
          </w:tcPr>
          <w:p>
            <w:pPr>
              <w:jc w:val="right"/>
              <w:ind w:right="20"/>
              <w:spacing w:after="0"/>
              <w:rPr>
                <w:sz w:val="20"/>
                <w:szCs w:val="20"/>
                <w:color w:val="auto"/>
              </w:rPr>
            </w:pPr>
            <w:r>
              <w:rPr>
                <w:rFonts w:ascii="Arial" w:cs="Arial" w:eastAsia="Arial" w:hAnsi="Arial"/>
                <w:sz w:val="16"/>
                <w:szCs w:val="16"/>
                <w:color w:val="auto"/>
              </w:rPr>
              <w:t>19.1 %</w:t>
            </w:r>
          </w:p>
        </w:tc>
      </w:tr>
      <w:tr>
        <w:trPr>
          <w:trHeight w:val="216"/>
        </w:trPr>
        <w:tc>
          <w:tcPr>
            <w:tcW w:w="84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Customer B</w:t>
            </w:r>
          </w:p>
        </w:tc>
        <w:tc>
          <w:tcPr>
            <w:tcW w:w="1380" w:type="dxa"/>
            <w:vAlign w:val="bottom"/>
            <w:tcBorders>
              <w:bottom w:val="single" w:sz="8" w:color="auto"/>
            </w:tcBorders>
            <w:gridSpan w:val="2"/>
            <w:shd w:val="clear" w:color="auto" w:fill="CCEEFF"/>
          </w:tcPr>
          <w:p>
            <w:pPr>
              <w:jc w:val="right"/>
              <w:ind w:right="240"/>
              <w:spacing w:after="0"/>
              <w:rPr>
                <w:sz w:val="20"/>
                <w:szCs w:val="20"/>
                <w:color w:val="auto"/>
              </w:rPr>
            </w:pPr>
            <w:r>
              <w:rPr>
                <w:rFonts w:ascii="Arial" w:cs="Arial" w:eastAsia="Arial" w:hAnsi="Arial"/>
                <w:sz w:val="16"/>
                <w:szCs w:val="16"/>
                <w:b w:val="1"/>
                <w:bCs w:val="1"/>
                <w:color w:val="auto"/>
              </w:rPr>
              <w:t>*</w:t>
            </w:r>
          </w:p>
        </w:tc>
        <w:tc>
          <w:tcPr>
            <w:tcW w:w="1400" w:type="dxa"/>
            <w:vAlign w:val="bottom"/>
            <w:tcBorders>
              <w:bottom w:val="single" w:sz="8" w:color="auto"/>
            </w:tcBorders>
            <w:gridSpan w:val="3"/>
            <w:shd w:val="clear" w:color="auto" w:fill="CCEEFF"/>
          </w:tcPr>
          <w:p>
            <w:pPr>
              <w:jc w:val="right"/>
              <w:ind w:right="20"/>
              <w:spacing w:after="0"/>
              <w:rPr>
                <w:sz w:val="20"/>
                <w:szCs w:val="20"/>
                <w:color w:val="auto"/>
              </w:rPr>
            </w:pPr>
            <w:r>
              <w:rPr>
                <w:rFonts w:ascii="Arial" w:cs="Arial" w:eastAsia="Arial" w:hAnsi="Arial"/>
                <w:sz w:val="16"/>
                <w:szCs w:val="16"/>
                <w:color w:val="auto"/>
              </w:rPr>
              <w:t>11.1 %</w:t>
            </w:r>
          </w:p>
        </w:tc>
      </w:tr>
    </w:tbl>
    <w:p>
      <w:pPr>
        <w:spacing w:after="0" w:line="80" w:lineRule="exact"/>
        <w:rPr>
          <w:sz w:val="20"/>
          <w:szCs w:val="20"/>
          <w:color w:val="auto"/>
        </w:rPr>
      </w:pPr>
    </w:p>
    <w:p>
      <w:pPr>
        <w:spacing w:after="0"/>
        <w:rPr>
          <w:sz w:val="20"/>
          <w:szCs w:val="20"/>
          <w:color w:val="auto"/>
        </w:rPr>
      </w:pPr>
      <w:r>
        <w:rPr>
          <w:rFonts w:ascii="Arial" w:cs="Arial" w:eastAsia="Arial" w:hAnsi="Arial"/>
          <w:sz w:val="16"/>
          <w:szCs w:val="16"/>
          <w:color w:val="auto"/>
        </w:rPr>
        <w:t>*Less than 10%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1165" w:right="399" w:bottom="1440" w:gutter="0" w:footer="0" w:header="0"/>
        </w:sectPr>
      </w:pPr>
    </w:p>
    <w:bookmarkStart w:id="12" w:name="page13"/>
    <w:bookmarkEnd w:id="12"/>
    <w:p>
      <w:pPr>
        <w:ind w:left="660" w:right="1540" w:hanging="652"/>
        <w:spacing w:after="0" w:line="493" w:lineRule="auto"/>
        <w:tabs>
          <w:tab w:leader="none" w:pos="192" w:val="left"/>
        </w:tabs>
        <w:numPr>
          <w:ilvl w:val="0"/>
          <w:numId w:val="1"/>
        </w:numPr>
        <w:rPr>
          <w:rFonts w:ascii="Arial" w:cs="Arial" w:eastAsia="Arial" w:hAnsi="Arial"/>
          <w:sz w:val="16"/>
          <w:szCs w:val="16"/>
          <w:b w:val="1"/>
          <w:bCs w:val="1"/>
          <w:color w:val="auto"/>
        </w:rPr>
      </w:pPr>
      <w:r>
        <w:rPr>
          <w:rFonts w:ascii="Arial" w:cs="Arial" w:eastAsia="Arial" w:hAnsi="Arial"/>
          <w:sz w:val="16"/>
          <w:szCs w:val="16"/>
          <w:b w:val="1"/>
          <w:bCs w:val="1"/>
          <w:color w:val="auto"/>
        </w:rPr>
        <w:t xml:space="preserve">Accounts receivable, unbilled revenue (contract assets) and unearned revenue or payments on account (contract liabilities) </w:t>
      </w:r>
      <w:r>
        <w:rPr>
          <w:rFonts w:ascii="Arial" w:cs="Arial" w:eastAsia="Arial" w:hAnsi="Arial"/>
          <w:sz w:val="16"/>
          <w:szCs w:val="16"/>
          <w:color w:val="auto"/>
        </w:rPr>
        <w:t>Accounts receivables and unbilled revenue are as follows:</w:t>
      </w:r>
    </w:p>
    <w:tbl>
      <w:tblPr>
        <w:tblLayout w:type="fixed"/>
        <w:tblInd w:w="0" w:type="dxa"/>
        <w:tblCellMar>
          <w:top w:w="0" w:type="dxa"/>
          <w:left w:w="0" w:type="dxa"/>
          <w:bottom w:w="0" w:type="dxa"/>
          <w:right w:w="0" w:type="dxa"/>
        </w:tblCellMar>
      </w:tblPr>
      <w:tr>
        <w:trPr>
          <w:trHeight w:val="163"/>
        </w:trPr>
        <w:tc>
          <w:tcPr>
            <w:tcW w:w="5960" w:type="dxa"/>
            <w:vAlign w:val="bottom"/>
            <w:shd w:val="clear" w:color="auto" w:fill="CCEEFF"/>
          </w:tcPr>
          <w:p>
            <w:pPr>
              <w:spacing w:after="0"/>
              <w:rPr>
                <w:sz w:val="14"/>
                <w:szCs w:val="14"/>
                <w:color w:val="auto"/>
              </w:rPr>
            </w:pPr>
          </w:p>
        </w:tc>
        <w:tc>
          <w:tcPr>
            <w:tcW w:w="2620" w:type="dxa"/>
            <w:vAlign w:val="bottom"/>
            <w:shd w:val="clear" w:color="auto" w:fill="CCEEFF"/>
          </w:tcPr>
          <w:p>
            <w:pPr>
              <w:spacing w:after="0"/>
              <w:rPr>
                <w:sz w:val="14"/>
                <w:szCs w:val="14"/>
                <w:color w:val="auto"/>
              </w:rPr>
            </w:pPr>
          </w:p>
        </w:tc>
        <w:tc>
          <w:tcPr>
            <w:tcW w:w="120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March 31, 2022</w:t>
            </w:r>
          </w:p>
        </w:tc>
        <w:tc>
          <w:tcPr>
            <w:tcW w:w="180" w:type="dxa"/>
            <w:vAlign w:val="bottom"/>
            <w:shd w:val="clear" w:color="auto" w:fill="CCEEFF"/>
          </w:tcPr>
          <w:p>
            <w:pPr>
              <w:spacing w:after="0"/>
              <w:rPr>
                <w:sz w:val="14"/>
                <w:szCs w:val="14"/>
                <w:color w:val="auto"/>
              </w:rPr>
            </w:pPr>
          </w:p>
        </w:tc>
        <w:tc>
          <w:tcPr>
            <w:tcW w:w="1160" w:type="dxa"/>
            <w:vAlign w:val="bottom"/>
            <w:shd w:val="clear" w:color="auto" w:fill="CCEEFF"/>
          </w:tcPr>
          <w:p>
            <w:pPr>
              <w:jc w:val="right"/>
              <w:spacing w:after="0" w:line="163" w:lineRule="exact"/>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6"/>
        </w:trPr>
        <w:tc>
          <w:tcPr>
            <w:tcW w:w="5960" w:type="dxa"/>
            <w:vAlign w:val="bottom"/>
            <w:tcBorders>
              <w:bottom w:val="single" w:sz="8" w:color="auto"/>
            </w:tcBorders>
            <w:shd w:val="clear" w:color="auto" w:fill="CCEEFF"/>
          </w:tcPr>
          <w:p>
            <w:pPr>
              <w:spacing w:after="0"/>
              <w:rPr>
                <w:sz w:val="18"/>
                <w:szCs w:val="18"/>
                <w:color w:val="auto"/>
              </w:rPr>
            </w:pPr>
          </w:p>
        </w:tc>
        <w:tc>
          <w:tcPr>
            <w:tcW w:w="26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vMerge w:val="continue"/>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0" w:type="dxa"/>
            <w:vAlign w:val="bottom"/>
          </w:tcPr>
          <w:p>
            <w:pPr>
              <w:spacing w:after="0"/>
              <w:rPr>
                <w:sz w:val="1"/>
                <w:szCs w:val="1"/>
                <w:color w:val="auto"/>
              </w:rPr>
            </w:pPr>
          </w:p>
        </w:tc>
      </w:tr>
      <w:tr>
        <w:trPr>
          <w:trHeight w:val="209"/>
        </w:trPr>
        <w:tc>
          <w:tcPr>
            <w:tcW w:w="5960" w:type="dxa"/>
            <w:vAlign w:val="bottom"/>
          </w:tcPr>
          <w:p>
            <w:pPr>
              <w:spacing w:after="0"/>
              <w:rPr>
                <w:sz w:val="18"/>
                <w:szCs w:val="18"/>
                <w:color w:val="auto"/>
              </w:rPr>
            </w:pPr>
          </w:p>
        </w:tc>
        <w:tc>
          <w:tcPr>
            <w:tcW w:w="2620" w:type="dxa"/>
            <w:vAlign w:val="bottom"/>
          </w:tcPr>
          <w:p>
            <w:pPr>
              <w:spacing w:after="0"/>
              <w:rPr>
                <w:sz w:val="18"/>
                <w:szCs w:val="18"/>
                <w:color w:val="auto"/>
              </w:rPr>
            </w:pPr>
          </w:p>
        </w:tc>
        <w:tc>
          <w:tcPr>
            <w:tcW w:w="2540" w:type="dxa"/>
            <w:vAlign w:val="bottom"/>
            <w:gridSpan w:val="3"/>
          </w:tcPr>
          <w:p>
            <w:pPr>
              <w:jc w:val="right"/>
              <w:ind w:right="699"/>
              <w:spacing w:after="0"/>
              <w:rPr>
                <w:sz w:val="20"/>
                <w:szCs w:val="20"/>
                <w:color w:val="auto"/>
              </w:rPr>
            </w:pPr>
            <w:r>
              <w:rPr>
                <w:rFonts w:ascii="Arial" w:cs="Arial" w:eastAsia="Arial" w:hAnsi="Arial"/>
                <w:sz w:val="16"/>
                <w:szCs w:val="16"/>
                <w:b w:val="1"/>
                <w:bCs w:val="1"/>
                <w:color w:val="auto"/>
              </w:rPr>
              <w:t>(in thousands)</w:t>
            </w:r>
          </w:p>
        </w:tc>
        <w:tc>
          <w:tcPr>
            <w:tcW w:w="0" w:type="dxa"/>
            <w:vAlign w:val="bottom"/>
          </w:tcPr>
          <w:p>
            <w:pPr>
              <w:spacing w:after="0"/>
              <w:rPr>
                <w:sz w:val="1"/>
                <w:szCs w:val="1"/>
                <w:color w:val="auto"/>
              </w:rPr>
            </w:pPr>
          </w:p>
        </w:tc>
      </w:tr>
      <w:tr>
        <w:trPr>
          <w:trHeight w:val="216"/>
        </w:trPr>
        <w:tc>
          <w:tcPr>
            <w:tcW w:w="59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Contract assets:</w:t>
            </w:r>
          </w:p>
        </w:tc>
        <w:tc>
          <w:tcPr>
            <w:tcW w:w="262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5960" w:type="dxa"/>
            <w:vAlign w:val="bottom"/>
          </w:tcPr>
          <w:p>
            <w:pPr>
              <w:ind w:left="140"/>
              <w:spacing w:after="0"/>
              <w:rPr>
                <w:sz w:val="20"/>
                <w:szCs w:val="20"/>
                <w:color w:val="auto"/>
              </w:rPr>
            </w:pPr>
            <w:r>
              <w:rPr>
                <w:rFonts w:ascii="Arial" w:cs="Arial" w:eastAsia="Arial" w:hAnsi="Arial"/>
                <w:sz w:val="16"/>
                <w:szCs w:val="16"/>
                <w:color w:val="auto"/>
              </w:rPr>
              <w:t>Billed services (accounts receivable)</w:t>
            </w:r>
          </w:p>
        </w:tc>
        <w:tc>
          <w:tcPr>
            <w:tcW w:w="262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1,379,131</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160" w:type="dxa"/>
            <w:vAlign w:val="bottom"/>
          </w:tcPr>
          <w:p>
            <w:pPr>
              <w:jc w:val="right"/>
              <w:spacing w:after="0"/>
              <w:rPr>
                <w:sz w:val="20"/>
                <w:szCs w:val="20"/>
                <w:color w:val="auto"/>
              </w:rPr>
            </w:pPr>
            <w:r>
              <w:rPr>
                <w:rFonts w:ascii="Arial" w:cs="Arial" w:eastAsia="Arial" w:hAnsi="Arial"/>
                <w:sz w:val="16"/>
                <w:szCs w:val="16"/>
                <w:color w:val="auto"/>
              </w:rPr>
              <w:t>1,349,851</w:t>
            </w:r>
          </w:p>
        </w:tc>
        <w:tc>
          <w:tcPr>
            <w:tcW w:w="0" w:type="dxa"/>
            <w:vAlign w:val="bottom"/>
          </w:tcPr>
          <w:p>
            <w:pPr>
              <w:spacing w:after="0"/>
              <w:rPr>
                <w:sz w:val="1"/>
                <w:szCs w:val="1"/>
                <w:color w:val="auto"/>
              </w:rPr>
            </w:pPr>
          </w:p>
        </w:tc>
      </w:tr>
      <w:tr>
        <w:trPr>
          <w:trHeight w:val="224"/>
        </w:trPr>
        <w:tc>
          <w:tcPr>
            <w:tcW w:w="596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6"/>
                <w:szCs w:val="16"/>
                <w:color w:val="auto"/>
              </w:rPr>
              <w:t>Allowance for credit losses</w:t>
            </w:r>
          </w:p>
        </w:tc>
        <w:tc>
          <w:tcPr>
            <w:tcW w:w="262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(7,722)</w:t>
            </w:r>
          </w:p>
        </w:tc>
        <w:tc>
          <w:tcPr>
            <w:tcW w:w="180" w:type="dxa"/>
            <w:vAlign w:val="bottom"/>
            <w:tcBorders>
              <w:bottom w:val="single" w:sz="8" w:color="auto"/>
            </w:tcBorders>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(7,081)</w:t>
            </w:r>
          </w:p>
        </w:tc>
        <w:tc>
          <w:tcPr>
            <w:tcW w:w="0" w:type="dxa"/>
            <w:vAlign w:val="bottom"/>
          </w:tcPr>
          <w:p>
            <w:pPr>
              <w:spacing w:after="0"/>
              <w:rPr>
                <w:sz w:val="1"/>
                <w:szCs w:val="1"/>
                <w:color w:val="auto"/>
              </w:rPr>
            </w:pPr>
          </w:p>
        </w:tc>
      </w:tr>
      <w:tr>
        <w:trPr>
          <w:trHeight w:val="215"/>
        </w:trPr>
        <w:tc>
          <w:tcPr>
            <w:tcW w:w="5960" w:type="dxa"/>
            <w:vAlign w:val="bottom"/>
          </w:tcPr>
          <w:p>
            <w:pPr>
              <w:ind w:left="140"/>
              <w:spacing w:after="0"/>
              <w:rPr>
                <w:sz w:val="20"/>
                <w:szCs w:val="20"/>
                <w:color w:val="auto"/>
              </w:rPr>
            </w:pPr>
            <w:r>
              <w:rPr>
                <w:rFonts w:ascii="Arial" w:cs="Arial" w:eastAsia="Arial" w:hAnsi="Arial"/>
                <w:sz w:val="16"/>
                <w:szCs w:val="16"/>
                <w:color w:val="auto"/>
              </w:rPr>
              <w:t>Accounts receivable (net)</w:t>
            </w:r>
          </w:p>
        </w:tc>
        <w:tc>
          <w:tcPr>
            <w:tcW w:w="262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1,371,409</w:t>
            </w:r>
          </w:p>
        </w:tc>
        <w:tc>
          <w:tcPr>
            <w:tcW w:w="18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6"/>
                <w:szCs w:val="16"/>
                <w:color w:val="auto"/>
              </w:rPr>
              <w:t>1,342,770</w:t>
            </w:r>
          </w:p>
        </w:tc>
        <w:tc>
          <w:tcPr>
            <w:tcW w:w="0" w:type="dxa"/>
            <w:vAlign w:val="bottom"/>
          </w:tcPr>
          <w:p>
            <w:pPr>
              <w:spacing w:after="0"/>
              <w:rPr>
                <w:sz w:val="1"/>
                <w:szCs w:val="1"/>
                <w:color w:val="auto"/>
              </w:rPr>
            </w:pPr>
          </w:p>
        </w:tc>
      </w:tr>
      <w:tr>
        <w:trPr>
          <w:trHeight w:val="224"/>
        </w:trPr>
        <w:tc>
          <w:tcPr>
            <w:tcW w:w="5960" w:type="dxa"/>
            <w:vAlign w:val="bottom"/>
            <w:tcBorders>
              <w:bottom w:val="single" w:sz="8" w:color="auto"/>
            </w:tcBorders>
            <w:shd w:val="clear" w:color="auto" w:fill="CCEEFF"/>
          </w:tcPr>
          <w:p>
            <w:pPr>
              <w:ind w:left="140"/>
              <w:spacing w:after="0"/>
              <w:rPr>
                <w:sz w:val="20"/>
                <w:szCs w:val="20"/>
                <w:color w:val="auto"/>
              </w:rPr>
            </w:pPr>
            <w:r>
              <w:rPr>
                <w:rFonts w:ascii="Arial" w:cs="Arial" w:eastAsia="Arial" w:hAnsi="Arial"/>
                <w:sz w:val="16"/>
                <w:szCs w:val="16"/>
                <w:color w:val="auto"/>
              </w:rPr>
              <w:t>Unbilled services (unbilled revenue)</w:t>
            </w:r>
          </w:p>
        </w:tc>
        <w:tc>
          <w:tcPr>
            <w:tcW w:w="2620" w:type="dxa"/>
            <w:vAlign w:val="bottom"/>
            <w:tcBorders>
              <w:bottom w:val="single" w:sz="8" w:color="auto"/>
            </w:tcBorders>
            <w:shd w:val="clear" w:color="auto" w:fill="CCEEFF"/>
          </w:tcPr>
          <w:p>
            <w:pPr>
              <w:spacing w:after="0"/>
              <w:rPr>
                <w:sz w:val="19"/>
                <w:szCs w:val="19"/>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674,509</w:t>
            </w:r>
          </w:p>
        </w:tc>
        <w:tc>
          <w:tcPr>
            <w:tcW w:w="180" w:type="dxa"/>
            <w:vAlign w:val="bottom"/>
            <w:tcBorders>
              <w:bottom w:val="single" w:sz="8" w:color="auto"/>
            </w:tcBorders>
            <w:shd w:val="clear" w:color="auto" w:fill="CCEEFF"/>
          </w:tcPr>
          <w:p>
            <w:pPr>
              <w:spacing w:after="0"/>
              <w:rPr>
                <w:sz w:val="19"/>
                <w:szCs w:val="19"/>
                <w:color w:val="auto"/>
              </w:rPr>
            </w:pPr>
          </w:p>
        </w:tc>
        <w:tc>
          <w:tcPr>
            <w:tcW w:w="11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623,121</w:t>
            </w:r>
          </w:p>
        </w:tc>
        <w:tc>
          <w:tcPr>
            <w:tcW w:w="0" w:type="dxa"/>
            <w:vAlign w:val="bottom"/>
          </w:tcPr>
          <w:p>
            <w:pPr>
              <w:spacing w:after="0"/>
              <w:rPr>
                <w:sz w:val="1"/>
                <w:szCs w:val="1"/>
                <w:color w:val="auto"/>
              </w:rPr>
            </w:pPr>
          </w:p>
        </w:tc>
      </w:tr>
      <w:tr>
        <w:trPr>
          <w:trHeight w:val="215"/>
        </w:trPr>
        <w:tc>
          <w:tcPr>
            <w:tcW w:w="5960" w:type="dxa"/>
            <w:vAlign w:val="bottom"/>
            <w:tcBorders>
              <w:bottom w:val="single" w:sz="8" w:color="auto"/>
            </w:tcBorders>
          </w:tcPr>
          <w:p>
            <w:pPr>
              <w:ind w:left="140"/>
              <w:spacing w:after="0"/>
              <w:rPr>
                <w:sz w:val="20"/>
                <w:szCs w:val="20"/>
                <w:color w:val="auto"/>
              </w:rPr>
            </w:pPr>
            <w:r>
              <w:rPr>
                <w:rFonts w:ascii="Arial" w:cs="Arial" w:eastAsia="Arial" w:hAnsi="Arial"/>
                <w:sz w:val="16"/>
                <w:szCs w:val="16"/>
                <w:color w:val="auto"/>
              </w:rPr>
              <w:t>Accounts receivable and unbilled revenue, net</w:t>
            </w:r>
          </w:p>
        </w:tc>
        <w:tc>
          <w:tcPr>
            <w:tcW w:w="26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2,045,918</w:t>
            </w:r>
          </w:p>
        </w:tc>
        <w:tc>
          <w:tcPr>
            <w:tcW w:w="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1,965,891</w:t>
            </w:r>
          </w:p>
        </w:tc>
        <w:tc>
          <w:tcPr>
            <w:tcW w:w="0" w:type="dxa"/>
            <w:vAlign w:val="bottom"/>
          </w:tcPr>
          <w:p>
            <w:pPr>
              <w:spacing w:after="0"/>
              <w:rPr>
                <w:sz w:val="1"/>
                <w:szCs w:val="1"/>
                <w:color w:val="auto"/>
              </w:rPr>
            </w:pPr>
          </w:p>
        </w:tc>
      </w:tr>
      <w:tr>
        <w:trPr>
          <w:trHeight w:val="21"/>
        </w:trPr>
        <w:tc>
          <w:tcPr>
            <w:tcW w:w="5960" w:type="dxa"/>
            <w:vAlign w:val="bottom"/>
            <w:tcBorders>
              <w:bottom w:val="single" w:sz="8" w:color="auto"/>
            </w:tcBorders>
          </w:tcPr>
          <w:p>
            <w:pPr>
              <w:spacing w:after="0" w:line="20" w:lineRule="exact"/>
              <w:rPr>
                <w:sz w:val="1"/>
                <w:szCs w:val="1"/>
                <w:color w:val="auto"/>
              </w:rPr>
            </w:pPr>
          </w:p>
        </w:tc>
        <w:tc>
          <w:tcPr>
            <w:tcW w:w="262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77" w:lineRule="exact"/>
        <w:rPr>
          <w:sz w:val="20"/>
          <w:szCs w:val="20"/>
          <w:color w:val="auto"/>
        </w:rPr>
      </w:pPr>
    </w:p>
    <w:p>
      <w:pPr>
        <w:ind w:left="660"/>
        <w:spacing w:after="0"/>
        <w:rPr>
          <w:sz w:val="20"/>
          <w:szCs w:val="20"/>
          <w:color w:val="auto"/>
        </w:rPr>
      </w:pPr>
      <w:r>
        <w:rPr>
          <w:rFonts w:ascii="Arial" w:cs="Arial" w:eastAsia="Arial" w:hAnsi="Arial"/>
          <w:sz w:val="16"/>
          <w:szCs w:val="16"/>
          <w:color w:val="auto"/>
        </w:rPr>
        <w:t>Unbilled services and unearned revenue or payments on account (contract assets and liabilities) were as follows:</w:t>
      </w:r>
    </w:p>
    <w:p>
      <w:pPr>
        <w:spacing w:after="0" w:line="146" w:lineRule="exact"/>
        <w:rPr>
          <w:sz w:val="20"/>
          <w:szCs w:val="20"/>
          <w:color w:val="auto"/>
        </w:rPr>
      </w:pPr>
    </w:p>
    <w:tbl>
      <w:tblPr>
        <w:tblLayout w:type="fixed"/>
        <w:tblInd w:w="40" w:type="dxa"/>
        <w:tblCellMar>
          <w:top w:w="0" w:type="dxa"/>
          <w:left w:w="0" w:type="dxa"/>
          <w:bottom w:w="0" w:type="dxa"/>
          <w:right w:w="0" w:type="dxa"/>
        </w:tblCellMar>
      </w:tblPr>
      <w:tr>
        <w:trPr>
          <w:trHeight w:val="184"/>
        </w:trPr>
        <w:tc>
          <w:tcPr>
            <w:tcW w:w="4260" w:type="dxa"/>
            <w:vAlign w:val="bottom"/>
            <w:vMerge w:val="restart"/>
            <w:shd w:val="clear" w:color="auto" w:fill="CCEEFF"/>
          </w:tcPr>
          <w:p>
            <w:pPr>
              <w:spacing w:after="0"/>
              <w:rPr>
                <w:sz w:val="20"/>
                <w:szCs w:val="20"/>
                <w:color w:val="auto"/>
              </w:rPr>
            </w:pPr>
            <w:r>
              <w:rPr>
                <w:rFonts w:ascii="Arial" w:cs="Arial" w:eastAsia="Arial" w:hAnsi="Arial"/>
                <w:sz w:val="16"/>
                <w:szCs w:val="16"/>
                <w:b w:val="1"/>
                <w:bCs w:val="1"/>
                <w:color w:val="auto"/>
              </w:rPr>
              <w:t>(in thousands, except percentages)</w:t>
            </w:r>
          </w:p>
        </w:tc>
        <w:tc>
          <w:tcPr>
            <w:tcW w:w="1320" w:type="dxa"/>
            <w:vAlign w:val="bottom"/>
            <w:shd w:val="clear" w:color="auto" w:fill="CCEEFF"/>
          </w:tcPr>
          <w:p>
            <w:pPr>
              <w:spacing w:after="0"/>
              <w:rPr>
                <w:sz w:val="16"/>
                <w:szCs w:val="16"/>
                <w:color w:val="auto"/>
              </w:rPr>
            </w:pPr>
          </w:p>
        </w:tc>
        <w:tc>
          <w:tcPr>
            <w:tcW w:w="126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March 31, 2022</w:t>
            </w:r>
          </w:p>
        </w:tc>
        <w:tc>
          <w:tcPr>
            <w:tcW w:w="220" w:type="dxa"/>
            <w:vAlign w:val="bottom"/>
            <w:shd w:val="clear" w:color="auto" w:fill="CCEEFF"/>
          </w:tcPr>
          <w:p>
            <w:pPr>
              <w:spacing w:after="0"/>
              <w:rPr>
                <w:sz w:val="16"/>
                <w:szCs w:val="16"/>
                <w:color w:val="auto"/>
              </w:rPr>
            </w:pPr>
          </w:p>
        </w:tc>
        <w:tc>
          <w:tcPr>
            <w:tcW w:w="12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260" w:type="dxa"/>
            <w:vAlign w:val="bottom"/>
            <w:shd w:val="clear" w:color="auto" w:fill="CCEEFF"/>
          </w:tcPr>
          <w:p>
            <w:pPr>
              <w:spacing w:after="0"/>
              <w:rPr>
                <w:sz w:val="16"/>
                <w:szCs w:val="16"/>
                <w:color w:val="auto"/>
              </w:rPr>
            </w:pPr>
          </w:p>
        </w:tc>
        <w:tc>
          <w:tcPr>
            <w:tcW w:w="1300" w:type="dxa"/>
            <w:vAlign w:val="bottom"/>
            <w:vMerge w:val="restart"/>
            <w:shd w:val="clear" w:color="auto" w:fill="CCEEFF"/>
          </w:tcPr>
          <w:p>
            <w:pPr>
              <w:jc w:val="right"/>
              <w:ind w:right="399"/>
              <w:spacing w:after="0"/>
              <w:rPr>
                <w:sz w:val="20"/>
                <w:szCs w:val="20"/>
                <w:color w:val="auto"/>
              </w:rPr>
            </w:pPr>
            <w:r>
              <w:rPr>
                <w:rFonts w:ascii="Arial" w:cs="Arial" w:eastAsia="Arial" w:hAnsi="Arial"/>
                <w:sz w:val="16"/>
                <w:szCs w:val="16"/>
                <w:b w:val="1"/>
                <w:bCs w:val="1"/>
                <w:color w:val="auto"/>
              </w:rPr>
              <w:t>$ Change</w:t>
            </w:r>
          </w:p>
        </w:tc>
        <w:tc>
          <w:tcPr>
            <w:tcW w:w="1360" w:type="dxa"/>
            <w:vAlign w:val="bottom"/>
            <w:vMerge w:val="restart"/>
            <w:shd w:val="clear" w:color="auto" w:fill="CCEEFF"/>
          </w:tcPr>
          <w:p>
            <w:pPr>
              <w:jc w:val="right"/>
              <w:ind w:right="259"/>
              <w:spacing w:after="0"/>
              <w:rPr>
                <w:sz w:val="20"/>
                <w:szCs w:val="20"/>
                <w:color w:val="auto"/>
              </w:rPr>
            </w:pPr>
            <w:r>
              <w:rPr>
                <w:rFonts w:ascii="Arial" w:cs="Arial" w:eastAsia="Arial" w:hAnsi="Arial"/>
                <w:sz w:val="16"/>
                <w:szCs w:val="16"/>
                <w:b w:val="1"/>
                <w:bCs w:val="1"/>
                <w:color w:val="auto"/>
              </w:rPr>
              <w:t>% Change</w:t>
            </w:r>
          </w:p>
        </w:tc>
        <w:tc>
          <w:tcPr>
            <w:tcW w:w="0" w:type="dxa"/>
            <w:vAlign w:val="bottom"/>
          </w:tcPr>
          <w:p>
            <w:pPr>
              <w:spacing w:after="0"/>
              <w:rPr>
                <w:sz w:val="1"/>
                <w:szCs w:val="1"/>
                <w:color w:val="auto"/>
              </w:rPr>
            </w:pPr>
          </w:p>
        </w:tc>
      </w:tr>
      <w:tr>
        <w:trPr>
          <w:trHeight w:val="216"/>
        </w:trPr>
        <w:tc>
          <w:tcPr>
            <w:tcW w:w="4260" w:type="dxa"/>
            <w:vAlign w:val="bottom"/>
            <w:tcBorders>
              <w:bottom w:val="single" w:sz="8" w:color="auto"/>
            </w:tcBorders>
            <w:vMerge w:val="continue"/>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vMerge w:val="continue"/>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26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vMerge w:val="continue"/>
            <w:shd w:val="clear" w:color="auto" w:fill="CCEEFF"/>
          </w:tcPr>
          <w:p>
            <w:pPr>
              <w:spacing w:after="0"/>
              <w:rPr>
                <w:sz w:val="18"/>
                <w:szCs w:val="18"/>
                <w:color w:val="auto"/>
              </w:rPr>
            </w:pPr>
          </w:p>
        </w:tc>
        <w:tc>
          <w:tcPr>
            <w:tcW w:w="136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50"/>
        </w:trPr>
        <w:tc>
          <w:tcPr>
            <w:tcW w:w="426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220" w:type="dxa"/>
            <w:vAlign w:val="bottom"/>
          </w:tcPr>
          <w:p>
            <w:pPr>
              <w:spacing w:after="0"/>
              <w:rPr>
                <w:sz w:val="21"/>
                <w:szCs w:val="21"/>
                <w:color w:val="auto"/>
              </w:rPr>
            </w:pPr>
          </w:p>
        </w:tc>
        <w:tc>
          <w:tcPr>
            <w:tcW w:w="120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130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6"/>
        </w:trPr>
        <w:tc>
          <w:tcPr>
            <w:tcW w:w="4260" w:type="dxa"/>
            <w:vAlign w:val="bottom"/>
            <w:shd w:val="clear" w:color="auto" w:fill="CCEEFF"/>
          </w:tcPr>
          <w:p>
            <w:pPr>
              <w:spacing w:after="0"/>
              <w:rPr>
                <w:sz w:val="20"/>
                <w:szCs w:val="20"/>
                <w:color w:val="auto"/>
              </w:rPr>
            </w:pPr>
            <w:r>
              <w:rPr>
                <w:rFonts w:ascii="Arial" w:cs="Arial" w:eastAsia="Arial" w:hAnsi="Arial"/>
                <w:sz w:val="16"/>
                <w:szCs w:val="16"/>
                <w:color w:val="auto"/>
              </w:rPr>
              <w:t>Unbilled services (unbilled revenue)</w:t>
            </w: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60" w:type="dxa"/>
            <w:vAlign w:val="bottom"/>
            <w:shd w:val="clear" w:color="auto" w:fill="CCEEFF"/>
          </w:tcPr>
          <w:p>
            <w:pPr>
              <w:jc w:val="right"/>
              <w:ind w:right="59"/>
              <w:spacing w:after="0"/>
              <w:rPr>
                <w:sz w:val="20"/>
                <w:szCs w:val="20"/>
                <w:color w:val="auto"/>
              </w:rPr>
            </w:pPr>
            <w:r>
              <w:rPr>
                <w:rFonts w:ascii="Arial" w:cs="Arial" w:eastAsia="Arial" w:hAnsi="Arial"/>
                <w:sz w:val="16"/>
                <w:szCs w:val="16"/>
                <w:color w:val="auto"/>
              </w:rPr>
              <w:t>674,509</w:t>
            </w:r>
          </w:p>
        </w:tc>
        <w:tc>
          <w:tcPr>
            <w:tcW w:w="2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623,121</w:t>
            </w:r>
          </w:p>
        </w:tc>
        <w:tc>
          <w:tcPr>
            <w:tcW w:w="26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51,388</w:t>
            </w: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8.2 %</w:t>
            </w:r>
          </w:p>
        </w:tc>
        <w:tc>
          <w:tcPr>
            <w:tcW w:w="0" w:type="dxa"/>
            <w:vAlign w:val="bottom"/>
          </w:tcPr>
          <w:p>
            <w:pPr>
              <w:spacing w:after="0"/>
              <w:rPr>
                <w:sz w:val="1"/>
                <w:szCs w:val="1"/>
                <w:color w:val="auto"/>
              </w:rPr>
            </w:pPr>
          </w:p>
        </w:tc>
      </w:tr>
      <w:tr>
        <w:trPr>
          <w:trHeight w:val="223"/>
        </w:trPr>
        <w:tc>
          <w:tcPr>
            <w:tcW w:w="4260" w:type="dxa"/>
            <w:vAlign w:val="bottom"/>
            <w:tcBorders>
              <w:bottom w:val="single" w:sz="8" w:color="auto"/>
            </w:tcBorders>
          </w:tcPr>
          <w:p>
            <w:pPr>
              <w:spacing w:after="0"/>
              <w:rPr>
                <w:sz w:val="20"/>
                <w:szCs w:val="20"/>
                <w:color w:val="auto"/>
              </w:rPr>
            </w:pPr>
            <w:r>
              <w:rPr>
                <w:rFonts w:ascii="Arial" w:cs="Arial" w:eastAsia="Arial" w:hAnsi="Arial"/>
                <w:sz w:val="16"/>
                <w:szCs w:val="16"/>
                <w:color w:val="auto"/>
              </w:rPr>
              <w:t>Unearned revenue (payments on account)</w:t>
            </w:r>
          </w:p>
        </w:tc>
        <w:tc>
          <w:tcPr>
            <w:tcW w:w="1320" w:type="dxa"/>
            <w:vAlign w:val="bottom"/>
            <w:tcBorders>
              <w:bottom w:val="single" w:sz="8" w:color="auto"/>
            </w:tcBorders>
          </w:tcPr>
          <w:p>
            <w:pPr>
              <w:spacing w:after="0"/>
              <w:rPr>
                <w:sz w:val="19"/>
                <w:szCs w:val="19"/>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(1,300,980)</w:t>
            </w:r>
          </w:p>
        </w:tc>
        <w:tc>
          <w:tcPr>
            <w:tcW w:w="2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(1,323,961)</w:t>
            </w:r>
          </w:p>
        </w:tc>
        <w:tc>
          <w:tcPr>
            <w:tcW w:w="26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22,981</w:t>
            </w: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w:t>
            </w:r>
          </w:p>
        </w:tc>
        <w:tc>
          <w:tcPr>
            <w:tcW w:w="0" w:type="dxa"/>
            <w:vAlign w:val="bottom"/>
          </w:tcPr>
          <w:p>
            <w:pPr>
              <w:spacing w:after="0"/>
              <w:rPr>
                <w:sz w:val="1"/>
                <w:szCs w:val="1"/>
                <w:color w:val="auto"/>
              </w:rPr>
            </w:pPr>
          </w:p>
        </w:tc>
      </w:tr>
      <w:tr>
        <w:trPr>
          <w:trHeight w:val="240"/>
        </w:trPr>
        <w:tc>
          <w:tcPr>
            <w:tcW w:w="4260" w:type="dxa"/>
            <w:vAlign w:val="bottom"/>
            <w:tcBorders>
              <w:bottom w:val="single" w:sz="8" w:color="auto"/>
            </w:tcBorders>
            <w:shd w:val="clear" w:color="auto" w:fill="CCEEFF"/>
          </w:tcPr>
          <w:p>
            <w:pPr>
              <w:ind w:left="120"/>
              <w:spacing w:after="0"/>
              <w:rPr>
                <w:sz w:val="20"/>
                <w:szCs w:val="20"/>
                <w:color w:val="auto"/>
              </w:rPr>
            </w:pPr>
            <w:r>
              <w:rPr>
                <w:rFonts w:ascii="Arial" w:cs="Arial" w:eastAsia="Arial" w:hAnsi="Arial"/>
                <w:sz w:val="16"/>
                <w:szCs w:val="16"/>
                <w:color w:val="auto"/>
              </w:rPr>
              <w:t>Net balance</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(626,471)</w:t>
            </w:r>
          </w:p>
        </w:tc>
        <w:tc>
          <w:tcPr>
            <w:tcW w:w="2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(700,840)</w:t>
            </w:r>
          </w:p>
        </w:tc>
        <w:tc>
          <w:tcPr>
            <w:tcW w:w="26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color w:val="auto"/>
              </w:rPr>
              <w:t>74,369</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(10.6)%</w:t>
            </w:r>
          </w:p>
        </w:tc>
        <w:tc>
          <w:tcPr>
            <w:tcW w:w="0" w:type="dxa"/>
            <w:vAlign w:val="bottom"/>
          </w:tcPr>
          <w:p>
            <w:pPr>
              <w:spacing w:after="0"/>
              <w:rPr>
                <w:sz w:val="1"/>
                <w:szCs w:val="1"/>
                <w:color w:val="auto"/>
              </w:rPr>
            </w:pPr>
          </w:p>
        </w:tc>
      </w:tr>
      <w:tr>
        <w:trPr>
          <w:trHeight w:val="20"/>
        </w:trPr>
        <w:tc>
          <w:tcPr>
            <w:tcW w:w="426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c>
          <w:tcPr>
            <w:tcW w:w="26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23"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Timing may differ between the satisfaction of performance obligations and the invoicing and collection of amounts related to our contracts with customers. We record assets for amounts related to performance obligations that are satisfied but not yet billed and/or collected. These assets are recorded as unbilled services and therefore contract assets rather than accounts receivables when receipt of the consideration is conditional on something other than the passage of time. Liabilities are recorded for amounts that are collected in advance of the satisfaction of performance obligations or billed in advance of the revenue being earned.</w:t>
      </w:r>
    </w:p>
    <w:p>
      <w:pPr>
        <w:spacing w:after="0" w:line="205"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6"/>
          <w:szCs w:val="16"/>
          <w:color w:val="auto"/>
        </w:rPr>
        <w:t>Unbilled services/revenue balances arise where invoicing or billing is based on the timing of agreed milestones related to service contracts for clinical research. Contractual billing arrangements in respect of certain reimbursable expenses (principally investigators) require billing by the investigator to the Company prior to billing by the Company to the customer. As there is no contractual right to set-off between unbilled services (contract assets) and unearned revenue (contract liabilities), each are separately presented gross on the Condensed Consolidated Balance Sheet.</w:t>
      </w:r>
    </w:p>
    <w:p>
      <w:pPr>
        <w:spacing w:after="0" w:line="195"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6"/>
          <w:szCs w:val="16"/>
          <w:color w:val="auto"/>
        </w:rPr>
        <w:t>Unbilled services as at March 31, 2022 increased by $51.4 million compared to December 31, 2021. Unearned revenue decreased by $23.0 million over the same period resulting in an increase of $74.4 million in the net balance of unbilled services and unearned revenue or payments on account between December 31, 2021 and March 31, 2022. These fluctuations are primarily due to timing of payments and invoicing related to the Group's clinical trial management contracts. Billings and payments are established by contractual provisions including predetermined payment schedules which may or may not correspond to the timing of the transfer of control of the Company's services under the contract. Unbilled services arise from long-term contracts when a cost-based input method of revenue recognition is applied and revenue recognized exceeds the amount billed to the customer.</w:t>
      </w:r>
    </w:p>
    <w:p>
      <w:pPr>
        <w:spacing w:after="0" w:line="203"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As of March 31, 2022 approximately $13.6 billion (March 31, 2021: $6.5 billion) of revenue is expected to be recognized in the future in respect of unsatisfied performance obligations. The Company expects to recognize revenue on approximately 49% of the unsatisfied performance obligation over the next 12 months, with the remainder recognized thereafter over the duration of the customer contracts.</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13" w:name="page14"/>
    <w:bookmarkEnd w:id="13"/>
    <w:tbl>
      <w:tblPr>
        <w:tblLayout w:type="fixed"/>
        <w:tblInd w:w="0" w:type="dxa"/>
        <w:tblCellMar>
          <w:top w:w="0" w:type="dxa"/>
          <w:left w:w="0" w:type="dxa"/>
          <w:bottom w:w="0" w:type="dxa"/>
          <w:right w:w="0" w:type="dxa"/>
        </w:tblCellMar>
      </w:tblPr>
      <w:tr>
        <w:trPr>
          <w:trHeight w:val="223"/>
        </w:trPr>
        <w:tc>
          <w:tcPr>
            <w:tcW w:w="7860" w:type="dxa"/>
            <w:vAlign w:val="bottom"/>
          </w:tcPr>
          <w:p>
            <w:pPr>
              <w:spacing w:after="0"/>
              <w:rPr>
                <w:sz w:val="20"/>
                <w:szCs w:val="20"/>
                <w:color w:val="auto"/>
              </w:rPr>
            </w:pPr>
            <w:r>
              <w:rPr>
                <w:rFonts w:ascii="Arial" w:cs="Arial" w:eastAsia="Arial" w:hAnsi="Arial"/>
                <w:sz w:val="16"/>
                <w:szCs w:val="16"/>
                <w:b w:val="1"/>
                <w:bCs w:val="1"/>
                <w:color w:val="auto"/>
              </w:rPr>
              <w:t>5. Goodwill</w:t>
            </w:r>
          </w:p>
        </w:tc>
        <w:tc>
          <w:tcPr>
            <w:tcW w:w="4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66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786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620" w:type="dxa"/>
            <w:vAlign w:val="bottom"/>
            <w:gridSpan w:val="2"/>
          </w:tcPr>
          <w:p>
            <w:pPr>
              <w:spacing w:after="0"/>
              <w:rPr>
                <w:sz w:val="22"/>
                <w:szCs w:val="22"/>
                <w:color w:val="auto"/>
              </w:rPr>
            </w:pPr>
          </w:p>
        </w:tc>
        <w:tc>
          <w:tcPr>
            <w:tcW w:w="660" w:type="dxa"/>
            <w:vAlign w:val="bottom"/>
          </w:tcPr>
          <w:p>
            <w:pPr>
              <w:spacing w:after="0"/>
              <w:rPr>
                <w:sz w:val="22"/>
                <w:szCs w:val="22"/>
                <w:color w:val="auto"/>
              </w:rPr>
            </w:pPr>
          </w:p>
        </w:tc>
        <w:tc>
          <w:tcPr>
            <w:tcW w:w="960" w:type="dxa"/>
            <w:vAlign w:val="bottom"/>
          </w:tcPr>
          <w:p>
            <w:pPr>
              <w:spacing w:after="0"/>
              <w:rPr>
                <w:sz w:val="22"/>
                <w:szCs w:val="22"/>
                <w:color w:val="auto"/>
              </w:rPr>
            </w:pPr>
          </w:p>
        </w:tc>
        <w:tc>
          <w:tcPr>
            <w:tcW w:w="40" w:type="dxa"/>
            <w:vAlign w:val="bottom"/>
            <w:vMerge w:val="restart"/>
          </w:tcPr>
          <w:p>
            <w:pPr>
              <w:spacing w:after="0"/>
              <w:rPr>
                <w:sz w:val="22"/>
                <w:szCs w:val="22"/>
                <w:color w:val="auto"/>
              </w:rPr>
            </w:pPr>
          </w:p>
        </w:tc>
        <w:tc>
          <w:tcPr>
            <w:tcW w:w="0" w:type="dxa"/>
            <w:vAlign w:val="bottom"/>
          </w:tcPr>
          <w:p>
            <w:pPr>
              <w:spacing w:after="0"/>
              <w:rPr>
                <w:sz w:val="1"/>
                <w:szCs w:val="1"/>
                <w:color w:val="auto"/>
              </w:rPr>
            </w:pPr>
          </w:p>
        </w:tc>
      </w:tr>
      <w:tr>
        <w:trPr>
          <w:trHeight w:val="216"/>
        </w:trPr>
        <w:tc>
          <w:tcPr>
            <w:tcW w:w="7860" w:type="dxa"/>
            <w:vAlign w:val="bottom"/>
            <w:shd w:val="clear" w:color="auto" w:fill="CCEEFF"/>
          </w:tcPr>
          <w:p>
            <w:pPr>
              <w:spacing w:after="0"/>
              <w:rPr>
                <w:sz w:val="18"/>
                <w:szCs w:val="18"/>
                <w:color w:val="auto"/>
              </w:rPr>
            </w:pPr>
          </w:p>
        </w:tc>
        <w:tc>
          <w:tcPr>
            <w:tcW w:w="1660" w:type="dxa"/>
            <w:vAlign w:val="bottom"/>
            <w:tcBorders>
              <w:bottom w:val="single" w:sz="8" w:color="auto"/>
            </w:tcBorders>
            <w:gridSpan w:val="3"/>
            <w:shd w:val="clear" w:color="auto" w:fill="CCEEFF"/>
          </w:tcPr>
          <w:p>
            <w:pPr>
              <w:ind w:left="20"/>
              <w:spacing w:after="0"/>
              <w:rPr>
                <w:sz w:val="20"/>
                <w:szCs w:val="20"/>
                <w:color w:val="auto"/>
              </w:rPr>
            </w:pPr>
            <w:r>
              <w:rPr>
                <w:rFonts w:ascii="Arial" w:cs="Arial" w:eastAsia="Arial" w:hAnsi="Arial"/>
                <w:sz w:val="16"/>
                <w:szCs w:val="16"/>
                <w:b w:val="1"/>
                <w:bCs w:val="1"/>
                <w:color w:val="auto"/>
              </w:rPr>
              <w:t>Three Months Ended</w:t>
            </w:r>
          </w:p>
        </w:tc>
        <w:tc>
          <w:tcPr>
            <w:tcW w:w="6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Year Ended</w:t>
            </w:r>
          </w:p>
        </w:tc>
        <w:tc>
          <w:tcPr>
            <w:tcW w:w="40" w:type="dxa"/>
            <w:vAlign w:val="bottom"/>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86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2960" w:type="dxa"/>
            <w:vAlign w:val="bottom"/>
            <w:tcBorders>
              <w:bottom w:val="single" w:sz="8" w:color="auto"/>
            </w:tcBorders>
            <w:gridSpan w:val="3"/>
          </w:tcPr>
          <w:p>
            <w:pPr>
              <w:jc w:val="right"/>
              <w:spacing w:after="0"/>
              <w:rPr>
                <w:sz w:val="20"/>
                <w:szCs w:val="20"/>
                <w:color w:val="auto"/>
              </w:rPr>
            </w:pPr>
            <w:r>
              <w:rPr>
                <w:rFonts w:ascii="Arial" w:cs="Arial" w:eastAsia="Arial" w:hAnsi="Arial"/>
                <w:sz w:val="16"/>
                <w:szCs w:val="16"/>
                <w:b w:val="1"/>
                <w:bCs w:val="1"/>
                <w:color w:val="auto"/>
              </w:rPr>
              <w:t>March 31, 2022  December 31, 2021</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8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0" w:type="dxa"/>
            <w:vAlign w:val="bottom"/>
            <w:gridSpan w:val="2"/>
            <w:shd w:val="clear" w:color="auto" w:fill="CCEEFF"/>
          </w:tcPr>
          <w:p>
            <w:pPr>
              <w:jc w:val="right"/>
              <w:ind w:right="42"/>
              <w:spacing w:after="0"/>
              <w:rPr>
                <w:sz w:val="20"/>
                <w:szCs w:val="20"/>
                <w:color w:val="auto"/>
              </w:rPr>
            </w:pPr>
            <w:r>
              <w:rPr>
                <w:rFonts w:ascii="Arial" w:cs="Arial" w:eastAsia="Arial" w:hAnsi="Arial"/>
                <w:sz w:val="16"/>
                <w:szCs w:val="16"/>
                <w:b w:val="1"/>
                <w:bCs w:val="1"/>
                <w:color w:val="auto"/>
              </w:rPr>
              <w:t>(in thousands)</w:t>
            </w:r>
          </w:p>
        </w:tc>
        <w:tc>
          <w:tcPr>
            <w:tcW w:w="960" w:type="dxa"/>
            <w:vAlign w:val="bottom"/>
            <w:shd w:val="clear" w:color="auto" w:fill="CCEEFF"/>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860" w:type="dxa"/>
            <w:vAlign w:val="bottom"/>
          </w:tcPr>
          <w:p>
            <w:pPr>
              <w:ind w:left="20"/>
              <w:spacing w:after="0"/>
              <w:rPr>
                <w:sz w:val="20"/>
                <w:szCs w:val="20"/>
                <w:color w:val="auto"/>
              </w:rPr>
            </w:pPr>
            <w:r>
              <w:rPr>
                <w:rFonts w:ascii="Arial" w:cs="Arial" w:eastAsia="Arial" w:hAnsi="Arial"/>
                <w:sz w:val="16"/>
                <w:szCs w:val="16"/>
                <w:color w:val="auto"/>
              </w:rPr>
              <w:t>Opening balance</w:t>
            </w:r>
          </w:p>
        </w:tc>
        <w:tc>
          <w:tcPr>
            <w:tcW w:w="320" w:type="dxa"/>
            <w:vAlign w:val="bottom"/>
            <w:gridSpan w:val="2"/>
          </w:tcPr>
          <w:p>
            <w:pPr>
              <w:spacing w:after="0"/>
              <w:rPr>
                <w:sz w:val="20"/>
                <w:szCs w:val="20"/>
                <w:color w:val="auto"/>
              </w:rPr>
            </w:pPr>
            <w:r>
              <w:rPr>
                <w:rFonts w:ascii="Arial" w:cs="Arial" w:eastAsia="Arial" w:hAnsi="Arial"/>
                <w:sz w:val="16"/>
                <w:szCs w:val="16"/>
                <w:color w:val="auto"/>
              </w:rPr>
              <w:t>$</w:t>
            </w: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9,037,931</w:t>
            </w:r>
          </w:p>
        </w:tc>
        <w:tc>
          <w:tcPr>
            <w:tcW w:w="660" w:type="dxa"/>
            <w:vAlign w:val="bottom"/>
          </w:tcPr>
          <w:p>
            <w:pPr>
              <w:jc w:val="right"/>
              <w:ind w:right="502"/>
              <w:spacing w:after="0"/>
              <w:rPr>
                <w:sz w:val="20"/>
                <w:szCs w:val="20"/>
                <w:color w:val="auto"/>
              </w:rPr>
            </w:pPr>
            <w:r>
              <w:rPr>
                <w:rFonts w:ascii="Arial" w:cs="Arial" w:eastAsia="Arial" w:hAnsi="Arial"/>
                <w:sz w:val="15"/>
                <w:szCs w:val="15"/>
                <w:color w:val="auto"/>
                <w:w w:val="71"/>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936,257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Current period acquisitions (Note 7)</w:t>
            </w: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4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6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8,120,006</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860" w:type="dxa"/>
            <w:vAlign w:val="bottom"/>
          </w:tcPr>
          <w:p>
            <w:pPr>
              <w:ind w:left="20"/>
              <w:spacing w:after="0"/>
              <w:rPr>
                <w:sz w:val="20"/>
                <w:szCs w:val="20"/>
                <w:color w:val="auto"/>
              </w:rPr>
            </w:pPr>
            <w:r>
              <w:rPr>
                <w:rFonts w:ascii="Arial" w:cs="Arial" w:eastAsia="Arial" w:hAnsi="Arial"/>
                <w:sz w:val="16"/>
                <w:szCs w:val="16"/>
                <w:color w:val="auto"/>
              </w:rPr>
              <w:t>Prior period acquisitions</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40" w:type="dxa"/>
            <w:vAlign w:val="bottom"/>
          </w:tcPr>
          <w:p>
            <w:pPr>
              <w:jc w:val="right"/>
              <w:ind w:right="19"/>
              <w:spacing w:after="0"/>
              <w:rPr>
                <w:sz w:val="20"/>
                <w:szCs w:val="20"/>
                <w:color w:val="auto"/>
              </w:rPr>
            </w:pPr>
            <w:r>
              <w:rPr>
                <w:rFonts w:ascii="Arial" w:cs="Arial" w:eastAsia="Arial" w:hAnsi="Arial"/>
                <w:sz w:val="16"/>
                <w:szCs w:val="16"/>
                <w:color w:val="auto"/>
              </w:rPr>
              <w:t>1,462</w:t>
            </w:r>
          </w:p>
        </w:tc>
        <w:tc>
          <w:tcPr>
            <w:tcW w:w="6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8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Foreign exchange movement</w:t>
            </w:r>
          </w:p>
        </w:tc>
        <w:tc>
          <w:tcPr>
            <w:tcW w:w="40" w:type="dxa"/>
            <w:vAlign w:val="bottom"/>
            <w:tcBorders>
              <w:bottom w:val="single" w:sz="8" w:color="auto"/>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(11,410)</w:t>
            </w:r>
          </w:p>
        </w:tc>
        <w:tc>
          <w:tcPr>
            <w:tcW w:w="66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(18,332)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78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6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0"/>
        </w:trPr>
        <w:tc>
          <w:tcPr>
            <w:tcW w:w="78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Closing balance</w:t>
            </w:r>
          </w:p>
        </w:tc>
        <w:tc>
          <w:tcPr>
            <w:tcW w:w="32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9,027,983</w:t>
            </w:r>
          </w:p>
        </w:tc>
        <w:tc>
          <w:tcPr>
            <w:tcW w:w="660" w:type="dxa"/>
            <w:vAlign w:val="bottom"/>
            <w:tcBorders>
              <w:bottom w:val="single" w:sz="8" w:color="auto"/>
            </w:tcBorders>
            <w:shd w:val="clear" w:color="auto" w:fill="CCEEFF"/>
          </w:tcPr>
          <w:p>
            <w:pPr>
              <w:jc w:val="right"/>
              <w:ind w:right="502"/>
              <w:spacing w:after="0"/>
              <w:rPr>
                <w:sz w:val="20"/>
                <w:szCs w:val="20"/>
                <w:color w:val="auto"/>
              </w:rPr>
            </w:pPr>
            <w:r>
              <w:rPr>
                <w:rFonts w:ascii="Arial" w:cs="Arial" w:eastAsia="Arial" w:hAnsi="Arial"/>
                <w:sz w:val="15"/>
                <w:szCs w:val="15"/>
                <w:color w:val="auto"/>
                <w:w w:val="71"/>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9,037,931</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8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2"/>
        </w:trPr>
        <w:tc>
          <w:tcPr>
            <w:tcW w:w="7860" w:type="dxa"/>
            <w:vAlign w:val="bottom"/>
          </w:tcPr>
          <w:p>
            <w:pPr>
              <w:spacing w:after="0"/>
              <w:rPr>
                <w:sz w:val="20"/>
                <w:szCs w:val="20"/>
                <w:color w:val="auto"/>
              </w:rPr>
            </w:pPr>
            <w:r>
              <w:rPr>
                <w:rFonts w:ascii="Arial" w:cs="Arial" w:eastAsia="Arial" w:hAnsi="Arial"/>
                <w:sz w:val="16"/>
                <w:szCs w:val="16"/>
                <w:color w:val="auto"/>
              </w:rPr>
              <w:t>There are no accumulated impairment charges as of March 31, 2022 and December 31, 2021.</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99"/>
        </w:trPr>
        <w:tc>
          <w:tcPr>
            <w:tcW w:w="7860" w:type="dxa"/>
            <w:vAlign w:val="bottom"/>
          </w:tcPr>
          <w:p>
            <w:pPr>
              <w:spacing w:after="0"/>
              <w:rPr>
                <w:sz w:val="20"/>
                <w:szCs w:val="20"/>
                <w:color w:val="auto"/>
              </w:rPr>
            </w:pPr>
            <w:r>
              <w:rPr>
                <w:rFonts w:ascii="Arial" w:cs="Arial" w:eastAsia="Arial" w:hAnsi="Arial"/>
                <w:sz w:val="16"/>
                <w:szCs w:val="16"/>
                <w:b w:val="1"/>
                <w:bCs w:val="1"/>
                <w:color w:val="auto"/>
              </w:rPr>
              <w:t>6. Intangible assets</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4"/>
        </w:trPr>
        <w:tc>
          <w:tcPr>
            <w:tcW w:w="7860" w:type="dxa"/>
            <w:vAlign w:val="bottom"/>
          </w:tcPr>
          <w:p>
            <w:pPr>
              <w:ind w:left="660"/>
              <w:spacing w:after="0"/>
              <w:rPr>
                <w:sz w:val="20"/>
                <w:szCs w:val="20"/>
                <w:color w:val="auto"/>
              </w:rPr>
            </w:pPr>
            <w:r>
              <w:rPr>
                <w:rFonts w:ascii="Arial" w:cs="Arial" w:eastAsia="Arial" w:hAnsi="Arial"/>
                <w:sz w:val="16"/>
                <w:szCs w:val="16"/>
                <w:color w:val="auto"/>
              </w:rPr>
              <w:t>Intangible assets, net consisted of the following:</w:t>
            </w:r>
          </w:p>
        </w:tc>
        <w:tc>
          <w:tcPr>
            <w:tcW w:w="4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
        </w:trPr>
        <w:tc>
          <w:tcPr>
            <w:tcW w:w="7860" w:type="dxa"/>
            <w:vAlign w:val="bottom"/>
          </w:tcPr>
          <w:p>
            <w:pPr>
              <w:spacing w:after="0"/>
              <w:rPr>
                <w:sz w:val="2"/>
                <w:szCs w:val="2"/>
                <w:color w:val="auto"/>
              </w:rPr>
            </w:pPr>
          </w:p>
        </w:tc>
        <w:tc>
          <w:tcPr>
            <w:tcW w:w="40" w:type="dxa"/>
            <w:vAlign w:val="bottom"/>
          </w:tcPr>
          <w:p>
            <w:pPr>
              <w:spacing w:after="0"/>
              <w:rPr>
                <w:sz w:val="2"/>
                <w:szCs w:val="2"/>
                <w:color w:val="auto"/>
              </w:rPr>
            </w:pPr>
          </w:p>
        </w:tc>
        <w:tc>
          <w:tcPr>
            <w:tcW w:w="280" w:type="dxa"/>
            <w:vAlign w:val="bottom"/>
          </w:tcPr>
          <w:p>
            <w:pPr>
              <w:spacing w:after="0"/>
              <w:rPr>
                <w:sz w:val="2"/>
                <w:szCs w:val="2"/>
                <w:color w:val="auto"/>
              </w:rPr>
            </w:pPr>
          </w:p>
        </w:tc>
        <w:tc>
          <w:tcPr>
            <w:tcW w:w="2000" w:type="dxa"/>
            <w:vAlign w:val="bottom"/>
            <w:gridSpan w:val="2"/>
          </w:tcPr>
          <w:p>
            <w:pPr>
              <w:spacing w:after="0"/>
              <w:rPr>
                <w:sz w:val="2"/>
                <w:szCs w:val="2"/>
                <w:color w:val="auto"/>
              </w:rPr>
            </w:pPr>
          </w:p>
        </w:tc>
        <w:tc>
          <w:tcPr>
            <w:tcW w:w="960" w:type="dxa"/>
            <w:vAlign w:val="bottom"/>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62"/>
        </w:trPr>
        <w:tc>
          <w:tcPr>
            <w:tcW w:w="7860" w:type="dxa"/>
            <w:vAlign w:val="bottom"/>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280" w:type="dxa"/>
            <w:vAlign w:val="bottom"/>
            <w:shd w:val="clear" w:color="auto" w:fill="CCEEFF"/>
          </w:tcPr>
          <w:p>
            <w:pPr>
              <w:spacing w:after="0"/>
              <w:rPr>
                <w:sz w:val="14"/>
                <w:szCs w:val="14"/>
                <w:color w:val="auto"/>
              </w:rPr>
            </w:pPr>
          </w:p>
        </w:tc>
        <w:tc>
          <w:tcPr>
            <w:tcW w:w="2000" w:type="dxa"/>
            <w:vAlign w:val="bottom"/>
            <w:gridSpan w:val="2"/>
            <w:shd w:val="clear" w:color="auto" w:fill="CCEEFF"/>
          </w:tcPr>
          <w:p>
            <w:pPr>
              <w:jc w:val="right"/>
              <w:ind w:right="582"/>
              <w:spacing w:after="0" w:line="162" w:lineRule="exact"/>
              <w:rPr>
                <w:sz w:val="20"/>
                <w:szCs w:val="20"/>
                <w:color w:val="auto"/>
              </w:rPr>
            </w:pPr>
            <w:r>
              <w:rPr>
                <w:rFonts w:ascii="Arial" w:cs="Arial" w:eastAsia="Arial" w:hAnsi="Arial"/>
                <w:sz w:val="16"/>
                <w:szCs w:val="16"/>
                <w:b w:val="1"/>
                <w:bCs w:val="1"/>
                <w:color w:val="auto"/>
              </w:rPr>
              <w:t>Three Months</w:t>
            </w:r>
          </w:p>
        </w:tc>
        <w:tc>
          <w:tcPr>
            <w:tcW w:w="1000" w:type="dxa"/>
            <w:vAlign w:val="bottom"/>
            <w:gridSpan w:val="2"/>
            <w:vMerge w:val="restart"/>
            <w:shd w:val="clear" w:color="auto" w:fill="CCEEFF"/>
          </w:tcPr>
          <w:p>
            <w:pPr>
              <w:jc w:val="right"/>
              <w:ind w:right="20"/>
              <w:spacing w:after="0"/>
              <w:rPr>
                <w:sz w:val="20"/>
                <w:szCs w:val="20"/>
                <w:color w:val="auto"/>
              </w:rPr>
            </w:pPr>
            <w:r>
              <w:rPr>
                <w:rFonts w:ascii="Arial" w:cs="Arial" w:eastAsia="Arial" w:hAnsi="Arial"/>
                <w:sz w:val="16"/>
                <w:szCs w:val="16"/>
                <w:b w:val="1"/>
                <w:bCs w:val="1"/>
                <w:color w:val="auto"/>
              </w:rPr>
              <w:t>Year Ended</w:t>
            </w:r>
          </w:p>
        </w:tc>
        <w:tc>
          <w:tcPr>
            <w:tcW w:w="0" w:type="dxa"/>
            <w:vAlign w:val="bottom"/>
          </w:tcPr>
          <w:p>
            <w:pPr>
              <w:spacing w:after="0"/>
              <w:rPr>
                <w:sz w:val="1"/>
                <w:szCs w:val="1"/>
                <w:color w:val="auto"/>
              </w:rPr>
            </w:pPr>
          </w:p>
        </w:tc>
      </w:tr>
      <w:tr>
        <w:trPr>
          <w:trHeight w:val="141"/>
        </w:trPr>
        <w:tc>
          <w:tcPr>
            <w:tcW w:w="786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280" w:type="dxa"/>
            <w:vAlign w:val="bottom"/>
            <w:shd w:val="clear" w:color="auto" w:fill="CCEEFF"/>
          </w:tcPr>
          <w:p>
            <w:pPr>
              <w:spacing w:after="0"/>
              <w:rPr>
                <w:sz w:val="12"/>
                <w:szCs w:val="12"/>
                <w:color w:val="auto"/>
              </w:rPr>
            </w:pPr>
          </w:p>
        </w:tc>
        <w:tc>
          <w:tcPr>
            <w:tcW w:w="2000" w:type="dxa"/>
            <w:vAlign w:val="bottom"/>
            <w:gridSpan w:val="2"/>
            <w:vMerge w:val="restart"/>
            <w:shd w:val="clear" w:color="auto" w:fill="CCEEFF"/>
          </w:tcPr>
          <w:p>
            <w:pPr>
              <w:jc w:val="right"/>
              <w:ind w:right="582"/>
              <w:spacing w:after="0"/>
              <w:rPr>
                <w:sz w:val="20"/>
                <w:szCs w:val="20"/>
                <w:color w:val="auto"/>
              </w:rPr>
            </w:pPr>
            <w:r>
              <w:rPr>
                <w:rFonts w:ascii="Arial" w:cs="Arial" w:eastAsia="Arial" w:hAnsi="Arial"/>
                <w:sz w:val="16"/>
                <w:szCs w:val="16"/>
                <w:b w:val="1"/>
                <w:bCs w:val="1"/>
                <w:color w:val="auto"/>
              </w:rPr>
              <w:t>Ended</w:t>
            </w:r>
          </w:p>
        </w:tc>
        <w:tc>
          <w:tcPr>
            <w:tcW w:w="1000" w:type="dxa"/>
            <w:vAlign w:val="bottom"/>
            <w:gridSpan w:val="2"/>
            <w:vMerge w:val="continue"/>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75"/>
        </w:trPr>
        <w:tc>
          <w:tcPr>
            <w:tcW w:w="7860" w:type="dxa"/>
            <w:vAlign w:val="bottom"/>
            <w:shd w:val="clear" w:color="auto" w:fill="CCEEFF"/>
          </w:tcPr>
          <w:p>
            <w:pPr>
              <w:spacing w:after="0"/>
              <w:rPr>
                <w:sz w:val="6"/>
                <w:szCs w:val="6"/>
                <w:color w:val="auto"/>
              </w:rPr>
            </w:pPr>
          </w:p>
        </w:tc>
        <w:tc>
          <w:tcPr>
            <w:tcW w:w="40" w:type="dxa"/>
            <w:vAlign w:val="bottom"/>
            <w:shd w:val="clear" w:color="auto" w:fill="CCEEFF"/>
          </w:tcPr>
          <w:p>
            <w:pPr>
              <w:spacing w:after="0"/>
              <w:rPr>
                <w:sz w:val="6"/>
                <w:szCs w:val="6"/>
                <w:color w:val="auto"/>
              </w:rPr>
            </w:pPr>
          </w:p>
        </w:tc>
        <w:tc>
          <w:tcPr>
            <w:tcW w:w="280" w:type="dxa"/>
            <w:vAlign w:val="bottom"/>
            <w:tcBorders>
              <w:bottom w:val="single" w:sz="8" w:color="auto"/>
            </w:tcBorders>
            <w:shd w:val="clear" w:color="auto" w:fill="CCEEFF"/>
          </w:tcPr>
          <w:p>
            <w:pPr>
              <w:spacing w:after="0"/>
              <w:rPr>
                <w:sz w:val="6"/>
                <w:szCs w:val="6"/>
                <w:color w:val="auto"/>
              </w:rPr>
            </w:pPr>
          </w:p>
        </w:tc>
        <w:tc>
          <w:tcPr>
            <w:tcW w:w="2000" w:type="dxa"/>
            <w:vAlign w:val="bottom"/>
            <w:tcBorders>
              <w:bottom w:val="single" w:sz="8" w:color="auto"/>
            </w:tcBorders>
            <w:gridSpan w:val="2"/>
            <w:vMerge w:val="continue"/>
            <w:shd w:val="clear" w:color="auto" w:fill="CCEEFF"/>
          </w:tcPr>
          <w:p>
            <w:pPr>
              <w:spacing w:after="0"/>
              <w:rPr>
                <w:sz w:val="6"/>
                <w:szCs w:val="6"/>
                <w:color w:val="auto"/>
              </w:rPr>
            </w:pPr>
          </w:p>
        </w:tc>
        <w:tc>
          <w:tcPr>
            <w:tcW w:w="960" w:type="dxa"/>
            <w:vAlign w:val="bottom"/>
            <w:tcBorders>
              <w:bottom w:val="single" w:sz="8" w:color="auto"/>
            </w:tcBorders>
            <w:shd w:val="clear" w:color="auto" w:fill="CCEEFF"/>
          </w:tcPr>
          <w:p>
            <w:pPr>
              <w:spacing w:after="0"/>
              <w:rPr>
                <w:sz w:val="6"/>
                <w:szCs w:val="6"/>
                <w:color w:val="auto"/>
              </w:rPr>
            </w:pPr>
          </w:p>
        </w:tc>
        <w:tc>
          <w:tcPr>
            <w:tcW w:w="40" w:type="dxa"/>
            <w:vAlign w:val="bottom"/>
            <w:tcBorders>
              <w:bottom w:val="single" w:sz="8" w:color="auto"/>
            </w:tcBorders>
            <w:shd w:val="clear" w:color="auto" w:fill="CCEEFF"/>
          </w:tcPr>
          <w:p>
            <w:pPr>
              <w:spacing w:after="0"/>
              <w:rPr>
                <w:sz w:val="6"/>
                <w:szCs w:val="6"/>
                <w:color w:val="auto"/>
              </w:rPr>
            </w:pPr>
          </w:p>
        </w:tc>
        <w:tc>
          <w:tcPr>
            <w:tcW w:w="0" w:type="dxa"/>
            <w:vAlign w:val="bottom"/>
          </w:tcPr>
          <w:p>
            <w:pPr>
              <w:spacing w:after="0"/>
              <w:rPr>
                <w:sz w:val="1"/>
                <w:szCs w:val="1"/>
                <w:color w:val="auto"/>
              </w:rPr>
            </w:pPr>
          </w:p>
        </w:tc>
      </w:tr>
      <w:tr>
        <w:trPr>
          <w:trHeight w:val="209"/>
        </w:trPr>
        <w:tc>
          <w:tcPr>
            <w:tcW w:w="786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3000" w:type="dxa"/>
            <w:vAlign w:val="bottom"/>
            <w:tcBorders>
              <w:bottom w:val="single" w:sz="8" w:color="auto"/>
            </w:tcBorders>
            <w:gridSpan w:val="4"/>
          </w:tcPr>
          <w:p>
            <w:pPr>
              <w:jc w:val="right"/>
              <w:ind w:right="20"/>
              <w:spacing w:after="0"/>
              <w:rPr>
                <w:sz w:val="20"/>
                <w:szCs w:val="20"/>
                <w:color w:val="auto"/>
              </w:rPr>
            </w:pPr>
            <w:r>
              <w:rPr>
                <w:rFonts w:ascii="Arial" w:cs="Arial" w:eastAsia="Arial" w:hAnsi="Arial"/>
                <w:sz w:val="16"/>
                <w:szCs w:val="16"/>
                <w:b w:val="1"/>
                <w:bCs w:val="1"/>
                <w:color w:val="auto"/>
              </w:rPr>
              <w:t>March 31, 2022  December 31, 2021</w:t>
            </w:r>
          </w:p>
        </w:tc>
        <w:tc>
          <w:tcPr>
            <w:tcW w:w="0" w:type="dxa"/>
            <w:vAlign w:val="bottom"/>
          </w:tcPr>
          <w:p>
            <w:pPr>
              <w:spacing w:after="0"/>
              <w:rPr>
                <w:sz w:val="1"/>
                <w:szCs w:val="1"/>
                <w:color w:val="auto"/>
              </w:rPr>
            </w:pPr>
          </w:p>
        </w:tc>
      </w:tr>
      <w:tr>
        <w:trPr>
          <w:trHeight w:val="210"/>
        </w:trPr>
        <w:tc>
          <w:tcPr>
            <w:tcW w:w="786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Cost</w:t>
            </w: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2000" w:type="dxa"/>
            <w:vAlign w:val="bottom"/>
            <w:gridSpan w:val="2"/>
            <w:shd w:val="clear" w:color="auto" w:fill="CCEEFF"/>
          </w:tcPr>
          <w:p>
            <w:pPr>
              <w:jc w:val="right"/>
              <w:ind w:right="2"/>
              <w:spacing w:after="0"/>
              <w:rPr>
                <w:sz w:val="20"/>
                <w:szCs w:val="20"/>
                <w:color w:val="auto"/>
              </w:rPr>
            </w:pPr>
            <w:r>
              <w:rPr>
                <w:rFonts w:ascii="Arial" w:cs="Arial" w:eastAsia="Arial" w:hAnsi="Arial"/>
                <w:sz w:val="16"/>
                <w:szCs w:val="16"/>
                <w:b w:val="1"/>
                <w:bCs w:val="1"/>
                <w:color w:val="auto"/>
              </w:rPr>
              <w:t>(in thousands)</w:t>
            </w:r>
          </w:p>
        </w:tc>
        <w:tc>
          <w:tcPr>
            <w:tcW w:w="960" w:type="dxa"/>
            <w:vAlign w:val="bottom"/>
            <w:shd w:val="clear" w:color="auto" w:fill="CCEEFF"/>
          </w:tcPr>
          <w:p>
            <w:pPr>
              <w:spacing w:after="0"/>
              <w:rPr>
                <w:sz w:val="18"/>
                <w:szCs w:val="18"/>
                <w:color w:val="auto"/>
              </w:rPr>
            </w:pP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860" w:type="dxa"/>
            <w:vAlign w:val="bottom"/>
          </w:tcPr>
          <w:p>
            <w:pPr>
              <w:ind w:left="20"/>
              <w:spacing w:after="0"/>
              <w:rPr>
                <w:sz w:val="20"/>
                <w:szCs w:val="20"/>
                <w:color w:val="auto"/>
              </w:rPr>
            </w:pPr>
            <w:r>
              <w:rPr>
                <w:rFonts w:ascii="Arial" w:cs="Arial" w:eastAsia="Arial" w:hAnsi="Arial"/>
                <w:sz w:val="16"/>
                <w:szCs w:val="16"/>
                <w:color w:val="auto"/>
              </w:rPr>
              <w:t>Customer relationships</w:t>
            </w:r>
          </w:p>
        </w:tc>
        <w:tc>
          <w:tcPr>
            <w:tcW w:w="320" w:type="dxa"/>
            <w:vAlign w:val="bottom"/>
            <w:gridSpan w:val="2"/>
          </w:tcPr>
          <w:p>
            <w:pPr>
              <w:jc w:val="right"/>
              <w:ind w:right="79"/>
              <w:spacing w:after="0"/>
              <w:rPr>
                <w:sz w:val="20"/>
                <w:szCs w:val="20"/>
                <w:color w:val="auto"/>
              </w:rPr>
            </w:pPr>
            <w:r>
              <w:rPr>
                <w:rFonts w:ascii="Arial" w:cs="Arial" w:eastAsia="Arial" w:hAnsi="Arial"/>
                <w:sz w:val="16"/>
                <w:szCs w:val="16"/>
                <w:color w:val="auto"/>
              </w:rPr>
              <w:t>$</w:t>
            </w:r>
          </w:p>
        </w:tc>
        <w:tc>
          <w:tcPr>
            <w:tcW w:w="1340" w:type="dxa"/>
            <w:vAlign w:val="bottom"/>
          </w:tcPr>
          <w:p>
            <w:pPr>
              <w:jc w:val="right"/>
              <w:spacing w:after="0"/>
              <w:rPr>
                <w:sz w:val="20"/>
                <w:szCs w:val="20"/>
                <w:color w:val="auto"/>
              </w:rPr>
            </w:pPr>
            <w:r>
              <w:rPr>
                <w:rFonts w:ascii="Arial" w:cs="Arial" w:eastAsia="Arial" w:hAnsi="Arial"/>
                <w:sz w:val="16"/>
                <w:szCs w:val="16"/>
                <w:color w:val="auto"/>
              </w:rPr>
              <w:t>4,055,260</w:t>
            </w:r>
          </w:p>
        </w:tc>
        <w:tc>
          <w:tcPr>
            <w:tcW w:w="660" w:type="dxa"/>
            <w:vAlign w:val="bottom"/>
          </w:tcPr>
          <w:p>
            <w:pPr>
              <w:jc w:val="right"/>
              <w:ind w:right="462"/>
              <w:spacing w:after="0"/>
              <w:rPr>
                <w:sz w:val="20"/>
                <w:szCs w:val="20"/>
                <w:color w:val="auto"/>
              </w:rPr>
            </w:pPr>
            <w:r>
              <w:rPr>
                <w:rFonts w:ascii="Arial" w:cs="Arial" w:eastAsia="Arial" w:hAnsi="Arial"/>
                <w:sz w:val="16"/>
                <w:szCs w:val="16"/>
                <w:color w:val="auto"/>
              </w:rPr>
              <w:t>$</w:t>
            </w:r>
          </w:p>
        </w:tc>
        <w:tc>
          <w:tcPr>
            <w:tcW w:w="960" w:type="dxa"/>
            <w:vAlign w:val="bottom"/>
          </w:tcPr>
          <w:p>
            <w:pPr>
              <w:jc w:val="right"/>
              <w:spacing w:after="0"/>
              <w:rPr>
                <w:sz w:val="20"/>
                <w:szCs w:val="20"/>
                <w:color w:val="auto"/>
              </w:rPr>
            </w:pPr>
            <w:r>
              <w:rPr>
                <w:rFonts w:ascii="Arial" w:cs="Arial" w:eastAsia="Arial" w:hAnsi="Arial"/>
                <w:sz w:val="16"/>
                <w:szCs w:val="16"/>
                <w:color w:val="auto"/>
              </w:rPr>
              <w:t>4,056,642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Order backlog</w:t>
            </w: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527,451</w:t>
            </w:r>
          </w:p>
        </w:tc>
        <w:tc>
          <w:tcPr>
            <w:tcW w:w="6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528,022</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860" w:type="dxa"/>
            <w:vAlign w:val="bottom"/>
          </w:tcPr>
          <w:p>
            <w:pPr>
              <w:ind w:left="20"/>
              <w:spacing w:after="0"/>
              <w:rPr>
                <w:sz w:val="20"/>
                <w:szCs w:val="20"/>
                <w:color w:val="auto"/>
              </w:rPr>
            </w:pPr>
            <w:r>
              <w:rPr>
                <w:rFonts w:ascii="Arial" w:cs="Arial" w:eastAsia="Arial" w:hAnsi="Arial"/>
                <w:sz w:val="16"/>
                <w:szCs w:val="16"/>
                <w:color w:val="auto"/>
              </w:rPr>
              <w:t>Trade names &amp; brands</w:t>
            </w:r>
          </w:p>
        </w:tc>
        <w:tc>
          <w:tcPr>
            <w:tcW w:w="4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40" w:type="dxa"/>
            <w:vAlign w:val="bottom"/>
          </w:tcPr>
          <w:p>
            <w:pPr>
              <w:jc w:val="right"/>
              <w:spacing w:after="0"/>
              <w:rPr>
                <w:sz w:val="20"/>
                <w:szCs w:val="20"/>
                <w:color w:val="auto"/>
              </w:rPr>
            </w:pPr>
            <w:r>
              <w:rPr>
                <w:rFonts w:ascii="Arial" w:cs="Arial" w:eastAsia="Arial" w:hAnsi="Arial"/>
                <w:sz w:val="16"/>
                <w:szCs w:val="16"/>
                <w:color w:val="auto"/>
              </w:rPr>
              <w:t>204,648</w:t>
            </w:r>
          </w:p>
        </w:tc>
        <w:tc>
          <w:tcPr>
            <w:tcW w:w="66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Arial" w:cs="Arial" w:eastAsia="Arial" w:hAnsi="Arial"/>
                <w:sz w:val="16"/>
                <w:szCs w:val="16"/>
                <w:color w:val="auto"/>
              </w:rPr>
              <w:t>204,685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7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Patient database</w:t>
            </w: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170,456</w:t>
            </w:r>
          </w:p>
        </w:tc>
        <w:tc>
          <w:tcPr>
            <w:tcW w:w="6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170,525</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8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Technology assets</w:t>
            </w:r>
          </w:p>
        </w:tc>
        <w:tc>
          <w:tcPr>
            <w:tcW w:w="4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121,211</w:t>
            </w:r>
          </w:p>
        </w:tc>
        <w:tc>
          <w:tcPr>
            <w:tcW w:w="66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121,507</w:t>
            </w:r>
          </w:p>
        </w:tc>
        <w:tc>
          <w:tcPr>
            <w:tcW w:w="4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cost</w:t>
            </w:r>
          </w:p>
        </w:tc>
        <w:tc>
          <w:tcPr>
            <w:tcW w:w="4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5,079,026</w:t>
            </w:r>
          </w:p>
        </w:tc>
        <w:tc>
          <w:tcPr>
            <w:tcW w:w="66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5,081,381</w:t>
            </w:r>
          </w:p>
        </w:tc>
        <w:tc>
          <w:tcPr>
            <w:tcW w:w="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78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Accumulated amortization</w:t>
            </w:r>
          </w:p>
        </w:tc>
        <w:tc>
          <w:tcPr>
            <w:tcW w:w="40" w:type="dxa"/>
            <w:vAlign w:val="bottom"/>
            <w:tcBorders>
              <w:bottom w:val="single" w:sz="8" w:color="CCEEFF"/>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(486,439)</w:t>
            </w:r>
          </w:p>
        </w:tc>
        <w:tc>
          <w:tcPr>
            <w:tcW w:w="66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gridSpan w:val="2"/>
          </w:tcPr>
          <w:p>
            <w:pPr>
              <w:jc w:val="right"/>
              <w:ind w:right="40"/>
              <w:spacing w:after="0"/>
              <w:rPr>
                <w:sz w:val="20"/>
                <w:szCs w:val="20"/>
                <w:color w:val="auto"/>
              </w:rPr>
            </w:pPr>
            <w:r>
              <w:rPr>
                <w:rFonts w:ascii="Arial" w:cs="Arial" w:eastAsia="Arial" w:hAnsi="Arial"/>
                <w:sz w:val="16"/>
                <w:szCs w:val="16"/>
                <w:color w:val="auto"/>
              </w:rPr>
              <w:t>(370,538)</w:t>
            </w:r>
          </w:p>
        </w:tc>
        <w:tc>
          <w:tcPr>
            <w:tcW w:w="0" w:type="dxa"/>
            <w:vAlign w:val="bottom"/>
          </w:tcPr>
          <w:p>
            <w:pPr>
              <w:spacing w:after="0"/>
              <w:rPr>
                <w:sz w:val="1"/>
                <w:szCs w:val="1"/>
                <w:color w:val="auto"/>
              </w:rPr>
            </w:pPr>
          </w:p>
        </w:tc>
      </w:tr>
      <w:tr>
        <w:trPr>
          <w:trHeight w:val="234"/>
        </w:trPr>
        <w:tc>
          <w:tcPr>
            <w:tcW w:w="7860" w:type="dxa"/>
            <w:vAlign w:val="bottom"/>
            <w:tcBorders>
              <w:bottom w:val="single" w:sz="8" w:color="auto"/>
            </w:tcBorders>
            <w:shd w:val="clear" w:color="auto" w:fill="CCEEFF"/>
          </w:tcPr>
          <w:p>
            <w:pPr>
              <w:ind w:left="80"/>
              <w:spacing w:after="0"/>
              <w:rPr>
                <w:sz w:val="20"/>
                <w:szCs w:val="20"/>
                <w:color w:val="auto"/>
              </w:rPr>
            </w:pPr>
            <w:r>
              <w:rPr>
                <w:rFonts w:ascii="Arial" w:cs="Arial" w:eastAsia="Arial" w:hAnsi="Arial"/>
                <w:sz w:val="16"/>
                <w:szCs w:val="16"/>
                <w:color w:val="auto"/>
              </w:rPr>
              <w:t>Net book value</w:t>
            </w:r>
          </w:p>
        </w:tc>
        <w:tc>
          <w:tcPr>
            <w:tcW w:w="40" w:type="dxa"/>
            <w:vAlign w:val="bottom"/>
            <w:tcBorders>
              <w:bottom w:val="single" w:sz="8" w:color="auto"/>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4,592,587</w:t>
            </w:r>
          </w:p>
        </w:tc>
        <w:tc>
          <w:tcPr>
            <w:tcW w:w="660" w:type="dxa"/>
            <w:vAlign w:val="bottom"/>
            <w:tcBorders>
              <w:bottom w:val="single" w:sz="8" w:color="auto"/>
            </w:tcBorders>
            <w:shd w:val="clear" w:color="auto" w:fill="CCEEFF"/>
          </w:tcPr>
          <w:p>
            <w:pPr>
              <w:jc w:val="right"/>
              <w:ind w:right="462"/>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4,710,843</w:t>
            </w:r>
          </w:p>
        </w:tc>
        <w:tc>
          <w:tcPr>
            <w:tcW w:w="4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8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660" w:type="dxa"/>
            <w:vAlign w:val="bottom"/>
            <w:tcBorders>
              <w:top w:val="single" w:sz="8" w:color="CCEEFF"/>
              <w:bottom w:val="single" w:sz="8" w:color="auto"/>
            </w:tcBorders>
          </w:tcPr>
          <w:p>
            <w:pPr>
              <w:spacing w:after="0" w:line="20" w:lineRule="exact"/>
              <w:rPr>
                <w:sz w:val="1"/>
                <w:szCs w:val="1"/>
                <w:color w:val="auto"/>
              </w:rPr>
            </w:pPr>
          </w:p>
        </w:tc>
        <w:tc>
          <w:tcPr>
            <w:tcW w:w="960" w:type="dxa"/>
            <w:vAlign w:val="bottom"/>
            <w:tcBorders>
              <w:top w:val="single" w:sz="8" w:color="CCEEFF"/>
              <w:bottom w:val="single" w:sz="8" w:color="auto"/>
            </w:tcBorders>
          </w:tcPr>
          <w:p>
            <w:pPr>
              <w:spacing w:after="0" w:line="20" w:lineRule="exact"/>
              <w:rPr>
                <w:sz w:val="1"/>
                <w:szCs w:val="1"/>
                <w:color w:val="auto"/>
              </w:rPr>
            </w:pPr>
          </w:p>
        </w:tc>
        <w:tc>
          <w:tcPr>
            <w:tcW w:w="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319" w:lineRule="exact"/>
        <w:rPr>
          <w:sz w:val="20"/>
          <w:szCs w:val="20"/>
          <w:color w:val="auto"/>
        </w:rPr>
      </w:pPr>
    </w:p>
    <w:p>
      <w:pPr>
        <w:spacing w:after="0"/>
        <w:rPr>
          <w:sz w:val="20"/>
          <w:szCs w:val="20"/>
          <w:color w:val="auto"/>
        </w:rPr>
      </w:pPr>
      <w:r>
        <w:rPr>
          <w:rFonts w:ascii="Arial" w:cs="Arial" w:eastAsia="Arial" w:hAnsi="Arial"/>
          <w:sz w:val="16"/>
          <w:szCs w:val="16"/>
          <w:color w:val="auto"/>
        </w:rPr>
        <w:t>The identifiable intangible assets are amortized over their estimated useful lives</w:t>
      </w:r>
      <w:r>
        <w:rPr>
          <w:rFonts w:ascii="Times New Roman" w:cs="Times New Roman" w:eastAsia="Times New Roman" w:hAnsi="Times New Roman"/>
          <w:sz w:val="17"/>
          <w:szCs w:val="17"/>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59"/>
        <w:spacing w:after="0"/>
        <w:rPr>
          <w:sz w:val="20"/>
          <w:szCs w:val="20"/>
          <w:color w:val="auto"/>
        </w:rPr>
      </w:pPr>
      <w:r>
        <w:rPr>
          <w:rFonts w:ascii="Arial" w:cs="Arial" w:eastAsia="Arial" w:hAnsi="Arial"/>
          <w:sz w:val="16"/>
          <w:szCs w:val="16"/>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180"/>
          </w:cols>
          <w:pgMar w:left="320" w:top="1003" w:right="399" w:bottom="1440" w:gutter="0" w:footer="0" w:header="0"/>
        </w:sectPr>
      </w:pPr>
    </w:p>
    <w:bookmarkStart w:id="14" w:name="page15"/>
    <w:bookmarkEnd w:id="14"/>
    <w:p>
      <w:pPr>
        <w:spacing w:after="0"/>
        <w:rPr>
          <w:sz w:val="20"/>
          <w:szCs w:val="20"/>
          <w:color w:val="auto"/>
        </w:rPr>
      </w:pPr>
      <w:r>
        <w:rPr>
          <w:rFonts w:ascii="Arial" w:cs="Arial" w:eastAsia="Arial" w:hAnsi="Arial"/>
          <w:sz w:val="16"/>
          <w:szCs w:val="16"/>
          <w:b w:val="1"/>
          <w:bCs w:val="1"/>
          <w:color w:val="auto"/>
        </w:rPr>
        <w:t>7. Business combinations</w:t>
      </w:r>
    </w:p>
    <w:p>
      <w:pPr>
        <w:spacing w:after="0" w:line="25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PRA Health Sciences, Inc. - Merger Completion</w:t>
      </w:r>
    </w:p>
    <w:p>
      <w:pPr>
        <w:spacing w:after="0" w:line="260"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 xml:space="preserve">On July 1, 2021 (the "Merger Date"), the Company completed the Acquisition of PRA by means of a merger whereby Indigo Merger Sub, Inc., a Delaware corporation and subsidiary of ICON, merged with and into PRA Health Sciences, Inc., the parent of the PRA Health Sciences Group. The combined Group has retained the name ICON and brought together approximately 38,000 (as at the Merger date) employees across the globe, creating one of the world’s most advanced healthcare intelligence and clinical research organizations. The Merger was accounted for as a business combination using the acquisition method of accounting in accordance with ASC Topic 805, </w:t>
      </w:r>
      <w:r>
        <w:rPr>
          <w:rFonts w:ascii="Arial" w:cs="Arial" w:eastAsia="Arial" w:hAnsi="Arial"/>
          <w:sz w:val="16"/>
          <w:szCs w:val="16"/>
          <w:i w:val="1"/>
          <w:iCs w:val="1"/>
          <w:color w:val="auto"/>
        </w:rPr>
        <w:t>Business Combinations.</w:t>
      </w:r>
    </w:p>
    <w:p>
      <w:pPr>
        <w:spacing w:after="0" w:line="218"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The combined Company leverages its enhanced operations to transform clinical trials and accelerate biopharma customers’ commercial success through the development of much needed medicines and medical devices. The new ICON has a renewed focus on leveraging data, applying technology and accessing diverse patient populations to speed up drug development.</w:t>
      </w:r>
    </w:p>
    <w:p>
      <w:pPr>
        <w:spacing w:after="0" w:line="191"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Upon completion of the Merger, pursuant to the terms of the merger agreement, PRA became a wholly owned subsidiary of ICON plc. Under the terms of the Merger, PRA shareholders received per share $80 in cash and 0.4125 shares of ICON stock. The trading of PRA common stock on NASDAQ was suspended prior to market open on July 1, 2021.</w:t>
      </w:r>
    </w:p>
    <w:p>
      <w:pPr>
        <w:spacing w:after="0" w:line="286"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In the three months ended March 31, 2022, the Company incurred $12.1 million of Merger-related expenses which were accounted for separately from the business combination and expensed as incurred within the “Transaction and integration related expenses” line item of the condensed consolidated statements of operations. These costs consisted primarily of integration costs including severance arrangements, retention agreements and advisory fees. In the three months ended March 31, 2021, the Company incurred $12.5 million of Merger-related expenses. These costs consisted primarily of investment banker fees, advisory fees, legal costs, accounting fees and consulting fees.</w:t>
      </w:r>
    </w:p>
    <w:p>
      <w:pPr>
        <w:spacing w:after="0" w:line="218"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6"/>
          <w:szCs w:val="16"/>
          <w:color w:val="auto"/>
        </w:rPr>
        <w:t>The purchase accounting associated with the PRA Merger remains ongoing and we continue to review the acquisition balance sheet. We expect to conclude the purchase accounting exercise by June 30, 2022.</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8580" w:type="dxa"/>
            <w:vAlign w:val="bottom"/>
          </w:tcPr>
          <w:p>
            <w:pPr>
              <w:ind w:left="660"/>
              <w:spacing w:after="0"/>
              <w:rPr>
                <w:sz w:val="20"/>
                <w:szCs w:val="20"/>
                <w:color w:val="auto"/>
              </w:rPr>
            </w:pPr>
            <w:r>
              <w:rPr>
                <w:rFonts w:ascii="Arial" w:cs="Arial" w:eastAsia="Arial" w:hAnsi="Arial"/>
                <w:sz w:val="16"/>
                <w:szCs w:val="16"/>
                <w:color w:val="auto"/>
              </w:rPr>
              <w:t>The preliminary Merger Date fair value of the consideration transferred consisted of the following:</w:t>
            </w:r>
          </w:p>
        </w:tc>
        <w:tc>
          <w:tcPr>
            <w:tcW w:w="460" w:type="dxa"/>
            <w:vAlign w:val="bottom"/>
          </w:tcPr>
          <w:p>
            <w:pPr>
              <w:spacing w:after="0"/>
              <w:rPr>
                <w:sz w:val="18"/>
                <w:szCs w:val="18"/>
                <w:color w:val="auto"/>
              </w:rPr>
            </w:pPr>
          </w:p>
        </w:tc>
        <w:tc>
          <w:tcPr>
            <w:tcW w:w="2200" w:type="dxa"/>
            <w:vAlign w:val="bottom"/>
          </w:tcPr>
          <w:p>
            <w:pPr>
              <w:spacing w:after="0"/>
              <w:rPr>
                <w:sz w:val="18"/>
                <w:szCs w:val="18"/>
                <w:color w:val="auto"/>
              </w:rPr>
            </w:pPr>
          </w:p>
        </w:tc>
      </w:tr>
      <w:tr>
        <w:trPr>
          <w:trHeight w:val="272"/>
        </w:trPr>
        <w:tc>
          <w:tcPr>
            <w:tcW w:w="858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2200" w:type="dxa"/>
            <w:vAlign w:val="bottom"/>
          </w:tcPr>
          <w:p>
            <w:pPr>
              <w:spacing w:after="0"/>
              <w:rPr>
                <w:sz w:val="23"/>
                <w:szCs w:val="23"/>
                <w:color w:val="auto"/>
              </w:rPr>
            </w:pPr>
          </w:p>
        </w:tc>
      </w:tr>
      <w:tr>
        <w:trPr>
          <w:trHeight w:val="216"/>
        </w:trPr>
        <w:tc>
          <w:tcPr>
            <w:tcW w:w="8580" w:type="dxa"/>
            <w:vAlign w:val="bottom"/>
            <w:shd w:val="clear" w:color="auto" w:fill="CCEEFF"/>
          </w:tcPr>
          <w:p>
            <w:pPr>
              <w:spacing w:after="0"/>
              <w:rPr>
                <w:sz w:val="18"/>
                <w:szCs w:val="18"/>
                <w:color w:val="auto"/>
              </w:rPr>
            </w:pPr>
          </w:p>
        </w:tc>
        <w:tc>
          <w:tcPr>
            <w:tcW w:w="460" w:type="dxa"/>
            <w:vAlign w:val="bottom"/>
            <w:tcBorders>
              <w:bottom w:val="single" w:sz="8" w:color="auto"/>
            </w:tcBorders>
            <w:shd w:val="clear" w:color="auto" w:fill="CCEEFF"/>
          </w:tcPr>
          <w:p>
            <w:pPr>
              <w:spacing w:after="0"/>
              <w:rPr>
                <w:sz w:val="18"/>
                <w:szCs w:val="18"/>
                <w:color w:val="auto"/>
              </w:rPr>
            </w:pPr>
          </w:p>
        </w:tc>
        <w:tc>
          <w:tcPr>
            <w:tcW w:w="2200" w:type="dxa"/>
            <w:vAlign w:val="bottom"/>
            <w:tcBorders>
              <w:bottom w:val="single" w:sz="8" w:color="auto"/>
            </w:tcBorders>
            <w:shd w:val="clear" w:color="auto" w:fill="CCEEFF"/>
          </w:tcPr>
          <w:p>
            <w:pPr>
              <w:jc w:val="right"/>
              <w:ind w:right="659"/>
              <w:spacing w:after="0"/>
              <w:rPr>
                <w:sz w:val="20"/>
                <w:szCs w:val="20"/>
                <w:color w:val="auto"/>
              </w:rPr>
            </w:pPr>
            <w:r>
              <w:rPr>
                <w:rFonts w:ascii="Arial" w:cs="Arial" w:eastAsia="Arial" w:hAnsi="Arial"/>
                <w:sz w:val="16"/>
                <w:szCs w:val="16"/>
                <w:b w:val="1"/>
                <w:bCs w:val="1"/>
                <w:color w:val="auto"/>
              </w:rPr>
              <w:t>(in thousands)</w:t>
            </w:r>
          </w:p>
        </w:tc>
      </w:tr>
      <w:tr>
        <w:trPr>
          <w:trHeight w:val="209"/>
        </w:trPr>
        <w:tc>
          <w:tcPr>
            <w:tcW w:w="8580" w:type="dxa"/>
            <w:vAlign w:val="bottom"/>
          </w:tcPr>
          <w:p>
            <w:pPr>
              <w:ind w:left="20"/>
              <w:spacing w:after="0"/>
              <w:rPr>
                <w:sz w:val="20"/>
                <w:szCs w:val="20"/>
                <w:color w:val="auto"/>
              </w:rPr>
            </w:pPr>
            <w:r>
              <w:rPr>
                <w:rFonts w:ascii="Arial" w:cs="Arial" w:eastAsia="Arial" w:hAnsi="Arial"/>
                <w:sz w:val="16"/>
                <w:szCs w:val="16"/>
                <w:color w:val="auto"/>
              </w:rPr>
              <w:t>Fair value of cash consideration</w:t>
            </w:r>
          </w:p>
        </w:tc>
        <w:tc>
          <w:tcPr>
            <w:tcW w:w="460" w:type="dxa"/>
            <w:vAlign w:val="bottom"/>
          </w:tcPr>
          <w:p>
            <w:pPr>
              <w:jc w:val="right"/>
              <w:ind w:right="279"/>
              <w:spacing w:after="0"/>
              <w:rPr>
                <w:sz w:val="20"/>
                <w:szCs w:val="20"/>
                <w:color w:val="auto"/>
              </w:rPr>
            </w:pPr>
            <w:r>
              <w:rPr>
                <w:rFonts w:ascii="Arial" w:cs="Arial" w:eastAsia="Arial" w:hAnsi="Arial"/>
                <w:sz w:val="16"/>
                <w:szCs w:val="16"/>
                <w:color w:val="auto"/>
                <w:w w:val="89"/>
              </w:rPr>
              <w:t>$</w:t>
            </w:r>
          </w:p>
        </w:tc>
        <w:tc>
          <w:tcPr>
            <w:tcW w:w="2200" w:type="dxa"/>
            <w:vAlign w:val="bottom"/>
          </w:tcPr>
          <w:p>
            <w:pPr>
              <w:jc w:val="right"/>
              <w:spacing w:after="0"/>
              <w:rPr>
                <w:sz w:val="20"/>
                <w:szCs w:val="20"/>
                <w:color w:val="auto"/>
              </w:rPr>
            </w:pPr>
            <w:r>
              <w:rPr>
                <w:rFonts w:ascii="Arial" w:cs="Arial" w:eastAsia="Arial" w:hAnsi="Arial"/>
                <w:sz w:val="16"/>
                <w:szCs w:val="16"/>
                <w:color w:val="auto"/>
              </w:rPr>
              <w:t>5,308,646</w:t>
            </w:r>
          </w:p>
        </w:tc>
      </w:tr>
      <w:tr>
        <w:trPr>
          <w:trHeight w:val="217"/>
        </w:trPr>
        <w:tc>
          <w:tcPr>
            <w:tcW w:w="8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Fair value of ordinary shares issued to acquiree stockholders</w:t>
            </w:r>
          </w:p>
        </w:tc>
        <w:tc>
          <w:tcPr>
            <w:tcW w:w="460" w:type="dxa"/>
            <w:vAlign w:val="bottom"/>
            <w:shd w:val="clear" w:color="auto" w:fill="CCEEFF"/>
          </w:tcPr>
          <w:p>
            <w:pPr>
              <w:spacing w:after="0"/>
              <w:rPr>
                <w:sz w:val="18"/>
                <w:szCs w:val="18"/>
                <w:color w:val="auto"/>
              </w:rPr>
            </w:pPr>
          </w:p>
        </w:tc>
        <w:tc>
          <w:tcPr>
            <w:tcW w:w="2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5,658,126</w:t>
            </w:r>
          </w:p>
        </w:tc>
      </w:tr>
      <w:tr>
        <w:trPr>
          <w:trHeight w:val="215"/>
        </w:trPr>
        <w:tc>
          <w:tcPr>
            <w:tcW w:w="8580" w:type="dxa"/>
            <w:vAlign w:val="bottom"/>
          </w:tcPr>
          <w:p>
            <w:pPr>
              <w:ind w:left="20"/>
              <w:spacing w:after="0"/>
              <w:rPr>
                <w:sz w:val="20"/>
                <w:szCs w:val="20"/>
                <w:color w:val="auto"/>
              </w:rPr>
            </w:pPr>
            <w:r>
              <w:rPr>
                <w:rFonts w:ascii="Arial" w:cs="Arial" w:eastAsia="Arial" w:hAnsi="Arial"/>
                <w:sz w:val="16"/>
                <w:szCs w:val="16"/>
                <w:color w:val="auto"/>
              </w:rPr>
              <w:t>Fair value of replacement share-based awards issued to acquiree employees</w:t>
            </w:r>
          </w:p>
        </w:tc>
        <w:tc>
          <w:tcPr>
            <w:tcW w:w="460" w:type="dxa"/>
            <w:vAlign w:val="bottom"/>
          </w:tcPr>
          <w:p>
            <w:pPr>
              <w:spacing w:after="0"/>
              <w:rPr>
                <w:sz w:val="18"/>
                <w:szCs w:val="18"/>
                <w:color w:val="auto"/>
              </w:rPr>
            </w:pPr>
          </w:p>
        </w:tc>
        <w:tc>
          <w:tcPr>
            <w:tcW w:w="2200" w:type="dxa"/>
            <w:vAlign w:val="bottom"/>
          </w:tcPr>
          <w:p>
            <w:pPr>
              <w:jc w:val="right"/>
              <w:spacing w:after="0"/>
              <w:rPr>
                <w:sz w:val="20"/>
                <w:szCs w:val="20"/>
                <w:color w:val="auto"/>
              </w:rPr>
            </w:pPr>
            <w:r>
              <w:rPr>
                <w:rFonts w:ascii="Arial" w:cs="Arial" w:eastAsia="Arial" w:hAnsi="Arial"/>
                <w:sz w:val="16"/>
                <w:szCs w:val="16"/>
                <w:color w:val="auto"/>
              </w:rPr>
              <w:t>209,399</w:t>
            </w:r>
          </w:p>
        </w:tc>
      </w:tr>
      <w:tr>
        <w:trPr>
          <w:trHeight w:val="216"/>
        </w:trPr>
        <w:tc>
          <w:tcPr>
            <w:tcW w:w="858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Repayment of term loan obligations and accrued interest *</w:t>
            </w:r>
          </w:p>
        </w:tc>
        <w:tc>
          <w:tcPr>
            <w:tcW w:w="460" w:type="dxa"/>
            <w:vAlign w:val="bottom"/>
            <w:tcBorders>
              <w:bottom w:val="single" w:sz="8" w:color="auto"/>
            </w:tcBorders>
            <w:shd w:val="clear" w:color="auto" w:fill="CCEEFF"/>
          </w:tcPr>
          <w:p>
            <w:pPr>
              <w:spacing w:after="0"/>
              <w:rPr>
                <w:sz w:val="18"/>
                <w:szCs w:val="18"/>
                <w:color w:val="auto"/>
              </w:rPr>
            </w:pPr>
          </w:p>
        </w:tc>
        <w:tc>
          <w:tcPr>
            <w:tcW w:w="2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865,800</w:t>
            </w:r>
          </w:p>
        </w:tc>
      </w:tr>
      <w:tr>
        <w:trPr>
          <w:trHeight w:val="209"/>
        </w:trPr>
        <w:tc>
          <w:tcPr>
            <w:tcW w:w="8580" w:type="dxa"/>
            <w:vAlign w:val="bottom"/>
          </w:tcPr>
          <w:p>
            <w:pPr>
              <w:spacing w:after="0"/>
              <w:rPr>
                <w:sz w:val="18"/>
                <w:szCs w:val="18"/>
                <w:color w:val="auto"/>
              </w:rPr>
            </w:pPr>
          </w:p>
        </w:tc>
        <w:tc>
          <w:tcPr>
            <w:tcW w:w="460" w:type="dxa"/>
            <w:vAlign w:val="bottom"/>
            <w:tcBorders>
              <w:bottom w:val="single" w:sz="8" w:color="auto"/>
            </w:tcBorders>
          </w:tcPr>
          <w:p>
            <w:pPr>
              <w:jc w:val="right"/>
              <w:ind w:right="279"/>
              <w:spacing w:after="0"/>
              <w:rPr>
                <w:sz w:val="20"/>
                <w:szCs w:val="20"/>
                <w:color w:val="auto"/>
              </w:rPr>
            </w:pPr>
            <w:r>
              <w:rPr>
                <w:rFonts w:ascii="Arial" w:cs="Arial" w:eastAsia="Arial" w:hAnsi="Arial"/>
                <w:sz w:val="16"/>
                <w:szCs w:val="16"/>
                <w:color w:val="auto"/>
                <w:w w:val="89"/>
              </w:rPr>
              <w:t>$</w:t>
            </w:r>
          </w:p>
        </w:tc>
        <w:tc>
          <w:tcPr>
            <w:tcW w:w="2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12,041,971</w:t>
            </w:r>
          </w:p>
        </w:tc>
      </w:tr>
      <w:tr>
        <w:trPr>
          <w:trHeight w:val="21"/>
        </w:trPr>
        <w:tc>
          <w:tcPr>
            <w:tcW w:w="8580" w:type="dxa"/>
            <w:vAlign w:val="bottom"/>
          </w:tcPr>
          <w:p>
            <w:pPr>
              <w:spacing w:after="0" w:line="20" w:lineRule="exact"/>
              <w:rPr>
                <w:sz w:val="1"/>
                <w:szCs w:val="1"/>
                <w:color w:val="auto"/>
              </w:rPr>
            </w:pPr>
          </w:p>
        </w:tc>
        <w:tc>
          <w:tcPr>
            <w:tcW w:w="460" w:type="dxa"/>
            <w:vAlign w:val="bottom"/>
            <w:tcBorders>
              <w:bottom w:val="single" w:sz="8" w:color="auto"/>
            </w:tcBorders>
          </w:tcPr>
          <w:p>
            <w:pPr>
              <w:spacing w:after="0" w:line="20" w:lineRule="exact"/>
              <w:rPr>
                <w:sz w:val="1"/>
                <w:szCs w:val="1"/>
                <w:color w:val="auto"/>
              </w:rPr>
            </w:pPr>
          </w:p>
        </w:tc>
        <w:tc>
          <w:tcPr>
            <w:tcW w:w="2200" w:type="dxa"/>
            <w:vAlign w:val="bottom"/>
            <w:tcBorders>
              <w:bottom w:val="single" w:sz="8" w:color="auto"/>
            </w:tcBorders>
          </w:tcPr>
          <w:p>
            <w:pPr>
              <w:spacing w:after="0" w:line="20" w:lineRule="exact"/>
              <w:rPr>
                <w:sz w:val="1"/>
                <w:szCs w:val="1"/>
                <w:color w:val="auto"/>
              </w:rPr>
            </w:pPr>
          </w:p>
        </w:tc>
      </w:tr>
    </w:tbl>
    <w:p>
      <w:pPr>
        <w:spacing w:after="0" w:line="80" w:lineRule="exact"/>
        <w:rPr>
          <w:sz w:val="20"/>
          <w:szCs w:val="20"/>
          <w:color w:val="auto"/>
        </w:rPr>
      </w:pPr>
    </w:p>
    <w:p>
      <w:pPr>
        <w:ind w:firstLine="8"/>
        <w:spacing w:after="0" w:line="286" w:lineRule="auto"/>
        <w:tabs>
          <w:tab w:leader="none" w:pos="129" w:val="left"/>
        </w:tabs>
        <w:numPr>
          <w:ilvl w:val="0"/>
          <w:numId w:val="2"/>
        </w:numPr>
        <w:rPr>
          <w:rFonts w:ascii="Arial" w:cs="Arial" w:eastAsia="Arial" w:hAnsi="Arial"/>
          <w:sz w:val="16"/>
          <w:szCs w:val="16"/>
          <w:color w:val="auto"/>
        </w:rPr>
      </w:pPr>
      <w:r>
        <w:rPr>
          <w:rFonts w:ascii="Arial" w:cs="Arial" w:eastAsia="Arial" w:hAnsi="Arial"/>
          <w:sz w:val="16"/>
          <w:szCs w:val="16"/>
          <w:color w:val="auto"/>
        </w:rPr>
        <w:t>This represents the portion of PRA debt paid by ICON. PRA also paid $401.6 million from available cash to settle debt obligations that existed at the Merger Date.</w:t>
      </w:r>
    </w:p>
    <w:p>
      <w:pPr>
        <w:sectPr>
          <w:pgSz w:w="11900" w:h="16838" w:orient="portrait"/>
          <w:cols w:equalWidth="0" w:num="1">
            <w:col w:w="11240"/>
          </w:cols>
          <w:pgMar w:left="320" w:top="1138"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type w:val="continuous"/>
        </w:sectPr>
      </w:pPr>
    </w:p>
    <w:bookmarkStart w:id="15" w:name="page16"/>
    <w:bookmarkEnd w:id="15"/>
    <w:p>
      <w:pPr>
        <w:ind w:right="100" w:firstLine="648"/>
        <w:spacing w:after="0" w:line="275" w:lineRule="auto"/>
        <w:rPr>
          <w:sz w:val="20"/>
          <w:szCs w:val="20"/>
          <w:color w:val="auto"/>
        </w:rPr>
      </w:pPr>
      <w:r>
        <w:rPr>
          <w:rFonts w:ascii="Arial" w:cs="Arial" w:eastAsia="Arial" w:hAnsi="Arial"/>
          <w:sz w:val="16"/>
          <w:szCs w:val="16"/>
          <w:color w:val="auto"/>
        </w:rPr>
        <w:t>The following table summarizes the preliminary allocation of the consideration transferred based on management’s estimates of Merger Date fair values of assets acquired and liabilities assumed, with the excess of the purchase price over the estimated fair values of the identifiable net assets acquired recorded as goodwill:</w:t>
      </w:r>
    </w:p>
    <w:p>
      <w:pPr>
        <w:spacing w:after="0" w:line="23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500" w:type="dxa"/>
            <w:vAlign w:val="bottom"/>
            <w:shd w:val="clear" w:color="auto" w:fill="CCEEFF"/>
          </w:tcPr>
          <w:p>
            <w:pPr>
              <w:spacing w:after="0"/>
              <w:rPr>
                <w:sz w:val="18"/>
                <w:szCs w:val="18"/>
                <w:color w:val="auto"/>
              </w:rPr>
            </w:pPr>
          </w:p>
        </w:tc>
        <w:tc>
          <w:tcPr>
            <w:tcW w:w="33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July 1,</w:t>
            </w:r>
          </w:p>
        </w:tc>
      </w:tr>
      <w:tr>
        <w:trPr>
          <w:trHeight w:val="216"/>
        </w:trPr>
        <w:tc>
          <w:tcPr>
            <w:tcW w:w="6500" w:type="dxa"/>
            <w:vAlign w:val="bottom"/>
            <w:tcBorders>
              <w:bottom w:val="single" w:sz="8" w:color="auto"/>
            </w:tcBorders>
          </w:tcPr>
          <w:p>
            <w:pPr>
              <w:spacing w:after="0"/>
              <w:rPr>
                <w:sz w:val="18"/>
                <w:szCs w:val="18"/>
                <w:color w:val="auto"/>
              </w:rPr>
            </w:pPr>
          </w:p>
        </w:tc>
        <w:tc>
          <w:tcPr>
            <w:tcW w:w="336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r>
      <w:tr>
        <w:trPr>
          <w:trHeight w:val="210"/>
        </w:trPr>
        <w:tc>
          <w:tcPr>
            <w:tcW w:w="6500" w:type="dxa"/>
            <w:vAlign w:val="bottom"/>
            <w:shd w:val="clear" w:color="auto" w:fill="CCEEFF"/>
          </w:tcPr>
          <w:p>
            <w:pPr>
              <w:spacing w:after="0"/>
              <w:rPr>
                <w:sz w:val="18"/>
                <w:szCs w:val="18"/>
                <w:color w:val="auto"/>
              </w:rPr>
            </w:pPr>
          </w:p>
        </w:tc>
        <w:tc>
          <w:tcPr>
            <w:tcW w:w="33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(in thousands)</w:t>
            </w:r>
          </w:p>
        </w:tc>
      </w:tr>
      <w:tr>
        <w:trPr>
          <w:trHeight w:val="215"/>
        </w:trPr>
        <w:tc>
          <w:tcPr>
            <w:tcW w:w="6500" w:type="dxa"/>
            <w:vAlign w:val="bottom"/>
          </w:tcPr>
          <w:p>
            <w:pPr>
              <w:ind w:left="20"/>
              <w:spacing w:after="0"/>
              <w:rPr>
                <w:sz w:val="20"/>
                <w:szCs w:val="20"/>
                <w:color w:val="auto"/>
              </w:rPr>
            </w:pPr>
            <w:r>
              <w:rPr>
                <w:rFonts w:ascii="Arial" w:cs="Arial" w:eastAsia="Arial" w:hAnsi="Arial"/>
                <w:sz w:val="16"/>
                <w:szCs w:val="16"/>
                <w:color w:val="auto"/>
              </w:rPr>
              <w:t>Cash and cash equivalents</w:t>
            </w:r>
          </w:p>
        </w:tc>
        <w:tc>
          <w:tcPr>
            <w:tcW w:w="336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320" w:type="dxa"/>
            <w:vAlign w:val="bottom"/>
          </w:tcPr>
          <w:p>
            <w:pPr>
              <w:jc w:val="right"/>
              <w:spacing w:after="0"/>
              <w:rPr>
                <w:sz w:val="20"/>
                <w:szCs w:val="20"/>
                <w:color w:val="auto"/>
              </w:rPr>
            </w:pPr>
            <w:r>
              <w:rPr>
                <w:rFonts w:ascii="Arial" w:cs="Arial" w:eastAsia="Arial" w:hAnsi="Arial"/>
                <w:sz w:val="16"/>
                <w:szCs w:val="16"/>
                <w:color w:val="auto"/>
              </w:rPr>
              <w:t>259,971</w:t>
            </w:r>
          </w:p>
        </w:tc>
      </w:tr>
      <w:tr>
        <w:trPr>
          <w:trHeight w:val="217"/>
        </w:trPr>
        <w:tc>
          <w:tcPr>
            <w:tcW w:w="6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Accounts receivable and unbilled revenue</w:t>
            </w:r>
          </w:p>
        </w:tc>
        <w:tc>
          <w:tcPr>
            <w:tcW w:w="33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934,308</w:t>
            </w:r>
          </w:p>
        </w:tc>
      </w:tr>
      <w:tr>
        <w:trPr>
          <w:trHeight w:val="215"/>
        </w:trPr>
        <w:tc>
          <w:tcPr>
            <w:tcW w:w="6500" w:type="dxa"/>
            <w:vAlign w:val="bottom"/>
          </w:tcPr>
          <w:p>
            <w:pPr>
              <w:ind w:left="20"/>
              <w:spacing w:after="0"/>
              <w:rPr>
                <w:sz w:val="20"/>
                <w:szCs w:val="20"/>
                <w:color w:val="auto"/>
              </w:rPr>
            </w:pPr>
            <w:r>
              <w:rPr>
                <w:rFonts w:ascii="Arial" w:cs="Arial" w:eastAsia="Arial" w:hAnsi="Arial"/>
                <w:sz w:val="16"/>
                <w:szCs w:val="16"/>
                <w:color w:val="auto"/>
              </w:rPr>
              <w:t>Other current assets</w:t>
            </w:r>
          </w:p>
        </w:tc>
        <w:tc>
          <w:tcPr>
            <w:tcW w:w="3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125,156</w:t>
            </w:r>
          </w:p>
        </w:tc>
      </w:tr>
      <w:tr>
        <w:trPr>
          <w:trHeight w:val="217"/>
        </w:trPr>
        <w:tc>
          <w:tcPr>
            <w:tcW w:w="6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Fixed assets</w:t>
            </w:r>
          </w:p>
        </w:tc>
        <w:tc>
          <w:tcPr>
            <w:tcW w:w="33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156,851</w:t>
            </w:r>
          </w:p>
        </w:tc>
      </w:tr>
      <w:tr>
        <w:trPr>
          <w:trHeight w:val="215"/>
        </w:trPr>
        <w:tc>
          <w:tcPr>
            <w:tcW w:w="6500" w:type="dxa"/>
            <w:vAlign w:val="bottom"/>
          </w:tcPr>
          <w:p>
            <w:pPr>
              <w:ind w:left="20"/>
              <w:spacing w:after="0"/>
              <w:rPr>
                <w:sz w:val="20"/>
                <w:szCs w:val="20"/>
                <w:color w:val="auto"/>
              </w:rPr>
            </w:pPr>
            <w:r>
              <w:rPr>
                <w:rFonts w:ascii="Arial" w:cs="Arial" w:eastAsia="Arial" w:hAnsi="Arial"/>
                <w:sz w:val="16"/>
                <w:szCs w:val="16"/>
                <w:color w:val="auto"/>
              </w:rPr>
              <w:t>Operating lease right-of-use assets</w:t>
            </w:r>
          </w:p>
        </w:tc>
        <w:tc>
          <w:tcPr>
            <w:tcW w:w="3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181,708</w:t>
            </w:r>
          </w:p>
        </w:tc>
      </w:tr>
      <w:tr>
        <w:trPr>
          <w:trHeight w:val="217"/>
        </w:trPr>
        <w:tc>
          <w:tcPr>
            <w:tcW w:w="6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Goodwill *</w:t>
            </w:r>
          </w:p>
        </w:tc>
        <w:tc>
          <w:tcPr>
            <w:tcW w:w="33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8,121,468</w:t>
            </w:r>
          </w:p>
        </w:tc>
      </w:tr>
      <w:tr>
        <w:trPr>
          <w:trHeight w:val="215"/>
        </w:trPr>
        <w:tc>
          <w:tcPr>
            <w:tcW w:w="6500" w:type="dxa"/>
            <w:vAlign w:val="bottom"/>
          </w:tcPr>
          <w:p>
            <w:pPr>
              <w:ind w:left="20"/>
              <w:spacing w:after="0"/>
              <w:rPr>
                <w:sz w:val="20"/>
                <w:szCs w:val="20"/>
                <w:color w:val="auto"/>
              </w:rPr>
            </w:pPr>
            <w:r>
              <w:rPr>
                <w:rFonts w:ascii="Arial" w:cs="Arial" w:eastAsia="Arial" w:hAnsi="Arial"/>
                <w:sz w:val="16"/>
                <w:szCs w:val="16"/>
                <w:color w:val="auto"/>
              </w:rPr>
              <w:t>Intangible assets</w:t>
            </w:r>
          </w:p>
        </w:tc>
        <w:tc>
          <w:tcPr>
            <w:tcW w:w="3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4,886,000</w:t>
            </w:r>
          </w:p>
        </w:tc>
      </w:tr>
      <w:tr>
        <w:trPr>
          <w:trHeight w:val="217"/>
        </w:trPr>
        <w:tc>
          <w:tcPr>
            <w:tcW w:w="6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Deferred tax assets</w:t>
            </w:r>
          </w:p>
        </w:tc>
        <w:tc>
          <w:tcPr>
            <w:tcW w:w="33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28,099</w:t>
            </w:r>
          </w:p>
        </w:tc>
      </w:tr>
      <w:tr>
        <w:trPr>
          <w:trHeight w:val="215"/>
        </w:trPr>
        <w:tc>
          <w:tcPr>
            <w:tcW w:w="6500" w:type="dxa"/>
            <w:vAlign w:val="bottom"/>
          </w:tcPr>
          <w:p>
            <w:pPr>
              <w:ind w:left="20"/>
              <w:spacing w:after="0"/>
              <w:rPr>
                <w:sz w:val="20"/>
                <w:szCs w:val="20"/>
                <w:color w:val="auto"/>
              </w:rPr>
            </w:pPr>
            <w:r>
              <w:rPr>
                <w:rFonts w:ascii="Arial" w:cs="Arial" w:eastAsia="Arial" w:hAnsi="Arial"/>
                <w:sz w:val="16"/>
                <w:szCs w:val="16"/>
                <w:color w:val="auto"/>
              </w:rPr>
              <w:t>Other assets</w:t>
            </w:r>
          </w:p>
        </w:tc>
        <w:tc>
          <w:tcPr>
            <w:tcW w:w="3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33,928</w:t>
            </w:r>
          </w:p>
        </w:tc>
      </w:tr>
      <w:tr>
        <w:trPr>
          <w:trHeight w:val="217"/>
        </w:trPr>
        <w:tc>
          <w:tcPr>
            <w:tcW w:w="6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Accounts payable</w:t>
            </w:r>
          </w:p>
        </w:tc>
        <w:tc>
          <w:tcPr>
            <w:tcW w:w="33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(50,259)</w:t>
            </w:r>
          </w:p>
        </w:tc>
      </w:tr>
      <w:tr>
        <w:trPr>
          <w:trHeight w:val="215"/>
        </w:trPr>
        <w:tc>
          <w:tcPr>
            <w:tcW w:w="6500" w:type="dxa"/>
            <w:vAlign w:val="bottom"/>
          </w:tcPr>
          <w:p>
            <w:pPr>
              <w:ind w:left="20"/>
              <w:spacing w:after="0"/>
              <w:rPr>
                <w:sz w:val="20"/>
                <w:szCs w:val="20"/>
                <w:color w:val="auto"/>
              </w:rPr>
            </w:pPr>
            <w:r>
              <w:rPr>
                <w:rFonts w:ascii="Arial" w:cs="Arial" w:eastAsia="Arial" w:hAnsi="Arial"/>
                <w:sz w:val="16"/>
                <w:szCs w:val="16"/>
                <w:color w:val="auto"/>
              </w:rPr>
              <w:t>Accrued expenses and other current liabilities</w:t>
            </w:r>
          </w:p>
        </w:tc>
        <w:tc>
          <w:tcPr>
            <w:tcW w:w="3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(380,342)</w:t>
            </w:r>
          </w:p>
        </w:tc>
      </w:tr>
      <w:tr>
        <w:trPr>
          <w:trHeight w:val="217"/>
        </w:trPr>
        <w:tc>
          <w:tcPr>
            <w:tcW w:w="6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Current portion of operating lease liabilities</w:t>
            </w:r>
          </w:p>
        </w:tc>
        <w:tc>
          <w:tcPr>
            <w:tcW w:w="33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(37,355)</w:t>
            </w:r>
          </w:p>
        </w:tc>
      </w:tr>
      <w:tr>
        <w:trPr>
          <w:trHeight w:val="215"/>
        </w:trPr>
        <w:tc>
          <w:tcPr>
            <w:tcW w:w="6500" w:type="dxa"/>
            <w:vAlign w:val="bottom"/>
          </w:tcPr>
          <w:p>
            <w:pPr>
              <w:ind w:left="20"/>
              <w:spacing w:after="0"/>
              <w:rPr>
                <w:sz w:val="20"/>
                <w:szCs w:val="20"/>
                <w:color w:val="auto"/>
              </w:rPr>
            </w:pPr>
            <w:r>
              <w:rPr>
                <w:rFonts w:ascii="Arial" w:cs="Arial" w:eastAsia="Arial" w:hAnsi="Arial"/>
                <w:sz w:val="16"/>
                <w:szCs w:val="16"/>
                <w:color w:val="auto"/>
              </w:rPr>
              <w:t>Unearned revenue</w:t>
            </w:r>
          </w:p>
        </w:tc>
        <w:tc>
          <w:tcPr>
            <w:tcW w:w="3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(739,278)</w:t>
            </w:r>
          </w:p>
        </w:tc>
      </w:tr>
      <w:tr>
        <w:trPr>
          <w:trHeight w:val="217"/>
        </w:trPr>
        <w:tc>
          <w:tcPr>
            <w:tcW w:w="6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Non-current portion of operating lease liabilities</w:t>
            </w:r>
          </w:p>
        </w:tc>
        <w:tc>
          <w:tcPr>
            <w:tcW w:w="336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(148,037)</w:t>
            </w:r>
          </w:p>
        </w:tc>
      </w:tr>
      <w:tr>
        <w:trPr>
          <w:trHeight w:val="215"/>
        </w:trPr>
        <w:tc>
          <w:tcPr>
            <w:tcW w:w="6500" w:type="dxa"/>
            <w:vAlign w:val="bottom"/>
          </w:tcPr>
          <w:p>
            <w:pPr>
              <w:ind w:left="20"/>
              <w:spacing w:after="0"/>
              <w:rPr>
                <w:sz w:val="20"/>
                <w:szCs w:val="20"/>
                <w:color w:val="auto"/>
              </w:rPr>
            </w:pPr>
            <w:r>
              <w:rPr>
                <w:rFonts w:ascii="Arial" w:cs="Arial" w:eastAsia="Arial" w:hAnsi="Arial"/>
                <w:sz w:val="16"/>
                <w:szCs w:val="16"/>
                <w:color w:val="auto"/>
              </w:rPr>
              <w:t>Non-current deferred tax liabilities</w:t>
            </w:r>
          </w:p>
        </w:tc>
        <w:tc>
          <w:tcPr>
            <w:tcW w:w="336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(1,126,950)</w:t>
            </w:r>
          </w:p>
        </w:tc>
      </w:tr>
      <w:tr>
        <w:trPr>
          <w:trHeight w:val="216"/>
        </w:trPr>
        <w:tc>
          <w:tcPr>
            <w:tcW w:w="65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Other non-current liabilities</w:t>
            </w:r>
          </w:p>
        </w:tc>
        <w:tc>
          <w:tcPr>
            <w:tcW w:w="3360" w:type="dxa"/>
            <w:vAlign w:val="bottom"/>
            <w:tcBorders>
              <w:bottom w:val="single" w:sz="8" w:color="auto"/>
            </w:tcBorders>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(203,297)</w:t>
            </w:r>
          </w:p>
        </w:tc>
      </w:tr>
      <w:tr>
        <w:trPr>
          <w:trHeight w:val="237"/>
        </w:trPr>
        <w:tc>
          <w:tcPr>
            <w:tcW w:w="6500" w:type="dxa"/>
            <w:vAlign w:val="bottom"/>
          </w:tcPr>
          <w:p>
            <w:pPr>
              <w:spacing w:after="0"/>
              <w:rPr>
                <w:sz w:val="20"/>
                <w:szCs w:val="20"/>
                <w:color w:val="auto"/>
              </w:rPr>
            </w:pPr>
          </w:p>
        </w:tc>
        <w:tc>
          <w:tcPr>
            <w:tcW w:w="336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216"/>
        </w:trPr>
        <w:tc>
          <w:tcPr>
            <w:tcW w:w="65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b w:val="1"/>
                <w:bCs w:val="1"/>
                <w:color w:val="auto"/>
              </w:rPr>
              <w:t>Net assets acquired</w:t>
            </w:r>
          </w:p>
        </w:tc>
        <w:tc>
          <w:tcPr>
            <w:tcW w:w="336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w:t>
            </w:r>
          </w:p>
        </w:tc>
        <w:tc>
          <w:tcPr>
            <w:tcW w:w="13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12,041,971</w:t>
            </w:r>
          </w:p>
        </w:tc>
      </w:tr>
    </w:tbl>
    <w:p>
      <w:pPr>
        <w:spacing w:after="0" w:line="269" w:lineRule="exact"/>
        <w:rPr>
          <w:sz w:val="20"/>
          <w:szCs w:val="20"/>
          <w:color w:val="auto"/>
        </w:rPr>
      </w:pPr>
    </w:p>
    <w:p>
      <w:pPr>
        <w:ind w:right="20" w:firstLine="8"/>
        <w:spacing w:after="0" w:line="268" w:lineRule="auto"/>
        <w:tabs>
          <w:tab w:leader="none" w:pos="112" w:val="left"/>
        </w:tabs>
        <w:numPr>
          <w:ilvl w:val="0"/>
          <w:numId w:val="3"/>
        </w:numPr>
        <w:rPr>
          <w:rFonts w:ascii="Arial" w:cs="Arial" w:eastAsia="Arial" w:hAnsi="Arial"/>
          <w:sz w:val="16"/>
          <w:szCs w:val="16"/>
          <w:color w:val="auto"/>
        </w:rPr>
      </w:pPr>
      <w:r>
        <w:rPr>
          <w:rFonts w:ascii="Arial" w:cs="Arial" w:eastAsia="Arial" w:hAnsi="Arial"/>
          <w:sz w:val="16"/>
          <w:szCs w:val="16"/>
          <w:color w:val="auto"/>
        </w:rPr>
        <w:t>The goodwill in connection with the Merger is primarily attributable to the assembled workforce of PRA and the expected synergies of the Merger. None of the goodwill recognized is expected to be deductible for income tax purposes.</w:t>
      </w:r>
    </w:p>
    <w:p>
      <w:pPr>
        <w:spacing w:after="0" w:line="264"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summarizes the preliminary estimates of the fair value of identified intangible assets and their respective useful lives as of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Merger Date (in thousands, except for estimated useful lives):</w:t>
      </w:r>
    </w:p>
    <w:p>
      <w:pPr>
        <w:spacing w:after="0" w:line="8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120" w:type="dxa"/>
            <w:vAlign w:val="bottom"/>
            <w:shd w:val="clear" w:color="auto" w:fill="CCEEFF"/>
          </w:tcPr>
          <w:p>
            <w:pPr>
              <w:spacing w:after="0"/>
              <w:rPr>
                <w:sz w:val="18"/>
                <w:szCs w:val="18"/>
                <w:color w:val="auto"/>
              </w:rPr>
            </w:pPr>
          </w:p>
        </w:tc>
        <w:tc>
          <w:tcPr>
            <w:tcW w:w="3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Estimated Fair Value</w:t>
            </w:r>
          </w:p>
        </w:tc>
        <w:tc>
          <w:tcPr>
            <w:tcW w:w="30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Estimated Useful Life</w:t>
            </w:r>
          </w:p>
        </w:tc>
      </w:tr>
      <w:tr>
        <w:trPr>
          <w:trHeight w:val="209"/>
        </w:trPr>
        <w:tc>
          <w:tcPr>
            <w:tcW w:w="5120" w:type="dxa"/>
            <w:vAlign w:val="bottom"/>
          </w:tcPr>
          <w:p>
            <w:pPr>
              <w:ind w:left="20"/>
              <w:spacing w:after="0"/>
              <w:rPr>
                <w:sz w:val="20"/>
                <w:szCs w:val="20"/>
                <w:color w:val="auto"/>
              </w:rPr>
            </w:pPr>
            <w:r>
              <w:rPr>
                <w:rFonts w:ascii="Arial" w:cs="Arial" w:eastAsia="Arial" w:hAnsi="Arial"/>
                <w:sz w:val="16"/>
                <w:szCs w:val="16"/>
                <w:color w:val="auto"/>
              </w:rPr>
              <w:t>Customer relationship</w:t>
            </w:r>
          </w:p>
        </w:tc>
        <w:tc>
          <w:tcPr>
            <w:tcW w:w="3040" w:type="dxa"/>
            <w:vAlign w:val="bottom"/>
          </w:tcPr>
          <w:p>
            <w:pPr>
              <w:jc w:val="right"/>
              <w:spacing w:after="0"/>
              <w:rPr>
                <w:sz w:val="20"/>
                <w:szCs w:val="20"/>
                <w:color w:val="auto"/>
              </w:rPr>
            </w:pPr>
            <w:r>
              <w:rPr>
                <w:rFonts w:ascii="Arial" w:cs="Arial" w:eastAsia="Arial" w:hAnsi="Arial"/>
                <w:sz w:val="16"/>
                <w:szCs w:val="16"/>
                <w:color w:val="auto"/>
              </w:rPr>
              <w:t>3,915,000</w:t>
            </w:r>
          </w:p>
        </w:tc>
        <w:tc>
          <w:tcPr>
            <w:tcW w:w="3060" w:type="dxa"/>
            <w:vAlign w:val="bottom"/>
          </w:tcPr>
          <w:p>
            <w:pPr>
              <w:jc w:val="right"/>
              <w:spacing w:after="0"/>
              <w:rPr>
                <w:sz w:val="20"/>
                <w:szCs w:val="20"/>
                <w:color w:val="auto"/>
              </w:rPr>
            </w:pPr>
            <w:r>
              <w:rPr>
                <w:rFonts w:ascii="Arial" w:cs="Arial" w:eastAsia="Arial" w:hAnsi="Arial"/>
                <w:sz w:val="16"/>
                <w:szCs w:val="16"/>
                <w:color w:val="auto"/>
              </w:rPr>
              <w:t>23 years</w:t>
            </w:r>
          </w:p>
        </w:tc>
      </w:tr>
      <w:tr>
        <w:trPr>
          <w:trHeight w:val="217"/>
        </w:trPr>
        <w:tc>
          <w:tcPr>
            <w:tcW w:w="5120" w:type="dxa"/>
            <w:vAlign w:val="bottom"/>
            <w:shd w:val="clear" w:color="auto" w:fill="CCEEFF"/>
          </w:tcPr>
          <w:p>
            <w:pPr>
              <w:ind w:left="20"/>
              <w:spacing w:after="0"/>
              <w:rPr>
                <w:sz w:val="20"/>
                <w:szCs w:val="20"/>
                <w:color w:val="auto"/>
              </w:rPr>
            </w:pPr>
            <w:r>
              <w:rPr>
                <w:rFonts w:ascii="Arial" w:cs="Arial" w:eastAsia="Arial" w:hAnsi="Arial"/>
                <w:sz w:val="16"/>
                <w:szCs w:val="16"/>
                <w:color w:val="auto"/>
              </w:rPr>
              <w:t>Order backlog</w:t>
            </w:r>
          </w:p>
        </w:tc>
        <w:tc>
          <w:tcPr>
            <w:tcW w:w="3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490,000</w:t>
            </w:r>
          </w:p>
        </w:tc>
        <w:tc>
          <w:tcPr>
            <w:tcW w:w="3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 years</w:t>
            </w:r>
          </w:p>
        </w:tc>
      </w:tr>
      <w:tr>
        <w:trPr>
          <w:trHeight w:val="215"/>
        </w:trPr>
        <w:tc>
          <w:tcPr>
            <w:tcW w:w="5120" w:type="dxa"/>
            <w:vAlign w:val="bottom"/>
          </w:tcPr>
          <w:p>
            <w:pPr>
              <w:ind w:left="20"/>
              <w:spacing w:after="0"/>
              <w:rPr>
                <w:sz w:val="20"/>
                <w:szCs w:val="20"/>
                <w:color w:val="auto"/>
              </w:rPr>
            </w:pPr>
            <w:r>
              <w:rPr>
                <w:rFonts w:ascii="Arial" w:cs="Arial" w:eastAsia="Arial" w:hAnsi="Arial"/>
                <w:sz w:val="16"/>
                <w:szCs w:val="16"/>
                <w:color w:val="auto"/>
              </w:rPr>
              <w:t>Trade names</w:t>
            </w:r>
          </w:p>
        </w:tc>
        <w:tc>
          <w:tcPr>
            <w:tcW w:w="3040" w:type="dxa"/>
            <w:vAlign w:val="bottom"/>
          </w:tcPr>
          <w:p>
            <w:pPr>
              <w:jc w:val="right"/>
              <w:spacing w:after="0"/>
              <w:rPr>
                <w:sz w:val="20"/>
                <w:szCs w:val="20"/>
                <w:color w:val="auto"/>
              </w:rPr>
            </w:pPr>
            <w:r>
              <w:rPr>
                <w:rFonts w:ascii="Arial" w:cs="Arial" w:eastAsia="Arial" w:hAnsi="Arial"/>
                <w:sz w:val="16"/>
                <w:szCs w:val="16"/>
                <w:color w:val="auto"/>
              </w:rPr>
              <w:t>202,000</w:t>
            </w:r>
          </w:p>
        </w:tc>
        <w:tc>
          <w:tcPr>
            <w:tcW w:w="3060" w:type="dxa"/>
            <w:vAlign w:val="bottom"/>
          </w:tcPr>
          <w:p>
            <w:pPr>
              <w:jc w:val="right"/>
              <w:spacing w:after="0"/>
              <w:rPr>
                <w:sz w:val="20"/>
                <w:szCs w:val="20"/>
                <w:color w:val="auto"/>
              </w:rPr>
            </w:pPr>
            <w:r>
              <w:rPr>
                <w:rFonts w:ascii="Arial" w:cs="Arial" w:eastAsia="Arial" w:hAnsi="Arial"/>
                <w:sz w:val="16"/>
                <w:szCs w:val="16"/>
                <w:color w:val="auto"/>
              </w:rPr>
              <w:t>3 years</w:t>
            </w:r>
          </w:p>
        </w:tc>
      </w:tr>
      <w:tr>
        <w:trPr>
          <w:trHeight w:val="217"/>
        </w:trPr>
        <w:tc>
          <w:tcPr>
            <w:tcW w:w="5120" w:type="dxa"/>
            <w:vAlign w:val="bottom"/>
            <w:shd w:val="clear" w:color="auto" w:fill="CCEEFF"/>
          </w:tcPr>
          <w:p>
            <w:pPr>
              <w:ind w:left="20"/>
              <w:spacing w:after="0"/>
              <w:rPr>
                <w:sz w:val="20"/>
                <w:szCs w:val="20"/>
                <w:color w:val="auto"/>
              </w:rPr>
            </w:pPr>
            <w:r>
              <w:rPr>
                <w:rFonts w:ascii="Arial" w:cs="Arial" w:eastAsia="Arial" w:hAnsi="Arial"/>
                <w:sz w:val="16"/>
                <w:szCs w:val="16"/>
                <w:color w:val="auto"/>
              </w:rPr>
              <w:t>Patient database</w:t>
            </w:r>
          </w:p>
        </w:tc>
        <w:tc>
          <w:tcPr>
            <w:tcW w:w="30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168,000</w:t>
            </w:r>
          </w:p>
        </w:tc>
        <w:tc>
          <w:tcPr>
            <w:tcW w:w="30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 years</w:t>
            </w:r>
          </w:p>
        </w:tc>
      </w:tr>
      <w:tr>
        <w:trPr>
          <w:trHeight w:val="215"/>
        </w:trPr>
        <w:tc>
          <w:tcPr>
            <w:tcW w:w="51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Technology</w:t>
            </w:r>
          </w:p>
        </w:tc>
        <w:tc>
          <w:tcPr>
            <w:tcW w:w="30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111,000</w:t>
            </w:r>
          </w:p>
        </w:tc>
        <w:tc>
          <w:tcPr>
            <w:tcW w:w="306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5 years</w:t>
            </w:r>
          </w:p>
        </w:tc>
      </w:tr>
      <w:tr>
        <w:trPr>
          <w:trHeight w:val="235"/>
        </w:trPr>
        <w:tc>
          <w:tcPr>
            <w:tcW w:w="5120" w:type="dxa"/>
            <w:vAlign w:val="bottom"/>
            <w:tcBorders>
              <w:bottom w:val="single" w:sz="8" w:color="CCEEFF"/>
            </w:tcBorders>
            <w:shd w:val="clear" w:color="auto" w:fill="CCEEFF"/>
          </w:tcPr>
          <w:p>
            <w:pPr>
              <w:spacing w:after="0"/>
              <w:rPr>
                <w:sz w:val="19"/>
                <w:szCs w:val="19"/>
                <w:color w:val="auto"/>
              </w:rPr>
            </w:pPr>
          </w:p>
        </w:tc>
        <w:tc>
          <w:tcPr>
            <w:tcW w:w="30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4,886,000</w:t>
            </w:r>
          </w:p>
        </w:tc>
        <w:tc>
          <w:tcPr>
            <w:tcW w:w="3060" w:type="dxa"/>
            <w:vAlign w:val="bottom"/>
            <w:tcBorders>
              <w:bottom w:val="single" w:sz="8" w:color="CCEEFF"/>
            </w:tcBorders>
            <w:shd w:val="clear" w:color="auto" w:fill="CCEEFF"/>
          </w:tcPr>
          <w:p>
            <w:pPr>
              <w:spacing w:after="0"/>
              <w:rPr>
                <w:sz w:val="19"/>
                <w:szCs w:val="19"/>
                <w:color w:val="auto"/>
              </w:rPr>
            </w:pPr>
          </w:p>
        </w:tc>
      </w:tr>
      <w:tr>
        <w:trPr>
          <w:trHeight w:val="20"/>
        </w:trPr>
        <w:tc>
          <w:tcPr>
            <w:tcW w:w="5120" w:type="dxa"/>
            <w:vAlign w:val="bottom"/>
            <w:tcBorders>
              <w:top w:val="single" w:sz="8" w:color="CCEEFF"/>
            </w:tcBorders>
          </w:tcPr>
          <w:p>
            <w:pPr>
              <w:spacing w:after="0" w:line="20" w:lineRule="exact"/>
              <w:rPr>
                <w:sz w:val="1"/>
                <w:szCs w:val="1"/>
                <w:color w:val="auto"/>
              </w:rPr>
            </w:pPr>
          </w:p>
        </w:tc>
        <w:tc>
          <w:tcPr>
            <w:tcW w:w="3040" w:type="dxa"/>
            <w:vAlign w:val="bottom"/>
            <w:tcBorders>
              <w:top w:val="single" w:sz="8" w:color="CCEEFF"/>
              <w:bottom w:val="single" w:sz="8" w:color="auto"/>
            </w:tcBorders>
          </w:tcPr>
          <w:p>
            <w:pPr>
              <w:spacing w:after="0" w:line="20" w:lineRule="exact"/>
              <w:rPr>
                <w:sz w:val="1"/>
                <w:szCs w:val="1"/>
                <w:color w:val="auto"/>
              </w:rPr>
            </w:pPr>
          </w:p>
        </w:tc>
        <w:tc>
          <w:tcPr>
            <w:tcW w:w="3060" w:type="dxa"/>
            <w:vAlign w:val="bottom"/>
            <w:tcBorders>
              <w:top w:val="single" w:sz="8" w:color="CCEEFF"/>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16" w:name="page17"/>
    <w:bookmarkEnd w:id="16"/>
    <w:p>
      <w:pPr>
        <w:spacing w:after="0"/>
        <w:rPr>
          <w:sz w:val="20"/>
          <w:szCs w:val="20"/>
          <w:color w:val="auto"/>
        </w:rPr>
      </w:pPr>
      <w:r>
        <w:rPr>
          <w:rFonts w:ascii="Arial" w:cs="Arial" w:eastAsia="Arial" w:hAnsi="Arial"/>
          <w:sz w:val="16"/>
          <w:szCs w:val="16"/>
          <w:b w:val="1"/>
          <w:bCs w:val="1"/>
          <w:color w:val="auto"/>
        </w:rPr>
        <w:t>Pro forma financial information</w:t>
      </w:r>
    </w:p>
    <w:p>
      <w:pPr>
        <w:spacing w:after="0" w:line="59"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6"/>
          <w:szCs w:val="16"/>
          <w:color w:val="auto"/>
        </w:rPr>
        <w:t>The following pro forma financial information was derived from the historical financial statements of the Company and PRA and presents the combined results of operations as if the Merger had occurred on January 1, 2021. The pro forma financial information is presented for comparative purposes only and is not necessarily indicative of the results that would have actually occurred had the Merger been completed on January 1, 2021. In addition, the pro forma financial information does not give effect to any anticipated cost savings, operating efficiencies or other synergies that may result from the Merger, or any estimated costs that have been or will be incurred by the Company to integrate the assets and operations of PRA. Consequently, actual future results of the Company will differ from the pro forma financial information presented below:</w:t>
      </w:r>
    </w:p>
    <w:p>
      <w:pPr>
        <w:spacing w:after="0" w:line="6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140" w:type="dxa"/>
            <w:vAlign w:val="bottom"/>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Three Months Ended</w:t>
            </w:r>
          </w:p>
        </w:tc>
        <w:tc>
          <w:tcPr>
            <w:tcW w:w="280" w:type="dxa"/>
            <w:vAlign w:val="bottom"/>
            <w:tcBorders>
              <w:bottom w:val="single" w:sz="8" w:color="auto"/>
            </w:tcBorders>
            <w:shd w:val="clear" w:color="auto" w:fill="CCEEFF"/>
          </w:tcPr>
          <w:p>
            <w:pPr>
              <w:spacing w:after="0"/>
              <w:rPr>
                <w:sz w:val="18"/>
                <w:szCs w:val="18"/>
                <w:color w:val="auto"/>
              </w:rPr>
            </w:pPr>
          </w:p>
        </w:tc>
        <w:tc>
          <w:tcPr>
            <w:tcW w:w="1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Three Months Ended</w:t>
            </w:r>
          </w:p>
        </w:tc>
      </w:tr>
      <w:tr>
        <w:trPr>
          <w:trHeight w:val="209"/>
        </w:trPr>
        <w:tc>
          <w:tcPr>
            <w:tcW w:w="714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b w:val="1"/>
                <w:bCs w:val="1"/>
                <w:color w:val="auto"/>
              </w:rPr>
              <w:t>March 31, 2022</w:t>
            </w:r>
          </w:p>
        </w:tc>
        <w:tc>
          <w:tcPr>
            <w:tcW w:w="28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16"/>
        </w:trPr>
        <w:tc>
          <w:tcPr>
            <w:tcW w:w="7140" w:type="dxa"/>
            <w:vAlign w:val="bottom"/>
            <w:tcBorders>
              <w:bottom w:val="single" w:sz="8" w:color="auto"/>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spacing w:after="0"/>
              <w:rPr>
                <w:sz w:val="18"/>
                <w:szCs w:val="18"/>
                <w:color w:val="auto"/>
              </w:rPr>
            </w:pPr>
          </w:p>
        </w:tc>
        <w:tc>
          <w:tcPr>
            <w:tcW w:w="3840" w:type="dxa"/>
            <w:vAlign w:val="bottom"/>
            <w:tcBorders>
              <w:bottom w:val="single" w:sz="8" w:color="auto"/>
            </w:tcBorders>
            <w:gridSpan w:val="3"/>
            <w:shd w:val="clear" w:color="auto" w:fill="CCEEFF"/>
          </w:tcPr>
          <w:p>
            <w:pPr>
              <w:jc w:val="right"/>
              <w:ind w:right="539"/>
              <w:spacing w:after="0"/>
              <w:rPr>
                <w:sz w:val="20"/>
                <w:szCs w:val="20"/>
                <w:color w:val="auto"/>
              </w:rPr>
            </w:pPr>
            <w:r>
              <w:rPr>
                <w:rFonts w:ascii="Arial" w:cs="Arial" w:eastAsia="Arial" w:hAnsi="Arial"/>
                <w:sz w:val="16"/>
                <w:szCs w:val="16"/>
                <w:b w:val="1"/>
                <w:bCs w:val="1"/>
                <w:color w:val="auto"/>
              </w:rPr>
              <w:t>(in thousands, except per share data)</w:t>
            </w:r>
          </w:p>
        </w:tc>
      </w:tr>
      <w:tr>
        <w:trPr>
          <w:trHeight w:val="209"/>
        </w:trPr>
        <w:tc>
          <w:tcPr>
            <w:tcW w:w="7140" w:type="dxa"/>
            <w:vAlign w:val="bottom"/>
          </w:tcPr>
          <w:p>
            <w:pPr>
              <w:ind w:left="20"/>
              <w:spacing w:after="0"/>
              <w:rPr>
                <w:sz w:val="20"/>
                <w:szCs w:val="20"/>
                <w:color w:val="auto"/>
              </w:rPr>
            </w:pPr>
            <w:r>
              <w:rPr>
                <w:rFonts w:ascii="Arial" w:cs="Arial" w:eastAsia="Arial" w:hAnsi="Arial"/>
                <w:sz w:val="16"/>
                <w:szCs w:val="16"/>
                <w:color w:val="auto"/>
              </w:rPr>
              <w:t>Revenue</w:t>
            </w:r>
          </w:p>
        </w:tc>
        <w:tc>
          <w:tcPr>
            <w:tcW w:w="260" w:type="dxa"/>
            <w:vAlign w:val="bottom"/>
          </w:tcPr>
          <w:p>
            <w:pPr>
              <w:jc w:val="right"/>
              <w:ind w:right="79"/>
              <w:spacing w:after="0"/>
              <w:rPr>
                <w:sz w:val="20"/>
                <w:szCs w:val="20"/>
                <w:color w:val="auto"/>
              </w:rPr>
            </w:pPr>
            <w:r>
              <w:rPr>
                <w:rFonts w:ascii="Arial" w:cs="Arial" w:eastAsia="Arial" w:hAnsi="Arial"/>
                <w:sz w:val="16"/>
                <w:szCs w:val="16"/>
                <w:color w:val="auto"/>
                <w:w w:val="89"/>
              </w:rPr>
              <w:t>$</w:t>
            </w:r>
          </w:p>
        </w:tc>
        <w:tc>
          <w:tcPr>
            <w:tcW w:w="1780" w:type="dxa"/>
            <w:vAlign w:val="bottom"/>
          </w:tcPr>
          <w:p>
            <w:pPr>
              <w:jc w:val="right"/>
              <w:spacing w:after="0"/>
              <w:rPr>
                <w:sz w:val="20"/>
                <w:szCs w:val="20"/>
                <w:color w:val="auto"/>
              </w:rPr>
            </w:pPr>
            <w:r>
              <w:rPr>
                <w:rFonts w:ascii="Arial" w:cs="Arial" w:eastAsia="Arial" w:hAnsi="Arial"/>
                <w:sz w:val="16"/>
                <w:szCs w:val="16"/>
                <w:color w:val="auto"/>
              </w:rPr>
              <w:t>1,901,764</w:t>
            </w:r>
          </w:p>
        </w:tc>
        <w:tc>
          <w:tcPr>
            <w:tcW w:w="280" w:type="dxa"/>
            <w:vAlign w:val="bottom"/>
          </w:tcPr>
          <w:p>
            <w:pPr>
              <w:jc w:val="right"/>
              <w:ind w:right="79"/>
              <w:spacing w:after="0"/>
              <w:rPr>
                <w:sz w:val="20"/>
                <w:szCs w:val="20"/>
                <w:color w:val="auto"/>
              </w:rPr>
            </w:pPr>
            <w:r>
              <w:rPr>
                <w:rFonts w:ascii="Arial" w:cs="Arial" w:eastAsia="Arial" w:hAnsi="Arial"/>
                <w:sz w:val="16"/>
                <w:szCs w:val="16"/>
                <w:color w:val="auto"/>
              </w:rPr>
              <w:t>$</w:t>
            </w:r>
          </w:p>
        </w:tc>
        <w:tc>
          <w:tcPr>
            <w:tcW w:w="1780" w:type="dxa"/>
            <w:vAlign w:val="bottom"/>
          </w:tcPr>
          <w:p>
            <w:pPr>
              <w:jc w:val="right"/>
              <w:spacing w:after="0"/>
              <w:rPr>
                <w:sz w:val="20"/>
                <w:szCs w:val="20"/>
                <w:color w:val="auto"/>
              </w:rPr>
            </w:pPr>
            <w:r>
              <w:rPr>
                <w:rFonts w:ascii="Arial" w:cs="Arial" w:eastAsia="Arial" w:hAnsi="Arial"/>
                <w:sz w:val="16"/>
                <w:szCs w:val="16"/>
                <w:color w:val="auto"/>
              </w:rPr>
              <w:t>1,791,973</w:t>
            </w:r>
          </w:p>
        </w:tc>
      </w:tr>
      <w:tr>
        <w:trPr>
          <w:trHeight w:val="216"/>
        </w:trPr>
        <w:tc>
          <w:tcPr>
            <w:tcW w:w="71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Net income (loss)</w:t>
            </w:r>
          </w:p>
        </w:tc>
        <w:tc>
          <w:tcPr>
            <w:tcW w:w="26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w w:val="89"/>
              </w:rPr>
              <w:t>$</w:t>
            </w:r>
          </w:p>
        </w:tc>
        <w:tc>
          <w:tcPr>
            <w:tcW w:w="1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111,970</w:t>
            </w:r>
          </w:p>
        </w:tc>
        <w:tc>
          <w:tcPr>
            <w:tcW w:w="280" w:type="dxa"/>
            <w:vAlign w:val="bottom"/>
            <w:tcBorders>
              <w:bottom w:val="single" w:sz="8" w:color="auto"/>
            </w:tcBorders>
            <w:shd w:val="clear" w:color="auto" w:fill="CCEEFF"/>
          </w:tcPr>
          <w:p>
            <w:pPr>
              <w:jc w:val="right"/>
              <w:ind w:right="79"/>
              <w:spacing w:after="0"/>
              <w:rPr>
                <w:sz w:val="20"/>
                <w:szCs w:val="20"/>
                <w:color w:val="auto"/>
              </w:rPr>
            </w:pPr>
            <w:r>
              <w:rPr>
                <w:rFonts w:ascii="Arial" w:cs="Arial" w:eastAsia="Arial" w:hAnsi="Arial"/>
                <w:sz w:val="16"/>
                <w:szCs w:val="16"/>
                <w:color w:val="auto"/>
              </w:rPr>
              <w:t>$</w:t>
            </w:r>
          </w:p>
        </w:tc>
        <w:tc>
          <w:tcPr>
            <w:tcW w:w="17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(204,650)</w:t>
            </w:r>
          </w:p>
        </w:tc>
      </w:tr>
    </w:tbl>
    <w:p>
      <w:pPr>
        <w:spacing w:after="0" w:line="350"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The pro forma financial information presented above for the three months ended March 31, 2021 reflect certain pro forma adjustments to reflect the financial performance of the Company had the Merger date been completed on January 1, 2021. The pro forma adjustments primarily relate to the amortization of acquired intangible assets, interest expense, amortization of deferred financing costs related to the new financing arrangements, transaction costs, share-based compensation expense related to the acceleration of share-based compensation awards and replacement share-based awards, and financing fees. The pro forma adjustments were tax effected using the tax rate relevant in the appropriate jurisdiction.</w:t>
      </w:r>
    </w:p>
    <w:p>
      <w:pPr>
        <w:spacing w:after="0" w:line="199"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results presented above for the three months ended March 31, 2022 are as reported in the Consolidated Statement of Operations.</w:t>
      </w:r>
    </w:p>
    <w:p>
      <w:pPr>
        <w:spacing w:after="0" w:line="200" w:lineRule="exact"/>
        <w:rPr>
          <w:sz w:val="20"/>
          <w:szCs w:val="20"/>
          <w:color w:val="auto"/>
        </w:rPr>
      </w:pPr>
    </w:p>
    <w:p>
      <w:pPr>
        <w:spacing w:after="0" w:line="30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8. Equity method investments</w:t>
      </w:r>
    </w:p>
    <w:p>
      <w:pPr>
        <w:spacing w:after="0" w:line="248"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The Company has invested $4.9 million to obtain a 49% interest in the voting share capital of Oncacare Limited ("Oncacare"). The Company’s investment in Oncacare is accounted for under the equity method due to the Company's ability to exercise significant influence over Oncacare that is considered to be greater than minor. The Company records its pro rata share of the earnings/losses of this investment in 'Share of equity method investments' in the Condensed Consolidated Statement of Operations.</w:t>
      </w:r>
    </w:p>
    <w:p>
      <w:pPr>
        <w:spacing w:after="0" w:line="213"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The majority investor has the right to sell the 51% majority voting share capital exclusively to the Company in a two and half year period commencing from January 1, 2023 and ICON also has the right to acquire the 51% majority voting share capital from August 1, 2025.</w:t>
      </w:r>
    </w:p>
    <w:p>
      <w:pPr>
        <w:spacing w:after="0" w:line="18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represents our equity method investments at March 31, 2022:</w:t>
      </w:r>
    </w:p>
    <w:p>
      <w:pPr>
        <w:spacing w:after="0" w:line="6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400" w:type="dxa"/>
            <w:vAlign w:val="bottom"/>
            <w:shd w:val="clear" w:color="auto" w:fill="CCEEFF"/>
          </w:tcPr>
          <w:p>
            <w:pPr>
              <w:spacing w:after="0"/>
              <w:rPr>
                <w:sz w:val="18"/>
                <w:szCs w:val="18"/>
                <w:color w:val="auto"/>
              </w:rPr>
            </w:pPr>
          </w:p>
        </w:tc>
        <w:tc>
          <w:tcPr>
            <w:tcW w:w="2940" w:type="dxa"/>
            <w:vAlign w:val="bottom"/>
            <w:tcBorders>
              <w:bottom w:val="single" w:sz="8" w:color="auto"/>
            </w:tcBorders>
            <w:shd w:val="clear" w:color="auto" w:fill="CCEEFF"/>
          </w:tcPr>
          <w:p>
            <w:pPr>
              <w:jc w:val="right"/>
              <w:ind w:right="519"/>
              <w:spacing w:after="0"/>
              <w:rPr>
                <w:sz w:val="20"/>
                <w:szCs w:val="20"/>
                <w:color w:val="auto"/>
              </w:rPr>
            </w:pPr>
            <w:r>
              <w:rPr>
                <w:rFonts w:ascii="Arial" w:cs="Arial" w:eastAsia="Arial" w:hAnsi="Arial"/>
                <w:sz w:val="16"/>
                <w:szCs w:val="16"/>
                <w:b w:val="1"/>
                <w:bCs w:val="1"/>
                <w:color w:val="auto"/>
              </w:rPr>
              <w:t>Ownership Percentage</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Carrying Value</w:t>
            </w:r>
          </w:p>
        </w:tc>
        <w:tc>
          <w:tcPr>
            <w:tcW w:w="660" w:type="dxa"/>
            <w:vAlign w:val="bottom"/>
            <w:tcBorders>
              <w:bottom w:val="single" w:sz="8" w:color="auto"/>
            </w:tcBorders>
            <w:shd w:val="clear" w:color="auto" w:fill="CCEEFF"/>
          </w:tcPr>
          <w:p>
            <w:pPr>
              <w:spacing w:after="0"/>
              <w:rPr>
                <w:sz w:val="18"/>
                <w:szCs w:val="18"/>
                <w:color w:val="auto"/>
              </w:rPr>
            </w:pP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Carrying Value</w:t>
            </w:r>
          </w:p>
        </w:tc>
      </w:tr>
      <w:tr>
        <w:trPr>
          <w:trHeight w:val="210"/>
        </w:trPr>
        <w:tc>
          <w:tcPr>
            <w:tcW w:w="4400" w:type="dxa"/>
            <w:vAlign w:val="bottom"/>
            <w:tcBorders>
              <w:bottom w:val="single" w:sz="8" w:color="auto"/>
            </w:tcBorders>
          </w:tcPr>
          <w:p>
            <w:pPr>
              <w:spacing w:after="0"/>
              <w:rPr>
                <w:sz w:val="18"/>
                <w:szCs w:val="18"/>
                <w:color w:val="auto"/>
              </w:rPr>
            </w:pPr>
          </w:p>
        </w:tc>
        <w:tc>
          <w:tcPr>
            <w:tcW w:w="294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b w:val="1"/>
                <w:bCs w:val="1"/>
                <w:color w:val="auto"/>
              </w:rPr>
              <w:t>March 31, 2022</w:t>
            </w: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2022</w:t>
            </w:r>
          </w:p>
        </w:tc>
        <w:tc>
          <w:tcPr>
            <w:tcW w:w="66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2021</w:t>
            </w:r>
          </w:p>
        </w:tc>
      </w:tr>
      <w:tr>
        <w:trPr>
          <w:trHeight w:val="209"/>
        </w:trPr>
        <w:tc>
          <w:tcPr>
            <w:tcW w:w="4400" w:type="dxa"/>
            <w:vAlign w:val="bottom"/>
            <w:shd w:val="clear" w:color="auto" w:fill="CCEEFF"/>
          </w:tcPr>
          <w:p>
            <w:pPr>
              <w:spacing w:after="0"/>
              <w:rPr>
                <w:sz w:val="18"/>
                <w:szCs w:val="18"/>
                <w:color w:val="auto"/>
              </w:rPr>
            </w:pPr>
          </w:p>
        </w:tc>
        <w:tc>
          <w:tcPr>
            <w:tcW w:w="2940" w:type="dxa"/>
            <w:vAlign w:val="bottom"/>
            <w:shd w:val="clear" w:color="auto" w:fill="CCEEFF"/>
          </w:tcPr>
          <w:p>
            <w:pPr>
              <w:spacing w:after="0"/>
              <w:rPr>
                <w:sz w:val="18"/>
                <w:szCs w:val="18"/>
                <w:color w:val="auto"/>
              </w:rPr>
            </w:pPr>
          </w:p>
        </w:tc>
        <w:tc>
          <w:tcPr>
            <w:tcW w:w="2300" w:type="dxa"/>
            <w:vAlign w:val="bottom"/>
            <w:gridSpan w:val="2"/>
            <w:shd w:val="clear" w:color="auto" w:fill="CCEEFF"/>
          </w:tcPr>
          <w:p>
            <w:pPr>
              <w:jc w:val="right"/>
              <w:ind w:right="19"/>
              <w:spacing w:after="0"/>
              <w:rPr>
                <w:sz w:val="20"/>
                <w:szCs w:val="20"/>
                <w:color w:val="auto"/>
              </w:rPr>
            </w:pPr>
            <w:r>
              <w:rPr>
                <w:rFonts w:ascii="Arial" w:cs="Arial" w:eastAsia="Arial" w:hAnsi="Arial"/>
                <w:sz w:val="16"/>
                <w:szCs w:val="16"/>
                <w:b w:val="1"/>
                <w:bCs w:val="1"/>
                <w:color w:val="auto"/>
              </w:rPr>
              <w:t>(in thousands)</w:t>
            </w:r>
          </w:p>
        </w:tc>
        <w:tc>
          <w:tcPr>
            <w:tcW w:w="1580" w:type="dxa"/>
            <w:vAlign w:val="bottom"/>
            <w:shd w:val="clear" w:color="auto" w:fill="CCEEFF"/>
          </w:tcPr>
          <w:p>
            <w:pPr>
              <w:spacing w:after="0"/>
              <w:rPr>
                <w:sz w:val="18"/>
                <w:szCs w:val="18"/>
                <w:color w:val="auto"/>
              </w:rPr>
            </w:pPr>
          </w:p>
        </w:tc>
      </w:tr>
      <w:tr>
        <w:trPr>
          <w:trHeight w:val="215"/>
        </w:trPr>
        <w:tc>
          <w:tcPr>
            <w:tcW w:w="4400" w:type="dxa"/>
            <w:vAlign w:val="bottom"/>
          </w:tcPr>
          <w:p>
            <w:pPr>
              <w:ind w:left="20"/>
              <w:spacing w:after="0"/>
              <w:rPr>
                <w:sz w:val="20"/>
                <w:szCs w:val="20"/>
                <w:color w:val="auto"/>
              </w:rPr>
            </w:pPr>
            <w:r>
              <w:rPr>
                <w:rFonts w:ascii="Arial" w:cs="Arial" w:eastAsia="Arial" w:hAnsi="Arial"/>
                <w:sz w:val="16"/>
                <w:szCs w:val="16"/>
                <w:color w:val="auto"/>
              </w:rPr>
              <w:t>Oncacare Limited</w:t>
            </w:r>
          </w:p>
        </w:tc>
        <w:tc>
          <w:tcPr>
            <w:tcW w:w="2940" w:type="dxa"/>
            <w:vAlign w:val="bottom"/>
          </w:tcPr>
          <w:p>
            <w:pPr>
              <w:jc w:val="right"/>
              <w:ind w:right="399"/>
              <w:spacing w:after="0"/>
              <w:rPr>
                <w:sz w:val="20"/>
                <w:szCs w:val="20"/>
                <w:color w:val="auto"/>
              </w:rPr>
            </w:pPr>
            <w:r>
              <w:rPr>
                <w:rFonts w:ascii="Arial" w:cs="Arial" w:eastAsia="Arial" w:hAnsi="Arial"/>
                <w:sz w:val="16"/>
                <w:szCs w:val="16"/>
                <w:color w:val="auto"/>
              </w:rPr>
              <w:t>49 % $</w:t>
            </w:r>
          </w:p>
        </w:tc>
        <w:tc>
          <w:tcPr>
            <w:tcW w:w="1640" w:type="dxa"/>
            <w:vAlign w:val="bottom"/>
          </w:tcPr>
          <w:p>
            <w:pPr>
              <w:jc w:val="right"/>
              <w:spacing w:after="0"/>
              <w:rPr>
                <w:sz w:val="20"/>
                <w:szCs w:val="20"/>
                <w:color w:val="auto"/>
              </w:rPr>
            </w:pPr>
            <w:r>
              <w:rPr>
                <w:rFonts w:ascii="Arial" w:cs="Arial" w:eastAsia="Arial" w:hAnsi="Arial"/>
                <w:sz w:val="16"/>
                <w:szCs w:val="16"/>
                <w:color w:val="auto"/>
              </w:rPr>
              <w:t>1,588</w:t>
            </w:r>
          </w:p>
        </w:tc>
        <w:tc>
          <w:tcPr>
            <w:tcW w:w="660" w:type="dxa"/>
            <w:vAlign w:val="bottom"/>
          </w:tcPr>
          <w:p>
            <w:pPr>
              <w:jc w:val="right"/>
              <w:ind w:right="459"/>
              <w:spacing w:after="0"/>
              <w:rPr>
                <w:sz w:val="20"/>
                <w:szCs w:val="20"/>
                <w:color w:val="auto"/>
              </w:rPr>
            </w:pPr>
            <w:r>
              <w:rPr>
                <w:rFonts w:ascii="Arial" w:cs="Arial" w:eastAsia="Arial" w:hAnsi="Arial"/>
                <w:sz w:val="16"/>
                <w:szCs w:val="16"/>
                <w:color w:val="auto"/>
              </w:rPr>
              <w:t>$</w:t>
            </w:r>
          </w:p>
        </w:tc>
        <w:tc>
          <w:tcPr>
            <w:tcW w:w="1580" w:type="dxa"/>
            <w:vAlign w:val="bottom"/>
          </w:tcPr>
          <w:p>
            <w:pPr>
              <w:jc w:val="right"/>
              <w:spacing w:after="0"/>
              <w:rPr>
                <w:sz w:val="20"/>
                <w:szCs w:val="20"/>
                <w:color w:val="auto"/>
              </w:rPr>
            </w:pPr>
            <w:r>
              <w:rPr>
                <w:rFonts w:ascii="Arial" w:cs="Arial" w:eastAsia="Arial" w:hAnsi="Arial"/>
                <w:sz w:val="16"/>
                <w:szCs w:val="16"/>
                <w:color w:val="auto"/>
              </w:rPr>
              <w:t>2,373</w:t>
            </w:r>
          </w:p>
        </w:tc>
      </w:tr>
      <w:tr>
        <w:trPr>
          <w:trHeight w:val="271"/>
        </w:trPr>
        <w:tc>
          <w:tcPr>
            <w:tcW w:w="4400" w:type="dxa"/>
            <w:vAlign w:val="bottom"/>
            <w:tcBorders>
              <w:bottom w:val="single" w:sz="8" w:color="auto"/>
            </w:tcBorders>
            <w:shd w:val="clear" w:color="auto" w:fill="CCEEFF"/>
          </w:tcPr>
          <w:p>
            <w:pPr>
              <w:spacing w:after="0"/>
              <w:rPr>
                <w:sz w:val="23"/>
                <w:szCs w:val="23"/>
                <w:color w:val="auto"/>
              </w:rPr>
            </w:pPr>
          </w:p>
        </w:tc>
        <w:tc>
          <w:tcPr>
            <w:tcW w:w="2940" w:type="dxa"/>
            <w:vAlign w:val="bottom"/>
            <w:tcBorders>
              <w:bottom w:val="single" w:sz="8" w:color="auto"/>
            </w:tcBorders>
            <w:shd w:val="clear" w:color="auto" w:fill="CCEEFF"/>
          </w:tcPr>
          <w:p>
            <w:pPr>
              <w:spacing w:after="0"/>
              <w:rPr>
                <w:sz w:val="23"/>
                <w:szCs w:val="23"/>
                <w:color w:val="auto"/>
              </w:rPr>
            </w:pPr>
          </w:p>
        </w:tc>
        <w:tc>
          <w:tcPr>
            <w:tcW w:w="1640" w:type="dxa"/>
            <w:vAlign w:val="bottom"/>
            <w:tcBorders>
              <w:bottom w:val="single" w:sz="8" w:color="auto"/>
            </w:tcBorders>
            <w:shd w:val="clear" w:color="auto" w:fill="CCEEFF"/>
          </w:tcPr>
          <w:p>
            <w:pPr>
              <w:spacing w:after="0"/>
              <w:rPr>
                <w:sz w:val="23"/>
                <w:szCs w:val="23"/>
                <w:color w:val="auto"/>
              </w:rPr>
            </w:pPr>
          </w:p>
        </w:tc>
        <w:tc>
          <w:tcPr>
            <w:tcW w:w="660" w:type="dxa"/>
            <w:vAlign w:val="bottom"/>
            <w:tcBorders>
              <w:bottom w:val="single" w:sz="8" w:color="auto"/>
            </w:tcBorders>
            <w:shd w:val="clear" w:color="auto" w:fill="CCEEFF"/>
          </w:tcPr>
          <w:p>
            <w:pPr>
              <w:spacing w:after="0"/>
              <w:rPr>
                <w:sz w:val="23"/>
                <w:szCs w:val="23"/>
                <w:color w:val="auto"/>
              </w:rPr>
            </w:pPr>
          </w:p>
        </w:tc>
        <w:tc>
          <w:tcPr>
            <w:tcW w:w="1580" w:type="dxa"/>
            <w:vAlign w:val="bottom"/>
            <w:tcBorders>
              <w:bottom w:val="single" w:sz="8" w:color="auto"/>
            </w:tcBorders>
            <w:shd w:val="clear" w:color="auto" w:fill="CCEEFF"/>
          </w:tcPr>
          <w:p>
            <w:pPr>
              <w:spacing w:after="0"/>
              <w:rPr>
                <w:sz w:val="23"/>
                <w:szCs w:val="23"/>
                <w:color w:val="auto"/>
              </w:rPr>
            </w:pPr>
          </w:p>
        </w:tc>
      </w:tr>
    </w:tbl>
    <w:p>
      <w:pPr>
        <w:spacing w:after="0" w:line="323" w:lineRule="exact"/>
        <w:rPr>
          <w:sz w:val="20"/>
          <w:szCs w:val="20"/>
          <w:color w:val="auto"/>
        </w:rPr>
      </w:pPr>
    </w:p>
    <w:p>
      <w:pPr>
        <w:jc w:val="both"/>
        <w:ind w:right="20" w:firstLine="648"/>
        <w:spacing w:after="0" w:line="265" w:lineRule="auto"/>
        <w:rPr>
          <w:sz w:val="20"/>
          <w:szCs w:val="20"/>
          <w:color w:val="auto"/>
        </w:rPr>
      </w:pPr>
      <w:r>
        <w:rPr>
          <w:rFonts w:ascii="Arial" w:cs="Arial" w:eastAsia="Arial" w:hAnsi="Arial"/>
          <w:sz w:val="16"/>
          <w:szCs w:val="16"/>
          <w:color w:val="auto"/>
        </w:rPr>
        <w:t>The Company has recorded a loss of $0.8 million representing its pro rata share of the losses in Oncacare for the three month period ended March 31, 2022. During the year ended December 31, 2021, the Company provided a loan of $10 million to Oncacare in order to fund the continued development of the business operations. The loan accrues annual interest at 1.6% and the loan is repayable on June 30, 2025. Oncacare continues to perform in line with expectations.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92" w:right="339" w:bottom="1440" w:gutter="0" w:footer="0" w:header="0"/>
        </w:sectPr>
      </w:pPr>
    </w:p>
    <w:bookmarkStart w:id="17" w:name="page18"/>
    <w:bookmarkEnd w:id="17"/>
    <w:p>
      <w:pPr>
        <w:spacing w:after="0"/>
        <w:rPr>
          <w:sz w:val="20"/>
          <w:szCs w:val="20"/>
          <w:color w:val="auto"/>
        </w:rPr>
      </w:pPr>
      <w:r>
        <w:rPr>
          <w:rFonts w:ascii="Arial" w:cs="Arial" w:eastAsia="Arial" w:hAnsi="Arial"/>
          <w:sz w:val="16"/>
          <w:szCs w:val="16"/>
          <w:b w:val="1"/>
          <w:bCs w:val="1"/>
          <w:color w:val="auto"/>
        </w:rPr>
        <w:t>9. Fair value measurements</w:t>
      </w:r>
    </w:p>
    <w:p>
      <w:pPr>
        <w:spacing w:after="0" w:line="248"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6"/>
          <w:szCs w:val="16"/>
          <w:color w:val="auto"/>
        </w:rPr>
        <w:t>The Company records certain assets and liabilities at fair value. Fair value is defined as the price that would be received to sell an asset, or paid to transfer a liability in the principal or most advantageous market for the asset or liability in an orderly transaction between market participants at the measurement date. A three-level fair value hierarchy that prioritizes the inputs used to measure fair value is described below. This hierarchy requires entities to maximize the use of observable inputs and minimize the use of unobservable inputs. The three levels of inputs used to measure fair value are as follows:</w:t>
      </w:r>
    </w:p>
    <w:p>
      <w:pPr>
        <w:spacing w:after="0" w:line="195" w:lineRule="exact"/>
        <w:rPr>
          <w:sz w:val="20"/>
          <w:szCs w:val="20"/>
          <w:color w:val="auto"/>
        </w:rPr>
      </w:pPr>
    </w:p>
    <w:p>
      <w:pPr>
        <w:ind w:left="640" w:hanging="308"/>
        <w:spacing w:after="0"/>
        <w:tabs>
          <w:tab w:leader="none" w:pos="640" w:val="left"/>
        </w:tabs>
        <w:numPr>
          <w:ilvl w:val="0"/>
          <w:numId w:val="4"/>
        </w:numPr>
        <w:rPr>
          <w:rFonts w:ascii="Arial" w:cs="Arial" w:eastAsia="Arial" w:hAnsi="Arial"/>
          <w:sz w:val="16"/>
          <w:szCs w:val="16"/>
          <w:color w:val="auto"/>
        </w:rPr>
      </w:pPr>
      <w:r>
        <w:rPr>
          <w:rFonts w:ascii="Arial" w:cs="Arial" w:eastAsia="Arial" w:hAnsi="Arial"/>
          <w:sz w:val="16"/>
          <w:szCs w:val="16"/>
          <w:color w:val="auto"/>
        </w:rPr>
        <w:t>Level 1 — Quoted prices in active markets for identical assets or liabilities.</w:t>
      </w:r>
    </w:p>
    <w:p>
      <w:pPr>
        <w:spacing w:after="0" w:line="21" w:lineRule="exact"/>
        <w:rPr>
          <w:rFonts w:ascii="Arial" w:cs="Arial" w:eastAsia="Arial" w:hAnsi="Arial"/>
          <w:sz w:val="16"/>
          <w:szCs w:val="16"/>
          <w:color w:val="auto"/>
        </w:rPr>
      </w:pPr>
    </w:p>
    <w:p>
      <w:pPr>
        <w:jc w:val="both"/>
        <w:ind w:left="660" w:hanging="328"/>
        <w:spacing w:after="0" w:line="256"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Level 2 — Observable inputs other than quoted prices included in Level 1, such as quoted prices for similar assets and liabilities in active markets; quoted prices for identical or similar assets and liabilities in markets that are not active; or other inputs that are observable or can be corroborated by observable market data.</w:t>
      </w:r>
    </w:p>
    <w:p>
      <w:pPr>
        <w:spacing w:after="0" w:line="1" w:lineRule="exact"/>
        <w:rPr>
          <w:rFonts w:ascii="Arial" w:cs="Arial" w:eastAsia="Arial" w:hAnsi="Arial"/>
          <w:sz w:val="16"/>
          <w:szCs w:val="16"/>
          <w:color w:val="auto"/>
        </w:rPr>
      </w:pPr>
    </w:p>
    <w:p>
      <w:pPr>
        <w:ind w:left="660" w:hanging="328"/>
        <w:spacing w:after="0" w:line="270" w:lineRule="auto"/>
        <w:tabs>
          <w:tab w:leader="none" w:pos="649" w:val="left"/>
        </w:tabs>
        <w:numPr>
          <w:ilvl w:val="0"/>
          <w:numId w:val="4"/>
        </w:numPr>
        <w:rPr>
          <w:rFonts w:ascii="Arial" w:cs="Arial" w:eastAsia="Arial" w:hAnsi="Arial"/>
          <w:sz w:val="16"/>
          <w:szCs w:val="16"/>
          <w:color w:val="auto"/>
        </w:rPr>
      </w:pPr>
      <w:r>
        <w:rPr>
          <w:rFonts w:ascii="Arial" w:cs="Arial" w:eastAsia="Arial" w:hAnsi="Arial"/>
          <w:sz w:val="16"/>
          <w:szCs w:val="16"/>
          <w:color w:val="auto"/>
        </w:rPr>
        <w:t>Level 3 — Unobservable inputs that are supported by little or no market activity. This includes certain pricing models, discounted cash flow methodologies, and similar techniques that use significant unobservable inputs.</w:t>
      </w:r>
    </w:p>
    <w:p>
      <w:pPr>
        <w:spacing w:after="0" w:line="195"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6"/>
          <w:szCs w:val="16"/>
          <w:color w:val="auto"/>
        </w:rPr>
        <w:t>The carrying amounts of financial instruments, including cash and cash equivalents, accounts receivable, unbilled services, contract assets, accounts payable, and unearned revenue approximate fair value due to the short maturities of these instruments.</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Recurring Fair Value Measurements</w:t>
      </w:r>
    </w:p>
    <w:p>
      <w:pPr>
        <w:spacing w:after="0" w:line="1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6"/>
          <w:szCs w:val="16"/>
          <w:color w:val="auto"/>
        </w:rPr>
        <w:t>The Company classifies its interests in investments in equity-long term having considered the nature of its investment, the extent of influence over operating and financial decisions and the availability of readily determinable fair values. The Company determined that the interests in funds at March 31, 2022 and December 31, 2021 meet the definition of equity securities without readily determinable fair values. The Company concluded that the interests held at March 31, 2022 and December 31, 2021 qualify for the Net Asset Value (NAV) practical expedient in ASC 820 'Fair value measurements and disclosures'. Any increases or decreases in fair value are recognized in net income in the period. These are therefore measured at Level 3 of the fair value hierarchy. The value of these investments were $26.0 million at March 31, 2022 and $22.6 million at December 31, 2021.</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Non-recurring Fair Value Measurements</w:t>
      </w:r>
    </w:p>
    <w:p>
      <w:pPr>
        <w:spacing w:after="0" w:line="19"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6"/>
          <w:szCs w:val="16"/>
          <w:color w:val="auto"/>
        </w:rPr>
        <w:t>Certain assets and liabilities are carried on the accompanying Condensed Consolidated Balance Sheet at cost and are not re-measured to fair value on a recurring basis. These assets include finite-lived intangible assets that are tested for impairment when a triggering event occurs and goodwill and identifiable indefinite-lived intangible assets that are tested for impairment annually or when a triggering event occurs. As of March 31, 2022, assets carried on the balance sheet and not re-measured to fair value on a recurring basis totaled approximately $13,620.6 million and are identified as Level 3 assets. These assets are comprised of goodwill of $9,028.0 million and identifiable intangible assets, net of $4,592.6 million. Refer to "Note 12 - Bank credit lines and loan facilities" for additional information regarding the fair value of long-term debt balances.</w:t>
      </w: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381" w:right="339" w:bottom="1440" w:gutter="0" w:footer="0" w:header="0"/>
        </w:sectPr>
      </w:pPr>
    </w:p>
    <w:bookmarkStart w:id="18" w:name="page19"/>
    <w:bookmarkEnd w:id="18"/>
    <w:p>
      <w:pPr>
        <w:spacing w:after="0"/>
        <w:rPr>
          <w:sz w:val="20"/>
          <w:szCs w:val="20"/>
          <w:color w:val="auto"/>
        </w:rPr>
      </w:pPr>
      <w:r>
        <w:rPr>
          <w:rFonts w:ascii="Arial" w:cs="Arial" w:eastAsia="Arial" w:hAnsi="Arial"/>
          <w:sz w:val="16"/>
          <w:szCs w:val="16"/>
          <w:b w:val="1"/>
          <w:bCs w:val="1"/>
          <w:color w:val="auto"/>
        </w:rPr>
        <w:t>10. Restructuring</w:t>
      </w:r>
    </w:p>
    <w:p>
      <w:pPr>
        <w:spacing w:after="0" w:line="248"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In the three months ended March 31, 2022, a restructuring charge of $4.2 million was recorded in the Condensed Consolidated Statement of Operations under a restructuring plan adopted following a review of operations. The restructuring plan reflected resource rationalization across the business to improve employee utilization and an office consolidation program to optimize the Company's office footprint. The restructuring plan resulted in an impairment of ROU assets and associated unavoidable costs totaling $4.2 million, a credit of $0.2 million relating to workforce reductions and fixed asset impairment of $0.2 million.</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760" w:type="dxa"/>
            <w:vAlign w:val="bottom"/>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spacing w:after="0"/>
              <w:rPr>
                <w:sz w:val="18"/>
                <w:szCs w:val="18"/>
                <w:color w:val="auto"/>
              </w:rPr>
            </w:pPr>
          </w:p>
        </w:tc>
        <w:tc>
          <w:tcPr>
            <w:tcW w:w="3900" w:type="dxa"/>
            <w:vAlign w:val="bottom"/>
            <w:tcBorders>
              <w:bottom w:val="single" w:sz="8" w:color="auto"/>
            </w:tcBorders>
            <w:gridSpan w:val="3"/>
            <w:shd w:val="clear" w:color="auto" w:fill="CCEEFF"/>
          </w:tcPr>
          <w:p>
            <w:pPr>
              <w:jc w:val="center"/>
              <w:ind w:right="499"/>
              <w:spacing w:after="0"/>
              <w:rPr>
                <w:sz w:val="20"/>
                <w:szCs w:val="20"/>
                <w:color w:val="auto"/>
              </w:rPr>
            </w:pPr>
            <w:r>
              <w:rPr>
                <w:rFonts w:ascii="Arial" w:cs="Arial" w:eastAsia="Arial" w:hAnsi="Arial"/>
                <w:sz w:val="16"/>
                <w:szCs w:val="16"/>
                <w:b w:val="1"/>
                <w:bCs w:val="1"/>
                <w:color w:val="auto"/>
              </w:rPr>
              <w:t>Three Months Ended</w:t>
            </w:r>
          </w:p>
        </w:tc>
      </w:tr>
      <w:tr>
        <w:trPr>
          <w:trHeight w:val="209"/>
        </w:trPr>
        <w:tc>
          <w:tcPr>
            <w:tcW w:w="676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2022</w:t>
            </w:r>
          </w:p>
        </w:tc>
        <w:tc>
          <w:tcPr>
            <w:tcW w:w="32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ind w:left="220"/>
              <w:spacing w:after="0"/>
              <w:rPr>
                <w:sz w:val="20"/>
                <w:szCs w:val="20"/>
                <w:color w:val="auto"/>
              </w:rPr>
            </w:pPr>
            <w:r>
              <w:rPr>
                <w:rFonts w:ascii="Arial" w:cs="Arial" w:eastAsia="Arial" w:hAnsi="Arial"/>
                <w:sz w:val="16"/>
                <w:szCs w:val="16"/>
                <w:b w:val="1"/>
                <w:bCs w:val="1"/>
                <w:color w:val="auto"/>
              </w:rPr>
              <w:t>March 31, 2021</w:t>
            </w:r>
          </w:p>
        </w:tc>
      </w:tr>
      <w:tr>
        <w:trPr>
          <w:trHeight w:val="209"/>
        </w:trPr>
        <w:tc>
          <w:tcPr>
            <w:tcW w:w="676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3900" w:type="dxa"/>
            <w:vAlign w:val="bottom"/>
            <w:gridSpan w:val="3"/>
            <w:shd w:val="clear" w:color="auto" w:fill="CCEEFF"/>
          </w:tcPr>
          <w:p>
            <w:pPr>
              <w:jc w:val="center"/>
              <w:ind w:right="499"/>
              <w:spacing w:after="0"/>
              <w:rPr>
                <w:sz w:val="20"/>
                <w:szCs w:val="20"/>
                <w:color w:val="auto"/>
              </w:rPr>
            </w:pPr>
            <w:r>
              <w:rPr>
                <w:rFonts w:ascii="Arial" w:cs="Arial" w:eastAsia="Arial" w:hAnsi="Arial"/>
                <w:sz w:val="16"/>
                <w:szCs w:val="16"/>
                <w:b w:val="1"/>
                <w:bCs w:val="1"/>
                <w:color w:val="auto"/>
              </w:rPr>
              <w:t>(in thousands)</w:t>
            </w:r>
          </w:p>
        </w:tc>
      </w:tr>
      <w:tr>
        <w:trPr>
          <w:trHeight w:val="223"/>
        </w:trPr>
        <w:tc>
          <w:tcPr>
            <w:tcW w:w="67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Restructuring charges</w:t>
            </w:r>
          </w:p>
        </w:tc>
        <w:tc>
          <w:tcPr>
            <w:tcW w:w="580" w:type="dxa"/>
            <w:vAlign w:val="bottom"/>
            <w:tcBorders>
              <w:bottom w:val="single" w:sz="8" w:color="auto"/>
            </w:tcBorders>
          </w:tcPr>
          <w:p>
            <w:pPr>
              <w:jc w:val="right"/>
              <w:ind w:right="399"/>
              <w:spacing w:after="0"/>
              <w:rPr>
                <w:sz w:val="20"/>
                <w:szCs w:val="20"/>
                <w:color w:val="auto"/>
              </w:rPr>
            </w:pPr>
            <w:r>
              <w:rPr>
                <w:rFonts w:ascii="Arial" w:cs="Arial" w:eastAsia="Arial" w:hAnsi="Arial"/>
                <w:sz w:val="16"/>
                <w:szCs w:val="16"/>
                <w:color w:val="auto"/>
                <w:w w:val="89"/>
              </w:rPr>
              <w:t>$</w:t>
            </w:r>
          </w:p>
        </w:tc>
        <w:tc>
          <w:tcPr>
            <w:tcW w:w="16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4,207</w:t>
            </w:r>
          </w:p>
        </w:tc>
        <w:tc>
          <w:tcPr>
            <w:tcW w:w="320" w:type="dxa"/>
            <w:vAlign w:val="bottom"/>
            <w:tcBorders>
              <w:bottom w:val="single" w:sz="8" w:color="auto"/>
            </w:tcBorders>
          </w:tcPr>
          <w:p>
            <w:pPr>
              <w:jc w:val="right"/>
              <w:ind w:right="139"/>
              <w:spacing w:after="0"/>
              <w:rPr>
                <w:sz w:val="20"/>
                <w:szCs w:val="20"/>
                <w:color w:val="auto"/>
              </w:rPr>
            </w:pPr>
            <w:r>
              <w:rPr>
                <w:rFonts w:ascii="Arial" w:cs="Arial" w:eastAsia="Arial" w:hAnsi="Arial"/>
                <w:sz w:val="16"/>
                <w:szCs w:val="16"/>
                <w:color w:val="auto"/>
                <w:w w:val="89"/>
              </w:rPr>
              <w:t>$</w:t>
            </w:r>
          </w:p>
        </w:tc>
        <w:tc>
          <w:tcPr>
            <w:tcW w:w="1920" w:type="dxa"/>
            <w:vAlign w:val="bottom"/>
            <w:tcBorders>
              <w:bottom w:val="single" w:sz="8" w:color="auto"/>
            </w:tcBorders>
          </w:tcPr>
          <w:p>
            <w:pPr>
              <w:ind w:left="1680"/>
              <w:spacing w:after="0"/>
              <w:rPr>
                <w:sz w:val="20"/>
                <w:szCs w:val="20"/>
                <w:color w:val="auto"/>
              </w:rPr>
            </w:pPr>
            <w:r>
              <w:rPr>
                <w:rFonts w:ascii="Arial" w:cs="Arial" w:eastAsia="Arial" w:hAnsi="Arial"/>
                <w:sz w:val="16"/>
                <w:szCs w:val="16"/>
                <w:color w:val="auto"/>
              </w:rPr>
              <w:t>—</w:t>
            </w:r>
          </w:p>
        </w:tc>
      </w:tr>
      <w:tr>
        <w:trPr>
          <w:trHeight w:val="240"/>
        </w:trPr>
        <w:tc>
          <w:tcPr>
            <w:tcW w:w="67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Net charge</w:t>
            </w:r>
          </w:p>
        </w:tc>
        <w:tc>
          <w:tcPr>
            <w:tcW w:w="580" w:type="dxa"/>
            <w:vAlign w:val="bottom"/>
            <w:tcBorders>
              <w:bottom w:val="single" w:sz="8" w:color="auto"/>
            </w:tcBorders>
            <w:shd w:val="clear" w:color="auto" w:fill="CCEEFF"/>
          </w:tcPr>
          <w:p>
            <w:pPr>
              <w:jc w:val="right"/>
              <w:ind w:right="399"/>
              <w:spacing w:after="0"/>
              <w:rPr>
                <w:sz w:val="20"/>
                <w:szCs w:val="20"/>
                <w:color w:val="auto"/>
              </w:rPr>
            </w:pPr>
            <w:r>
              <w:rPr>
                <w:rFonts w:ascii="Arial" w:cs="Arial" w:eastAsia="Arial" w:hAnsi="Arial"/>
                <w:sz w:val="16"/>
                <w:szCs w:val="16"/>
                <w:color w:val="auto"/>
                <w:w w:val="89"/>
              </w:rPr>
              <w:t>$</w:t>
            </w:r>
          </w:p>
        </w:tc>
        <w:tc>
          <w:tcPr>
            <w:tcW w:w="16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4,207</w:t>
            </w:r>
          </w:p>
        </w:tc>
        <w:tc>
          <w:tcPr>
            <w:tcW w:w="3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w w:val="89"/>
              </w:rPr>
              <w:t>$</w:t>
            </w:r>
          </w:p>
        </w:tc>
        <w:tc>
          <w:tcPr>
            <w:tcW w:w="1920" w:type="dxa"/>
            <w:vAlign w:val="bottom"/>
            <w:tcBorders>
              <w:bottom w:val="single" w:sz="8" w:color="auto"/>
            </w:tcBorders>
            <w:shd w:val="clear" w:color="auto" w:fill="CCEEFF"/>
          </w:tcPr>
          <w:p>
            <w:pPr>
              <w:ind w:left="1680"/>
              <w:spacing w:after="0"/>
              <w:rPr>
                <w:sz w:val="20"/>
                <w:szCs w:val="20"/>
                <w:color w:val="auto"/>
              </w:rPr>
            </w:pPr>
            <w:r>
              <w:rPr>
                <w:rFonts w:ascii="Arial" w:cs="Arial" w:eastAsia="Arial" w:hAnsi="Arial"/>
                <w:sz w:val="16"/>
                <w:szCs w:val="16"/>
                <w:color w:val="auto"/>
              </w:rPr>
              <w:t>—</w:t>
            </w:r>
          </w:p>
        </w:tc>
      </w:tr>
      <w:tr>
        <w:trPr>
          <w:trHeight w:val="20"/>
        </w:trPr>
        <w:tc>
          <w:tcPr>
            <w:tcW w:w="676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660" w:type="dxa"/>
            <w:vAlign w:val="bottom"/>
            <w:tcBorders>
              <w:top w:val="single" w:sz="8" w:color="CCEEFF"/>
              <w:bottom w:val="single" w:sz="8" w:color="auto"/>
            </w:tcBorders>
          </w:tcPr>
          <w:p>
            <w:pPr>
              <w:spacing w:after="0" w:line="20" w:lineRule="exact"/>
              <w:rPr>
                <w:sz w:val="1"/>
                <w:szCs w:val="1"/>
                <w:color w:val="auto"/>
              </w:rPr>
            </w:pPr>
          </w:p>
        </w:tc>
        <w:tc>
          <w:tcPr>
            <w:tcW w:w="32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99"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6"/>
          <w:szCs w:val="16"/>
          <w:color w:val="auto"/>
        </w:rPr>
        <w:t>At March 31, 2022, a total liability of $29.2 million was recorded on the Consolidated Balance Sheet relating to restructuring activities. The total liability included $24.4 million from lease and lease related liabilities of which $10.4 million is included within other liabilities and $14.0 million is included within non-current operating lease liabilities. The remaining provision of $4.8 million relates to workforce reduction and is included within other liabilities.</w:t>
      </w:r>
    </w:p>
    <w:p>
      <w:pPr>
        <w:spacing w:after="0" w:line="25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740" w:type="dxa"/>
            <w:vAlign w:val="bottom"/>
            <w:shd w:val="clear" w:color="auto" w:fill="CCEEFF"/>
          </w:tcPr>
          <w:p>
            <w:pPr>
              <w:spacing w:after="0"/>
              <w:rPr>
                <w:sz w:val="18"/>
                <w:szCs w:val="18"/>
                <w:color w:val="auto"/>
              </w:rPr>
            </w:pPr>
          </w:p>
        </w:tc>
        <w:tc>
          <w:tcPr>
            <w:tcW w:w="340" w:type="dxa"/>
            <w:vAlign w:val="bottom"/>
            <w:tcBorders>
              <w:bottom w:val="single" w:sz="8" w:color="auto"/>
            </w:tcBorders>
            <w:shd w:val="clear" w:color="auto" w:fill="CCEEFF"/>
          </w:tcPr>
          <w:p>
            <w:pPr>
              <w:spacing w:after="0"/>
              <w:rPr>
                <w:sz w:val="18"/>
                <w:szCs w:val="18"/>
                <w:color w:val="auto"/>
              </w:rPr>
            </w:pPr>
          </w:p>
        </w:tc>
        <w:tc>
          <w:tcPr>
            <w:tcW w:w="1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Three Months Ended</w:t>
            </w:r>
          </w:p>
        </w:tc>
        <w:tc>
          <w:tcPr>
            <w:tcW w:w="640" w:type="dxa"/>
            <w:vAlign w:val="bottom"/>
            <w:tcBorders>
              <w:bottom w:val="single" w:sz="8" w:color="auto"/>
            </w:tcBorders>
            <w:shd w:val="clear" w:color="auto" w:fill="CCEEFF"/>
          </w:tcPr>
          <w:p>
            <w:pPr>
              <w:spacing w:after="0"/>
              <w:rPr>
                <w:sz w:val="18"/>
                <w:szCs w:val="18"/>
                <w:color w:val="auto"/>
              </w:rPr>
            </w:pP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Year ended</w:t>
            </w:r>
          </w:p>
        </w:tc>
      </w:tr>
      <w:tr>
        <w:trPr>
          <w:trHeight w:val="209"/>
        </w:trPr>
        <w:tc>
          <w:tcPr>
            <w:tcW w:w="674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2022</w:t>
            </w:r>
          </w:p>
        </w:tc>
        <w:tc>
          <w:tcPr>
            <w:tcW w:w="64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December 31, 2021</w:t>
            </w:r>
          </w:p>
        </w:tc>
      </w:tr>
      <w:tr>
        <w:trPr>
          <w:trHeight w:val="210"/>
        </w:trPr>
        <w:tc>
          <w:tcPr>
            <w:tcW w:w="6740" w:type="dxa"/>
            <w:vAlign w:val="bottom"/>
            <w:shd w:val="clear" w:color="auto" w:fill="CCEEFF"/>
          </w:tcPr>
          <w:p>
            <w:pPr>
              <w:spacing w:after="0"/>
              <w:rPr>
                <w:sz w:val="18"/>
                <w:szCs w:val="18"/>
                <w:color w:val="auto"/>
              </w:rPr>
            </w:pPr>
          </w:p>
        </w:tc>
        <w:tc>
          <w:tcPr>
            <w:tcW w:w="340" w:type="dxa"/>
            <w:vAlign w:val="bottom"/>
            <w:shd w:val="clear" w:color="auto" w:fill="CCEEFF"/>
          </w:tcPr>
          <w:p>
            <w:pPr>
              <w:spacing w:after="0"/>
              <w:rPr>
                <w:sz w:val="18"/>
                <w:szCs w:val="18"/>
                <w:color w:val="auto"/>
              </w:rPr>
            </w:pPr>
          </w:p>
        </w:tc>
        <w:tc>
          <w:tcPr>
            <w:tcW w:w="2500" w:type="dxa"/>
            <w:vAlign w:val="bottom"/>
            <w:gridSpan w:val="2"/>
            <w:shd w:val="clear" w:color="auto" w:fill="CCEEFF"/>
          </w:tcPr>
          <w:p>
            <w:pPr>
              <w:jc w:val="right"/>
              <w:spacing w:after="0"/>
              <w:rPr>
                <w:sz w:val="20"/>
                <w:szCs w:val="20"/>
                <w:color w:val="auto"/>
              </w:rPr>
            </w:pPr>
            <w:r>
              <w:rPr>
                <w:rFonts w:ascii="Arial" w:cs="Arial" w:eastAsia="Arial" w:hAnsi="Arial"/>
                <w:sz w:val="16"/>
                <w:szCs w:val="16"/>
                <w:b w:val="1"/>
                <w:bCs w:val="1"/>
                <w:color w:val="auto"/>
              </w:rPr>
              <w:t>(in thousands)</w:t>
            </w:r>
          </w:p>
        </w:tc>
        <w:tc>
          <w:tcPr>
            <w:tcW w:w="1560" w:type="dxa"/>
            <w:vAlign w:val="bottom"/>
            <w:shd w:val="clear" w:color="auto" w:fill="CCEEFF"/>
          </w:tcPr>
          <w:p>
            <w:pPr>
              <w:spacing w:after="0"/>
              <w:rPr>
                <w:sz w:val="18"/>
                <w:szCs w:val="18"/>
                <w:color w:val="auto"/>
              </w:rPr>
            </w:pPr>
          </w:p>
        </w:tc>
      </w:tr>
      <w:tr>
        <w:trPr>
          <w:trHeight w:val="270"/>
        </w:trPr>
        <w:tc>
          <w:tcPr>
            <w:tcW w:w="674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1860" w:type="dxa"/>
            <w:vAlign w:val="bottom"/>
          </w:tcPr>
          <w:p>
            <w:pPr>
              <w:spacing w:after="0"/>
              <w:rPr>
                <w:sz w:val="23"/>
                <w:szCs w:val="23"/>
                <w:color w:val="auto"/>
              </w:rPr>
            </w:pPr>
          </w:p>
        </w:tc>
        <w:tc>
          <w:tcPr>
            <w:tcW w:w="640" w:type="dxa"/>
            <w:vAlign w:val="bottom"/>
          </w:tcPr>
          <w:p>
            <w:pPr>
              <w:spacing w:after="0"/>
              <w:rPr>
                <w:sz w:val="23"/>
                <w:szCs w:val="23"/>
                <w:color w:val="auto"/>
              </w:rPr>
            </w:pPr>
          </w:p>
        </w:tc>
        <w:tc>
          <w:tcPr>
            <w:tcW w:w="1560" w:type="dxa"/>
            <w:vAlign w:val="bottom"/>
          </w:tcPr>
          <w:p>
            <w:pPr>
              <w:spacing w:after="0"/>
              <w:rPr>
                <w:sz w:val="23"/>
                <w:szCs w:val="23"/>
                <w:color w:val="auto"/>
              </w:rPr>
            </w:pPr>
          </w:p>
        </w:tc>
      </w:tr>
      <w:tr>
        <w:trPr>
          <w:trHeight w:val="216"/>
        </w:trPr>
        <w:tc>
          <w:tcPr>
            <w:tcW w:w="6740" w:type="dxa"/>
            <w:vAlign w:val="bottom"/>
            <w:shd w:val="clear" w:color="auto" w:fill="CCEEFF"/>
          </w:tcPr>
          <w:p>
            <w:pPr>
              <w:ind w:left="20"/>
              <w:spacing w:after="0"/>
              <w:rPr>
                <w:sz w:val="20"/>
                <w:szCs w:val="20"/>
                <w:color w:val="auto"/>
              </w:rPr>
            </w:pPr>
            <w:r>
              <w:rPr>
                <w:rFonts w:ascii="Arial" w:cs="Arial" w:eastAsia="Arial" w:hAnsi="Arial"/>
                <w:sz w:val="16"/>
                <w:szCs w:val="16"/>
                <w:color w:val="auto"/>
              </w:rPr>
              <w:t>Opening provision</w:t>
            </w:r>
          </w:p>
        </w:tc>
        <w:tc>
          <w:tcPr>
            <w:tcW w:w="34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28,353</w:t>
            </w:r>
          </w:p>
        </w:tc>
        <w:tc>
          <w:tcPr>
            <w:tcW w:w="640" w:type="dxa"/>
            <w:vAlign w:val="bottom"/>
            <w:shd w:val="clear" w:color="auto" w:fill="CCEEFF"/>
          </w:tcPr>
          <w:p>
            <w:pPr>
              <w:jc w:val="right"/>
              <w:ind w:right="439"/>
              <w:spacing w:after="0"/>
              <w:rPr>
                <w:sz w:val="20"/>
                <w:szCs w:val="20"/>
                <w:color w:val="auto"/>
              </w:rPr>
            </w:pPr>
            <w:r>
              <w:rPr>
                <w:rFonts w:ascii="Arial" w:cs="Arial" w:eastAsia="Arial" w:hAnsi="Arial"/>
                <w:sz w:val="16"/>
                <w:szCs w:val="16"/>
                <w:color w:val="auto"/>
              </w:rPr>
              <w:t>$</w:t>
            </w:r>
          </w:p>
        </w:tc>
        <w:tc>
          <w:tcPr>
            <w:tcW w:w="1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10,748</w:t>
            </w:r>
          </w:p>
        </w:tc>
      </w:tr>
      <w:tr>
        <w:trPr>
          <w:trHeight w:val="215"/>
        </w:trPr>
        <w:tc>
          <w:tcPr>
            <w:tcW w:w="6740" w:type="dxa"/>
            <w:vAlign w:val="bottom"/>
          </w:tcPr>
          <w:p>
            <w:pPr>
              <w:ind w:left="20"/>
              <w:spacing w:after="0"/>
              <w:rPr>
                <w:sz w:val="20"/>
                <w:szCs w:val="20"/>
                <w:color w:val="auto"/>
              </w:rPr>
            </w:pPr>
            <w:r>
              <w:rPr>
                <w:rFonts w:ascii="Arial" w:cs="Arial" w:eastAsia="Arial" w:hAnsi="Arial"/>
                <w:sz w:val="16"/>
                <w:szCs w:val="16"/>
                <w:color w:val="auto"/>
              </w:rPr>
              <w:t>Additional provisions</w:t>
            </w:r>
          </w:p>
        </w:tc>
        <w:tc>
          <w:tcPr>
            <w:tcW w:w="340" w:type="dxa"/>
            <w:vAlign w:val="bottom"/>
          </w:tcPr>
          <w:p>
            <w:pPr>
              <w:spacing w:after="0"/>
              <w:rPr>
                <w:sz w:val="18"/>
                <w:szCs w:val="18"/>
                <w:color w:val="auto"/>
              </w:rPr>
            </w:pPr>
          </w:p>
        </w:tc>
        <w:tc>
          <w:tcPr>
            <w:tcW w:w="1860" w:type="dxa"/>
            <w:vAlign w:val="bottom"/>
          </w:tcPr>
          <w:p>
            <w:pPr>
              <w:jc w:val="right"/>
              <w:spacing w:after="0"/>
              <w:rPr>
                <w:sz w:val="20"/>
                <w:szCs w:val="20"/>
                <w:color w:val="auto"/>
              </w:rPr>
            </w:pPr>
            <w:r>
              <w:rPr>
                <w:rFonts w:ascii="Arial" w:cs="Arial" w:eastAsia="Arial" w:hAnsi="Arial"/>
                <w:sz w:val="16"/>
                <w:szCs w:val="16"/>
                <w:color w:val="auto"/>
              </w:rPr>
              <w:t>4,153</w:t>
            </w:r>
          </w:p>
        </w:tc>
        <w:tc>
          <w:tcPr>
            <w:tcW w:w="640" w:type="dxa"/>
            <w:vAlign w:val="bottom"/>
          </w:tcPr>
          <w:p>
            <w:pPr>
              <w:spacing w:after="0"/>
              <w:rPr>
                <w:sz w:val="18"/>
                <w:szCs w:val="18"/>
                <w:color w:val="auto"/>
              </w:rPr>
            </w:pPr>
          </w:p>
        </w:tc>
        <w:tc>
          <w:tcPr>
            <w:tcW w:w="1560" w:type="dxa"/>
            <w:vAlign w:val="bottom"/>
          </w:tcPr>
          <w:p>
            <w:pPr>
              <w:jc w:val="right"/>
              <w:spacing w:after="0"/>
              <w:rPr>
                <w:sz w:val="20"/>
                <w:szCs w:val="20"/>
                <w:color w:val="auto"/>
              </w:rPr>
            </w:pPr>
            <w:r>
              <w:rPr>
                <w:rFonts w:ascii="Arial" w:cs="Arial" w:eastAsia="Arial" w:hAnsi="Arial"/>
                <w:sz w:val="16"/>
                <w:szCs w:val="16"/>
                <w:color w:val="auto"/>
              </w:rPr>
              <w:t>26,674</w:t>
            </w:r>
          </w:p>
        </w:tc>
      </w:tr>
      <w:tr>
        <w:trPr>
          <w:trHeight w:val="217"/>
        </w:trPr>
        <w:tc>
          <w:tcPr>
            <w:tcW w:w="674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Release provision</w:t>
            </w:r>
          </w:p>
        </w:tc>
        <w:tc>
          <w:tcPr>
            <w:tcW w:w="340" w:type="dxa"/>
            <w:vAlign w:val="bottom"/>
            <w:shd w:val="clear" w:color="auto" w:fill="CCEEFF"/>
          </w:tcPr>
          <w:p>
            <w:pPr>
              <w:spacing w:after="0"/>
              <w:rPr>
                <w:sz w:val="18"/>
                <w:szCs w:val="18"/>
                <w:color w:val="auto"/>
              </w:rPr>
            </w:pPr>
          </w:p>
        </w:tc>
        <w:tc>
          <w:tcPr>
            <w:tcW w:w="18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(200)</w:t>
            </w:r>
          </w:p>
        </w:tc>
        <w:tc>
          <w:tcPr>
            <w:tcW w:w="640" w:type="dxa"/>
            <w:vAlign w:val="bottom"/>
            <w:shd w:val="clear" w:color="auto" w:fill="CCEEFF"/>
          </w:tcPr>
          <w:p>
            <w:pPr>
              <w:spacing w:after="0"/>
              <w:rPr>
                <w:sz w:val="18"/>
                <w:szCs w:val="18"/>
                <w:color w:val="auto"/>
              </w:rPr>
            </w:pPr>
          </w:p>
        </w:tc>
        <w:tc>
          <w:tcPr>
            <w:tcW w:w="15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67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Utilization</w:t>
            </w:r>
          </w:p>
        </w:tc>
        <w:tc>
          <w:tcPr>
            <w:tcW w:w="34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(3,082)</w:t>
            </w:r>
          </w:p>
        </w:tc>
        <w:tc>
          <w:tcPr>
            <w:tcW w:w="640" w:type="dxa"/>
            <w:vAlign w:val="bottom"/>
            <w:tcBorders>
              <w:bottom w:val="single" w:sz="8" w:color="auto"/>
            </w:tcBorders>
          </w:tcPr>
          <w:p>
            <w:pPr>
              <w:spacing w:after="0"/>
              <w:rPr>
                <w:sz w:val="18"/>
                <w:szCs w:val="18"/>
                <w:color w:val="auto"/>
              </w:rPr>
            </w:pPr>
          </w:p>
        </w:tc>
        <w:tc>
          <w:tcPr>
            <w:tcW w:w="15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(9,069)</w:t>
            </w:r>
          </w:p>
        </w:tc>
      </w:tr>
      <w:tr>
        <w:trPr>
          <w:trHeight w:val="235"/>
        </w:trPr>
        <w:tc>
          <w:tcPr>
            <w:tcW w:w="67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Ending provision</w:t>
            </w:r>
          </w:p>
        </w:tc>
        <w:tc>
          <w:tcPr>
            <w:tcW w:w="34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8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29,224</w:t>
            </w:r>
          </w:p>
        </w:tc>
        <w:tc>
          <w:tcPr>
            <w:tcW w:w="640" w:type="dxa"/>
            <w:vAlign w:val="bottom"/>
            <w:tcBorders>
              <w:bottom w:val="single" w:sz="8" w:color="auto"/>
            </w:tcBorders>
            <w:shd w:val="clear" w:color="auto" w:fill="CCEEFF"/>
          </w:tcPr>
          <w:p>
            <w:pPr>
              <w:jc w:val="right"/>
              <w:ind w:right="439"/>
              <w:spacing w:after="0"/>
              <w:rPr>
                <w:sz w:val="20"/>
                <w:szCs w:val="20"/>
                <w:color w:val="auto"/>
              </w:rPr>
            </w:pPr>
            <w:r>
              <w:rPr>
                <w:rFonts w:ascii="Arial" w:cs="Arial" w:eastAsia="Arial" w:hAnsi="Arial"/>
                <w:sz w:val="16"/>
                <w:szCs w:val="16"/>
                <w:color w:val="auto"/>
              </w:rPr>
              <w:t>$</w:t>
            </w:r>
          </w:p>
        </w:tc>
        <w:tc>
          <w:tcPr>
            <w:tcW w:w="15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28,353</w:t>
            </w:r>
          </w:p>
        </w:tc>
      </w:tr>
      <w:tr>
        <w:trPr>
          <w:trHeight w:val="20"/>
        </w:trPr>
        <w:tc>
          <w:tcPr>
            <w:tcW w:w="6740" w:type="dxa"/>
            <w:vAlign w:val="bottom"/>
            <w:tcBorders>
              <w:top w:val="single" w:sz="8" w:color="CCEEFF"/>
              <w:bottom w:val="single" w:sz="8" w:color="auto"/>
            </w:tcBorders>
          </w:tcPr>
          <w:p>
            <w:pPr>
              <w:spacing w:after="0" w:line="20" w:lineRule="exact"/>
              <w:rPr>
                <w:sz w:val="1"/>
                <w:szCs w:val="1"/>
                <w:color w:val="auto"/>
              </w:rPr>
            </w:pPr>
          </w:p>
        </w:tc>
        <w:tc>
          <w:tcPr>
            <w:tcW w:w="340" w:type="dxa"/>
            <w:vAlign w:val="bottom"/>
            <w:tcBorders>
              <w:top w:val="single" w:sz="8" w:color="CCEEFF"/>
              <w:bottom w:val="single" w:sz="8" w:color="auto"/>
            </w:tcBorders>
          </w:tcPr>
          <w:p>
            <w:pPr>
              <w:spacing w:after="0" w:line="20" w:lineRule="exact"/>
              <w:rPr>
                <w:sz w:val="1"/>
                <w:szCs w:val="1"/>
                <w:color w:val="auto"/>
              </w:rPr>
            </w:pPr>
          </w:p>
        </w:tc>
        <w:tc>
          <w:tcPr>
            <w:tcW w:w="1860" w:type="dxa"/>
            <w:vAlign w:val="bottom"/>
            <w:tcBorders>
              <w:top w:val="single" w:sz="8" w:color="CCEEFF"/>
              <w:bottom w:val="single" w:sz="8" w:color="auto"/>
            </w:tcBorders>
          </w:tcPr>
          <w:p>
            <w:pPr>
              <w:spacing w:after="0" w:line="20" w:lineRule="exact"/>
              <w:rPr>
                <w:sz w:val="1"/>
                <w:szCs w:val="1"/>
                <w:color w:val="auto"/>
              </w:rPr>
            </w:pPr>
          </w:p>
        </w:tc>
        <w:tc>
          <w:tcPr>
            <w:tcW w:w="640" w:type="dxa"/>
            <w:vAlign w:val="bottom"/>
            <w:tcBorders>
              <w:top w:val="single" w:sz="8" w:color="CCEEFF"/>
              <w:bottom w:val="single" w:sz="8" w:color="auto"/>
            </w:tcBorders>
          </w:tcPr>
          <w:p>
            <w:pPr>
              <w:spacing w:after="0" w:line="20" w:lineRule="exact"/>
              <w:rPr>
                <w:sz w:val="1"/>
                <w:szCs w:val="1"/>
                <w:color w:val="auto"/>
              </w:rPr>
            </w:pPr>
          </w:p>
        </w:tc>
        <w:tc>
          <w:tcPr>
            <w:tcW w:w="1560" w:type="dxa"/>
            <w:vAlign w:val="bottom"/>
            <w:tcBorders>
              <w:top w:val="single" w:sz="8" w:color="CCEEFF"/>
              <w:bottom w:val="single" w:sz="8" w:color="auto"/>
            </w:tcBorders>
          </w:tcPr>
          <w:p>
            <w:pPr>
              <w:spacing w:after="0" w:line="20" w:lineRule="exact"/>
              <w:rPr>
                <w:sz w:val="1"/>
                <w:szCs w:val="1"/>
                <w:color w:val="auto"/>
              </w:rPr>
            </w:pPr>
          </w:p>
        </w:tc>
      </w:tr>
    </w:tbl>
    <w:p>
      <w:pPr>
        <w:spacing w:after="0" w:line="337"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11. Operating leases</w:t>
      </w:r>
    </w:p>
    <w:p>
      <w:pPr>
        <w:spacing w:after="0" w:line="181" w:lineRule="exact"/>
        <w:rPr>
          <w:sz w:val="20"/>
          <w:szCs w:val="20"/>
          <w:color w:val="auto"/>
        </w:rPr>
      </w:pPr>
    </w:p>
    <w:p>
      <w:pPr>
        <w:ind w:left="660"/>
        <w:spacing w:after="0"/>
        <w:rPr>
          <w:sz w:val="20"/>
          <w:szCs w:val="20"/>
          <w:color w:val="auto"/>
        </w:rPr>
      </w:pPr>
      <w:r>
        <w:rPr>
          <w:rFonts w:ascii="Arial" w:cs="Arial" w:eastAsia="Arial" w:hAnsi="Arial"/>
          <w:sz w:val="16"/>
          <w:szCs w:val="16"/>
          <w:color w:val="auto"/>
        </w:rPr>
        <w:t>Lease costs recorded under operating leases for the three months ended March 31, 2022 and March 31, 2021 were as follows:</w:t>
      </w: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90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3000" w:type="dxa"/>
            <w:vAlign w:val="bottom"/>
            <w:tcBorders>
              <w:bottom w:val="single" w:sz="8" w:color="auto"/>
            </w:tcBorders>
            <w:gridSpan w:val="3"/>
            <w:shd w:val="clear" w:color="auto" w:fill="CCEEFF"/>
          </w:tcPr>
          <w:p>
            <w:pPr>
              <w:jc w:val="right"/>
              <w:ind w:right="759"/>
              <w:spacing w:after="0"/>
              <w:rPr>
                <w:sz w:val="20"/>
                <w:szCs w:val="20"/>
                <w:color w:val="auto"/>
              </w:rPr>
            </w:pPr>
            <w:r>
              <w:rPr>
                <w:rFonts w:ascii="Arial" w:cs="Arial" w:eastAsia="Arial" w:hAnsi="Arial"/>
                <w:sz w:val="16"/>
                <w:szCs w:val="16"/>
                <w:b w:val="1"/>
                <w:bCs w:val="1"/>
                <w:color w:val="auto"/>
              </w:rPr>
              <w:t>Three Months Ended</w:t>
            </w:r>
          </w:p>
        </w:tc>
      </w:tr>
      <w:tr>
        <w:trPr>
          <w:trHeight w:val="210"/>
        </w:trPr>
        <w:tc>
          <w:tcPr>
            <w:tcW w:w="790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ind w:left="180"/>
              <w:spacing w:after="0"/>
              <w:rPr>
                <w:sz w:val="20"/>
                <w:szCs w:val="20"/>
                <w:color w:val="auto"/>
              </w:rPr>
            </w:pPr>
            <w:r>
              <w:rPr>
                <w:rFonts w:ascii="Arial" w:cs="Arial" w:eastAsia="Arial" w:hAnsi="Arial"/>
                <w:sz w:val="16"/>
                <w:szCs w:val="16"/>
                <w:b w:val="1"/>
                <w:bCs w:val="1"/>
                <w:color w:val="auto"/>
              </w:rPr>
              <w:t>March 31, 2022</w:t>
            </w:r>
          </w:p>
        </w:tc>
        <w:tc>
          <w:tcPr>
            <w:tcW w:w="30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10"/>
        </w:trPr>
        <w:tc>
          <w:tcPr>
            <w:tcW w:w="790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000" w:type="dxa"/>
            <w:vAlign w:val="bottom"/>
            <w:gridSpan w:val="3"/>
            <w:shd w:val="clear" w:color="auto" w:fill="CCEEFF"/>
          </w:tcPr>
          <w:p>
            <w:pPr>
              <w:ind w:left="800"/>
              <w:spacing w:after="0"/>
              <w:rPr>
                <w:sz w:val="20"/>
                <w:szCs w:val="20"/>
                <w:color w:val="auto"/>
              </w:rPr>
            </w:pPr>
            <w:r>
              <w:rPr>
                <w:rFonts w:ascii="Arial" w:cs="Arial" w:eastAsia="Arial" w:hAnsi="Arial"/>
                <w:sz w:val="16"/>
                <w:szCs w:val="16"/>
                <w:b w:val="1"/>
                <w:bCs w:val="1"/>
                <w:color w:val="auto"/>
              </w:rPr>
              <w:t>(in thousands)</w:t>
            </w:r>
          </w:p>
        </w:tc>
      </w:tr>
      <w:tr>
        <w:trPr>
          <w:trHeight w:val="215"/>
        </w:trPr>
        <w:tc>
          <w:tcPr>
            <w:tcW w:w="7900" w:type="dxa"/>
            <w:vAlign w:val="bottom"/>
          </w:tcPr>
          <w:p>
            <w:pPr>
              <w:ind w:left="20"/>
              <w:spacing w:after="0"/>
              <w:rPr>
                <w:sz w:val="20"/>
                <w:szCs w:val="20"/>
                <w:color w:val="auto"/>
              </w:rPr>
            </w:pPr>
            <w:r>
              <w:rPr>
                <w:rFonts w:ascii="Arial" w:cs="Arial" w:eastAsia="Arial" w:hAnsi="Arial"/>
                <w:sz w:val="16"/>
                <w:szCs w:val="16"/>
                <w:color w:val="auto"/>
              </w:rPr>
              <w:t>Operating lease costs</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360" w:type="dxa"/>
            <w:vAlign w:val="bottom"/>
          </w:tcPr>
          <w:p>
            <w:pPr>
              <w:ind w:left="800"/>
              <w:spacing w:after="0"/>
              <w:rPr>
                <w:sz w:val="20"/>
                <w:szCs w:val="20"/>
                <w:color w:val="auto"/>
              </w:rPr>
            </w:pPr>
            <w:r>
              <w:rPr>
                <w:rFonts w:ascii="Arial" w:cs="Arial" w:eastAsia="Arial" w:hAnsi="Arial"/>
                <w:sz w:val="16"/>
                <w:szCs w:val="16"/>
                <w:color w:val="auto"/>
              </w:rPr>
              <w:t>15,264</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340" w:type="dxa"/>
            <w:vAlign w:val="bottom"/>
          </w:tcPr>
          <w:p>
            <w:pPr>
              <w:jc w:val="right"/>
              <w:spacing w:after="0"/>
              <w:rPr>
                <w:sz w:val="20"/>
                <w:szCs w:val="20"/>
                <w:color w:val="auto"/>
              </w:rPr>
            </w:pPr>
            <w:r>
              <w:rPr>
                <w:rFonts w:ascii="Arial" w:cs="Arial" w:eastAsia="Arial" w:hAnsi="Arial"/>
                <w:sz w:val="16"/>
                <w:szCs w:val="16"/>
                <w:color w:val="auto"/>
              </w:rPr>
              <w:t>7,789</w:t>
            </w:r>
          </w:p>
        </w:tc>
      </w:tr>
      <w:tr>
        <w:trPr>
          <w:trHeight w:val="216"/>
        </w:trPr>
        <w:tc>
          <w:tcPr>
            <w:tcW w:w="79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Income from sub-leases</w:t>
            </w:r>
          </w:p>
        </w:tc>
        <w:tc>
          <w:tcPr>
            <w:tcW w:w="28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ind w:left="960"/>
              <w:spacing w:after="0"/>
              <w:rPr>
                <w:sz w:val="20"/>
                <w:szCs w:val="20"/>
                <w:color w:val="auto"/>
              </w:rPr>
            </w:pPr>
            <w:r>
              <w:rPr>
                <w:rFonts w:ascii="Arial" w:cs="Arial" w:eastAsia="Arial" w:hAnsi="Arial"/>
                <w:sz w:val="16"/>
                <w:szCs w:val="16"/>
                <w:color w:val="auto"/>
              </w:rPr>
              <w:t>(327)</w:t>
            </w:r>
          </w:p>
        </w:tc>
        <w:tc>
          <w:tcPr>
            <w:tcW w:w="30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(211)</w:t>
            </w:r>
          </w:p>
        </w:tc>
      </w:tr>
      <w:tr>
        <w:trPr>
          <w:trHeight w:val="209"/>
        </w:trPr>
        <w:tc>
          <w:tcPr>
            <w:tcW w:w="79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Net operating lease costs</w:t>
            </w:r>
          </w:p>
        </w:tc>
        <w:tc>
          <w:tcPr>
            <w:tcW w:w="28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auto"/>
            </w:tcBorders>
          </w:tcPr>
          <w:p>
            <w:pPr>
              <w:ind w:left="800"/>
              <w:spacing w:after="0"/>
              <w:rPr>
                <w:sz w:val="20"/>
                <w:szCs w:val="20"/>
                <w:color w:val="auto"/>
              </w:rPr>
            </w:pPr>
            <w:r>
              <w:rPr>
                <w:rFonts w:ascii="Arial" w:cs="Arial" w:eastAsia="Arial" w:hAnsi="Arial"/>
                <w:sz w:val="16"/>
                <w:szCs w:val="16"/>
                <w:color w:val="auto"/>
              </w:rPr>
              <w:t>14,937</w:t>
            </w:r>
          </w:p>
        </w:tc>
        <w:tc>
          <w:tcPr>
            <w:tcW w:w="30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w w:val="89"/>
              </w:rPr>
              <w:t>$</w:t>
            </w: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7,578</w:t>
            </w:r>
          </w:p>
        </w:tc>
      </w:tr>
      <w:tr>
        <w:trPr>
          <w:trHeight w:val="21"/>
        </w:trPr>
        <w:tc>
          <w:tcPr>
            <w:tcW w:w="79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32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Of the total cost of $14.9 million incurred in the three months ended March 31, 2022 (March 31, 2021: $7.6 million), $48.0 million (March 31, 2021:</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$7.0 million) is recorded within selling, general and administration costs and $0.6 million (March 31, 2021: $0.6 million) is recorded within direct costs.</w:t>
      </w:r>
    </w:p>
    <w:p>
      <w:pPr>
        <w:spacing w:after="0" w:line="24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During the three months ended March 31, 2022 and March 31, 2021, costs incurred by the Group related to variable lease payments was de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minimis.</w:t>
      </w:r>
    </w:p>
    <w:p>
      <w:pPr>
        <w:spacing w:after="0" w:line="232" w:lineRule="exact"/>
        <w:rPr>
          <w:sz w:val="20"/>
          <w:szCs w:val="20"/>
          <w:color w:val="auto"/>
        </w:rPr>
      </w:pPr>
    </w:p>
    <w:p>
      <w:pPr>
        <w:ind w:firstLine="648"/>
        <w:spacing w:after="0" w:line="304" w:lineRule="auto"/>
        <w:rPr>
          <w:sz w:val="20"/>
          <w:szCs w:val="20"/>
          <w:color w:val="auto"/>
        </w:rPr>
      </w:pPr>
      <w:r>
        <w:rPr>
          <w:rFonts w:ascii="Arial" w:cs="Arial" w:eastAsia="Arial" w:hAnsi="Arial"/>
          <w:sz w:val="16"/>
          <w:szCs w:val="16"/>
          <w:color w:val="auto"/>
        </w:rPr>
        <w:t>Right-of-use assets obtained during the three months ended March 31, 2022, excluding early termination options, now reasonably certain to be exercised of $Nil (March 31, 2021: $4.2 million), totaled $6.8 million (March 31, 2021: $2.9 million).</w: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65" w:right="339" w:bottom="1440" w:gutter="0" w:footer="0" w:header="0"/>
        </w:sectPr>
      </w:pPr>
    </w:p>
    <w:bookmarkStart w:id="19" w:name="page20"/>
    <w:bookmarkEnd w:id="19"/>
    <w:p>
      <w:pPr>
        <w:ind w:left="660"/>
        <w:spacing w:after="0"/>
        <w:rPr>
          <w:sz w:val="20"/>
          <w:szCs w:val="20"/>
          <w:color w:val="auto"/>
        </w:rPr>
      </w:pPr>
      <w:r>
        <w:rPr>
          <w:rFonts w:ascii="Arial" w:cs="Arial" w:eastAsia="Arial" w:hAnsi="Arial"/>
          <w:sz w:val="16"/>
          <w:szCs w:val="16"/>
          <w:color w:val="auto"/>
        </w:rPr>
        <w:t>The weighted average remaining lease term and weighted-average discount rate at March 31, 2022 were 6.92 years and 2.48%, respectively.</w:t>
      </w:r>
    </w:p>
    <w:p>
      <w:pPr>
        <w:spacing w:after="0" w:line="248"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8760" w:type="dxa"/>
            <w:vAlign w:val="bottom"/>
          </w:tcPr>
          <w:p>
            <w:pPr>
              <w:ind w:left="660"/>
              <w:spacing w:after="0"/>
              <w:rPr>
                <w:sz w:val="20"/>
                <w:szCs w:val="20"/>
                <w:color w:val="auto"/>
              </w:rPr>
            </w:pPr>
            <w:r>
              <w:rPr>
                <w:rFonts w:ascii="Arial" w:cs="Arial" w:eastAsia="Arial" w:hAnsi="Arial"/>
                <w:sz w:val="16"/>
                <w:szCs w:val="16"/>
                <w:color w:val="auto"/>
              </w:rPr>
              <w:t>Future minimum lease payments under non-cancelable leases as of March 31, 2022 were as follows:</w:t>
            </w:r>
          </w:p>
        </w:tc>
        <w:tc>
          <w:tcPr>
            <w:tcW w:w="300" w:type="dxa"/>
            <w:vAlign w:val="bottom"/>
          </w:tcPr>
          <w:p>
            <w:pPr>
              <w:spacing w:after="0"/>
              <w:rPr>
                <w:sz w:val="18"/>
                <w:szCs w:val="18"/>
                <w:color w:val="auto"/>
              </w:rPr>
            </w:pPr>
          </w:p>
        </w:tc>
        <w:tc>
          <w:tcPr>
            <w:tcW w:w="2180" w:type="dxa"/>
            <w:vAlign w:val="bottom"/>
          </w:tcPr>
          <w:p>
            <w:pPr>
              <w:spacing w:after="0"/>
              <w:rPr>
                <w:sz w:val="18"/>
                <w:szCs w:val="18"/>
                <w:color w:val="auto"/>
              </w:rPr>
            </w:pPr>
          </w:p>
        </w:tc>
      </w:tr>
      <w:tr>
        <w:trPr>
          <w:trHeight w:val="110"/>
        </w:trPr>
        <w:tc>
          <w:tcPr>
            <w:tcW w:w="8760" w:type="dxa"/>
            <w:vAlign w:val="bottom"/>
          </w:tcPr>
          <w:p>
            <w:pPr>
              <w:spacing w:after="0"/>
              <w:rPr>
                <w:sz w:val="9"/>
                <w:szCs w:val="9"/>
                <w:color w:val="auto"/>
              </w:rPr>
            </w:pPr>
          </w:p>
        </w:tc>
        <w:tc>
          <w:tcPr>
            <w:tcW w:w="300" w:type="dxa"/>
            <w:vAlign w:val="bottom"/>
          </w:tcPr>
          <w:p>
            <w:pPr>
              <w:spacing w:after="0"/>
              <w:rPr>
                <w:sz w:val="9"/>
                <w:szCs w:val="9"/>
                <w:color w:val="auto"/>
              </w:rPr>
            </w:pPr>
          </w:p>
        </w:tc>
        <w:tc>
          <w:tcPr>
            <w:tcW w:w="2180" w:type="dxa"/>
            <w:vAlign w:val="bottom"/>
          </w:tcPr>
          <w:p>
            <w:pPr>
              <w:spacing w:after="0"/>
              <w:rPr>
                <w:sz w:val="9"/>
                <w:szCs w:val="9"/>
                <w:color w:val="auto"/>
              </w:rPr>
            </w:pPr>
          </w:p>
        </w:tc>
      </w:tr>
      <w:tr>
        <w:trPr>
          <w:trHeight w:val="216"/>
        </w:trPr>
        <w:tc>
          <w:tcPr>
            <w:tcW w:w="876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21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Minimum rental payments</w:t>
            </w:r>
          </w:p>
        </w:tc>
      </w:tr>
      <w:tr>
        <w:trPr>
          <w:trHeight w:val="216"/>
        </w:trPr>
        <w:tc>
          <w:tcPr>
            <w:tcW w:w="876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(in thousands)</w:t>
            </w:r>
          </w:p>
        </w:tc>
        <w:tc>
          <w:tcPr>
            <w:tcW w:w="300" w:type="dxa"/>
            <w:vAlign w:val="bottom"/>
            <w:tcBorders>
              <w:bottom w:val="single" w:sz="8" w:color="auto"/>
            </w:tcBorders>
          </w:tcPr>
          <w:p>
            <w:pPr>
              <w:spacing w:after="0"/>
              <w:rPr>
                <w:sz w:val="18"/>
                <w:szCs w:val="18"/>
                <w:color w:val="auto"/>
              </w:rPr>
            </w:pPr>
          </w:p>
        </w:tc>
        <w:tc>
          <w:tcPr>
            <w:tcW w:w="21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2022</w:t>
            </w:r>
          </w:p>
        </w:tc>
      </w:tr>
      <w:tr>
        <w:trPr>
          <w:trHeight w:val="210"/>
        </w:trPr>
        <w:tc>
          <w:tcPr>
            <w:tcW w:w="8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Year 1</w:t>
            </w:r>
          </w:p>
        </w:tc>
        <w:tc>
          <w:tcPr>
            <w:tcW w:w="30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2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52,372</w:t>
            </w:r>
          </w:p>
        </w:tc>
      </w:tr>
      <w:tr>
        <w:trPr>
          <w:trHeight w:val="215"/>
        </w:trPr>
        <w:tc>
          <w:tcPr>
            <w:tcW w:w="8760" w:type="dxa"/>
            <w:vAlign w:val="bottom"/>
          </w:tcPr>
          <w:p>
            <w:pPr>
              <w:ind w:left="20"/>
              <w:spacing w:after="0"/>
              <w:rPr>
                <w:sz w:val="20"/>
                <w:szCs w:val="20"/>
                <w:color w:val="auto"/>
              </w:rPr>
            </w:pPr>
            <w:r>
              <w:rPr>
                <w:rFonts w:ascii="Arial" w:cs="Arial" w:eastAsia="Arial" w:hAnsi="Arial"/>
                <w:sz w:val="16"/>
                <w:szCs w:val="16"/>
                <w:color w:val="auto"/>
              </w:rPr>
              <w:t>Year 2</w:t>
            </w:r>
          </w:p>
        </w:tc>
        <w:tc>
          <w:tcPr>
            <w:tcW w:w="300" w:type="dxa"/>
            <w:vAlign w:val="bottom"/>
          </w:tcPr>
          <w:p>
            <w:pPr>
              <w:spacing w:after="0"/>
              <w:rPr>
                <w:sz w:val="18"/>
                <w:szCs w:val="18"/>
                <w:color w:val="auto"/>
              </w:rPr>
            </w:pPr>
          </w:p>
        </w:tc>
        <w:tc>
          <w:tcPr>
            <w:tcW w:w="2180" w:type="dxa"/>
            <w:vAlign w:val="bottom"/>
          </w:tcPr>
          <w:p>
            <w:pPr>
              <w:jc w:val="right"/>
              <w:spacing w:after="0"/>
              <w:rPr>
                <w:sz w:val="20"/>
                <w:szCs w:val="20"/>
                <w:color w:val="auto"/>
              </w:rPr>
            </w:pPr>
            <w:r>
              <w:rPr>
                <w:rFonts w:ascii="Arial" w:cs="Arial" w:eastAsia="Arial" w:hAnsi="Arial"/>
                <w:sz w:val="16"/>
                <w:szCs w:val="16"/>
                <w:color w:val="auto"/>
              </w:rPr>
              <w:t>45,344</w:t>
            </w:r>
          </w:p>
        </w:tc>
      </w:tr>
      <w:tr>
        <w:trPr>
          <w:trHeight w:val="217"/>
        </w:trPr>
        <w:tc>
          <w:tcPr>
            <w:tcW w:w="8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Year 3</w:t>
            </w:r>
          </w:p>
        </w:tc>
        <w:tc>
          <w:tcPr>
            <w:tcW w:w="300" w:type="dxa"/>
            <w:vAlign w:val="bottom"/>
            <w:shd w:val="clear" w:color="auto" w:fill="CCEEFF"/>
          </w:tcPr>
          <w:p>
            <w:pPr>
              <w:spacing w:after="0"/>
              <w:rPr>
                <w:sz w:val="18"/>
                <w:szCs w:val="18"/>
                <w:color w:val="auto"/>
              </w:rPr>
            </w:pPr>
          </w:p>
        </w:tc>
        <w:tc>
          <w:tcPr>
            <w:tcW w:w="2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29,086</w:t>
            </w:r>
          </w:p>
        </w:tc>
      </w:tr>
      <w:tr>
        <w:trPr>
          <w:trHeight w:val="215"/>
        </w:trPr>
        <w:tc>
          <w:tcPr>
            <w:tcW w:w="8760" w:type="dxa"/>
            <w:vAlign w:val="bottom"/>
          </w:tcPr>
          <w:p>
            <w:pPr>
              <w:ind w:left="20"/>
              <w:spacing w:after="0"/>
              <w:rPr>
                <w:sz w:val="20"/>
                <w:szCs w:val="20"/>
                <w:color w:val="auto"/>
              </w:rPr>
            </w:pPr>
            <w:r>
              <w:rPr>
                <w:rFonts w:ascii="Arial" w:cs="Arial" w:eastAsia="Arial" w:hAnsi="Arial"/>
                <w:sz w:val="16"/>
                <w:szCs w:val="16"/>
                <w:color w:val="auto"/>
              </w:rPr>
              <w:t>Year 4</w:t>
            </w:r>
          </w:p>
        </w:tc>
        <w:tc>
          <w:tcPr>
            <w:tcW w:w="300" w:type="dxa"/>
            <w:vAlign w:val="bottom"/>
          </w:tcPr>
          <w:p>
            <w:pPr>
              <w:spacing w:after="0"/>
              <w:rPr>
                <w:sz w:val="18"/>
                <w:szCs w:val="18"/>
                <w:color w:val="auto"/>
              </w:rPr>
            </w:pPr>
          </w:p>
        </w:tc>
        <w:tc>
          <w:tcPr>
            <w:tcW w:w="2180" w:type="dxa"/>
            <w:vAlign w:val="bottom"/>
          </w:tcPr>
          <w:p>
            <w:pPr>
              <w:jc w:val="right"/>
              <w:spacing w:after="0"/>
              <w:rPr>
                <w:sz w:val="20"/>
                <w:szCs w:val="20"/>
                <w:color w:val="auto"/>
              </w:rPr>
            </w:pPr>
            <w:r>
              <w:rPr>
                <w:rFonts w:ascii="Arial" w:cs="Arial" w:eastAsia="Arial" w:hAnsi="Arial"/>
                <w:sz w:val="16"/>
                <w:szCs w:val="16"/>
                <w:color w:val="auto"/>
              </w:rPr>
              <w:t>19,925</w:t>
            </w:r>
          </w:p>
        </w:tc>
      </w:tr>
      <w:tr>
        <w:trPr>
          <w:trHeight w:val="217"/>
        </w:trPr>
        <w:tc>
          <w:tcPr>
            <w:tcW w:w="8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Year 5</w:t>
            </w:r>
          </w:p>
        </w:tc>
        <w:tc>
          <w:tcPr>
            <w:tcW w:w="300" w:type="dxa"/>
            <w:vAlign w:val="bottom"/>
            <w:shd w:val="clear" w:color="auto" w:fill="CCEEFF"/>
          </w:tcPr>
          <w:p>
            <w:pPr>
              <w:spacing w:after="0"/>
              <w:rPr>
                <w:sz w:val="18"/>
                <w:szCs w:val="18"/>
                <w:color w:val="auto"/>
              </w:rPr>
            </w:pPr>
          </w:p>
        </w:tc>
        <w:tc>
          <w:tcPr>
            <w:tcW w:w="2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16,870</w:t>
            </w:r>
          </w:p>
        </w:tc>
      </w:tr>
      <w:tr>
        <w:trPr>
          <w:trHeight w:val="223"/>
        </w:trPr>
        <w:tc>
          <w:tcPr>
            <w:tcW w:w="87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Thereafter</w:t>
            </w:r>
          </w:p>
        </w:tc>
        <w:tc>
          <w:tcPr>
            <w:tcW w:w="300" w:type="dxa"/>
            <w:vAlign w:val="bottom"/>
            <w:tcBorders>
              <w:bottom w:val="single" w:sz="8" w:color="auto"/>
            </w:tcBorders>
          </w:tcPr>
          <w:p>
            <w:pPr>
              <w:spacing w:after="0"/>
              <w:rPr>
                <w:sz w:val="19"/>
                <w:szCs w:val="19"/>
                <w:color w:val="auto"/>
              </w:rPr>
            </w:pPr>
          </w:p>
        </w:tc>
        <w:tc>
          <w:tcPr>
            <w:tcW w:w="2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56,684</w:t>
            </w:r>
          </w:p>
        </w:tc>
      </w:tr>
      <w:tr>
        <w:trPr>
          <w:trHeight w:val="216"/>
        </w:trPr>
        <w:tc>
          <w:tcPr>
            <w:tcW w:w="876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future minimum lease payments</w:t>
            </w:r>
          </w:p>
        </w:tc>
        <w:tc>
          <w:tcPr>
            <w:tcW w:w="300" w:type="dxa"/>
            <w:vAlign w:val="bottom"/>
            <w:shd w:val="clear" w:color="auto" w:fill="CCEEFF"/>
          </w:tcPr>
          <w:p>
            <w:pPr>
              <w:spacing w:after="0"/>
              <w:rPr>
                <w:sz w:val="18"/>
                <w:szCs w:val="18"/>
                <w:color w:val="auto"/>
              </w:rPr>
            </w:pPr>
          </w:p>
        </w:tc>
        <w:tc>
          <w:tcPr>
            <w:tcW w:w="21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220,281</w:t>
            </w:r>
          </w:p>
        </w:tc>
      </w:tr>
      <w:tr>
        <w:trPr>
          <w:trHeight w:val="223"/>
        </w:trPr>
        <w:tc>
          <w:tcPr>
            <w:tcW w:w="87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Lease imputed interest</w:t>
            </w:r>
          </w:p>
        </w:tc>
        <w:tc>
          <w:tcPr>
            <w:tcW w:w="300" w:type="dxa"/>
            <w:vAlign w:val="bottom"/>
            <w:tcBorders>
              <w:bottom w:val="single" w:sz="8" w:color="auto"/>
            </w:tcBorders>
          </w:tcPr>
          <w:p>
            <w:pPr>
              <w:spacing w:after="0"/>
              <w:rPr>
                <w:sz w:val="19"/>
                <w:szCs w:val="19"/>
                <w:color w:val="auto"/>
              </w:rPr>
            </w:pPr>
          </w:p>
        </w:tc>
        <w:tc>
          <w:tcPr>
            <w:tcW w:w="21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(17,312)</w:t>
            </w:r>
          </w:p>
        </w:tc>
      </w:tr>
      <w:tr>
        <w:trPr>
          <w:trHeight w:val="240"/>
        </w:trPr>
        <w:tc>
          <w:tcPr>
            <w:tcW w:w="87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2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202,969</w:t>
            </w:r>
          </w:p>
        </w:tc>
      </w:tr>
      <w:tr>
        <w:trPr>
          <w:trHeight w:val="20"/>
        </w:trPr>
        <w:tc>
          <w:tcPr>
            <w:tcW w:w="876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2180" w:type="dxa"/>
            <w:vAlign w:val="bottom"/>
            <w:tcBorders>
              <w:top w:val="single" w:sz="8" w:color="CCEEFF"/>
              <w:bottom w:val="single" w:sz="8" w:color="auto"/>
            </w:tcBorders>
          </w:tcPr>
          <w:p>
            <w:pPr>
              <w:spacing w:after="0" w:line="20" w:lineRule="exact"/>
              <w:rPr>
                <w:sz w:val="1"/>
                <w:szCs w:val="1"/>
                <w:color w:val="auto"/>
              </w:rPr>
            </w:pPr>
          </w:p>
        </w:tc>
      </w:tr>
    </w:tbl>
    <w:p>
      <w:pPr>
        <w:spacing w:after="0" w:line="323"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6"/>
          <w:szCs w:val="16"/>
          <w:color w:val="auto"/>
        </w:rPr>
        <w:t>Operating lease liabilities are presented as current and non-current. Operating lease liabilities of $48.6 million have been included in other liabilities as at March 31, 2022 (March 31, 2021: $23.8 million).</w:t>
      </w:r>
    </w:p>
    <w:p>
      <w:pPr>
        <w:spacing w:after="0" w:line="19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12. Bank credit lines and loan facilities</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Company had the following debt outstanding as of March 31, 2022 and December 31, 2021:</w:t>
      </w:r>
    </w:p>
    <w:p>
      <w:pPr>
        <w:spacing w:after="0" w:line="30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520" w:type="dxa"/>
            <w:vAlign w:val="bottom"/>
            <w:shd w:val="clear" w:color="auto" w:fill="CCEEFF"/>
          </w:tcPr>
          <w:p>
            <w:pPr>
              <w:spacing w:after="0"/>
              <w:rPr>
                <w:sz w:val="18"/>
                <w:szCs w:val="18"/>
                <w:color w:val="auto"/>
              </w:rPr>
            </w:pPr>
          </w:p>
        </w:tc>
        <w:tc>
          <w:tcPr>
            <w:tcW w:w="18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3020" w:type="dxa"/>
            <w:vAlign w:val="bottom"/>
            <w:tcBorders>
              <w:bottom w:val="single" w:sz="8" w:color="auto"/>
            </w:tcBorders>
            <w:gridSpan w:val="3"/>
            <w:shd w:val="clear" w:color="auto" w:fill="CCEEFF"/>
          </w:tcPr>
          <w:p>
            <w:pPr>
              <w:ind w:left="720"/>
              <w:spacing w:after="0"/>
              <w:rPr>
                <w:sz w:val="20"/>
                <w:szCs w:val="20"/>
                <w:color w:val="auto"/>
              </w:rPr>
            </w:pPr>
            <w:r>
              <w:rPr>
                <w:rFonts w:ascii="Arial" w:cs="Arial" w:eastAsia="Arial" w:hAnsi="Arial"/>
                <w:sz w:val="16"/>
                <w:szCs w:val="16"/>
                <w:b w:val="1"/>
                <w:bCs w:val="1"/>
                <w:color w:val="auto"/>
              </w:rPr>
              <w:t>Principal amount</w:t>
            </w: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520" w:type="dxa"/>
            <w:vAlign w:val="bottom"/>
          </w:tcPr>
          <w:p>
            <w:pPr>
              <w:spacing w:after="0"/>
              <w:rPr>
                <w:sz w:val="18"/>
                <w:szCs w:val="18"/>
                <w:color w:val="auto"/>
              </w:rPr>
            </w:pPr>
          </w:p>
        </w:tc>
        <w:tc>
          <w:tcPr>
            <w:tcW w:w="3120" w:type="dxa"/>
            <w:vAlign w:val="bottom"/>
            <w:gridSpan w:val="2"/>
          </w:tcPr>
          <w:p>
            <w:pPr>
              <w:jc w:val="right"/>
              <w:spacing w:after="0"/>
              <w:rPr>
                <w:sz w:val="20"/>
                <w:szCs w:val="20"/>
                <w:color w:val="auto"/>
              </w:rPr>
            </w:pPr>
            <w:r>
              <w:rPr>
                <w:rFonts w:ascii="Arial" w:cs="Arial" w:eastAsia="Arial" w:hAnsi="Arial"/>
                <w:sz w:val="16"/>
                <w:szCs w:val="16"/>
                <w:b w:val="1"/>
                <w:bCs w:val="1"/>
                <w:color w:val="auto"/>
              </w:rPr>
              <w:t>Interest rate as of Interest rate as of</w:t>
            </w:r>
          </w:p>
        </w:tc>
        <w:tc>
          <w:tcPr>
            <w:tcW w:w="280" w:type="dxa"/>
            <w:vAlign w:val="bottom"/>
          </w:tcPr>
          <w:p>
            <w:pPr>
              <w:spacing w:after="0"/>
              <w:rPr>
                <w:sz w:val="18"/>
                <w:szCs w:val="18"/>
                <w:color w:val="auto"/>
              </w:rPr>
            </w:pPr>
          </w:p>
        </w:tc>
        <w:tc>
          <w:tcPr>
            <w:tcW w:w="1340" w:type="dxa"/>
            <w:vAlign w:val="bottom"/>
          </w:tcPr>
          <w:p>
            <w:pPr>
              <w:jc w:val="right"/>
              <w:ind w:right="359"/>
              <w:spacing w:after="0"/>
              <w:rPr>
                <w:sz w:val="20"/>
                <w:szCs w:val="20"/>
                <w:color w:val="auto"/>
              </w:rPr>
            </w:pPr>
            <w:r>
              <w:rPr>
                <w:rFonts w:ascii="Arial" w:cs="Arial" w:eastAsia="Arial" w:hAnsi="Arial"/>
                <w:sz w:val="16"/>
                <w:szCs w:val="16"/>
                <w:b w:val="1"/>
                <w:bCs w:val="1"/>
                <w:color w:val="auto"/>
              </w:rPr>
              <w:t>March 31,</w:t>
            </w:r>
          </w:p>
        </w:tc>
        <w:tc>
          <w:tcPr>
            <w:tcW w:w="220" w:type="dxa"/>
            <w:vAlign w:val="bottom"/>
          </w:tcPr>
          <w:p>
            <w:pPr>
              <w:spacing w:after="0"/>
              <w:rPr>
                <w:sz w:val="18"/>
                <w:szCs w:val="18"/>
                <w:color w:val="auto"/>
              </w:rPr>
            </w:pPr>
          </w:p>
        </w:tc>
        <w:tc>
          <w:tcPr>
            <w:tcW w:w="1460" w:type="dxa"/>
            <w:vAlign w:val="bottom"/>
          </w:tcPr>
          <w:p>
            <w:pPr>
              <w:jc w:val="right"/>
              <w:ind w:right="219"/>
              <w:spacing w:after="0"/>
              <w:rPr>
                <w:sz w:val="20"/>
                <w:szCs w:val="20"/>
                <w:color w:val="auto"/>
              </w:rPr>
            </w:pPr>
            <w:r>
              <w:rPr>
                <w:rFonts w:ascii="Arial" w:cs="Arial" w:eastAsia="Arial" w:hAnsi="Arial"/>
                <w:sz w:val="16"/>
                <w:szCs w:val="16"/>
                <w:b w:val="1"/>
                <w:bCs w:val="1"/>
                <w:color w:val="auto"/>
              </w:rPr>
              <w:t>December 31,</w:t>
            </w: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2"/>
        </w:trPr>
        <w:tc>
          <w:tcPr>
            <w:tcW w:w="3520" w:type="dxa"/>
            <w:vAlign w:val="bottom"/>
            <w:vMerge w:val="restart"/>
            <w:shd w:val="clear" w:color="auto" w:fill="CCEEFF"/>
          </w:tcPr>
          <w:p>
            <w:pPr>
              <w:ind w:left="20"/>
              <w:spacing w:after="0"/>
              <w:rPr>
                <w:sz w:val="20"/>
                <w:szCs w:val="20"/>
                <w:color w:val="auto"/>
              </w:rPr>
            </w:pPr>
            <w:r>
              <w:rPr>
                <w:rFonts w:ascii="Arial" w:cs="Arial" w:eastAsia="Arial" w:hAnsi="Arial"/>
                <w:sz w:val="16"/>
                <w:szCs w:val="16"/>
                <w:color w:val="auto"/>
              </w:rPr>
              <w:t>(in thousands)</w:t>
            </w:r>
          </w:p>
        </w:tc>
        <w:tc>
          <w:tcPr>
            <w:tcW w:w="1800" w:type="dxa"/>
            <w:vAlign w:val="bottom"/>
            <w:vMerge w:val="restart"/>
            <w:shd w:val="clear" w:color="auto" w:fill="CCEEFF"/>
          </w:tcPr>
          <w:p>
            <w:pPr>
              <w:jc w:val="right"/>
              <w:ind w:right="119"/>
              <w:spacing w:after="0"/>
              <w:rPr>
                <w:sz w:val="20"/>
                <w:szCs w:val="20"/>
                <w:color w:val="auto"/>
              </w:rPr>
            </w:pPr>
            <w:r>
              <w:rPr>
                <w:rFonts w:ascii="Arial" w:cs="Arial" w:eastAsia="Arial" w:hAnsi="Arial"/>
                <w:sz w:val="16"/>
                <w:szCs w:val="16"/>
                <w:b w:val="1"/>
                <w:bCs w:val="1"/>
                <w:color w:val="auto"/>
              </w:rPr>
              <w:t>March 31, 2022</w:t>
            </w:r>
          </w:p>
        </w:tc>
        <w:tc>
          <w:tcPr>
            <w:tcW w:w="1600" w:type="dxa"/>
            <w:vAlign w:val="bottom"/>
            <w:gridSpan w:val="2"/>
            <w:shd w:val="clear" w:color="auto" w:fill="CCEEFF"/>
          </w:tcPr>
          <w:p>
            <w:pPr>
              <w:jc w:val="right"/>
              <w:ind w:right="460"/>
              <w:spacing w:after="0" w:line="162" w:lineRule="exact"/>
              <w:rPr>
                <w:sz w:val="20"/>
                <w:szCs w:val="20"/>
                <w:color w:val="auto"/>
              </w:rPr>
            </w:pPr>
            <w:r>
              <w:rPr>
                <w:rFonts w:ascii="Arial" w:cs="Arial" w:eastAsia="Arial" w:hAnsi="Arial"/>
                <w:sz w:val="16"/>
                <w:szCs w:val="16"/>
                <w:b w:val="1"/>
                <w:bCs w:val="1"/>
                <w:color w:val="auto"/>
              </w:rPr>
              <w:t>December 31,</w:t>
            </w:r>
          </w:p>
        </w:tc>
        <w:tc>
          <w:tcPr>
            <w:tcW w:w="1340" w:type="dxa"/>
            <w:vAlign w:val="bottom"/>
            <w:vMerge w:val="restart"/>
            <w:shd w:val="clear" w:color="auto" w:fill="CCEEFF"/>
          </w:tcPr>
          <w:p>
            <w:pPr>
              <w:jc w:val="right"/>
              <w:ind w:right="539"/>
              <w:spacing w:after="0"/>
              <w:rPr>
                <w:sz w:val="20"/>
                <w:szCs w:val="20"/>
                <w:color w:val="auto"/>
              </w:rPr>
            </w:pPr>
            <w:r>
              <w:rPr>
                <w:rFonts w:ascii="Arial" w:cs="Arial" w:eastAsia="Arial" w:hAnsi="Arial"/>
                <w:sz w:val="16"/>
                <w:szCs w:val="16"/>
                <w:b w:val="1"/>
                <w:bCs w:val="1"/>
                <w:color w:val="auto"/>
              </w:rPr>
              <w:t>2022</w:t>
            </w:r>
          </w:p>
        </w:tc>
        <w:tc>
          <w:tcPr>
            <w:tcW w:w="220" w:type="dxa"/>
            <w:vAlign w:val="bottom"/>
            <w:shd w:val="clear" w:color="auto" w:fill="CCEEFF"/>
          </w:tcPr>
          <w:p>
            <w:pPr>
              <w:spacing w:after="0"/>
              <w:rPr>
                <w:sz w:val="14"/>
                <w:szCs w:val="14"/>
                <w:color w:val="auto"/>
              </w:rPr>
            </w:pPr>
          </w:p>
        </w:tc>
        <w:tc>
          <w:tcPr>
            <w:tcW w:w="1460" w:type="dxa"/>
            <w:vAlign w:val="bottom"/>
            <w:vMerge w:val="restart"/>
            <w:shd w:val="clear" w:color="auto" w:fill="CCEEFF"/>
          </w:tcPr>
          <w:p>
            <w:pPr>
              <w:jc w:val="right"/>
              <w:ind w:right="579"/>
              <w:spacing w:after="0"/>
              <w:rPr>
                <w:sz w:val="20"/>
                <w:szCs w:val="20"/>
                <w:color w:val="auto"/>
              </w:rPr>
            </w:pPr>
            <w:r>
              <w:rPr>
                <w:rFonts w:ascii="Arial" w:cs="Arial" w:eastAsia="Arial" w:hAnsi="Arial"/>
                <w:sz w:val="16"/>
                <w:szCs w:val="16"/>
                <w:b w:val="1"/>
                <w:bCs w:val="1"/>
                <w:color w:val="auto"/>
              </w:rPr>
              <w:t>2021</w:t>
            </w:r>
          </w:p>
        </w:tc>
        <w:tc>
          <w:tcPr>
            <w:tcW w:w="1280" w:type="dxa"/>
            <w:vAlign w:val="bottom"/>
            <w:vMerge w:val="restart"/>
            <w:shd w:val="clear" w:color="auto" w:fill="CCEEFF"/>
          </w:tcPr>
          <w:p>
            <w:pPr>
              <w:ind w:left="120"/>
              <w:spacing w:after="0"/>
              <w:rPr>
                <w:sz w:val="20"/>
                <w:szCs w:val="20"/>
                <w:color w:val="auto"/>
              </w:rPr>
            </w:pPr>
            <w:r>
              <w:rPr>
                <w:rFonts w:ascii="Arial" w:cs="Arial" w:eastAsia="Arial" w:hAnsi="Arial"/>
                <w:sz w:val="16"/>
                <w:szCs w:val="16"/>
                <w:b w:val="1"/>
                <w:bCs w:val="1"/>
                <w:color w:val="auto"/>
              </w:rPr>
              <w:t>Maturity Date</w:t>
            </w:r>
          </w:p>
        </w:tc>
        <w:tc>
          <w:tcPr>
            <w:tcW w:w="0" w:type="dxa"/>
            <w:vAlign w:val="bottom"/>
          </w:tcPr>
          <w:p>
            <w:pPr>
              <w:spacing w:after="0"/>
              <w:rPr>
                <w:sz w:val="1"/>
                <w:szCs w:val="1"/>
                <w:color w:val="auto"/>
              </w:rPr>
            </w:pPr>
          </w:p>
        </w:tc>
      </w:tr>
      <w:tr>
        <w:trPr>
          <w:trHeight w:val="216"/>
        </w:trPr>
        <w:tc>
          <w:tcPr>
            <w:tcW w:w="3520" w:type="dxa"/>
            <w:vAlign w:val="bottom"/>
            <w:tcBorders>
              <w:bottom w:val="single" w:sz="8" w:color="auto"/>
            </w:tcBorders>
            <w:vMerge w:val="continue"/>
            <w:shd w:val="clear" w:color="auto" w:fill="CCEEFF"/>
          </w:tcPr>
          <w:p>
            <w:pPr>
              <w:spacing w:after="0"/>
              <w:rPr>
                <w:sz w:val="18"/>
                <w:szCs w:val="18"/>
                <w:color w:val="auto"/>
              </w:rPr>
            </w:pPr>
          </w:p>
        </w:tc>
        <w:tc>
          <w:tcPr>
            <w:tcW w:w="1800" w:type="dxa"/>
            <w:vAlign w:val="bottom"/>
            <w:tcBorders>
              <w:bottom w:val="single" w:sz="8" w:color="auto"/>
            </w:tcBorders>
            <w:vMerge w:val="continue"/>
            <w:shd w:val="clear" w:color="auto" w:fill="CCEEFF"/>
          </w:tcPr>
          <w:p>
            <w:pPr>
              <w:spacing w:after="0"/>
              <w:rPr>
                <w:sz w:val="18"/>
                <w:szCs w:val="18"/>
                <w:color w:val="auto"/>
              </w:rPr>
            </w:pPr>
          </w:p>
        </w:tc>
        <w:tc>
          <w:tcPr>
            <w:tcW w:w="1320" w:type="dxa"/>
            <w:vAlign w:val="bottom"/>
            <w:tcBorders>
              <w:bottom w:val="single" w:sz="8" w:color="auto"/>
            </w:tcBorders>
            <w:shd w:val="clear" w:color="auto" w:fill="CCEEFF"/>
          </w:tcPr>
          <w:p>
            <w:pPr>
              <w:jc w:val="right"/>
              <w:ind w:right="439"/>
              <w:spacing w:after="0"/>
              <w:rPr>
                <w:sz w:val="20"/>
                <w:szCs w:val="20"/>
                <w:color w:val="auto"/>
              </w:rPr>
            </w:pPr>
            <w:r>
              <w:rPr>
                <w:rFonts w:ascii="Arial" w:cs="Arial" w:eastAsia="Arial" w:hAnsi="Arial"/>
                <w:sz w:val="16"/>
                <w:szCs w:val="16"/>
                <w:b w:val="1"/>
                <w:bCs w:val="1"/>
                <w:color w:val="auto"/>
              </w:rPr>
              <w:t>2021</w:t>
            </w:r>
          </w:p>
        </w:tc>
        <w:tc>
          <w:tcPr>
            <w:tcW w:w="280" w:type="dxa"/>
            <w:vAlign w:val="bottom"/>
            <w:tcBorders>
              <w:bottom w:val="single" w:sz="8" w:color="auto"/>
            </w:tcBorders>
            <w:shd w:val="clear" w:color="auto" w:fill="CCEEFF"/>
          </w:tcPr>
          <w:p>
            <w:pPr>
              <w:spacing w:after="0"/>
              <w:rPr>
                <w:sz w:val="18"/>
                <w:szCs w:val="18"/>
                <w:color w:val="auto"/>
              </w:rPr>
            </w:pPr>
          </w:p>
        </w:tc>
        <w:tc>
          <w:tcPr>
            <w:tcW w:w="1340" w:type="dxa"/>
            <w:vAlign w:val="bottom"/>
            <w:tcBorders>
              <w:bottom w:val="single" w:sz="8" w:color="auto"/>
            </w:tcBorders>
            <w:vMerge w:val="continue"/>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vMerge w:val="continue"/>
            <w:shd w:val="clear" w:color="auto" w:fill="CCEEFF"/>
          </w:tcPr>
          <w:p>
            <w:pPr>
              <w:spacing w:after="0"/>
              <w:rPr>
                <w:sz w:val="18"/>
                <w:szCs w:val="18"/>
                <w:color w:val="auto"/>
              </w:rPr>
            </w:pPr>
          </w:p>
        </w:tc>
        <w:tc>
          <w:tcPr>
            <w:tcW w:w="128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520" w:type="dxa"/>
            <w:vAlign w:val="bottom"/>
          </w:tcPr>
          <w:p>
            <w:pPr>
              <w:ind w:left="20"/>
              <w:spacing w:after="0"/>
              <w:rPr>
                <w:sz w:val="20"/>
                <w:szCs w:val="20"/>
                <w:color w:val="auto"/>
              </w:rPr>
            </w:pPr>
            <w:r>
              <w:rPr>
                <w:rFonts w:ascii="Arial" w:cs="Arial" w:eastAsia="Arial" w:hAnsi="Arial"/>
                <w:sz w:val="16"/>
                <w:szCs w:val="16"/>
                <w:color w:val="auto"/>
              </w:rPr>
              <w:t>Credit Facilities:</w:t>
            </w:r>
          </w:p>
        </w:tc>
        <w:tc>
          <w:tcPr>
            <w:tcW w:w="180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3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Senior Secured Term Loan</w:t>
            </w:r>
          </w:p>
        </w:tc>
        <w:tc>
          <w:tcPr>
            <w:tcW w:w="180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3.313 %</w:t>
            </w:r>
          </w:p>
        </w:tc>
        <w:tc>
          <w:tcPr>
            <w:tcW w:w="1600" w:type="dxa"/>
            <w:vAlign w:val="bottom"/>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2.750 % $</w:t>
            </w: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4,701,213</w:t>
            </w:r>
          </w:p>
        </w:tc>
        <w:tc>
          <w:tcPr>
            <w:tcW w:w="220" w:type="dxa"/>
            <w:vAlign w:val="bottom"/>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5,001,213</w:t>
            </w:r>
          </w:p>
        </w:tc>
        <w:tc>
          <w:tcPr>
            <w:tcW w:w="1280" w:type="dxa"/>
            <w:vAlign w:val="bottom"/>
            <w:shd w:val="clear" w:color="auto" w:fill="CCEEFF"/>
          </w:tcPr>
          <w:p>
            <w:pPr>
              <w:ind w:left="560"/>
              <w:spacing w:after="0"/>
              <w:rPr>
                <w:sz w:val="20"/>
                <w:szCs w:val="20"/>
                <w:color w:val="auto"/>
              </w:rPr>
            </w:pPr>
            <w:r>
              <w:rPr>
                <w:rFonts w:ascii="Arial" w:cs="Arial" w:eastAsia="Arial" w:hAnsi="Arial"/>
                <w:sz w:val="16"/>
                <w:szCs w:val="16"/>
                <w:color w:val="auto"/>
              </w:rPr>
              <w:t>July 2028</w:t>
            </w:r>
          </w:p>
        </w:tc>
        <w:tc>
          <w:tcPr>
            <w:tcW w:w="0" w:type="dxa"/>
            <w:vAlign w:val="bottom"/>
          </w:tcPr>
          <w:p>
            <w:pPr>
              <w:spacing w:after="0"/>
              <w:rPr>
                <w:sz w:val="1"/>
                <w:szCs w:val="1"/>
                <w:color w:val="auto"/>
              </w:rPr>
            </w:pPr>
          </w:p>
        </w:tc>
      </w:tr>
      <w:tr>
        <w:trPr>
          <w:trHeight w:val="215"/>
        </w:trPr>
        <w:tc>
          <w:tcPr>
            <w:tcW w:w="3520" w:type="dxa"/>
            <w:vAlign w:val="bottom"/>
            <w:tcBorders>
              <w:bottom w:val="single" w:sz="8" w:color="CCEEFF"/>
            </w:tcBorders>
          </w:tcPr>
          <w:p>
            <w:pPr>
              <w:ind w:left="20"/>
              <w:spacing w:after="0"/>
              <w:rPr>
                <w:sz w:val="20"/>
                <w:szCs w:val="20"/>
                <w:color w:val="auto"/>
              </w:rPr>
            </w:pPr>
            <w:r>
              <w:rPr>
                <w:rFonts w:ascii="Arial" w:cs="Arial" w:eastAsia="Arial" w:hAnsi="Arial"/>
                <w:sz w:val="16"/>
                <w:szCs w:val="16"/>
                <w:color w:val="auto"/>
              </w:rPr>
              <w:t>Senior Secured Notes</w:t>
            </w:r>
          </w:p>
        </w:tc>
        <w:tc>
          <w:tcPr>
            <w:tcW w:w="1800" w:type="dxa"/>
            <w:vAlign w:val="bottom"/>
            <w:tcBorders>
              <w:bottom w:val="single" w:sz="8" w:color="CCEEFF"/>
            </w:tcBorders>
          </w:tcPr>
          <w:p>
            <w:pPr>
              <w:jc w:val="right"/>
              <w:ind w:right="19"/>
              <w:spacing w:after="0"/>
              <w:rPr>
                <w:sz w:val="20"/>
                <w:szCs w:val="20"/>
                <w:color w:val="auto"/>
              </w:rPr>
            </w:pPr>
            <w:r>
              <w:rPr>
                <w:rFonts w:ascii="Arial" w:cs="Arial" w:eastAsia="Arial" w:hAnsi="Arial"/>
                <w:sz w:val="16"/>
                <w:szCs w:val="16"/>
                <w:color w:val="auto"/>
              </w:rPr>
              <w:t>2.875 %</w:t>
            </w:r>
          </w:p>
        </w:tc>
        <w:tc>
          <w:tcPr>
            <w:tcW w:w="1320" w:type="dxa"/>
            <w:vAlign w:val="bottom"/>
            <w:tcBorders>
              <w:bottom w:val="single" w:sz="8" w:color="CCEEFF"/>
            </w:tcBorders>
          </w:tcPr>
          <w:p>
            <w:pPr>
              <w:jc w:val="right"/>
              <w:spacing w:after="0"/>
              <w:rPr>
                <w:sz w:val="20"/>
                <w:szCs w:val="20"/>
                <w:color w:val="auto"/>
              </w:rPr>
            </w:pPr>
            <w:r>
              <w:rPr>
                <w:rFonts w:ascii="Arial" w:cs="Arial" w:eastAsia="Arial" w:hAnsi="Arial"/>
                <w:sz w:val="16"/>
                <w:szCs w:val="16"/>
                <w:color w:val="auto"/>
              </w:rPr>
              <w:t>2.875 %</w:t>
            </w:r>
          </w:p>
        </w:tc>
        <w:tc>
          <w:tcPr>
            <w:tcW w:w="2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500,000</w:t>
            </w:r>
          </w:p>
        </w:tc>
        <w:tc>
          <w:tcPr>
            <w:tcW w:w="2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500,000</w:t>
            </w:r>
          </w:p>
        </w:tc>
        <w:tc>
          <w:tcPr>
            <w:tcW w:w="1280" w:type="dxa"/>
            <w:vAlign w:val="bottom"/>
            <w:tcBorders>
              <w:bottom w:val="single" w:sz="8" w:color="CCEEFF"/>
            </w:tcBorders>
          </w:tcPr>
          <w:p>
            <w:pPr>
              <w:ind w:left="560"/>
              <w:spacing w:after="0"/>
              <w:rPr>
                <w:sz w:val="20"/>
                <w:szCs w:val="20"/>
                <w:color w:val="auto"/>
              </w:rPr>
            </w:pPr>
            <w:r>
              <w:rPr>
                <w:rFonts w:ascii="Arial" w:cs="Arial" w:eastAsia="Arial" w:hAnsi="Arial"/>
                <w:sz w:val="16"/>
                <w:szCs w:val="16"/>
                <w:color w:val="auto"/>
              </w:rPr>
              <w:t>July 2026</w:t>
            </w:r>
          </w:p>
        </w:tc>
        <w:tc>
          <w:tcPr>
            <w:tcW w:w="0" w:type="dxa"/>
            <w:vAlign w:val="bottom"/>
          </w:tcPr>
          <w:p>
            <w:pPr>
              <w:spacing w:after="0"/>
              <w:rPr>
                <w:sz w:val="1"/>
                <w:szCs w:val="1"/>
                <w:color w:val="auto"/>
              </w:rPr>
            </w:pPr>
          </w:p>
        </w:tc>
      </w:tr>
      <w:tr>
        <w:trPr>
          <w:trHeight w:val="210"/>
        </w:trPr>
        <w:tc>
          <w:tcPr>
            <w:tcW w:w="3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debt</w:t>
            </w:r>
          </w:p>
        </w:tc>
        <w:tc>
          <w:tcPr>
            <w:tcW w:w="18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5,201,213</w:t>
            </w:r>
          </w:p>
        </w:tc>
        <w:tc>
          <w:tcPr>
            <w:tcW w:w="22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5,501,213</w:t>
            </w: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5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Less current portion of long-term debt</w:t>
            </w:r>
          </w:p>
        </w:tc>
        <w:tc>
          <w:tcPr>
            <w:tcW w:w="180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ind w:left="720"/>
              <w:spacing w:after="0"/>
              <w:rPr>
                <w:sz w:val="20"/>
                <w:szCs w:val="20"/>
                <w:color w:val="auto"/>
              </w:rPr>
            </w:pPr>
            <w:r>
              <w:rPr>
                <w:rFonts w:ascii="Arial" w:cs="Arial" w:eastAsia="Arial" w:hAnsi="Arial"/>
                <w:sz w:val="16"/>
                <w:szCs w:val="16"/>
                <w:color w:val="auto"/>
              </w:rPr>
              <w:t>(55,150)</w:t>
            </w:r>
          </w:p>
        </w:tc>
        <w:tc>
          <w:tcPr>
            <w:tcW w:w="2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(55,150)</w:t>
            </w:r>
          </w:p>
        </w:tc>
        <w:tc>
          <w:tcPr>
            <w:tcW w:w="12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Total long-term debt</w:t>
            </w:r>
          </w:p>
        </w:tc>
        <w:tc>
          <w:tcPr>
            <w:tcW w:w="1800" w:type="dxa"/>
            <w:vAlign w:val="bottom"/>
            <w:shd w:val="clear" w:color="auto" w:fill="CCEEFF"/>
          </w:tcPr>
          <w:p>
            <w:pPr>
              <w:spacing w:after="0"/>
              <w:rPr>
                <w:sz w:val="18"/>
                <w:szCs w:val="18"/>
                <w:color w:val="auto"/>
              </w:rPr>
            </w:pPr>
          </w:p>
        </w:tc>
        <w:tc>
          <w:tcPr>
            <w:tcW w:w="13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3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5,146,063</w:t>
            </w:r>
          </w:p>
        </w:tc>
        <w:tc>
          <w:tcPr>
            <w:tcW w:w="220" w:type="dxa"/>
            <w:vAlign w:val="bottom"/>
            <w:shd w:val="clear" w:color="auto" w:fill="CCEEFF"/>
          </w:tcPr>
          <w:p>
            <w:pPr>
              <w:spacing w:after="0"/>
              <w:rPr>
                <w:sz w:val="18"/>
                <w:szCs w:val="18"/>
                <w:color w:val="auto"/>
              </w:rPr>
            </w:pP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5,446,063</w:t>
            </w:r>
          </w:p>
        </w:tc>
        <w:tc>
          <w:tcPr>
            <w:tcW w:w="12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5"/>
        </w:trPr>
        <w:tc>
          <w:tcPr>
            <w:tcW w:w="35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Less debt issuance costs and debt discount</w:t>
            </w:r>
          </w:p>
        </w:tc>
        <w:tc>
          <w:tcPr>
            <w:tcW w:w="180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ind w:left="720"/>
              <w:spacing w:after="0"/>
              <w:rPr>
                <w:sz w:val="20"/>
                <w:szCs w:val="20"/>
                <w:color w:val="auto"/>
              </w:rPr>
            </w:pPr>
            <w:r>
              <w:rPr>
                <w:rFonts w:ascii="Arial" w:cs="Arial" w:eastAsia="Arial" w:hAnsi="Arial"/>
                <w:sz w:val="16"/>
                <w:szCs w:val="16"/>
                <w:color w:val="auto"/>
              </w:rPr>
              <w:t>(59,120)</w:t>
            </w:r>
          </w:p>
        </w:tc>
        <w:tc>
          <w:tcPr>
            <w:tcW w:w="2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(64,901)</w:t>
            </w:r>
          </w:p>
        </w:tc>
        <w:tc>
          <w:tcPr>
            <w:tcW w:w="128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52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 long-term debt, net</w:t>
            </w:r>
          </w:p>
        </w:tc>
        <w:tc>
          <w:tcPr>
            <w:tcW w:w="1800" w:type="dxa"/>
            <w:vAlign w:val="bottom"/>
            <w:tcBorders>
              <w:bottom w:val="single" w:sz="8" w:color="auto"/>
            </w:tcBorders>
            <w:shd w:val="clear" w:color="auto" w:fill="CCEEFF"/>
          </w:tcPr>
          <w:p>
            <w:pPr>
              <w:spacing w:after="0"/>
              <w:rPr>
                <w:sz w:val="19"/>
                <w:szCs w:val="19"/>
                <w:color w:val="auto"/>
              </w:rPr>
            </w:pPr>
          </w:p>
        </w:tc>
        <w:tc>
          <w:tcPr>
            <w:tcW w:w="1600" w:type="dxa"/>
            <w:vAlign w:val="bottom"/>
            <w:tcBorders>
              <w:bottom w:val="single" w:sz="8" w:color="auto"/>
            </w:tcBorders>
            <w:gridSpan w:val="2"/>
            <w:shd w:val="clear" w:color="auto" w:fill="CCEEFF"/>
          </w:tcPr>
          <w:p>
            <w:pPr>
              <w:jc w:val="right"/>
              <w:ind w:right="180"/>
              <w:spacing w:after="0"/>
              <w:rPr>
                <w:sz w:val="20"/>
                <w:szCs w:val="20"/>
                <w:color w:val="auto"/>
              </w:rPr>
            </w:pPr>
            <w:r>
              <w:rPr>
                <w:rFonts w:ascii="Arial" w:cs="Arial" w:eastAsia="Arial" w:hAnsi="Arial"/>
                <w:sz w:val="16"/>
                <w:szCs w:val="16"/>
                <w:color w:val="auto"/>
              </w:rPr>
              <w:t>$</w:t>
            </w: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5,086,943</w:t>
            </w:r>
          </w:p>
        </w:tc>
        <w:tc>
          <w:tcPr>
            <w:tcW w:w="220" w:type="dxa"/>
            <w:vAlign w:val="bottom"/>
            <w:tcBorders>
              <w:bottom w:val="single" w:sz="8" w:color="auto"/>
            </w:tcBorders>
            <w:shd w:val="clear" w:color="auto" w:fill="CCEEFF"/>
          </w:tcPr>
          <w:p>
            <w:pPr>
              <w:jc w:val="right"/>
              <w:ind w:right="19"/>
              <w:spacing w:after="0"/>
              <w:rPr>
                <w:sz w:val="20"/>
                <w:szCs w:val="20"/>
                <w:color w:val="auto"/>
              </w:rPr>
            </w:pPr>
            <w:r>
              <w:rPr>
                <w:rFonts w:ascii="Arial" w:cs="Arial" w:eastAsia="Arial" w:hAnsi="Arial"/>
                <w:sz w:val="16"/>
                <w:szCs w:val="16"/>
                <w:color w:val="auto"/>
              </w:rPr>
              <w:t>$</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5,381,162</w:t>
            </w:r>
          </w:p>
        </w:tc>
        <w:tc>
          <w:tcPr>
            <w:tcW w:w="1280" w:type="dxa"/>
            <w:vAlign w:val="bottom"/>
            <w:tcBorders>
              <w:bottom w:val="single" w:sz="8" w:color="auto"/>
            </w:tcBorders>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520" w:type="dxa"/>
            <w:vAlign w:val="bottom"/>
            <w:tcBorders>
              <w:top w:val="single" w:sz="8" w:color="CCEEFF"/>
              <w:bottom w:val="single" w:sz="8" w:color="auto"/>
            </w:tcBorders>
          </w:tcPr>
          <w:p>
            <w:pPr>
              <w:spacing w:after="0" w:line="20" w:lineRule="exact"/>
              <w:rPr>
                <w:sz w:val="1"/>
                <w:szCs w:val="1"/>
                <w:color w:val="auto"/>
              </w:rPr>
            </w:pPr>
          </w:p>
        </w:tc>
        <w:tc>
          <w:tcPr>
            <w:tcW w:w="1800" w:type="dxa"/>
            <w:vAlign w:val="bottom"/>
            <w:tcBorders>
              <w:top w:val="single" w:sz="8" w:color="CCEEFF"/>
              <w:bottom w:val="single" w:sz="8" w:color="auto"/>
            </w:tcBorders>
          </w:tcPr>
          <w:p>
            <w:pPr>
              <w:spacing w:after="0" w:line="20" w:lineRule="exact"/>
              <w:rPr>
                <w:sz w:val="1"/>
                <w:szCs w:val="1"/>
                <w:color w:val="auto"/>
              </w:rPr>
            </w:pPr>
          </w:p>
        </w:tc>
        <w:tc>
          <w:tcPr>
            <w:tcW w:w="132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340" w:type="dxa"/>
            <w:vAlign w:val="bottom"/>
            <w:tcBorders>
              <w:top w:val="single" w:sz="8" w:color="CCEEFF"/>
              <w:bottom w:val="single" w:sz="8" w:color="auto"/>
            </w:tcBorders>
          </w:tcPr>
          <w:p>
            <w:pPr>
              <w:spacing w:after="0" w:line="20" w:lineRule="exact"/>
              <w:rPr>
                <w:sz w:val="1"/>
                <w:szCs w:val="1"/>
                <w:color w:val="auto"/>
              </w:rPr>
            </w:pPr>
          </w:p>
        </w:tc>
        <w:tc>
          <w:tcPr>
            <w:tcW w:w="22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128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9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Company paid a $27.6 million debt discount in connection with the Senior Secured Credit Facility and Senior Secured Notes.</w:t>
      </w:r>
    </w:p>
    <w:p>
      <w:pPr>
        <w:spacing w:after="0" w:line="26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As of March 31, 2022, the contractual maturities of the Company's debt obligations were as follows:</w:t>
      </w:r>
    </w:p>
    <w:p>
      <w:pPr>
        <w:spacing w:after="0" w:line="289"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94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Current maturities of long-term debt:</w:t>
            </w:r>
          </w:p>
        </w:tc>
        <w:tc>
          <w:tcPr>
            <w:tcW w:w="3380" w:type="dxa"/>
            <w:vAlign w:val="bottom"/>
            <w:shd w:val="clear" w:color="auto" w:fill="CCEEFF"/>
          </w:tcPr>
          <w:p>
            <w:pPr>
              <w:spacing w:after="0"/>
              <w:rPr>
                <w:sz w:val="18"/>
                <w:szCs w:val="18"/>
                <w:color w:val="auto"/>
              </w:rPr>
            </w:pPr>
          </w:p>
        </w:tc>
        <w:tc>
          <w:tcPr>
            <w:tcW w:w="1920" w:type="dxa"/>
            <w:vAlign w:val="bottom"/>
            <w:shd w:val="clear" w:color="auto" w:fill="CCEEFF"/>
          </w:tcPr>
          <w:p>
            <w:pPr>
              <w:jc w:val="right"/>
              <w:ind w:right="479"/>
              <w:spacing w:after="0"/>
              <w:rPr>
                <w:sz w:val="20"/>
                <w:szCs w:val="20"/>
                <w:color w:val="auto"/>
              </w:rPr>
            </w:pPr>
            <w:r>
              <w:rPr>
                <w:rFonts w:ascii="Arial" w:cs="Arial" w:eastAsia="Arial" w:hAnsi="Arial"/>
                <w:sz w:val="16"/>
                <w:szCs w:val="16"/>
                <w:b w:val="1"/>
                <w:bCs w:val="1"/>
                <w:color w:val="auto"/>
              </w:rPr>
              <w:t>(in thousands)</w:t>
            </w:r>
          </w:p>
        </w:tc>
      </w:tr>
      <w:tr>
        <w:trPr>
          <w:trHeight w:val="215"/>
        </w:trPr>
        <w:tc>
          <w:tcPr>
            <w:tcW w:w="5940" w:type="dxa"/>
            <w:vAlign w:val="bottom"/>
          </w:tcPr>
          <w:p>
            <w:pPr>
              <w:ind w:left="20"/>
              <w:spacing w:after="0"/>
              <w:rPr>
                <w:sz w:val="20"/>
                <w:szCs w:val="20"/>
                <w:color w:val="auto"/>
              </w:rPr>
            </w:pPr>
            <w:r>
              <w:rPr>
                <w:rFonts w:ascii="Arial" w:cs="Arial" w:eastAsia="Arial" w:hAnsi="Arial"/>
                <w:sz w:val="16"/>
                <w:szCs w:val="16"/>
                <w:color w:val="auto"/>
              </w:rPr>
              <w:t>2022 (remaining)</w:t>
            </w:r>
          </w:p>
        </w:tc>
        <w:tc>
          <w:tcPr>
            <w:tcW w:w="3380" w:type="dxa"/>
            <w:vAlign w:val="bottom"/>
          </w:tcPr>
          <w:p>
            <w:pPr>
              <w:jc w:val="right"/>
              <w:ind w:right="139"/>
              <w:spacing w:after="0"/>
              <w:rPr>
                <w:sz w:val="20"/>
                <w:szCs w:val="20"/>
                <w:color w:val="auto"/>
              </w:rPr>
            </w:pPr>
            <w:r>
              <w:rPr>
                <w:rFonts w:ascii="Arial" w:cs="Arial" w:eastAsia="Arial" w:hAnsi="Arial"/>
                <w:sz w:val="16"/>
                <w:szCs w:val="16"/>
                <w:color w:val="auto"/>
              </w:rPr>
              <w:t>$</w:t>
            </w:r>
          </w:p>
        </w:tc>
        <w:tc>
          <w:tcPr>
            <w:tcW w:w="1920" w:type="dxa"/>
            <w:vAlign w:val="bottom"/>
          </w:tcPr>
          <w:p>
            <w:pPr>
              <w:jc w:val="right"/>
              <w:spacing w:after="0"/>
              <w:rPr>
                <w:sz w:val="20"/>
                <w:szCs w:val="20"/>
                <w:color w:val="auto"/>
              </w:rPr>
            </w:pPr>
            <w:r>
              <w:rPr>
                <w:rFonts w:ascii="Arial" w:cs="Arial" w:eastAsia="Arial" w:hAnsi="Arial"/>
                <w:sz w:val="16"/>
                <w:szCs w:val="16"/>
                <w:color w:val="auto"/>
              </w:rPr>
              <w:t>41,363</w:t>
            </w:r>
          </w:p>
        </w:tc>
      </w:tr>
      <w:tr>
        <w:trPr>
          <w:trHeight w:val="217"/>
        </w:trPr>
        <w:tc>
          <w:tcPr>
            <w:tcW w:w="594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2023</w:t>
            </w:r>
          </w:p>
        </w:tc>
        <w:tc>
          <w:tcPr>
            <w:tcW w:w="3380" w:type="dxa"/>
            <w:vAlign w:val="bottom"/>
            <w:shd w:val="clear" w:color="auto" w:fill="CCEEFF"/>
          </w:tcPr>
          <w:p>
            <w:pPr>
              <w:spacing w:after="0"/>
              <w:rPr>
                <w:sz w:val="18"/>
                <w:szCs w:val="18"/>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55,150</w:t>
            </w:r>
          </w:p>
        </w:tc>
      </w:tr>
      <w:tr>
        <w:trPr>
          <w:trHeight w:val="215"/>
        </w:trPr>
        <w:tc>
          <w:tcPr>
            <w:tcW w:w="5940" w:type="dxa"/>
            <w:vAlign w:val="bottom"/>
          </w:tcPr>
          <w:p>
            <w:pPr>
              <w:ind w:left="20"/>
              <w:spacing w:after="0"/>
              <w:rPr>
                <w:sz w:val="20"/>
                <w:szCs w:val="20"/>
                <w:color w:val="auto"/>
              </w:rPr>
            </w:pPr>
            <w:r>
              <w:rPr>
                <w:rFonts w:ascii="Arial" w:cs="Arial" w:eastAsia="Arial" w:hAnsi="Arial"/>
                <w:sz w:val="16"/>
                <w:szCs w:val="16"/>
                <w:color w:val="auto"/>
              </w:rPr>
              <w:t>2024</w:t>
            </w:r>
          </w:p>
        </w:tc>
        <w:tc>
          <w:tcPr>
            <w:tcW w:w="3380" w:type="dxa"/>
            <w:vAlign w:val="bottom"/>
          </w:tcPr>
          <w:p>
            <w:pPr>
              <w:spacing w:after="0"/>
              <w:rPr>
                <w:sz w:val="18"/>
                <w:szCs w:val="18"/>
                <w:color w:val="auto"/>
              </w:rPr>
            </w:pPr>
          </w:p>
        </w:tc>
        <w:tc>
          <w:tcPr>
            <w:tcW w:w="1920" w:type="dxa"/>
            <w:vAlign w:val="bottom"/>
          </w:tcPr>
          <w:p>
            <w:pPr>
              <w:jc w:val="right"/>
              <w:spacing w:after="0"/>
              <w:rPr>
                <w:sz w:val="20"/>
                <w:szCs w:val="20"/>
                <w:color w:val="auto"/>
              </w:rPr>
            </w:pPr>
            <w:r>
              <w:rPr>
                <w:rFonts w:ascii="Arial" w:cs="Arial" w:eastAsia="Arial" w:hAnsi="Arial"/>
                <w:sz w:val="16"/>
                <w:szCs w:val="16"/>
                <w:color w:val="auto"/>
              </w:rPr>
              <w:t>55,150</w:t>
            </w:r>
          </w:p>
        </w:tc>
      </w:tr>
      <w:tr>
        <w:trPr>
          <w:trHeight w:val="217"/>
        </w:trPr>
        <w:tc>
          <w:tcPr>
            <w:tcW w:w="5940" w:type="dxa"/>
            <w:vAlign w:val="bottom"/>
            <w:shd w:val="clear" w:color="auto" w:fill="CCEEFF"/>
          </w:tcPr>
          <w:p>
            <w:pPr>
              <w:ind w:left="20"/>
              <w:spacing w:after="0"/>
              <w:rPr>
                <w:sz w:val="20"/>
                <w:szCs w:val="20"/>
                <w:color w:val="auto"/>
              </w:rPr>
            </w:pPr>
            <w:r>
              <w:rPr>
                <w:rFonts w:ascii="Arial" w:cs="Arial" w:eastAsia="Arial" w:hAnsi="Arial"/>
                <w:sz w:val="16"/>
                <w:szCs w:val="16"/>
                <w:color w:val="auto"/>
              </w:rPr>
              <w:t>2025</w:t>
            </w:r>
          </w:p>
        </w:tc>
        <w:tc>
          <w:tcPr>
            <w:tcW w:w="3380" w:type="dxa"/>
            <w:vAlign w:val="bottom"/>
            <w:shd w:val="clear" w:color="auto" w:fill="CCEEFF"/>
          </w:tcPr>
          <w:p>
            <w:pPr>
              <w:spacing w:after="0"/>
              <w:rPr>
                <w:sz w:val="18"/>
                <w:szCs w:val="18"/>
                <w:color w:val="auto"/>
              </w:rPr>
            </w:pPr>
          </w:p>
        </w:tc>
        <w:tc>
          <w:tcPr>
            <w:tcW w:w="19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55,150</w:t>
            </w:r>
          </w:p>
        </w:tc>
      </w:tr>
      <w:tr>
        <w:trPr>
          <w:trHeight w:val="215"/>
        </w:trPr>
        <w:tc>
          <w:tcPr>
            <w:tcW w:w="59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2026 and thereafter</w:t>
            </w:r>
          </w:p>
        </w:tc>
        <w:tc>
          <w:tcPr>
            <w:tcW w:w="338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4,994,400</w:t>
            </w:r>
          </w:p>
        </w:tc>
      </w:tr>
      <w:tr>
        <w:trPr>
          <w:trHeight w:val="235"/>
        </w:trPr>
        <w:tc>
          <w:tcPr>
            <w:tcW w:w="594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338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19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5,201,213</w:t>
            </w:r>
          </w:p>
        </w:tc>
      </w:tr>
      <w:tr>
        <w:trPr>
          <w:trHeight w:val="20"/>
        </w:trPr>
        <w:tc>
          <w:tcPr>
            <w:tcW w:w="5940" w:type="dxa"/>
            <w:vAlign w:val="bottom"/>
            <w:tcBorders>
              <w:top w:val="single" w:sz="8" w:color="CCEEFF"/>
              <w:bottom w:val="single" w:sz="8" w:color="auto"/>
            </w:tcBorders>
          </w:tcPr>
          <w:p>
            <w:pPr>
              <w:spacing w:after="0" w:line="20" w:lineRule="exact"/>
              <w:rPr>
                <w:sz w:val="1"/>
                <w:szCs w:val="1"/>
                <w:color w:val="auto"/>
              </w:rPr>
            </w:pPr>
          </w:p>
        </w:tc>
        <w:tc>
          <w:tcPr>
            <w:tcW w:w="3380" w:type="dxa"/>
            <w:vAlign w:val="bottom"/>
            <w:tcBorders>
              <w:top w:val="single" w:sz="8" w:color="CCEEFF"/>
              <w:bottom w:val="single" w:sz="8" w:color="auto"/>
            </w:tcBorders>
          </w:tcPr>
          <w:p>
            <w:pPr>
              <w:spacing w:after="0" w:line="20" w:lineRule="exact"/>
              <w:rPr>
                <w:sz w:val="1"/>
                <w:szCs w:val="1"/>
                <w:color w:val="auto"/>
              </w:rPr>
            </w:pPr>
          </w:p>
        </w:tc>
        <w:tc>
          <w:tcPr>
            <w:tcW w:w="192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0" w:name="page21"/>
    <w:bookmarkEnd w:id="20"/>
    <w:p>
      <w:pPr>
        <w:jc w:val="both"/>
        <w:ind w:firstLine="648"/>
        <w:spacing w:after="0" w:line="286" w:lineRule="auto"/>
        <w:rPr>
          <w:sz w:val="20"/>
          <w:szCs w:val="20"/>
          <w:color w:val="auto"/>
        </w:rPr>
      </w:pPr>
      <w:r>
        <w:rPr>
          <w:rFonts w:ascii="Arial" w:cs="Arial" w:eastAsia="Arial" w:hAnsi="Arial"/>
          <w:sz w:val="16"/>
          <w:szCs w:val="16"/>
          <w:color w:val="auto"/>
        </w:rPr>
        <w:t>The Company's primary financing arrangements are its senior secured credit facilities (the "Senior Secured Credit Facilities"), which consists of a senior secured term loan and a revolving credit facility, and the senior secured notes (the "Senior Secured Notes").</w:t>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Senior Secured Credit Facilities</w:t>
      </w:r>
    </w:p>
    <w:p>
      <w:pPr>
        <w:spacing w:after="0" w:line="246"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In conjunction with the completion of the Merger agreement, on July 1, 2021, ICON entered into a credit agreement providing for a senior secured term loan facility of $5,515 million and a senior secured revolving loan facility in an initial aggregate principal amount of $300 million (the "Senior Secured Credit Facilities").</w:t>
      </w:r>
    </w:p>
    <w:p>
      <w:pPr>
        <w:spacing w:after="0" w:line="191"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Borrowings under the senior secured term loan facility amortize in equal quarterly installments in an amount equal to 1.00% per annum of the principal amount, with the remaining balance due at final maturity. The interest rate margin applicable to borrowings under the senior secured term loan facility is LIBOR plus an applicable margin of 2.50%, in each case, with a step down of 0.25% if the first lien net leverage ratio is equal to or less than 4.00 to 1.00. On November 10, 2021, the Company achieved a net leverage ratio of less than 4 times and the margin applicable to the senior secured term loan was reduced by 0.25%. The senior secured term loan facility is subject to a LIBOR floor of 0.50%.</w:t>
      </w:r>
    </w:p>
    <w:p>
      <w:pPr>
        <w:spacing w:after="0" w:line="186" w:lineRule="exact"/>
        <w:rPr>
          <w:sz w:val="20"/>
          <w:szCs w:val="20"/>
          <w:color w:val="auto"/>
        </w:rPr>
      </w:pPr>
    </w:p>
    <w:p>
      <w:pPr>
        <w:jc w:val="both"/>
        <w:ind w:firstLine="648"/>
        <w:spacing w:after="0" w:line="243" w:lineRule="auto"/>
        <w:rPr>
          <w:sz w:val="20"/>
          <w:szCs w:val="20"/>
          <w:color w:val="auto"/>
        </w:rPr>
      </w:pPr>
      <w:r>
        <w:rPr>
          <w:rFonts w:ascii="Arial" w:cs="Arial" w:eastAsia="Arial" w:hAnsi="Arial"/>
          <w:sz w:val="16"/>
          <w:szCs w:val="16"/>
          <w:color w:val="auto"/>
        </w:rPr>
        <w:t>The interest rate margin applicable to borrowings under the revolving loan facility will be, at the option of the borrower, either (i) the applicable base rate plus an applicable margin of 1.00%, 0.60% or 0.25% based on ICON’s current corporate family rating assigned by S&amp;P of BB- (or lower), BB or BB+ (or higher), respectively, or (ii) LIBOR (or an alternative reference rate) plus an applicable margin of 2.00%, 1.60% or 1.25% based on ICON’s current corporate family rating assigned by S&amp;P of BB- (or lower), BB or BB+ (or higher), respectively. In addition, lenders of under the revolving loan facility are entitled to commitment fees as a percentage of the applicable margin at the time of drawing and utilization fees dependent on the proportion of the facility drawn.</w:t>
      </w:r>
    </w:p>
    <w:p>
      <w:pPr>
        <w:spacing w:after="0" w:line="3"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The Borrowers’ (as defined in the credit agreement) obligations under the Senior Secured Credit Facilities are guaranteed by ICON and the subsidiary guarantors. The Senior Secured Credit Facilities are secured by a lien on substantially all of ICON’s, the Borrowers’ and each of the subsidiary guarantor’s assets (subject to certain exceptions), and the Senior Secured Credit Facilities will have a first-priority lien on such assets, which will rank pari passu with the lien securing the Senior Secured Notes (see below), subject to other permitted liens. Our long-term debt arrangements contain customary restrictive covenants and, as of March 31, 2022, we were in compliance with our restrictive covenants in all material respects.</w:t>
      </w:r>
    </w:p>
    <w:p>
      <w:pPr>
        <w:spacing w:after="0" w:line="202"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On March 31, 2022 the Company repaid $300.0 million of the senior secured term loan facility and made a quarterly interest payment of $35.1 million. These repayments resulted in an additional charge associated with previously capitalized fees of $3.2 million. On December 29, 2021, the Company repaid $500.0 million of the senior secured term loan facility. The Company is permitted to make prepayments on the senior secured term loan without penalty.</w:t>
      </w:r>
    </w:p>
    <w:p>
      <w:pPr>
        <w:spacing w:after="0" w:line="396"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Senior Secured Notes</w:t>
      </w:r>
    </w:p>
    <w:p>
      <w:pPr>
        <w:spacing w:after="0" w:line="233"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6"/>
          <w:szCs w:val="16"/>
          <w:color w:val="auto"/>
        </w:rPr>
        <w:t>In addition to the Senior Secured Credit Facilities, on July 1, 2021, a subsidiary of the Company issued $500 million in aggregate principal amount of 2.875% senior secured notes due 2026 (the "Senior Secured Notes") in a private offering (the “Offering”). The Senior Secured Notes will mature on July 15, 2026.</w:t>
      </w:r>
    </w:p>
    <w:p>
      <w:pPr>
        <w:spacing w:after="0" w:line="221"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Fair Value of Debt</w:t>
      </w:r>
    </w:p>
    <w:p>
      <w:pPr>
        <w:spacing w:after="0" w:line="19"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The estimated fair value of the Company’s debt was $5,155.3 million at March 31, 2022. The fair values of the Senior Secured Credit Facilities and Senior Secured Notes were determined based on Level 2 inputs, which are based on rates at which the debt is traded among financial institutions.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1" w:name="page22"/>
    <w:bookmarkEnd w:id="21"/>
    <w:p>
      <w:pPr>
        <w:spacing w:after="0"/>
        <w:rPr>
          <w:sz w:val="20"/>
          <w:szCs w:val="20"/>
          <w:color w:val="auto"/>
        </w:rPr>
      </w:pPr>
      <w:r>
        <w:rPr>
          <w:rFonts w:ascii="Arial" w:cs="Arial" w:eastAsia="Arial" w:hAnsi="Arial"/>
          <w:sz w:val="16"/>
          <w:szCs w:val="16"/>
          <w:b w:val="1"/>
          <w:bCs w:val="1"/>
          <w:color w:val="auto"/>
        </w:rPr>
        <w:t>13. Income taxes</w:t>
      </w:r>
    </w:p>
    <w:p>
      <w:pPr>
        <w:spacing w:after="0" w:line="167"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8300" w:type="dxa"/>
            <w:vAlign w:val="bottom"/>
            <w:gridSpan w:val="2"/>
          </w:tcPr>
          <w:p>
            <w:pPr>
              <w:jc w:val="right"/>
              <w:ind w:right="59"/>
              <w:spacing w:after="0"/>
              <w:rPr>
                <w:sz w:val="20"/>
                <w:szCs w:val="20"/>
                <w:color w:val="auto"/>
              </w:rPr>
            </w:pPr>
            <w:r>
              <w:rPr>
                <w:rFonts w:ascii="Arial" w:cs="Arial" w:eastAsia="Arial" w:hAnsi="Arial"/>
                <w:sz w:val="16"/>
                <w:szCs w:val="16"/>
                <w:color w:val="auto"/>
              </w:rPr>
              <w:t>Income taxes recognized during the three months ended March 31, 2022 and March 31, 2021, comprise:</w:t>
            </w:r>
          </w:p>
        </w:tc>
        <w:tc>
          <w:tcPr>
            <w:tcW w:w="134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300" w:type="dxa"/>
            <w:vAlign w:val="bottom"/>
          </w:tcPr>
          <w:p>
            <w:pPr>
              <w:spacing w:after="0"/>
              <w:rPr>
                <w:sz w:val="18"/>
                <w:szCs w:val="18"/>
                <w:color w:val="auto"/>
              </w:rPr>
            </w:pPr>
          </w:p>
        </w:tc>
      </w:tr>
      <w:tr>
        <w:trPr>
          <w:trHeight w:val="272"/>
        </w:trPr>
        <w:tc>
          <w:tcPr>
            <w:tcW w:w="8060" w:type="dxa"/>
            <w:vAlign w:val="bottom"/>
          </w:tcPr>
          <w:p>
            <w:pPr>
              <w:spacing w:after="0"/>
              <w:rPr>
                <w:sz w:val="23"/>
                <w:szCs w:val="23"/>
                <w:color w:val="auto"/>
              </w:rPr>
            </w:pPr>
          </w:p>
        </w:tc>
        <w:tc>
          <w:tcPr>
            <w:tcW w:w="240" w:type="dxa"/>
            <w:vAlign w:val="bottom"/>
          </w:tcPr>
          <w:p>
            <w:pPr>
              <w:spacing w:after="0"/>
              <w:rPr>
                <w:sz w:val="23"/>
                <w:szCs w:val="23"/>
                <w:color w:val="auto"/>
              </w:rPr>
            </w:pPr>
          </w:p>
        </w:tc>
        <w:tc>
          <w:tcPr>
            <w:tcW w:w="2940" w:type="dxa"/>
            <w:vAlign w:val="bottom"/>
            <w:gridSpan w:val="3"/>
          </w:tcPr>
          <w:p>
            <w:pPr>
              <w:spacing w:after="0"/>
              <w:rPr>
                <w:sz w:val="23"/>
                <w:szCs w:val="23"/>
                <w:color w:val="auto"/>
              </w:rPr>
            </w:pPr>
          </w:p>
        </w:tc>
      </w:tr>
      <w:tr>
        <w:trPr>
          <w:trHeight w:val="216"/>
        </w:trPr>
        <w:tc>
          <w:tcPr>
            <w:tcW w:w="806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2940" w:type="dxa"/>
            <w:vAlign w:val="bottom"/>
            <w:tcBorders>
              <w:bottom w:val="single" w:sz="8" w:color="auto"/>
            </w:tcBorders>
            <w:gridSpan w:val="3"/>
            <w:shd w:val="clear" w:color="auto" w:fill="CCEEFF"/>
          </w:tcPr>
          <w:p>
            <w:pPr>
              <w:jc w:val="right"/>
              <w:ind w:right="719"/>
              <w:spacing w:after="0"/>
              <w:rPr>
                <w:sz w:val="20"/>
                <w:szCs w:val="20"/>
                <w:color w:val="auto"/>
              </w:rPr>
            </w:pPr>
            <w:r>
              <w:rPr>
                <w:rFonts w:ascii="Arial" w:cs="Arial" w:eastAsia="Arial" w:hAnsi="Arial"/>
                <w:sz w:val="16"/>
                <w:szCs w:val="16"/>
                <w:b w:val="1"/>
                <w:bCs w:val="1"/>
                <w:color w:val="auto"/>
              </w:rPr>
              <w:t>Three Months Ended</w:t>
            </w:r>
          </w:p>
        </w:tc>
      </w:tr>
      <w:tr>
        <w:trPr>
          <w:trHeight w:val="210"/>
        </w:trPr>
        <w:tc>
          <w:tcPr>
            <w:tcW w:w="806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2022</w:t>
            </w:r>
          </w:p>
        </w:tc>
        <w:tc>
          <w:tcPr>
            <w:tcW w:w="30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09"/>
        </w:trPr>
        <w:tc>
          <w:tcPr>
            <w:tcW w:w="806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2940" w:type="dxa"/>
            <w:vAlign w:val="bottom"/>
            <w:gridSpan w:val="3"/>
            <w:shd w:val="clear" w:color="auto" w:fill="CCEEFF"/>
          </w:tcPr>
          <w:p>
            <w:pPr>
              <w:jc w:val="right"/>
              <w:ind w:right="959"/>
              <w:spacing w:after="0"/>
              <w:rPr>
                <w:sz w:val="20"/>
                <w:szCs w:val="20"/>
                <w:color w:val="auto"/>
              </w:rPr>
            </w:pPr>
            <w:r>
              <w:rPr>
                <w:rFonts w:ascii="Arial" w:cs="Arial" w:eastAsia="Arial" w:hAnsi="Arial"/>
                <w:sz w:val="16"/>
                <w:szCs w:val="16"/>
                <w:b w:val="1"/>
                <w:bCs w:val="1"/>
                <w:color w:val="auto"/>
              </w:rPr>
              <w:t>(in thousands)</w:t>
            </w:r>
          </w:p>
        </w:tc>
      </w:tr>
      <w:tr>
        <w:trPr>
          <w:trHeight w:val="215"/>
        </w:trPr>
        <w:tc>
          <w:tcPr>
            <w:tcW w:w="8060" w:type="dxa"/>
            <w:vAlign w:val="bottom"/>
          </w:tcPr>
          <w:p>
            <w:pPr>
              <w:ind w:left="20"/>
              <w:spacing w:after="0"/>
              <w:rPr>
                <w:sz w:val="20"/>
                <w:szCs w:val="20"/>
                <w:color w:val="auto"/>
              </w:rPr>
            </w:pPr>
            <w:r>
              <w:rPr>
                <w:rFonts w:ascii="Arial" w:cs="Arial" w:eastAsia="Arial" w:hAnsi="Arial"/>
                <w:sz w:val="16"/>
                <w:szCs w:val="16"/>
                <w:color w:val="auto"/>
              </w:rPr>
              <w:t>Provision for income taxes (excluding restructuring)</w:t>
            </w:r>
          </w:p>
        </w:tc>
        <w:tc>
          <w:tcPr>
            <w:tcW w:w="240" w:type="dxa"/>
            <w:vAlign w:val="bottom"/>
          </w:tcPr>
          <w:p>
            <w:pPr>
              <w:jc w:val="right"/>
              <w:ind w:right="59"/>
              <w:spacing w:after="0"/>
              <w:rPr>
                <w:sz w:val="20"/>
                <w:szCs w:val="20"/>
                <w:color w:val="auto"/>
              </w:rPr>
            </w:pPr>
            <w:r>
              <w:rPr>
                <w:rFonts w:ascii="Arial" w:cs="Arial" w:eastAsia="Arial" w:hAnsi="Arial"/>
                <w:sz w:val="16"/>
                <w:szCs w:val="16"/>
                <w:color w:val="auto"/>
                <w:w w:val="89"/>
              </w:rPr>
              <w:t>$</w:t>
            </w:r>
          </w:p>
        </w:tc>
        <w:tc>
          <w:tcPr>
            <w:tcW w:w="1340" w:type="dxa"/>
            <w:vAlign w:val="bottom"/>
          </w:tcPr>
          <w:p>
            <w:pPr>
              <w:jc w:val="right"/>
              <w:ind w:right="39"/>
              <w:spacing w:after="0"/>
              <w:rPr>
                <w:sz w:val="20"/>
                <w:szCs w:val="20"/>
                <w:color w:val="auto"/>
              </w:rPr>
            </w:pPr>
            <w:r>
              <w:rPr>
                <w:rFonts w:ascii="Arial" w:cs="Arial" w:eastAsia="Arial" w:hAnsi="Arial"/>
                <w:sz w:val="16"/>
                <w:szCs w:val="16"/>
                <w:color w:val="auto"/>
              </w:rPr>
              <w:t>14,114</w:t>
            </w:r>
          </w:p>
        </w:tc>
        <w:tc>
          <w:tcPr>
            <w:tcW w:w="300" w:type="dxa"/>
            <w:vAlign w:val="bottom"/>
          </w:tcPr>
          <w:p>
            <w:pPr>
              <w:jc w:val="right"/>
              <w:ind w:right="59"/>
              <w:spacing w:after="0"/>
              <w:rPr>
                <w:sz w:val="20"/>
                <w:szCs w:val="20"/>
                <w:color w:val="auto"/>
              </w:rPr>
            </w:pPr>
            <w:r>
              <w:rPr>
                <w:rFonts w:ascii="Arial" w:cs="Arial" w:eastAsia="Arial" w:hAnsi="Arial"/>
                <w:sz w:val="16"/>
                <w:szCs w:val="16"/>
                <w:color w:val="auto"/>
              </w:rPr>
              <w:t>$</w:t>
            </w:r>
          </w:p>
        </w:tc>
        <w:tc>
          <w:tcPr>
            <w:tcW w:w="1300" w:type="dxa"/>
            <w:vAlign w:val="bottom"/>
          </w:tcPr>
          <w:p>
            <w:pPr>
              <w:jc w:val="right"/>
              <w:spacing w:after="0"/>
              <w:rPr>
                <w:sz w:val="20"/>
                <w:szCs w:val="20"/>
                <w:color w:val="auto"/>
              </w:rPr>
            </w:pPr>
            <w:r>
              <w:rPr>
                <w:rFonts w:ascii="Arial" w:cs="Arial" w:eastAsia="Arial" w:hAnsi="Arial"/>
                <w:sz w:val="16"/>
                <w:szCs w:val="16"/>
                <w:color w:val="auto"/>
              </w:rPr>
              <w:t>16,148</w:t>
            </w:r>
          </w:p>
        </w:tc>
      </w:tr>
      <w:tr>
        <w:trPr>
          <w:trHeight w:val="224"/>
        </w:trPr>
        <w:tc>
          <w:tcPr>
            <w:tcW w:w="806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Tax impact of restructuring</w:t>
            </w:r>
          </w:p>
        </w:tc>
        <w:tc>
          <w:tcPr>
            <w:tcW w:w="240" w:type="dxa"/>
            <w:vAlign w:val="bottom"/>
            <w:tcBorders>
              <w:bottom w:val="single" w:sz="8" w:color="auto"/>
            </w:tcBorders>
            <w:shd w:val="clear" w:color="auto" w:fill="CCEEFF"/>
          </w:tcPr>
          <w:p>
            <w:pPr>
              <w:spacing w:after="0"/>
              <w:rPr>
                <w:sz w:val="19"/>
                <w:szCs w:val="19"/>
                <w:color w:val="auto"/>
              </w:rPr>
            </w:pPr>
          </w:p>
        </w:tc>
        <w:tc>
          <w:tcPr>
            <w:tcW w:w="13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(828)</w:t>
            </w:r>
          </w:p>
        </w:tc>
        <w:tc>
          <w:tcPr>
            <w:tcW w:w="300" w:type="dxa"/>
            <w:vAlign w:val="bottom"/>
            <w:tcBorders>
              <w:bottom w:val="single" w:sz="8" w:color="auto"/>
            </w:tcBorders>
            <w:shd w:val="clear" w:color="auto" w:fill="CCEEFF"/>
          </w:tcPr>
          <w:p>
            <w:pPr>
              <w:spacing w:after="0"/>
              <w:rPr>
                <w:sz w:val="19"/>
                <w:szCs w:val="19"/>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r>
      <w:tr>
        <w:trPr>
          <w:trHeight w:val="215"/>
        </w:trPr>
        <w:tc>
          <w:tcPr>
            <w:tcW w:w="80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Provision for income taxes</w:t>
            </w:r>
          </w:p>
        </w:tc>
        <w:tc>
          <w:tcPr>
            <w:tcW w:w="2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w w:val="89"/>
              </w:rPr>
              <w:t>$</w:t>
            </w:r>
          </w:p>
        </w:tc>
        <w:tc>
          <w:tcPr>
            <w:tcW w:w="134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13,286</w:t>
            </w:r>
          </w:p>
        </w:tc>
        <w:tc>
          <w:tcPr>
            <w:tcW w:w="30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16,148</w:t>
            </w:r>
          </w:p>
        </w:tc>
      </w:tr>
      <w:tr>
        <w:trPr>
          <w:trHeight w:val="21"/>
        </w:trPr>
        <w:tc>
          <w:tcPr>
            <w:tcW w:w="806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r>
    </w:tbl>
    <w:p>
      <w:pPr>
        <w:spacing w:after="0" w:line="310"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6"/>
          <w:szCs w:val="16"/>
          <w:color w:val="auto"/>
        </w:rPr>
        <w:t>As at March 31, 2022 the Company maintains a $220.7 million liability (December 31, 2021: $217.6 million) for unrecognized tax benefit, which is comprised of $201.7 million (December 31, 2021: $202.1 million) related to items generating unrecognized tax benefits and $19.0 million (December 31, 2021: $15.5 million) for interest and penalties related to such items. The Company recognizes interest accrued on unrecognized tax benefits as an additional income tax expense.</w:t>
      </w:r>
    </w:p>
    <w:p>
      <w:pPr>
        <w:spacing w:after="0" w:line="195"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The Company has analyzed the filing positions in all of the significant federal, state and foreign jurisdictions where it is required to file income tax returns, as well as open tax years in these jurisdictions. The only periods subject to audit by the major tax jurisdictions where the Company does business are the 2016 through 2021 tax years. During such audits, local tax authorities may challenge the positions taken by us in our tax returns.</w:t>
      </w:r>
    </w:p>
    <w:p>
      <w:pPr>
        <w:spacing w:after="0" w:line="21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14. Net income per ordinary share</w:t>
      </w:r>
    </w:p>
    <w:p>
      <w:pPr>
        <w:spacing w:after="0" w:line="262" w:lineRule="exact"/>
        <w:rPr>
          <w:sz w:val="20"/>
          <w:szCs w:val="20"/>
          <w:color w:val="auto"/>
        </w:rPr>
      </w:pPr>
    </w:p>
    <w:p>
      <w:pPr>
        <w:jc w:val="both"/>
        <w:ind w:firstLine="648"/>
        <w:spacing w:after="0" w:line="260" w:lineRule="auto"/>
        <w:rPr>
          <w:sz w:val="20"/>
          <w:szCs w:val="20"/>
          <w:color w:val="auto"/>
        </w:rPr>
      </w:pPr>
      <w:r>
        <w:rPr>
          <w:rFonts w:ascii="Arial" w:cs="Arial" w:eastAsia="Arial" w:hAnsi="Arial"/>
          <w:sz w:val="16"/>
          <w:szCs w:val="16"/>
          <w:color w:val="auto"/>
        </w:rPr>
        <w:t>Basic net income per ordinary share attributable to the Group has been computed by dividing net income available to ordinary shareholders by the weighted average number of ordinary shares outstanding during the period. Diluted net income per ordinary share is computed by adjusting the weighted average number of ordinary shares outstanding during the period for all potentially dilutive ordinary shares outstanding during the period and adjusting net income for any changes in income or loss that would result from the conversion of such potential ordinary shares. There is no difference in net income used for basic and diluted net income per ordinary share.</w:t>
      </w:r>
    </w:p>
    <w:p>
      <w:pPr>
        <w:spacing w:after="0" w:line="21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reconciliation of the number of shares used in the computation of basic and diluted net income per ordinary share is as follows:</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8500" w:type="dxa"/>
            <w:vAlign w:val="bottom"/>
            <w:shd w:val="clear" w:color="auto" w:fill="CCEEFF"/>
          </w:tcPr>
          <w:p>
            <w:pPr>
              <w:spacing w:after="0"/>
              <w:rPr>
                <w:sz w:val="18"/>
                <w:szCs w:val="18"/>
                <w:color w:val="auto"/>
              </w:rPr>
            </w:pPr>
          </w:p>
        </w:tc>
        <w:tc>
          <w:tcPr>
            <w:tcW w:w="2740" w:type="dxa"/>
            <w:vAlign w:val="bottom"/>
            <w:tcBorders>
              <w:bottom w:val="single" w:sz="8" w:color="auto"/>
            </w:tcBorders>
            <w:gridSpan w:val="2"/>
            <w:shd w:val="clear" w:color="auto" w:fill="CCEEFF"/>
          </w:tcPr>
          <w:p>
            <w:pPr>
              <w:jc w:val="right"/>
              <w:ind w:right="479"/>
              <w:spacing w:after="0"/>
              <w:rPr>
                <w:sz w:val="20"/>
                <w:szCs w:val="20"/>
                <w:color w:val="auto"/>
              </w:rPr>
            </w:pPr>
            <w:r>
              <w:rPr>
                <w:rFonts w:ascii="Arial" w:cs="Arial" w:eastAsia="Arial" w:hAnsi="Arial"/>
                <w:sz w:val="16"/>
                <w:szCs w:val="16"/>
                <w:b w:val="1"/>
                <w:bCs w:val="1"/>
                <w:color w:val="auto"/>
              </w:rPr>
              <w:t>Three Months Ended</w:t>
            </w:r>
          </w:p>
        </w:tc>
      </w:tr>
      <w:tr>
        <w:trPr>
          <w:trHeight w:val="210"/>
        </w:trPr>
        <w:tc>
          <w:tcPr>
            <w:tcW w:w="8500" w:type="dxa"/>
            <w:vAlign w:val="bottom"/>
            <w:tcBorders>
              <w:bottom w:val="single" w:sz="8" w:color="auto"/>
            </w:tcBorders>
          </w:tcPr>
          <w:p>
            <w:pPr>
              <w:spacing w:after="0"/>
              <w:rPr>
                <w:sz w:val="18"/>
                <w:szCs w:val="18"/>
                <w:color w:val="auto"/>
              </w:rPr>
            </w:pPr>
          </w:p>
        </w:tc>
        <w:tc>
          <w:tcPr>
            <w:tcW w:w="144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b w:val="1"/>
                <w:bCs w:val="1"/>
                <w:color w:val="auto"/>
              </w:rPr>
              <w:t>March 31, 2022</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09"/>
        </w:trPr>
        <w:tc>
          <w:tcPr>
            <w:tcW w:w="8500" w:type="dxa"/>
            <w:vAlign w:val="bottom"/>
            <w:shd w:val="clear" w:color="auto" w:fill="CCEEFF"/>
          </w:tcPr>
          <w:p>
            <w:pPr>
              <w:ind w:left="20"/>
              <w:spacing w:after="0"/>
              <w:rPr>
                <w:sz w:val="20"/>
                <w:szCs w:val="20"/>
                <w:color w:val="auto"/>
              </w:rPr>
            </w:pPr>
            <w:r>
              <w:rPr>
                <w:rFonts w:ascii="Arial" w:cs="Arial" w:eastAsia="Arial" w:hAnsi="Arial"/>
                <w:sz w:val="16"/>
                <w:szCs w:val="16"/>
                <w:color w:val="auto"/>
              </w:rPr>
              <w:t>Weighted average number of ordinary shares outstanding for basic net income per ordinary share</w:t>
            </w:r>
          </w:p>
        </w:tc>
        <w:tc>
          <w:tcPr>
            <w:tcW w:w="1440" w:type="dxa"/>
            <w:vAlign w:val="bottom"/>
            <w:shd w:val="clear" w:color="auto" w:fill="CCEEFF"/>
          </w:tcPr>
          <w:p>
            <w:pPr>
              <w:jc w:val="right"/>
              <w:ind w:right="99"/>
              <w:spacing w:after="0"/>
              <w:rPr>
                <w:sz w:val="20"/>
                <w:szCs w:val="20"/>
                <w:color w:val="auto"/>
              </w:rPr>
            </w:pPr>
            <w:r>
              <w:rPr>
                <w:rFonts w:ascii="Arial" w:cs="Arial" w:eastAsia="Arial" w:hAnsi="Arial"/>
                <w:sz w:val="16"/>
                <w:szCs w:val="16"/>
                <w:color w:val="auto"/>
              </w:rPr>
              <w:t>81,463,303</w:t>
            </w:r>
          </w:p>
        </w:tc>
        <w:tc>
          <w:tcPr>
            <w:tcW w:w="13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52,811,460</w:t>
            </w:r>
          </w:p>
        </w:tc>
      </w:tr>
      <w:tr>
        <w:trPr>
          <w:trHeight w:val="223"/>
        </w:trPr>
        <w:tc>
          <w:tcPr>
            <w:tcW w:w="850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Effect of dilutive share options and other awards outstanding under share based compensation programs</w:t>
            </w:r>
          </w:p>
        </w:tc>
        <w:tc>
          <w:tcPr>
            <w:tcW w:w="1440" w:type="dxa"/>
            <w:vAlign w:val="bottom"/>
            <w:tcBorders>
              <w:bottom w:val="single" w:sz="8" w:color="auto"/>
            </w:tcBorders>
          </w:tcPr>
          <w:p>
            <w:pPr>
              <w:jc w:val="right"/>
              <w:ind w:right="99"/>
              <w:spacing w:after="0"/>
              <w:rPr>
                <w:sz w:val="20"/>
                <w:szCs w:val="20"/>
                <w:color w:val="auto"/>
              </w:rPr>
            </w:pPr>
            <w:r>
              <w:rPr>
                <w:rFonts w:ascii="Arial" w:cs="Arial" w:eastAsia="Arial" w:hAnsi="Arial"/>
                <w:sz w:val="16"/>
                <w:szCs w:val="16"/>
                <w:color w:val="auto"/>
              </w:rPr>
              <w:t>1,149,795</w:t>
            </w: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498,993</w:t>
            </w:r>
          </w:p>
        </w:tc>
      </w:tr>
      <w:tr>
        <w:trPr>
          <w:trHeight w:val="240"/>
        </w:trPr>
        <w:tc>
          <w:tcPr>
            <w:tcW w:w="85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Weighted average number of ordinary shares outstanding for diluted net income per ordinary share</w:t>
            </w:r>
          </w:p>
        </w:tc>
        <w:tc>
          <w:tcPr>
            <w:tcW w:w="144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82,613,098</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53,310,453</w:t>
            </w:r>
          </w:p>
        </w:tc>
      </w:tr>
      <w:tr>
        <w:trPr>
          <w:trHeight w:val="20"/>
        </w:trPr>
        <w:tc>
          <w:tcPr>
            <w:tcW w:w="8500" w:type="dxa"/>
            <w:vAlign w:val="bottom"/>
            <w:tcBorders>
              <w:top w:val="single" w:sz="8" w:color="CCEEFF"/>
              <w:bottom w:val="single" w:sz="8" w:color="auto"/>
            </w:tcBorders>
          </w:tcPr>
          <w:p>
            <w:pPr>
              <w:spacing w:after="0" w:line="20" w:lineRule="exact"/>
              <w:rPr>
                <w:sz w:val="1"/>
                <w:szCs w:val="1"/>
                <w:color w:val="auto"/>
              </w:rPr>
            </w:pPr>
          </w:p>
        </w:tc>
        <w:tc>
          <w:tcPr>
            <w:tcW w:w="1440" w:type="dxa"/>
            <w:vAlign w:val="bottom"/>
            <w:tcBorders>
              <w:top w:val="single" w:sz="8" w:color="CCEEFF"/>
              <w:bottom w:val="single" w:sz="8" w:color="auto"/>
            </w:tcBorders>
          </w:tcPr>
          <w:p>
            <w:pPr>
              <w:spacing w:after="0" w:line="20" w:lineRule="exact"/>
              <w:rPr>
                <w:sz w:val="1"/>
                <w:szCs w:val="1"/>
                <w:color w:val="auto"/>
              </w:rPr>
            </w:pPr>
          </w:p>
        </w:tc>
        <w:tc>
          <w:tcPr>
            <w:tcW w:w="1300" w:type="dxa"/>
            <w:vAlign w:val="bottom"/>
            <w:tcBorders>
              <w:top w:val="single" w:sz="8" w:color="CCEEFF"/>
              <w:bottom w:val="single" w:sz="8" w:color="auto"/>
            </w:tcBorders>
          </w:tcPr>
          <w:p>
            <w:pPr>
              <w:spacing w:after="0" w:line="20" w:lineRule="exact"/>
              <w:rPr>
                <w:sz w:val="1"/>
                <w:szCs w:val="1"/>
                <w:color w:val="auto"/>
              </w:rPr>
            </w:pPr>
          </w:p>
        </w:tc>
      </w:tr>
    </w:tbl>
    <w:p>
      <w:pPr>
        <w:spacing w:after="0" w:line="35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980" w:type="dxa"/>
            <w:vAlign w:val="bottom"/>
            <w:shd w:val="clear" w:color="auto" w:fill="CCEEFF"/>
          </w:tcPr>
          <w:p>
            <w:pPr>
              <w:spacing w:after="0"/>
              <w:rPr>
                <w:sz w:val="18"/>
                <w:szCs w:val="18"/>
                <w:color w:val="auto"/>
              </w:rPr>
            </w:pPr>
          </w:p>
        </w:tc>
        <w:tc>
          <w:tcPr>
            <w:tcW w:w="350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2640" w:type="dxa"/>
            <w:vAlign w:val="bottom"/>
            <w:tcBorders>
              <w:bottom w:val="single" w:sz="8" w:color="auto"/>
            </w:tcBorders>
            <w:gridSpan w:val="3"/>
            <w:shd w:val="clear" w:color="auto" w:fill="CCEEFF"/>
          </w:tcPr>
          <w:p>
            <w:pPr>
              <w:jc w:val="right"/>
              <w:ind w:right="499"/>
              <w:spacing w:after="0"/>
              <w:rPr>
                <w:sz w:val="20"/>
                <w:szCs w:val="20"/>
                <w:color w:val="auto"/>
              </w:rPr>
            </w:pPr>
            <w:r>
              <w:rPr>
                <w:rFonts w:ascii="Arial" w:cs="Arial" w:eastAsia="Arial" w:hAnsi="Arial"/>
                <w:sz w:val="16"/>
                <w:szCs w:val="16"/>
                <w:b w:val="1"/>
                <w:bCs w:val="1"/>
                <w:color w:val="auto"/>
              </w:rPr>
              <w:t>Three Months Ended</w:t>
            </w:r>
          </w:p>
        </w:tc>
      </w:tr>
      <w:tr>
        <w:trPr>
          <w:trHeight w:val="210"/>
        </w:trPr>
        <w:tc>
          <w:tcPr>
            <w:tcW w:w="4980" w:type="dxa"/>
            <w:vAlign w:val="bottom"/>
            <w:tcBorders>
              <w:bottom w:val="single" w:sz="8" w:color="auto"/>
            </w:tcBorders>
          </w:tcPr>
          <w:p>
            <w:pPr>
              <w:spacing w:after="0"/>
              <w:rPr>
                <w:sz w:val="18"/>
                <w:szCs w:val="18"/>
                <w:color w:val="auto"/>
              </w:rPr>
            </w:pPr>
          </w:p>
        </w:tc>
        <w:tc>
          <w:tcPr>
            <w:tcW w:w="350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2022</w:t>
            </w:r>
          </w:p>
        </w:tc>
        <w:tc>
          <w:tcPr>
            <w:tcW w:w="18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10"/>
        </w:trPr>
        <w:tc>
          <w:tcPr>
            <w:tcW w:w="4980" w:type="dxa"/>
            <w:vAlign w:val="bottom"/>
            <w:shd w:val="clear" w:color="auto" w:fill="CCEEFF"/>
          </w:tcPr>
          <w:p>
            <w:pPr>
              <w:ind w:left="20"/>
              <w:spacing w:after="0"/>
              <w:rPr>
                <w:sz w:val="20"/>
                <w:szCs w:val="20"/>
                <w:color w:val="auto"/>
              </w:rPr>
            </w:pPr>
            <w:r>
              <w:rPr>
                <w:rFonts w:ascii="Arial" w:cs="Arial" w:eastAsia="Arial" w:hAnsi="Arial"/>
                <w:sz w:val="16"/>
                <w:szCs w:val="16"/>
                <w:b w:val="1"/>
                <w:bCs w:val="1"/>
                <w:color w:val="auto"/>
              </w:rPr>
              <w:t>Net income per Ordinary Share attributable to the Group:</w:t>
            </w:r>
          </w:p>
        </w:tc>
        <w:tc>
          <w:tcPr>
            <w:tcW w:w="35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r>
      <w:tr>
        <w:trPr>
          <w:trHeight w:val="215"/>
        </w:trPr>
        <w:tc>
          <w:tcPr>
            <w:tcW w:w="4980" w:type="dxa"/>
            <w:vAlign w:val="bottom"/>
          </w:tcPr>
          <w:p>
            <w:pPr>
              <w:ind w:left="20"/>
              <w:spacing w:after="0"/>
              <w:rPr>
                <w:sz w:val="20"/>
                <w:szCs w:val="20"/>
                <w:color w:val="auto"/>
              </w:rPr>
            </w:pPr>
            <w:r>
              <w:rPr>
                <w:rFonts w:ascii="Arial" w:cs="Arial" w:eastAsia="Arial" w:hAnsi="Arial"/>
                <w:sz w:val="16"/>
                <w:szCs w:val="16"/>
                <w:color w:val="auto"/>
              </w:rPr>
              <w:t>Basic</w:t>
            </w:r>
          </w:p>
        </w:tc>
        <w:tc>
          <w:tcPr>
            <w:tcW w:w="3620" w:type="dxa"/>
            <w:vAlign w:val="bottom"/>
            <w:gridSpan w:val="2"/>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tcPr>
          <w:p>
            <w:pPr>
              <w:jc w:val="right"/>
              <w:ind w:right="39"/>
              <w:spacing w:after="0"/>
              <w:rPr>
                <w:sz w:val="20"/>
                <w:szCs w:val="20"/>
                <w:color w:val="auto"/>
              </w:rPr>
            </w:pPr>
            <w:r>
              <w:rPr>
                <w:rFonts w:ascii="Arial" w:cs="Arial" w:eastAsia="Arial" w:hAnsi="Arial"/>
                <w:sz w:val="16"/>
                <w:szCs w:val="16"/>
                <w:color w:val="auto"/>
              </w:rPr>
              <w:t>1.37</w:t>
            </w:r>
          </w:p>
        </w:tc>
        <w:tc>
          <w:tcPr>
            <w:tcW w:w="180" w:type="dxa"/>
            <w:vAlign w:val="bottom"/>
          </w:tcPr>
          <w:p>
            <w:pPr>
              <w:jc w:val="right"/>
              <w:spacing w:after="0"/>
              <w:rPr>
                <w:sz w:val="20"/>
                <w:szCs w:val="20"/>
                <w:color w:val="auto"/>
              </w:rPr>
            </w:pPr>
            <w:r>
              <w:rPr>
                <w:rFonts w:ascii="Arial" w:cs="Arial" w:eastAsia="Arial" w:hAnsi="Arial"/>
                <w:sz w:val="16"/>
                <w:szCs w:val="16"/>
                <w:color w:val="auto"/>
              </w:rPr>
              <w:t>$</w:t>
            </w:r>
          </w:p>
        </w:tc>
        <w:tc>
          <w:tcPr>
            <w:tcW w:w="1200" w:type="dxa"/>
            <w:vAlign w:val="bottom"/>
          </w:tcPr>
          <w:p>
            <w:pPr>
              <w:jc w:val="right"/>
              <w:spacing w:after="0"/>
              <w:rPr>
                <w:sz w:val="20"/>
                <w:szCs w:val="20"/>
                <w:color w:val="auto"/>
              </w:rPr>
            </w:pPr>
            <w:r>
              <w:rPr>
                <w:rFonts w:ascii="Arial" w:cs="Arial" w:eastAsia="Arial" w:hAnsi="Arial"/>
                <w:sz w:val="16"/>
                <w:szCs w:val="16"/>
                <w:color w:val="auto"/>
              </w:rPr>
              <w:t>1.84</w:t>
            </w:r>
          </w:p>
        </w:tc>
      </w:tr>
      <w:tr>
        <w:trPr>
          <w:trHeight w:val="241"/>
        </w:trPr>
        <w:tc>
          <w:tcPr>
            <w:tcW w:w="498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Diluted</w:t>
            </w:r>
          </w:p>
        </w:tc>
        <w:tc>
          <w:tcPr>
            <w:tcW w:w="3620" w:type="dxa"/>
            <w:vAlign w:val="bottom"/>
            <w:tcBorders>
              <w:bottom w:val="single" w:sz="8" w:color="auto"/>
            </w:tcBorders>
            <w:gridSpan w:val="2"/>
            <w:shd w:val="clear" w:color="auto" w:fill="CCEEFF"/>
          </w:tcPr>
          <w:p>
            <w:pPr>
              <w:jc w:val="right"/>
              <w:ind w:right="20"/>
              <w:spacing w:after="0"/>
              <w:rPr>
                <w:sz w:val="20"/>
                <w:szCs w:val="20"/>
                <w:color w:val="auto"/>
              </w:rPr>
            </w:pPr>
            <w:r>
              <w:rPr>
                <w:rFonts w:ascii="Arial" w:cs="Arial" w:eastAsia="Arial" w:hAnsi="Arial"/>
                <w:sz w:val="16"/>
                <w:szCs w:val="16"/>
                <w:color w:val="auto"/>
              </w:rPr>
              <w:t>$</w:t>
            </w:r>
          </w:p>
        </w:tc>
        <w:tc>
          <w:tcPr>
            <w:tcW w:w="126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1.36</w:t>
            </w:r>
          </w:p>
        </w:tc>
        <w:tc>
          <w:tcPr>
            <w:tcW w:w="1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2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1.82</w:t>
            </w:r>
          </w:p>
        </w:tc>
      </w:tr>
      <w:tr>
        <w:trPr>
          <w:trHeight w:val="20"/>
        </w:trPr>
        <w:tc>
          <w:tcPr>
            <w:tcW w:w="4980" w:type="dxa"/>
            <w:vAlign w:val="bottom"/>
            <w:tcBorders>
              <w:top w:val="single" w:sz="8" w:color="CCEEFF"/>
              <w:bottom w:val="single" w:sz="8" w:color="auto"/>
            </w:tcBorders>
          </w:tcPr>
          <w:p>
            <w:pPr>
              <w:spacing w:after="0" w:line="20" w:lineRule="exact"/>
              <w:rPr>
                <w:sz w:val="1"/>
                <w:szCs w:val="1"/>
                <w:color w:val="auto"/>
              </w:rPr>
            </w:pPr>
          </w:p>
        </w:tc>
        <w:tc>
          <w:tcPr>
            <w:tcW w:w="3500" w:type="dxa"/>
            <w:vAlign w:val="bottom"/>
            <w:tcBorders>
              <w:top w:val="single" w:sz="8" w:color="CCEEFF"/>
              <w:bottom w:val="single" w:sz="8" w:color="auto"/>
            </w:tcBorders>
          </w:tcPr>
          <w:p>
            <w:pPr>
              <w:spacing w:after="0" w:line="20" w:lineRule="exact"/>
              <w:rPr>
                <w:sz w:val="1"/>
                <w:szCs w:val="1"/>
                <w:color w:val="auto"/>
              </w:rPr>
            </w:pPr>
          </w:p>
        </w:tc>
        <w:tc>
          <w:tcPr>
            <w:tcW w:w="120" w:type="dxa"/>
            <w:vAlign w:val="bottom"/>
            <w:tcBorders>
              <w:top w:val="single" w:sz="8" w:color="CCEEFF"/>
              <w:bottom w:val="single" w:sz="8" w:color="auto"/>
            </w:tcBorders>
          </w:tcPr>
          <w:p>
            <w:pPr>
              <w:spacing w:after="0" w:line="20" w:lineRule="exact"/>
              <w:rPr>
                <w:sz w:val="1"/>
                <w:szCs w:val="1"/>
                <w:color w:val="auto"/>
              </w:rPr>
            </w:pPr>
          </w:p>
        </w:tc>
        <w:tc>
          <w:tcPr>
            <w:tcW w:w="1260" w:type="dxa"/>
            <w:vAlign w:val="bottom"/>
            <w:tcBorders>
              <w:top w:val="single" w:sz="8" w:color="CCEEFF"/>
              <w:bottom w:val="single" w:sz="8" w:color="auto"/>
            </w:tcBorders>
          </w:tcPr>
          <w:p>
            <w:pPr>
              <w:spacing w:after="0" w:line="20" w:lineRule="exact"/>
              <w:rPr>
                <w:sz w:val="1"/>
                <w:szCs w:val="1"/>
                <w:color w:val="auto"/>
              </w:rPr>
            </w:pPr>
          </w:p>
        </w:tc>
        <w:tc>
          <w:tcPr>
            <w:tcW w:w="180" w:type="dxa"/>
            <w:vAlign w:val="bottom"/>
            <w:tcBorders>
              <w:top w:val="single" w:sz="8" w:color="CCEEFF"/>
              <w:bottom w:val="single" w:sz="8" w:color="auto"/>
            </w:tcBorders>
          </w:tcPr>
          <w:p>
            <w:pPr>
              <w:spacing w:after="0" w:line="20" w:lineRule="exact"/>
              <w:rPr>
                <w:sz w:val="1"/>
                <w:szCs w:val="1"/>
                <w:color w:val="auto"/>
              </w:rPr>
            </w:pPr>
          </w:p>
        </w:tc>
        <w:tc>
          <w:tcPr>
            <w:tcW w:w="1200" w:type="dxa"/>
            <w:vAlign w:val="bottom"/>
            <w:tcBorders>
              <w:top w:val="single" w:sz="8" w:color="CCEEFF"/>
              <w:bottom w:val="single" w:sz="8" w:color="auto"/>
            </w:tcBorders>
          </w:tcPr>
          <w:p>
            <w:pPr>
              <w:spacing w:after="0" w:line="20" w:lineRule="exact"/>
              <w:rPr>
                <w:sz w:val="1"/>
                <w:szCs w:val="1"/>
                <w:color w:val="auto"/>
              </w:rPr>
            </w:pPr>
          </w:p>
        </w:tc>
      </w:tr>
      <w:tr>
        <w:trPr>
          <w:trHeight w:val="810"/>
        </w:trPr>
        <w:tc>
          <w:tcPr>
            <w:tcW w:w="4980" w:type="dxa"/>
            <w:vAlign w:val="bottom"/>
          </w:tcPr>
          <w:p>
            <w:pPr>
              <w:spacing w:after="0"/>
              <w:rPr>
                <w:sz w:val="24"/>
                <w:szCs w:val="24"/>
                <w:color w:val="auto"/>
              </w:rPr>
            </w:pPr>
          </w:p>
        </w:tc>
        <w:tc>
          <w:tcPr>
            <w:tcW w:w="3500" w:type="dxa"/>
            <w:vAlign w:val="bottom"/>
          </w:tcPr>
          <w:p>
            <w:pPr>
              <w:jc w:val="right"/>
              <w:ind w:right="2679"/>
              <w:spacing w:after="0"/>
              <w:rPr>
                <w:sz w:val="20"/>
                <w:szCs w:val="20"/>
                <w:color w:val="auto"/>
              </w:rPr>
            </w:pPr>
            <w:r>
              <w:rPr>
                <w:rFonts w:ascii="Arial" w:cs="Arial" w:eastAsia="Arial" w:hAnsi="Arial"/>
                <w:sz w:val="16"/>
                <w:szCs w:val="16"/>
                <w:color w:val="auto"/>
              </w:rPr>
              <w:t>21</w:t>
            </w:r>
          </w:p>
        </w:tc>
        <w:tc>
          <w:tcPr>
            <w:tcW w:w="1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00" w:type="dxa"/>
            <w:vAlign w:val="bottom"/>
          </w:tcPr>
          <w:p>
            <w:pPr>
              <w:spacing w:after="0"/>
              <w:rPr>
                <w:sz w:val="24"/>
                <w:szCs w:val="24"/>
                <w:color w:val="auto"/>
              </w:rPr>
            </w:pPr>
          </w:p>
        </w:tc>
      </w:tr>
      <w:tr>
        <w:trPr>
          <w:trHeight w:val="117"/>
        </w:trPr>
        <w:tc>
          <w:tcPr>
            <w:tcW w:w="4980" w:type="dxa"/>
            <w:vAlign w:val="bottom"/>
            <w:tcBorders>
              <w:bottom w:val="single" w:sz="8" w:color="9A9A9A"/>
            </w:tcBorders>
          </w:tcPr>
          <w:p>
            <w:pPr>
              <w:spacing w:after="0"/>
              <w:rPr>
                <w:sz w:val="10"/>
                <w:szCs w:val="10"/>
                <w:color w:val="auto"/>
              </w:rPr>
            </w:pPr>
          </w:p>
        </w:tc>
        <w:tc>
          <w:tcPr>
            <w:tcW w:w="3500" w:type="dxa"/>
            <w:vAlign w:val="bottom"/>
            <w:tcBorders>
              <w:bottom w:val="single" w:sz="8" w:color="9A9A9A"/>
            </w:tcBorders>
          </w:tcPr>
          <w:p>
            <w:pPr>
              <w:spacing w:after="0"/>
              <w:rPr>
                <w:sz w:val="10"/>
                <w:szCs w:val="10"/>
                <w:color w:val="auto"/>
              </w:rPr>
            </w:pPr>
          </w:p>
        </w:tc>
        <w:tc>
          <w:tcPr>
            <w:tcW w:w="120" w:type="dxa"/>
            <w:vAlign w:val="bottom"/>
            <w:tcBorders>
              <w:bottom w:val="single" w:sz="8" w:color="9A9A9A"/>
            </w:tcBorders>
          </w:tcPr>
          <w:p>
            <w:pPr>
              <w:spacing w:after="0"/>
              <w:rPr>
                <w:sz w:val="10"/>
                <w:szCs w:val="10"/>
                <w:color w:val="auto"/>
              </w:rPr>
            </w:pPr>
          </w:p>
        </w:tc>
        <w:tc>
          <w:tcPr>
            <w:tcW w:w="1260" w:type="dxa"/>
            <w:vAlign w:val="bottom"/>
            <w:tcBorders>
              <w:bottom w:val="single" w:sz="8" w:color="9A9A9A"/>
            </w:tcBorders>
          </w:tcPr>
          <w:p>
            <w:pPr>
              <w:spacing w:after="0"/>
              <w:rPr>
                <w:sz w:val="10"/>
                <w:szCs w:val="10"/>
                <w:color w:val="auto"/>
              </w:rPr>
            </w:pPr>
          </w:p>
        </w:tc>
        <w:tc>
          <w:tcPr>
            <w:tcW w:w="180" w:type="dxa"/>
            <w:vAlign w:val="bottom"/>
            <w:tcBorders>
              <w:bottom w:val="single" w:sz="8" w:color="9A9A9A"/>
            </w:tcBorders>
          </w:tcPr>
          <w:p>
            <w:pPr>
              <w:spacing w:after="0"/>
              <w:rPr>
                <w:sz w:val="10"/>
                <w:szCs w:val="10"/>
                <w:color w:val="auto"/>
              </w:rPr>
            </w:pPr>
          </w:p>
        </w:tc>
        <w:tc>
          <w:tcPr>
            <w:tcW w:w="1200" w:type="dxa"/>
            <w:vAlign w:val="bottom"/>
            <w:tcBorders>
              <w:bottom w:val="single" w:sz="8" w:color="9A9A9A"/>
            </w:tcBorders>
          </w:tcPr>
          <w:p>
            <w:pPr>
              <w:spacing w:after="0"/>
              <w:rPr>
                <w:sz w:val="10"/>
                <w:szCs w:val="10"/>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7115810</wp:posOffset>
            </wp:positionH>
            <wp:positionV relativeFrom="paragraph">
              <wp:posOffset>-29210</wp:posOffset>
            </wp:positionV>
            <wp:extent cx="33655" cy="42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33655" cy="42545"/>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-29210</wp:posOffset>
            </wp:positionV>
            <wp:extent cx="34290" cy="425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34290" cy="42545"/>
                    </a:xfrm>
                    <a:prstGeom prst="rect">
                      <a:avLst/>
                    </a:prstGeom>
                    <a:noFill/>
                  </pic:spPr>
                </pic:pic>
              </a:graphicData>
            </a:graphic>
          </wp:anchor>
        </w:drawing>
      </w:r>
    </w:p>
    <w:p>
      <w:pPr>
        <w:sectPr>
          <w:pgSz w:w="11900" w:h="16838" w:orient="portrait"/>
          <w:cols w:equalWidth="0" w:num="1">
            <w:col w:w="11240"/>
          </w:cols>
          <w:pgMar w:left="320" w:top="1165" w:right="339" w:bottom="1440" w:gutter="0" w:footer="0" w:header="0"/>
        </w:sectPr>
      </w:pPr>
    </w:p>
    <w:bookmarkStart w:id="22" w:name="page23"/>
    <w:bookmarkEnd w:id="22"/>
    <w:p>
      <w:pPr>
        <w:spacing w:after="0"/>
        <w:rPr>
          <w:sz w:val="20"/>
          <w:szCs w:val="20"/>
          <w:color w:val="auto"/>
        </w:rPr>
      </w:pPr>
      <w:r>
        <w:rPr>
          <w:rFonts w:ascii="Arial" w:cs="Arial" w:eastAsia="Arial" w:hAnsi="Arial"/>
          <w:sz w:val="16"/>
          <w:szCs w:val="16"/>
          <w:b w:val="1"/>
          <w:bCs w:val="1"/>
          <w:color w:val="auto"/>
        </w:rPr>
        <w:t>15. Share-based awards</w:t>
      </w:r>
    </w:p>
    <w:p>
      <w:pPr>
        <w:spacing w:after="0" w:line="250"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Share Options</w:t>
      </w:r>
    </w:p>
    <w:p>
      <w:pPr>
        <w:spacing w:after="0" w:line="260"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following table summarizes option activity for the three months ended March 31, 2022:</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220" w:type="dxa"/>
            <w:vAlign w:val="bottom"/>
            <w:shd w:val="clear" w:color="auto" w:fill="CCEEFF"/>
          </w:tcPr>
          <w:p>
            <w:pPr>
              <w:spacing w:after="0"/>
              <w:rPr>
                <w:sz w:val="16"/>
                <w:szCs w:val="16"/>
                <w:color w:val="auto"/>
              </w:rPr>
            </w:pPr>
          </w:p>
        </w:tc>
        <w:tc>
          <w:tcPr>
            <w:tcW w:w="320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720" w:type="dxa"/>
            <w:vAlign w:val="bottom"/>
            <w:vMerge w:val="restart"/>
            <w:shd w:val="clear" w:color="auto" w:fill="CCEEFF"/>
          </w:tcPr>
          <w:p>
            <w:pPr>
              <w:jc w:val="right"/>
              <w:ind w:right="419"/>
              <w:spacing w:after="0"/>
              <w:rPr>
                <w:sz w:val="20"/>
                <w:szCs w:val="20"/>
                <w:color w:val="auto"/>
              </w:rPr>
            </w:pPr>
            <w:r>
              <w:rPr>
                <w:rFonts w:ascii="Arial" w:cs="Arial" w:eastAsia="Arial" w:hAnsi="Arial"/>
                <w:sz w:val="16"/>
                <w:szCs w:val="16"/>
                <w:b w:val="1"/>
                <w:bCs w:val="1"/>
                <w:color w:val="auto"/>
              </w:rPr>
              <w:t>Weighted</w:t>
            </w:r>
          </w:p>
        </w:tc>
        <w:tc>
          <w:tcPr>
            <w:tcW w:w="144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Weighted</w:t>
            </w:r>
          </w:p>
        </w:tc>
        <w:tc>
          <w:tcPr>
            <w:tcW w:w="0" w:type="dxa"/>
            <w:vAlign w:val="bottom"/>
          </w:tcPr>
          <w:p>
            <w:pPr>
              <w:spacing w:after="0"/>
              <w:rPr>
                <w:sz w:val="1"/>
                <w:szCs w:val="1"/>
                <w:color w:val="auto"/>
              </w:rPr>
            </w:pPr>
          </w:p>
        </w:tc>
      </w:tr>
      <w:tr>
        <w:trPr>
          <w:trHeight w:val="162"/>
        </w:trPr>
        <w:tc>
          <w:tcPr>
            <w:tcW w:w="4220" w:type="dxa"/>
            <w:vAlign w:val="bottom"/>
            <w:shd w:val="clear" w:color="auto" w:fill="CCEEFF"/>
          </w:tcPr>
          <w:p>
            <w:pPr>
              <w:spacing w:after="0"/>
              <w:rPr>
                <w:sz w:val="14"/>
                <w:szCs w:val="14"/>
                <w:color w:val="auto"/>
              </w:rPr>
            </w:pPr>
          </w:p>
        </w:tc>
        <w:tc>
          <w:tcPr>
            <w:tcW w:w="3200" w:type="dxa"/>
            <w:vAlign w:val="bottom"/>
            <w:vMerge w:val="restart"/>
            <w:shd w:val="clear" w:color="auto" w:fill="CCEEFF"/>
          </w:tcPr>
          <w:p>
            <w:pPr>
              <w:ind w:left="2520"/>
              <w:spacing w:after="0"/>
              <w:rPr>
                <w:sz w:val="20"/>
                <w:szCs w:val="20"/>
                <w:color w:val="auto"/>
              </w:rPr>
            </w:pPr>
            <w:r>
              <w:rPr>
                <w:rFonts w:ascii="Arial" w:cs="Arial" w:eastAsia="Arial" w:hAnsi="Arial"/>
                <w:sz w:val="16"/>
                <w:szCs w:val="16"/>
                <w:b w:val="1"/>
                <w:bCs w:val="1"/>
                <w:color w:val="auto"/>
              </w:rPr>
              <w:t>Options</w:t>
            </w:r>
          </w:p>
        </w:tc>
        <w:tc>
          <w:tcPr>
            <w:tcW w:w="660" w:type="dxa"/>
            <w:vAlign w:val="bottom"/>
            <w:shd w:val="clear" w:color="auto" w:fill="CCEEFF"/>
          </w:tcPr>
          <w:p>
            <w:pPr>
              <w:spacing w:after="0"/>
              <w:rPr>
                <w:sz w:val="14"/>
                <w:szCs w:val="14"/>
                <w:color w:val="auto"/>
              </w:rPr>
            </w:pPr>
          </w:p>
        </w:tc>
        <w:tc>
          <w:tcPr>
            <w:tcW w:w="1720" w:type="dxa"/>
            <w:vAlign w:val="bottom"/>
            <w:vMerge w:val="continue"/>
            <w:shd w:val="clear" w:color="auto" w:fill="CCEEFF"/>
          </w:tcPr>
          <w:p>
            <w:pPr>
              <w:spacing w:after="0"/>
              <w:rPr>
                <w:sz w:val="14"/>
                <w:szCs w:val="14"/>
                <w:color w:val="auto"/>
              </w:rPr>
            </w:pPr>
          </w:p>
        </w:tc>
        <w:tc>
          <w:tcPr>
            <w:tcW w:w="144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Average</w:t>
            </w:r>
          </w:p>
        </w:tc>
        <w:tc>
          <w:tcPr>
            <w:tcW w:w="0" w:type="dxa"/>
            <w:vAlign w:val="bottom"/>
          </w:tcPr>
          <w:p>
            <w:pPr>
              <w:spacing w:after="0"/>
              <w:rPr>
                <w:sz w:val="1"/>
                <w:szCs w:val="1"/>
                <w:color w:val="auto"/>
              </w:rPr>
            </w:pPr>
          </w:p>
        </w:tc>
      </w:tr>
      <w:tr>
        <w:trPr>
          <w:trHeight w:val="162"/>
        </w:trPr>
        <w:tc>
          <w:tcPr>
            <w:tcW w:w="4220" w:type="dxa"/>
            <w:vAlign w:val="bottom"/>
            <w:shd w:val="clear" w:color="auto" w:fill="CCEEFF"/>
          </w:tcPr>
          <w:p>
            <w:pPr>
              <w:spacing w:after="0"/>
              <w:rPr>
                <w:sz w:val="14"/>
                <w:szCs w:val="14"/>
                <w:color w:val="auto"/>
              </w:rPr>
            </w:pPr>
          </w:p>
        </w:tc>
        <w:tc>
          <w:tcPr>
            <w:tcW w:w="3200" w:type="dxa"/>
            <w:vAlign w:val="bottom"/>
            <w:vMerge w:val="continue"/>
            <w:shd w:val="clear" w:color="auto" w:fill="CCEEFF"/>
          </w:tcPr>
          <w:p>
            <w:pPr>
              <w:spacing w:after="0"/>
              <w:rPr>
                <w:sz w:val="14"/>
                <w:szCs w:val="14"/>
                <w:color w:val="auto"/>
              </w:rPr>
            </w:pPr>
          </w:p>
        </w:tc>
        <w:tc>
          <w:tcPr>
            <w:tcW w:w="660" w:type="dxa"/>
            <w:vAlign w:val="bottom"/>
            <w:shd w:val="clear" w:color="auto" w:fill="CCEEFF"/>
          </w:tcPr>
          <w:p>
            <w:pPr>
              <w:spacing w:after="0"/>
              <w:rPr>
                <w:sz w:val="14"/>
                <w:szCs w:val="14"/>
                <w:color w:val="auto"/>
              </w:rPr>
            </w:pPr>
          </w:p>
        </w:tc>
        <w:tc>
          <w:tcPr>
            <w:tcW w:w="1720" w:type="dxa"/>
            <w:vAlign w:val="bottom"/>
            <w:shd w:val="clear" w:color="auto" w:fill="CCEEFF"/>
          </w:tcPr>
          <w:p>
            <w:pPr>
              <w:jc w:val="right"/>
              <w:ind w:right="419"/>
              <w:spacing w:after="0" w:line="162" w:lineRule="exact"/>
              <w:rPr>
                <w:sz w:val="20"/>
                <w:szCs w:val="20"/>
                <w:color w:val="auto"/>
              </w:rPr>
            </w:pPr>
            <w:r>
              <w:rPr>
                <w:rFonts w:ascii="Arial" w:cs="Arial" w:eastAsia="Arial" w:hAnsi="Arial"/>
                <w:sz w:val="16"/>
                <w:szCs w:val="16"/>
                <w:b w:val="1"/>
                <w:bCs w:val="1"/>
                <w:color w:val="auto"/>
              </w:rPr>
              <w:t>Average</w:t>
            </w:r>
          </w:p>
        </w:tc>
        <w:tc>
          <w:tcPr>
            <w:tcW w:w="144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Remaining</w:t>
            </w:r>
          </w:p>
        </w:tc>
        <w:tc>
          <w:tcPr>
            <w:tcW w:w="0" w:type="dxa"/>
            <w:vAlign w:val="bottom"/>
          </w:tcPr>
          <w:p>
            <w:pPr>
              <w:spacing w:after="0"/>
              <w:rPr>
                <w:sz w:val="1"/>
                <w:szCs w:val="1"/>
                <w:color w:val="auto"/>
              </w:rPr>
            </w:pPr>
          </w:p>
        </w:tc>
      </w:tr>
      <w:tr>
        <w:trPr>
          <w:trHeight w:val="162"/>
        </w:trPr>
        <w:tc>
          <w:tcPr>
            <w:tcW w:w="4220" w:type="dxa"/>
            <w:vAlign w:val="bottom"/>
            <w:shd w:val="clear" w:color="auto" w:fill="CCEEFF"/>
          </w:tcPr>
          <w:p>
            <w:pPr>
              <w:spacing w:after="0"/>
              <w:rPr>
                <w:sz w:val="14"/>
                <w:szCs w:val="14"/>
                <w:color w:val="auto"/>
              </w:rPr>
            </w:pPr>
          </w:p>
        </w:tc>
        <w:tc>
          <w:tcPr>
            <w:tcW w:w="320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Outstanding</w:t>
            </w:r>
          </w:p>
        </w:tc>
        <w:tc>
          <w:tcPr>
            <w:tcW w:w="660" w:type="dxa"/>
            <w:vAlign w:val="bottom"/>
            <w:shd w:val="clear" w:color="auto" w:fill="CCEEFF"/>
          </w:tcPr>
          <w:p>
            <w:pPr>
              <w:spacing w:after="0"/>
              <w:rPr>
                <w:sz w:val="14"/>
                <w:szCs w:val="14"/>
                <w:color w:val="auto"/>
              </w:rPr>
            </w:pPr>
          </w:p>
        </w:tc>
        <w:tc>
          <w:tcPr>
            <w:tcW w:w="1720" w:type="dxa"/>
            <w:vAlign w:val="bottom"/>
            <w:shd w:val="clear" w:color="auto" w:fill="CCEEFF"/>
          </w:tcPr>
          <w:p>
            <w:pPr>
              <w:jc w:val="right"/>
              <w:ind w:right="419"/>
              <w:spacing w:after="0" w:line="162" w:lineRule="exact"/>
              <w:rPr>
                <w:sz w:val="20"/>
                <w:szCs w:val="20"/>
                <w:color w:val="auto"/>
              </w:rPr>
            </w:pPr>
            <w:r>
              <w:rPr>
                <w:rFonts w:ascii="Arial" w:cs="Arial" w:eastAsia="Arial" w:hAnsi="Arial"/>
                <w:sz w:val="16"/>
                <w:szCs w:val="16"/>
                <w:b w:val="1"/>
                <w:bCs w:val="1"/>
                <w:color w:val="auto"/>
              </w:rPr>
              <w:t>Exercise</w:t>
            </w:r>
          </w:p>
        </w:tc>
        <w:tc>
          <w:tcPr>
            <w:tcW w:w="144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Contractual</w:t>
            </w:r>
          </w:p>
        </w:tc>
        <w:tc>
          <w:tcPr>
            <w:tcW w:w="0" w:type="dxa"/>
            <w:vAlign w:val="bottom"/>
          </w:tcPr>
          <w:p>
            <w:pPr>
              <w:spacing w:after="0"/>
              <w:rPr>
                <w:sz w:val="1"/>
                <w:szCs w:val="1"/>
                <w:color w:val="auto"/>
              </w:rPr>
            </w:pPr>
          </w:p>
        </w:tc>
      </w:tr>
      <w:tr>
        <w:trPr>
          <w:trHeight w:val="216"/>
        </w:trPr>
        <w:tc>
          <w:tcPr>
            <w:tcW w:w="4220" w:type="dxa"/>
            <w:vAlign w:val="bottom"/>
            <w:tcBorders>
              <w:bottom w:val="single" w:sz="8" w:color="auto"/>
            </w:tcBorders>
            <w:shd w:val="clear" w:color="auto" w:fill="CCEEFF"/>
          </w:tcPr>
          <w:p>
            <w:pPr>
              <w:spacing w:after="0"/>
              <w:rPr>
                <w:sz w:val="18"/>
                <w:szCs w:val="18"/>
                <w:color w:val="auto"/>
              </w:rPr>
            </w:pPr>
          </w:p>
        </w:tc>
        <w:tc>
          <w:tcPr>
            <w:tcW w:w="320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b w:val="1"/>
                <w:bCs w:val="1"/>
                <w:color w:val="auto"/>
              </w:rPr>
              <w:t>Number of Shares</w:t>
            </w:r>
          </w:p>
        </w:tc>
        <w:tc>
          <w:tcPr>
            <w:tcW w:w="660" w:type="dxa"/>
            <w:vAlign w:val="bottom"/>
            <w:tcBorders>
              <w:bottom w:val="single" w:sz="8" w:color="auto"/>
            </w:tcBorders>
            <w:shd w:val="clear" w:color="auto" w:fill="CCEEFF"/>
          </w:tcPr>
          <w:p>
            <w:pPr>
              <w:spacing w:after="0"/>
              <w:rPr>
                <w:sz w:val="18"/>
                <w:szCs w:val="18"/>
                <w:color w:val="auto"/>
              </w:rPr>
            </w:pPr>
          </w:p>
        </w:tc>
        <w:tc>
          <w:tcPr>
            <w:tcW w:w="1720" w:type="dxa"/>
            <w:vAlign w:val="bottom"/>
            <w:tcBorders>
              <w:bottom w:val="single" w:sz="8" w:color="auto"/>
            </w:tcBorders>
            <w:shd w:val="clear" w:color="auto" w:fill="CCEEFF"/>
          </w:tcPr>
          <w:p>
            <w:pPr>
              <w:jc w:val="right"/>
              <w:ind w:right="419"/>
              <w:spacing w:after="0"/>
              <w:rPr>
                <w:sz w:val="20"/>
                <w:szCs w:val="20"/>
                <w:color w:val="auto"/>
              </w:rPr>
            </w:pPr>
            <w:r>
              <w:rPr>
                <w:rFonts w:ascii="Arial" w:cs="Arial" w:eastAsia="Arial" w:hAnsi="Arial"/>
                <w:sz w:val="16"/>
                <w:szCs w:val="16"/>
                <w:b w:val="1"/>
                <w:bCs w:val="1"/>
                <w:color w:val="auto"/>
              </w:rPr>
              <w:t>Price</w:t>
            </w:r>
          </w:p>
        </w:tc>
        <w:tc>
          <w:tcPr>
            <w:tcW w:w="14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Life</w:t>
            </w:r>
          </w:p>
        </w:tc>
        <w:tc>
          <w:tcPr>
            <w:tcW w:w="0" w:type="dxa"/>
            <w:vAlign w:val="bottom"/>
          </w:tcPr>
          <w:p>
            <w:pPr>
              <w:spacing w:after="0"/>
              <w:rPr>
                <w:sz w:val="1"/>
                <w:szCs w:val="1"/>
                <w:color w:val="auto"/>
              </w:rPr>
            </w:pPr>
          </w:p>
        </w:tc>
      </w:tr>
      <w:tr>
        <w:trPr>
          <w:trHeight w:val="217"/>
        </w:trPr>
        <w:tc>
          <w:tcPr>
            <w:tcW w:w="4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Outstanding at December 31, 2021</w:t>
            </w:r>
          </w:p>
        </w:tc>
        <w:tc>
          <w:tcPr>
            <w:tcW w:w="3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1,695,460</w:t>
            </w:r>
          </w:p>
        </w:tc>
        <w:tc>
          <w:tcPr>
            <w:tcW w:w="660" w:type="dxa"/>
            <w:vAlign w:val="bottom"/>
            <w:tcBorders>
              <w:bottom w:val="single" w:sz="8" w:color="auto"/>
            </w:tcBorders>
          </w:tcPr>
          <w:p>
            <w:pPr>
              <w:jc w:val="right"/>
              <w:ind w:right="419"/>
              <w:spacing w:after="0"/>
              <w:rPr>
                <w:sz w:val="20"/>
                <w:szCs w:val="20"/>
                <w:color w:val="auto"/>
              </w:rPr>
            </w:pPr>
            <w:r>
              <w:rPr>
                <w:rFonts w:ascii="Arial" w:cs="Arial" w:eastAsia="Arial" w:hAnsi="Arial"/>
                <w:sz w:val="16"/>
                <w:szCs w:val="16"/>
                <w:color w:val="auto"/>
              </w:rPr>
              <w:t>$</w:t>
            </w:r>
          </w:p>
        </w:tc>
        <w:tc>
          <w:tcPr>
            <w:tcW w:w="1720" w:type="dxa"/>
            <w:vAlign w:val="bottom"/>
            <w:tcBorders>
              <w:bottom w:val="single" w:sz="8" w:color="auto"/>
            </w:tcBorders>
          </w:tcPr>
          <w:p>
            <w:pPr>
              <w:jc w:val="right"/>
              <w:ind w:right="479"/>
              <w:spacing w:after="0"/>
              <w:rPr>
                <w:sz w:val="20"/>
                <w:szCs w:val="20"/>
                <w:color w:val="auto"/>
              </w:rPr>
            </w:pPr>
            <w:r>
              <w:rPr>
                <w:rFonts w:ascii="Arial" w:cs="Arial" w:eastAsia="Arial" w:hAnsi="Arial"/>
                <w:sz w:val="16"/>
                <w:szCs w:val="16"/>
                <w:color w:val="auto"/>
              </w:rPr>
              <w:t>104.79</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5.39</w:t>
            </w:r>
          </w:p>
        </w:tc>
        <w:tc>
          <w:tcPr>
            <w:tcW w:w="0" w:type="dxa"/>
            <w:vAlign w:val="bottom"/>
          </w:tcPr>
          <w:p>
            <w:pPr>
              <w:spacing w:after="0"/>
              <w:rPr>
                <w:sz w:val="1"/>
                <w:szCs w:val="1"/>
                <w:color w:val="auto"/>
              </w:rPr>
            </w:pPr>
          </w:p>
        </w:tc>
      </w:tr>
      <w:tr>
        <w:trPr>
          <w:trHeight w:val="243"/>
        </w:trPr>
        <w:tc>
          <w:tcPr>
            <w:tcW w:w="4220" w:type="dxa"/>
            <w:vAlign w:val="bottom"/>
            <w:shd w:val="clear" w:color="auto" w:fill="CCEEFF"/>
          </w:tcPr>
          <w:p>
            <w:pPr>
              <w:spacing w:after="0"/>
              <w:rPr>
                <w:sz w:val="21"/>
                <w:szCs w:val="21"/>
                <w:color w:val="auto"/>
              </w:rPr>
            </w:pPr>
          </w:p>
        </w:tc>
        <w:tc>
          <w:tcPr>
            <w:tcW w:w="320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720" w:type="dxa"/>
            <w:vAlign w:val="bottom"/>
            <w:shd w:val="clear" w:color="auto" w:fill="CCEEFF"/>
          </w:tcPr>
          <w:p>
            <w:pPr>
              <w:spacing w:after="0"/>
              <w:rPr>
                <w:sz w:val="21"/>
                <w:szCs w:val="21"/>
                <w:color w:val="auto"/>
              </w:rPr>
            </w:pPr>
          </w:p>
        </w:tc>
        <w:tc>
          <w:tcPr>
            <w:tcW w:w="14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5"/>
        </w:trPr>
        <w:tc>
          <w:tcPr>
            <w:tcW w:w="4220" w:type="dxa"/>
            <w:vAlign w:val="bottom"/>
          </w:tcPr>
          <w:p>
            <w:pPr>
              <w:ind w:left="20"/>
              <w:spacing w:after="0"/>
              <w:rPr>
                <w:sz w:val="20"/>
                <w:szCs w:val="20"/>
                <w:color w:val="auto"/>
              </w:rPr>
            </w:pPr>
            <w:r>
              <w:rPr>
                <w:rFonts w:ascii="Arial" w:cs="Arial" w:eastAsia="Arial" w:hAnsi="Arial"/>
                <w:sz w:val="16"/>
                <w:szCs w:val="16"/>
                <w:color w:val="auto"/>
              </w:rPr>
              <w:t>Granted</w:t>
            </w:r>
          </w:p>
        </w:tc>
        <w:tc>
          <w:tcPr>
            <w:tcW w:w="3200" w:type="dxa"/>
            <w:vAlign w:val="bottom"/>
          </w:tcPr>
          <w:p>
            <w:pPr>
              <w:jc w:val="right"/>
              <w:ind w:right="39"/>
              <w:spacing w:after="0"/>
              <w:rPr>
                <w:sz w:val="20"/>
                <w:szCs w:val="20"/>
                <w:color w:val="auto"/>
              </w:rPr>
            </w:pPr>
            <w:r>
              <w:rPr>
                <w:rFonts w:ascii="Arial" w:cs="Arial" w:eastAsia="Arial" w:hAnsi="Arial"/>
                <w:sz w:val="16"/>
                <w:szCs w:val="16"/>
                <w:color w:val="auto"/>
              </w:rPr>
              <w:t>96,525</w:t>
            </w:r>
          </w:p>
        </w:tc>
        <w:tc>
          <w:tcPr>
            <w:tcW w:w="660" w:type="dxa"/>
            <w:vAlign w:val="bottom"/>
          </w:tcPr>
          <w:p>
            <w:pPr>
              <w:jc w:val="right"/>
              <w:ind w:right="419"/>
              <w:spacing w:after="0"/>
              <w:rPr>
                <w:sz w:val="20"/>
                <w:szCs w:val="20"/>
                <w:color w:val="auto"/>
              </w:rPr>
            </w:pPr>
            <w:r>
              <w:rPr>
                <w:rFonts w:ascii="Arial" w:cs="Arial" w:eastAsia="Arial" w:hAnsi="Arial"/>
                <w:sz w:val="16"/>
                <w:szCs w:val="16"/>
                <w:color w:val="auto"/>
              </w:rPr>
              <w:t>$</w:t>
            </w:r>
          </w:p>
        </w:tc>
        <w:tc>
          <w:tcPr>
            <w:tcW w:w="1720" w:type="dxa"/>
            <w:vAlign w:val="bottom"/>
          </w:tcPr>
          <w:p>
            <w:pPr>
              <w:jc w:val="right"/>
              <w:ind w:right="479"/>
              <w:spacing w:after="0"/>
              <w:rPr>
                <w:sz w:val="20"/>
                <w:szCs w:val="20"/>
                <w:color w:val="auto"/>
              </w:rPr>
            </w:pPr>
            <w:r>
              <w:rPr>
                <w:rFonts w:ascii="Arial" w:cs="Arial" w:eastAsia="Arial" w:hAnsi="Arial"/>
                <w:sz w:val="16"/>
                <w:szCs w:val="16"/>
                <w:color w:val="auto"/>
              </w:rPr>
              <w:t>231.68</w:t>
            </w:r>
          </w:p>
        </w:tc>
        <w:tc>
          <w:tcPr>
            <w:tcW w:w="14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4220" w:type="dxa"/>
            <w:vAlign w:val="bottom"/>
            <w:shd w:val="clear" w:color="auto" w:fill="CCEEFF"/>
          </w:tcPr>
          <w:p>
            <w:pPr>
              <w:ind w:left="20"/>
              <w:spacing w:after="0"/>
              <w:rPr>
                <w:sz w:val="20"/>
                <w:szCs w:val="20"/>
                <w:color w:val="auto"/>
              </w:rPr>
            </w:pPr>
            <w:r>
              <w:rPr>
                <w:rFonts w:ascii="Arial" w:cs="Arial" w:eastAsia="Arial" w:hAnsi="Arial"/>
                <w:sz w:val="16"/>
                <w:szCs w:val="16"/>
                <w:color w:val="auto"/>
              </w:rPr>
              <w:t>Exercised</w:t>
            </w:r>
          </w:p>
        </w:tc>
        <w:tc>
          <w:tcPr>
            <w:tcW w:w="3200" w:type="dxa"/>
            <w:vAlign w:val="bottom"/>
            <w:shd w:val="clear" w:color="auto" w:fill="CCEEFF"/>
          </w:tcPr>
          <w:p>
            <w:pPr>
              <w:ind w:left="2520"/>
              <w:spacing w:after="0"/>
              <w:rPr>
                <w:sz w:val="20"/>
                <w:szCs w:val="20"/>
                <w:color w:val="auto"/>
              </w:rPr>
            </w:pPr>
            <w:r>
              <w:rPr>
                <w:rFonts w:ascii="Arial" w:cs="Arial" w:eastAsia="Arial" w:hAnsi="Arial"/>
                <w:sz w:val="16"/>
                <w:szCs w:val="16"/>
                <w:color w:val="auto"/>
              </w:rPr>
              <w:t>(84,090)</w:t>
            </w:r>
          </w:p>
        </w:tc>
        <w:tc>
          <w:tcPr>
            <w:tcW w:w="660" w:type="dxa"/>
            <w:vAlign w:val="bottom"/>
            <w:shd w:val="clear" w:color="auto" w:fill="CCEEFF"/>
          </w:tcPr>
          <w:p>
            <w:pPr>
              <w:jc w:val="right"/>
              <w:ind w:right="419"/>
              <w:spacing w:after="0"/>
              <w:rPr>
                <w:sz w:val="20"/>
                <w:szCs w:val="20"/>
                <w:color w:val="auto"/>
              </w:rPr>
            </w:pPr>
            <w:r>
              <w:rPr>
                <w:rFonts w:ascii="Arial" w:cs="Arial" w:eastAsia="Arial" w:hAnsi="Arial"/>
                <w:sz w:val="16"/>
                <w:szCs w:val="16"/>
                <w:color w:val="auto"/>
              </w:rPr>
              <w:t>$</w:t>
            </w:r>
          </w:p>
        </w:tc>
        <w:tc>
          <w:tcPr>
            <w:tcW w:w="1720" w:type="dxa"/>
            <w:vAlign w:val="bottom"/>
            <w:shd w:val="clear" w:color="auto" w:fill="CCEEFF"/>
          </w:tcPr>
          <w:p>
            <w:pPr>
              <w:jc w:val="right"/>
              <w:ind w:right="479"/>
              <w:spacing w:after="0"/>
              <w:rPr>
                <w:sz w:val="20"/>
                <w:szCs w:val="20"/>
                <w:color w:val="auto"/>
              </w:rPr>
            </w:pPr>
            <w:r>
              <w:rPr>
                <w:rFonts w:ascii="Arial" w:cs="Arial" w:eastAsia="Arial" w:hAnsi="Arial"/>
                <w:sz w:val="16"/>
                <w:szCs w:val="16"/>
                <w:color w:val="auto"/>
              </w:rPr>
              <w:t>190.75</w:t>
            </w:r>
          </w:p>
        </w:tc>
        <w:tc>
          <w:tcPr>
            <w:tcW w:w="14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Canceled/expired</w:t>
            </w:r>
          </w:p>
        </w:tc>
        <w:tc>
          <w:tcPr>
            <w:tcW w:w="3200" w:type="dxa"/>
            <w:vAlign w:val="bottom"/>
            <w:tcBorders>
              <w:bottom w:val="single" w:sz="8" w:color="auto"/>
            </w:tcBorders>
          </w:tcPr>
          <w:p>
            <w:pPr>
              <w:ind w:left="2520"/>
              <w:spacing w:after="0"/>
              <w:rPr>
                <w:sz w:val="20"/>
                <w:szCs w:val="20"/>
                <w:color w:val="auto"/>
              </w:rPr>
            </w:pPr>
            <w:r>
              <w:rPr>
                <w:rFonts w:ascii="Arial" w:cs="Arial" w:eastAsia="Arial" w:hAnsi="Arial"/>
                <w:sz w:val="16"/>
                <w:szCs w:val="16"/>
                <w:color w:val="auto"/>
              </w:rPr>
              <w:t>(25,660)</w:t>
            </w:r>
          </w:p>
        </w:tc>
        <w:tc>
          <w:tcPr>
            <w:tcW w:w="660" w:type="dxa"/>
            <w:vAlign w:val="bottom"/>
            <w:tcBorders>
              <w:bottom w:val="single" w:sz="8" w:color="auto"/>
            </w:tcBorders>
          </w:tcPr>
          <w:p>
            <w:pPr>
              <w:jc w:val="right"/>
              <w:ind w:right="419"/>
              <w:spacing w:after="0"/>
              <w:rPr>
                <w:sz w:val="20"/>
                <w:szCs w:val="20"/>
                <w:color w:val="auto"/>
              </w:rPr>
            </w:pPr>
            <w:r>
              <w:rPr>
                <w:rFonts w:ascii="Arial" w:cs="Arial" w:eastAsia="Arial" w:hAnsi="Arial"/>
                <w:sz w:val="16"/>
                <w:szCs w:val="16"/>
                <w:color w:val="auto"/>
              </w:rPr>
              <w:t>$</w:t>
            </w:r>
          </w:p>
        </w:tc>
        <w:tc>
          <w:tcPr>
            <w:tcW w:w="1720" w:type="dxa"/>
            <w:vAlign w:val="bottom"/>
            <w:tcBorders>
              <w:bottom w:val="single" w:sz="8" w:color="auto"/>
            </w:tcBorders>
          </w:tcPr>
          <w:p>
            <w:pPr>
              <w:jc w:val="right"/>
              <w:ind w:right="479"/>
              <w:spacing w:after="0"/>
              <w:rPr>
                <w:sz w:val="20"/>
                <w:szCs w:val="20"/>
                <w:color w:val="auto"/>
              </w:rPr>
            </w:pPr>
            <w:r>
              <w:rPr>
                <w:rFonts w:ascii="Arial" w:cs="Arial" w:eastAsia="Arial" w:hAnsi="Arial"/>
                <w:sz w:val="16"/>
                <w:szCs w:val="16"/>
                <w:color w:val="auto"/>
              </w:rPr>
              <w:t>113.04</w:t>
            </w:r>
          </w:p>
        </w:tc>
        <w:tc>
          <w:tcPr>
            <w:tcW w:w="144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43"/>
        </w:trPr>
        <w:tc>
          <w:tcPr>
            <w:tcW w:w="4220" w:type="dxa"/>
            <w:vAlign w:val="bottom"/>
            <w:shd w:val="clear" w:color="auto" w:fill="CCEEFF"/>
          </w:tcPr>
          <w:p>
            <w:pPr>
              <w:spacing w:after="0"/>
              <w:rPr>
                <w:sz w:val="21"/>
                <w:szCs w:val="21"/>
                <w:color w:val="auto"/>
              </w:rPr>
            </w:pPr>
          </w:p>
        </w:tc>
        <w:tc>
          <w:tcPr>
            <w:tcW w:w="3200" w:type="dxa"/>
            <w:vAlign w:val="bottom"/>
            <w:shd w:val="clear" w:color="auto" w:fill="CCEEFF"/>
          </w:tcPr>
          <w:p>
            <w:pPr>
              <w:spacing w:after="0"/>
              <w:rPr>
                <w:sz w:val="21"/>
                <w:szCs w:val="21"/>
                <w:color w:val="auto"/>
              </w:rPr>
            </w:pPr>
          </w:p>
        </w:tc>
        <w:tc>
          <w:tcPr>
            <w:tcW w:w="660" w:type="dxa"/>
            <w:vAlign w:val="bottom"/>
            <w:shd w:val="clear" w:color="auto" w:fill="CCEEFF"/>
          </w:tcPr>
          <w:p>
            <w:pPr>
              <w:spacing w:after="0"/>
              <w:rPr>
                <w:sz w:val="21"/>
                <w:szCs w:val="21"/>
                <w:color w:val="auto"/>
              </w:rPr>
            </w:pPr>
          </w:p>
        </w:tc>
        <w:tc>
          <w:tcPr>
            <w:tcW w:w="1720" w:type="dxa"/>
            <w:vAlign w:val="bottom"/>
            <w:shd w:val="clear" w:color="auto" w:fill="CCEEFF"/>
          </w:tcPr>
          <w:p>
            <w:pPr>
              <w:spacing w:after="0"/>
              <w:rPr>
                <w:sz w:val="21"/>
                <w:szCs w:val="21"/>
                <w:color w:val="auto"/>
              </w:rPr>
            </w:pPr>
          </w:p>
        </w:tc>
        <w:tc>
          <w:tcPr>
            <w:tcW w:w="144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5"/>
        </w:trPr>
        <w:tc>
          <w:tcPr>
            <w:tcW w:w="4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Outstanding at March 31, 2022</w:t>
            </w:r>
          </w:p>
        </w:tc>
        <w:tc>
          <w:tcPr>
            <w:tcW w:w="3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1,682,235</w:t>
            </w:r>
          </w:p>
        </w:tc>
        <w:tc>
          <w:tcPr>
            <w:tcW w:w="660" w:type="dxa"/>
            <w:vAlign w:val="bottom"/>
            <w:tcBorders>
              <w:bottom w:val="single" w:sz="8" w:color="auto"/>
            </w:tcBorders>
          </w:tcPr>
          <w:p>
            <w:pPr>
              <w:jc w:val="right"/>
              <w:ind w:right="419"/>
              <w:spacing w:after="0"/>
              <w:rPr>
                <w:sz w:val="20"/>
                <w:szCs w:val="20"/>
                <w:color w:val="auto"/>
              </w:rPr>
            </w:pPr>
            <w:r>
              <w:rPr>
                <w:rFonts w:ascii="Arial" w:cs="Arial" w:eastAsia="Arial" w:hAnsi="Arial"/>
                <w:sz w:val="16"/>
                <w:szCs w:val="16"/>
                <w:color w:val="auto"/>
              </w:rPr>
              <w:t>$</w:t>
            </w:r>
          </w:p>
        </w:tc>
        <w:tc>
          <w:tcPr>
            <w:tcW w:w="1720" w:type="dxa"/>
            <w:vAlign w:val="bottom"/>
            <w:tcBorders>
              <w:bottom w:val="single" w:sz="8" w:color="auto"/>
            </w:tcBorders>
          </w:tcPr>
          <w:p>
            <w:pPr>
              <w:jc w:val="right"/>
              <w:ind w:right="479"/>
              <w:spacing w:after="0"/>
              <w:rPr>
                <w:sz w:val="20"/>
                <w:szCs w:val="20"/>
                <w:color w:val="auto"/>
              </w:rPr>
            </w:pPr>
            <w:r>
              <w:rPr>
                <w:rFonts w:ascii="Arial" w:cs="Arial" w:eastAsia="Arial" w:hAnsi="Arial"/>
                <w:sz w:val="16"/>
                <w:szCs w:val="16"/>
                <w:color w:val="auto"/>
              </w:rPr>
              <w:t>118.36</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5.44</w:t>
            </w:r>
          </w:p>
        </w:tc>
        <w:tc>
          <w:tcPr>
            <w:tcW w:w="0" w:type="dxa"/>
            <w:vAlign w:val="bottom"/>
          </w:tcPr>
          <w:p>
            <w:pPr>
              <w:spacing w:after="0"/>
              <w:rPr>
                <w:sz w:val="1"/>
                <w:szCs w:val="1"/>
                <w:color w:val="auto"/>
              </w:rPr>
            </w:pPr>
          </w:p>
        </w:tc>
      </w:tr>
      <w:tr>
        <w:trPr>
          <w:trHeight w:val="20"/>
        </w:trPr>
        <w:tc>
          <w:tcPr>
            <w:tcW w:w="4220" w:type="dxa"/>
            <w:vAlign w:val="bottom"/>
            <w:tcBorders>
              <w:bottom w:val="single" w:sz="8" w:color="auto"/>
            </w:tcBorders>
          </w:tcPr>
          <w:p>
            <w:pPr>
              <w:spacing w:after="0" w:line="20" w:lineRule="exact"/>
              <w:rPr>
                <w:sz w:val="1"/>
                <w:szCs w:val="1"/>
                <w:color w:val="auto"/>
              </w:rPr>
            </w:pPr>
          </w:p>
        </w:tc>
        <w:tc>
          <w:tcPr>
            <w:tcW w:w="3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4"/>
        </w:trPr>
        <w:tc>
          <w:tcPr>
            <w:tcW w:w="4220" w:type="dxa"/>
            <w:vAlign w:val="bottom"/>
            <w:shd w:val="clear" w:color="auto" w:fill="CCEEFF"/>
          </w:tcPr>
          <w:p>
            <w:pPr>
              <w:spacing w:after="0"/>
              <w:rPr>
                <w:sz w:val="19"/>
                <w:szCs w:val="19"/>
                <w:color w:val="auto"/>
              </w:rPr>
            </w:pPr>
          </w:p>
        </w:tc>
        <w:tc>
          <w:tcPr>
            <w:tcW w:w="3200" w:type="dxa"/>
            <w:vAlign w:val="bottom"/>
            <w:shd w:val="clear" w:color="auto" w:fill="CCEEFF"/>
          </w:tcPr>
          <w:p>
            <w:pPr>
              <w:spacing w:after="0"/>
              <w:rPr>
                <w:sz w:val="19"/>
                <w:szCs w:val="19"/>
                <w:color w:val="auto"/>
              </w:rPr>
            </w:pPr>
          </w:p>
        </w:tc>
        <w:tc>
          <w:tcPr>
            <w:tcW w:w="660" w:type="dxa"/>
            <w:vAlign w:val="bottom"/>
            <w:shd w:val="clear" w:color="auto" w:fill="CCEEFF"/>
          </w:tcPr>
          <w:p>
            <w:pPr>
              <w:spacing w:after="0"/>
              <w:rPr>
                <w:sz w:val="19"/>
                <w:szCs w:val="19"/>
                <w:color w:val="auto"/>
              </w:rPr>
            </w:pPr>
          </w:p>
        </w:tc>
        <w:tc>
          <w:tcPr>
            <w:tcW w:w="1720" w:type="dxa"/>
            <w:vAlign w:val="bottom"/>
            <w:shd w:val="clear" w:color="auto" w:fill="CCEEFF"/>
          </w:tcPr>
          <w:p>
            <w:pPr>
              <w:spacing w:after="0"/>
              <w:rPr>
                <w:sz w:val="19"/>
                <w:szCs w:val="19"/>
                <w:color w:val="auto"/>
              </w:rPr>
            </w:pPr>
          </w:p>
        </w:tc>
        <w:tc>
          <w:tcPr>
            <w:tcW w:w="1440" w:type="dxa"/>
            <w:vAlign w:val="bottom"/>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15"/>
        </w:trPr>
        <w:tc>
          <w:tcPr>
            <w:tcW w:w="422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Exercisable at March 31, 2022</w:t>
            </w:r>
          </w:p>
        </w:tc>
        <w:tc>
          <w:tcPr>
            <w:tcW w:w="320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1,054,178</w:t>
            </w:r>
          </w:p>
        </w:tc>
        <w:tc>
          <w:tcPr>
            <w:tcW w:w="660" w:type="dxa"/>
            <w:vAlign w:val="bottom"/>
            <w:tcBorders>
              <w:bottom w:val="single" w:sz="8" w:color="auto"/>
            </w:tcBorders>
          </w:tcPr>
          <w:p>
            <w:pPr>
              <w:jc w:val="right"/>
              <w:ind w:right="419"/>
              <w:spacing w:after="0"/>
              <w:rPr>
                <w:sz w:val="20"/>
                <w:szCs w:val="20"/>
                <w:color w:val="auto"/>
              </w:rPr>
            </w:pPr>
            <w:r>
              <w:rPr>
                <w:rFonts w:ascii="Arial" w:cs="Arial" w:eastAsia="Arial" w:hAnsi="Arial"/>
                <w:sz w:val="16"/>
                <w:szCs w:val="16"/>
                <w:color w:val="auto"/>
              </w:rPr>
              <w:t>$</w:t>
            </w:r>
          </w:p>
        </w:tc>
        <w:tc>
          <w:tcPr>
            <w:tcW w:w="1720" w:type="dxa"/>
            <w:vAlign w:val="bottom"/>
            <w:tcBorders>
              <w:bottom w:val="single" w:sz="8" w:color="auto"/>
            </w:tcBorders>
          </w:tcPr>
          <w:p>
            <w:pPr>
              <w:jc w:val="right"/>
              <w:ind w:right="479"/>
              <w:spacing w:after="0"/>
              <w:rPr>
                <w:sz w:val="20"/>
                <w:szCs w:val="20"/>
                <w:color w:val="auto"/>
              </w:rPr>
            </w:pPr>
            <w:r>
              <w:rPr>
                <w:rFonts w:ascii="Arial" w:cs="Arial" w:eastAsia="Arial" w:hAnsi="Arial"/>
                <w:sz w:val="16"/>
                <w:szCs w:val="16"/>
                <w:color w:val="auto"/>
              </w:rPr>
              <w:t>97.57</w:t>
            </w:r>
          </w:p>
        </w:tc>
        <w:tc>
          <w:tcPr>
            <w:tcW w:w="144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4.55</w:t>
            </w:r>
          </w:p>
        </w:tc>
        <w:tc>
          <w:tcPr>
            <w:tcW w:w="0" w:type="dxa"/>
            <w:vAlign w:val="bottom"/>
          </w:tcPr>
          <w:p>
            <w:pPr>
              <w:spacing w:after="0"/>
              <w:rPr>
                <w:sz w:val="1"/>
                <w:szCs w:val="1"/>
                <w:color w:val="auto"/>
              </w:rPr>
            </w:pPr>
          </w:p>
        </w:tc>
      </w:tr>
      <w:tr>
        <w:trPr>
          <w:trHeight w:val="21"/>
        </w:trPr>
        <w:tc>
          <w:tcPr>
            <w:tcW w:w="4220" w:type="dxa"/>
            <w:vAlign w:val="bottom"/>
            <w:tcBorders>
              <w:bottom w:val="single" w:sz="8" w:color="auto"/>
            </w:tcBorders>
          </w:tcPr>
          <w:p>
            <w:pPr>
              <w:spacing w:after="0" w:line="20" w:lineRule="exact"/>
              <w:rPr>
                <w:sz w:val="1"/>
                <w:szCs w:val="1"/>
                <w:color w:val="auto"/>
              </w:rPr>
            </w:pPr>
          </w:p>
        </w:tc>
        <w:tc>
          <w:tcPr>
            <w:tcW w:w="3200" w:type="dxa"/>
            <w:vAlign w:val="bottom"/>
            <w:tcBorders>
              <w:bottom w:val="single" w:sz="8" w:color="auto"/>
            </w:tcBorders>
          </w:tcPr>
          <w:p>
            <w:pPr>
              <w:spacing w:after="0" w:line="20" w:lineRule="exact"/>
              <w:rPr>
                <w:sz w:val="1"/>
                <w:szCs w:val="1"/>
                <w:color w:val="auto"/>
              </w:rPr>
            </w:pPr>
          </w:p>
        </w:tc>
        <w:tc>
          <w:tcPr>
            <w:tcW w:w="660" w:type="dxa"/>
            <w:vAlign w:val="bottom"/>
            <w:tcBorders>
              <w:bottom w:val="single" w:sz="8" w:color="auto"/>
            </w:tcBorders>
          </w:tcPr>
          <w:p>
            <w:pPr>
              <w:spacing w:after="0" w:line="20" w:lineRule="exact"/>
              <w:rPr>
                <w:sz w:val="1"/>
                <w:szCs w:val="1"/>
                <w:color w:val="auto"/>
              </w:rPr>
            </w:pPr>
          </w:p>
        </w:tc>
        <w:tc>
          <w:tcPr>
            <w:tcW w:w="1720" w:type="dxa"/>
            <w:vAlign w:val="bottom"/>
            <w:tcBorders>
              <w:bottom w:val="single" w:sz="8" w:color="auto"/>
            </w:tcBorders>
          </w:tcPr>
          <w:p>
            <w:pPr>
              <w:spacing w:after="0" w:line="20" w:lineRule="exact"/>
              <w:rPr>
                <w:sz w:val="1"/>
                <w:szCs w:val="1"/>
                <w:color w:val="auto"/>
              </w:rPr>
            </w:pPr>
          </w:p>
        </w:tc>
        <w:tc>
          <w:tcPr>
            <w:tcW w:w="144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10"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The Company issues ordinary shares for all options exercised. The total amount of fully vested share options which remained outstanding at March 31, 2022 was 1,054,178. Fully vested share options at March 31, 2022 have an average remaining contractual term of 4.55 years, an average exercise price of $97.57.</w:t>
      </w:r>
    </w:p>
    <w:p>
      <w:pPr>
        <w:spacing w:after="0" w:line="207"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Fair value of Stock Options Assumptions</w:t>
      </w:r>
    </w:p>
    <w:p>
      <w:pPr>
        <w:spacing w:after="0" w:line="24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weighted average fair value of options granted during the three months ended March 31, 2022 and March 31, 2021 was calculated using the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Black-Scholes option pricing model. The weighted average grant date fair values and assumptions used were as follows:</w:t>
      </w:r>
    </w:p>
    <w:p>
      <w:pPr>
        <w:spacing w:after="0" w:line="1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shd w:val="clear" w:color="auto" w:fill="CCEEFF"/>
          </w:tcPr>
          <w:p>
            <w:pPr>
              <w:spacing w:after="0"/>
              <w:rPr>
                <w:sz w:val="18"/>
                <w:szCs w:val="18"/>
                <w:color w:val="auto"/>
              </w:rPr>
            </w:pPr>
          </w:p>
        </w:tc>
        <w:tc>
          <w:tcPr>
            <w:tcW w:w="980" w:type="dxa"/>
            <w:vAlign w:val="bottom"/>
            <w:shd w:val="clear" w:color="auto" w:fill="CCEEFF"/>
          </w:tcPr>
          <w:p>
            <w:pPr>
              <w:spacing w:after="0"/>
              <w:rPr>
                <w:sz w:val="18"/>
                <w:szCs w:val="18"/>
                <w:color w:val="auto"/>
              </w:rPr>
            </w:pPr>
          </w:p>
        </w:tc>
        <w:tc>
          <w:tcPr>
            <w:tcW w:w="700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2980" w:type="dxa"/>
            <w:vAlign w:val="bottom"/>
            <w:tcBorders>
              <w:bottom w:val="single" w:sz="8" w:color="auto"/>
            </w:tcBorders>
            <w:gridSpan w:val="3"/>
            <w:shd w:val="clear" w:color="auto" w:fill="CCEEFF"/>
          </w:tcPr>
          <w:p>
            <w:pPr>
              <w:jc w:val="right"/>
              <w:ind w:right="739"/>
              <w:spacing w:after="0"/>
              <w:rPr>
                <w:sz w:val="20"/>
                <w:szCs w:val="20"/>
                <w:color w:val="auto"/>
              </w:rPr>
            </w:pPr>
            <w:r>
              <w:rPr>
                <w:rFonts w:ascii="Arial" w:cs="Arial" w:eastAsia="Arial" w:hAnsi="Arial"/>
                <w:sz w:val="16"/>
                <w:szCs w:val="16"/>
                <w:b w:val="1"/>
                <w:bCs w:val="1"/>
                <w:color w:val="auto"/>
              </w:rPr>
              <w:t>Three Months Ended</w:t>
            </w:r>
          </w:p>
        </w:tc>
      </w:tr>
      <w:tr>
        <w:trPr>
          <w:trHeight w:val="210"/>
        </w:trPr>
        <w:tc>
          <w:tcPr>
            <w:tcW w:w="2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700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2022</w:t>
            </w:r>
          </w:p>
        </w:tc>
        <w:tc>
          <w:tcPr>
            <w:tcW w:w="30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16"/>
        </w:trPr>
        <w:tc>
          <w:tcPr>
            <w:tcW w:w="20" w:type="dxa"/>
            <w:vAlign w:val="bottom"/>
            <w:tcBorders>
              <w:bottom w:val="single" w:sz="8" w:color="auto"/>
            </w:tcBorders>
            <w:shd w:val="clear" w:color="auto" w:fill="CCEEFF"/>
          </w:tcPr>
          <w:p>
            <w:pPr>
              <w:spacing w:after="0"/>
              <w:rPr>
                <w:sz w:val="18"/>
                <w:szCs w:val="18"/>
                <w:color w:val="auto"/>
              </w:rPr>
            </w:pPr>
          </w:p>
        </w:tc>
        <w:tc>
          <w:tcPr>
            <w:tcW w:w="798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Weighted average grant date fair value</w:t>
            </w:r>
          </w:p>
        </w:tc>
        <w:tc>
          <w:tcPr>
            <w:tcW w:w="24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w w:val="89"/>
              </w:rPr>
              <w:t>$</w:t>
            </w:r>
          </w:p>
        </w:tc>
        <w:tc>
          <w:tcPr>
            <w:tcW w:w="136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color w:val="auto"/>
              </w:rPr>
              <w:t>68.24</w:t>
            </w:r>
          </w:p>
        </w:tc>
        <w:tc>
          <w:tcPr>
            <w:tcW w:w="30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w:t>
            </w:r>
          </w:p>
        </w:tc>
        <w:tc>
          <w:tcPr>
            <w:tcW w:w="1320" w:type="dxa"/>
            <w:vAlign w:val="bottom"/>
            <w:tcBorders>
              <w:bottom w:val="single" w:sz="8" w:color="auto"/>
            </w:tcBorders>
            <w:shd w:val="clear" w:color="auto" w:fill="CCEEFF"/>
          </w:tcPr>
          <w:p>
            <w:pPr>
              <w:jc w:val="right"/>
              <w:ind w:right="139"/>
              <w:spacing w:after="0"/>
              <w:rPr>
                <w:sz w:val="20"/>
                <w:szCs w:val="20"/>
                <w:color w:val="auto"/>
              </w:rPr>
            </w:pPr>
            <w:r>
              <w:rPr>
                <w:rFonts w:ascii="Arial" w:cs="Arial" w:eastAsia="Arial" w:hAnsi="Arial"/>
                <w:sz w:val="16"/>
                <w:szCs w:val="16"/>
                <w:color w:val="auto"/>
              </w:rPr>
              <w:t>48.36</w:t>
            </w:r>
          </w:p>
        </w:tc>
      </w:tr>
      <w:tr>
        <w:trPr>
          <w:trHeight w:val="176"/>
        </w:trPr>
        <w:tc>
          <w:tcPr>
            <w:tcW w:w="20" w:type="dxa"/>
            <w:vAlign w:val="bottom"/>
          </w:tcPr>
          <w:p>
            <w:pPr>
              <w:spacing w:after="0"/>
              <w:rPr>
                <w:sz w:val="15"/>
                <w:szCs w:val="15"/>
                <w:color w:val="auto"/>
              </w:rPr>
            </w:pPr>
          </w:p>
        </w:tc>
        <w:tc>
          <w:tcPr>
            <w:tcW w:w="7980" w:type="dxa"/>
            <w:vAlign w:val="bottom"/>
            <w:gridSpan w:val="2"/>
          </w:tcPr>
          <w:p>
            <w:pPr>
              <w:spacing w:after="0" w:line="175" w:lineRule="exact"/>
              <w:rPr>
                <w:sz w:val="20"/>
                <w:szCs w:val="20"/>
                <w:color w:val="auto"/>
              </w:rPr>
            </w:pPr>
            <w:r>
              <w:rPr>
                <w:rFonts w:ascii="Arial" w:cs="Arial" w:eastAsia="Arial" w:hAnsi="Arial"/>
                <w:sz w:val="16"/>
                <w:szCs w:val="16"/>
                <w:color w:val="auto"/>
              </w:rPr>
              <w:t>Assumptions:</w:t>
            </w:r>
          </w:p>
        </w:tc>
        <w:tc>
          <w:tcPr>
            <w:tcW w:w="24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320" w:type="dxa"/>
            <w:vAlign w:val="bottom"/>
          </w:tcPr>
          <w:p>
            <w:pPr>
              <w:spacing w:after="0"/>
              <w:rPr>
                <w:sz w:val="15"/>
                <w:szCs w:val="15"/>
                <w:color w:val="auto"/>
              </w:rPr>
            </w:pPr>
          </w:p>
        </w:tc>
      </w:tr>
      <w:tr>
        <w:trPr>
          <w:trHeight w:val="20"/>
        </w:trPr>
        <w:tc>
          <w:tcPr>
            <w:tcW w:w="20" w:type="dxa"/>
            <w:vAlign w:val="bottom"/>
          </w:tcPr>
          <w:p>
            <w:pPr>
              <w:spacing w:after="0" w:line="20" w:lineRule="exact"/>
              <w:rPr>
                <w:sz w:val="1"/>
                <w:szCs w:val="1"/>
                <w:color w:val="auto"/>
              </w:rPr>
            </w:pPr>
          </w:p>
        </w:tc>
        <w:tc>
          <w:tcPr>
            <w:tcW w:w="980" w:type="dxa"/>
            <w:vAlign w:val="bottom"/>
            <w:tcBorders>
              <w:top w:val="single" w:sz="8" w:color="auto"/>
            </w:tcBorders>
          </w:tcPr>
          <w:p>
            <w:pPr>
              <w:spacing w:after="0" w:line="20" w:lineRule="exact"/>
              <w:rPr>
                <w:sz w:val="1"/>
                <w:szCs w:val="1"/>
                <w:color w:val="auto"/>
              </w:rPr>
            </w:pPr>
          </w:p>
        </w:tc>
        <w:tc>
          <w:tcPr>
            <w:tcW w:w="700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79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Expected volatility</w:t>
            </w:r>
          </w:p>
        </w:tc>
        <w:tc>
          <w:tcPr>
            <w:tcW w:w="2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30 %</w:t>
            </w:r>
          </w:p>
        </w:tc>
        <w:tc>
          <w:tcPr>
            <w:tcW w:w="3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30 %</w:t>
            </w:r>
          </w:p>
        </w:tc>
      </w:tr>
      <w:tr>
        <w:trPr>
          <w:trHeight w:val="215"/>
        </w:trPr>
        <w:tc>
          <w:tcPr>
            <w:tcW w:w="20" w:type="dxa"/>
            <w:vAlign w:val="bottom"/>
          </w:tcPr>
          <w:p>
            <w:pPr>
              <w:spacing w:after="0"/>
              <w:rPr>
                <w:sz w:val="18"/>
                <w:szCs w:val="18"/>
                <w:color w:val="auto"/>
              </w:rPr>
            </w:pPr>
          </w:p>
        </w:tc>
        <w:tc>
          <w:tcPr>
            <w:tcW w:w="7980" w:type="dxa"/>
            <w:vAlign w:val="bottom"/>
            <w:gridSpan w:val="2"/>
          </w:tcPr>
          <w:p>
            <w:pPr>
              <w:spacing w:after="0"/>
              <w:rPr>
                <w:sz w:val="20"/>
                <w:szCs w:val="20"/>
                <w:color w:val="auto"/>
              </w:rPr>
            </w:pPr>
            <w:r>
              <w:rPr>
                <w:rFonts w:ascii="Arial" w:cs="Arial" w:eastAsia="Arial" w:hAnsi="Arial"/>
                <w:sz w:val="16"/>
                <w:szCs w:val="16"/>
                <w:color w:val="auto"/>
              </w:rPr>
              <w:t>Dividend yield</w:t>
            </w:r>
          </w:p>
        </w:tc>
        <w:tc>
          <w:tcPr>
            <w:tcW w:w="24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 %</w:t>
            </w:r>
          </w:p>
        </w:tc>
        <w:tc>
          <w:tcPr>
            <w:tcW w:w="300" w:type="dxa"/>
            <w:vAlign w:val="bottom"/>
          </w:tcPr>
          <w:p>
            <w:pPr>
              <w:spacing w:after="0"/>
              <w:rPr>
                <w:sz w:val="18"/>
                <w:szCs w:val="18"/>
                <w:color w:val="auto"/>
              </w:rPr>
            </w:pPr>
          </w:p>
        </w:tc>
        <w:tc>
          <w:tcPr>
            <w:tcW w:w="1320" w:type="dxa"/>
            <w:vAlign w:val="bottom"/>
          </w:tcPr>
          <w:p>
            <w:pPr>
              <w:jc w:val="right"/>
              <w:spacing w:after="0"/>
              <w:rPr>
                <w:sz w:val="20"/>
                <w:szCs w:val="20"/>
                <w:color w:val="auto"/>
              </w:rPr>
            </w:pPr>
            <w:r>
              <w:rPr>
                <w:rFonts w:ascii="Arial" w:cs="Arial" w:eastAsia="Arial" w:hAnsi="Arial"/>
                <w:sz w:val="16"/>
                <w:szCs w:val="16"/>
                <w:color w:val="auto"/>
              </w:rPr>
              <w:t>— %</w:t>
            </w:r>
          </w:p>
        </w:tc>
      </w:tr>
      <w:tr>
        <w:trPr>
          <w:trHeight w:val="217"/>
        </w:trPr>
        <w:tc>
          <w:tcPr>
            <w:tcW w:w="20" w:type="dxa"/>
            <w:vAlign w:val="bottom"/>
            <w:shd w:val="clear" w:color="auto" w:fill="CCEEFF"/>
          </w:tcPr>
          <w:p>
            <w:pPr>
              <w:spacing w:after="0"/>
              <w:rPr>
                <w:sz w:val="18"/>
                <w:szCs w:val="18"/>
                <w:color w:val="auto"/>
              </w:rPr>
            </w:pPr>
          </w:p>
        </w:tc>
        <w:tc>
          <w:tcPr>
            <w:tcW w:w="798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Risk-free interest rate</w:t>
            </w:r>
          </w:p>
        </w:tc>
        <w:tc>
          <w:tcPr>
            <w:tcW w:w="240" w:type="dxa"/>
            <w:vAlign w:val="bottom"/>
            <w:shd w:val="clear" w:color="auto" w:fill="CCEEFF"/>
          </w:tcPr>
          <w:p>
            <w:pPr>
              <w:spacing w:after="0"/>
              <w:rPr>
                <w:sz w:val="18"/>
                <w:szCs w:val="18"/>
                <w:color w:val="auto"/>
              </w:rPr>
            </w:pPr>
          </w:p>
        </w:tc>
        <w:tc>
          <w:tcPr>
            <w:tcW w:w="13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1.74 %</w:t>
            </w:r>
          </w:p>
        </w:tc>
        <w:tc>
          <w:tcPr>
            <w:tcW w:w="300" w:type="dxa"/>
            <w:vAlign w:val="bottom"/>
            <w:shd w:val="clear" w:color="auto" w:fill="CCEEFF"/>
          </w:tcPr>
          <w:p>
            <w:pPr>
              <w:spacing w:after="0"/>
              <w:rPr>
                <w:sz w:val="18"/>
                <w:szCs w:val="18"/>
                <w:color w:val="auto"/>
              </w:rPr>
            </w:pPr>
          </w:p>
        </w:tc>
        <w:tc>
          <w:tcPr>
            <w:tcW w:w="13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0.73 %</w:t>
            </w:r>
          </w:p>
        </w:tc>
      </w:tr>
      <w:tr>
        <w:trPr>
          <w:trHeight w:val="215"/>
        </w:trPr>
        <w:tc>
          <w:tcPr>
            <w:tcW w:w="20" w:type="dxa"/>
            <w:vAlign w:val="bottom"/>
            <w:tcBorders>
              <w:bottom w:val="single" w:sz="8" w:color="auto"/>
            </w:tcBorders>
          </w:tcPr>
          <w:p>
            <w:pPr>
              <w:spacing w:after="0"/>
              <w:rPr>
                <w:sz w:val="18"/>
                <w:szCs w:val="18"/>
                <w:color w:val="auto"/>
              </w:rPr>
            </w:pPr>
          </w:p>
        </w:tc>
        <w:tc>
          <w:tcPr>
            <w:tcW w:w="7980" w:type="dxa"/>
            <w:vAlign w:val="bottom"/>
            <w:tcBorders>
              <w:bottom w:val="single" w:sz="8" w:color="auto"/>
            </w:tcBorders>
            <w:gridSpan w:val="2"/>
          </w:tcPr>
          <w:p>
            <w:pPr>
              <w:spacing w:after="0"/>
              <w:rPr>
                <w:sz w:val="20"/>
                <w:szCs w:val="20"/>
                <w:color w:val="auto"/>
              </w:rPr>
            </w:pPr>
            <w:r>
              <w:rPr>
                <w:rFonts w:ascii="Arial" w:cs="Arial" w:eastAsia="Arial" w:hAnsi="Arial"/>
                <w:sz w:val="16"/>
                <w:szCs w:val="16"/>
                <w:color w:val="auto"/>
              </w:rPr>
              <w:t>Expected life</w:t>
            </w:r>
          </w:p>
        </w:tc>
        <w:tc>
          <w:tcPr>
            <w:tcW w:w="24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 years</w:t>
            </w:r>
          </w:p>
        </w:tc>
        <w:tc>
          <w:tcPr>
            <w:tcW w:w="30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 years</w:t>
            </w:r>
          </w:p>
        </w:tc>
      </w:tr>
      <w:tr>
        <w:trPr>
          <w:trHeight w:val="21"/>
        </w:trPr>
        <w:tc>
          <w:tcPr>
            <w:tcW w:w="2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7000" w:type="dxa"/>
            <w:vAlign w:val="bottom"/>
            <w:tcBorders>
              <w:bottom w:val="single" w:sz="8" w:color="auto"/>
            </w:tcBorders>
          </w:tcPr>
          <w:p>
            <w:pPr>
              <w:spacing w:after="0" w:line="20" w:lineRule="exact"/>
              <w:rPr>
                <w:sz w:val="1"/>
                <w:szCs w:val="1"/>
                <w:color w:val="auto"/>
              </w:rPr>
            </w:pPr>
          </w:p>
        </w:tc>
        <w:tc>
          <w:tcPr>
            <w:tcW w:w="24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r>
    </w:tbl>
    <w:p>
      <w:pPr>
        <w:spacing w:after="0" w:line="323"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Expected volatility is based on the historical volatility of our common stock over a period equal to the expected term of the options; the expected life represents the weighted average period of time that options granted are expected to be outstanding given consideration to vesting schedules and our historical experience of past vesting and termination patterns. The risk-free rate is based on the U.S. government zero-coupon bonds yield curve in effect at time of the grant for periods corresponding with the expected life of the option.</w:t>
      </w:r>
    </w:p>
    <w:p>
      <w:pPr>
        <w:spacing w:after="0" w:line="215"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Restricted Share Units and Performance Share Units</w:t>
      </w:r>
    </w:p>
    <w:p>
      <w:pPr>
        <w:spacing w:after="0" w:line="246"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On April 30 2019, the Company approved the 2019 Consultants and Directors Restricted Share Unit Plan (the “2019 Consultants RSU Plan”), which was effective as of May 16, 2019, pursuant to which the Compensation and Organization Committee of the Company’s Board of Directors may select any consultant, adviser or non-executive Director retained by the Company, or a Subsidiary to receive an award under the plan. 250,000 ordinary shares have been reserved for issuance under the 2019 Consultants RSU Plan. The awards are at par value and vest over a service period. Awards granted to non-executive directors during 2019, 2020 and 2021 vest over twelve months.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003" w:right="339" w:bottom="1440" w:gutter="0" w:footer="0" w:header="0"/>
        </w:sectPr>
      </w:pPr>
    </w:p>
    <w:bookmarkStart w:id="23" w:name="page24"/>
    <w:bookmarkEnd w:id="23"/>
    <w:p>
      <w:pPr>
        <w:ind w:right="120" w:firstLine="648"/>
        <w:spacing w:after="0" w:line="286" w:lineRule="auto"/>
        <w:rPr>
          <w:sz w:val="20"/>
          <w:szCs w:val="20"/>
          <w:color w:val="auto"/>
        </w:rPr>
      </w:pPr>
      <w:r>
        <w:rPr>
          <w:rFonts w:ascii="Arial" w:cs="Arial" w:eastAsia="Arial" w:hAnsi="Arial"/>
          <w:sz w:val="16"/>
          <w:szCs w:val="16"/>
          <w:color w:val="auto"/>
        </w:rPr>
        <w:t>The Company has awarded RSUs and PSUs to certain key individuals of the Group. The following table summarizes RSU and PSU activity for the three months ended March 31, 2022:</w:t>
      </w:r>
    </w:p>
    <w:p>
      <w:pPr>
        <w:spacing w:after="0" w:line="75" w:lineRule="exact"/>
        <w:rPr>
          <w:sz w:val="20"/>
          <w:szCs w:val="20"/>
          <w:color w:val="auto"/>
        </w:rPr>
      </w:pPr>
    </w:p>
    <w:tbl>
      <w:tblPr>
        <w:tblLayout w:type="fixed"/>
        <w:tblInd w:w="0" w:type="dxa"/>
        <w:tblCellMar>
          <w:top w:w="0" w:type="dxa"/>
          <w:left w:w="0" w:type="dxa"/>
          <w:bottom w:w="0" w:type="dxa"/>
          <w:right w:w="0" w:type="dxa"/>
        </w:tblCellMar>
      </w:tblPr>
      <w:tr>
        <w:trPr>
          <w:trHeight w:val="324"/>
        </w:trPr>
        <w:tc>
          <w:tcPr>
            <w:tcW w:w="3640" w:type="dxa"/>
            <w:vAlign w:val="bottom"/>
            <w:shd w:val="clear" w:color="auto" w:fill="CCEEFF"/>
          </w:tcPr>
          <w:p>
            <w:pPr>
              <w:spacing w:after="0"/>
              <w:rPr>
                <w:sz w:val="24"/>
                <w:szCs w:val="24"/>
                <w:color w:val="auto"/>
              </w:rPr>
            </w:pPr>
          </w:p>
        </w:tc>
        <w:tc>
          <w:tcPr>
            <w:tcW w:w="21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PSU</w:t>
            </w:r>
          </w:p>
        </w:tc>
        <w:tc>
          <w:tcPr>
            <w:tcW w:w="160" w:type="dxa"/>
            <w:vAlign w:val="bottom"/>
            <w:shd w:val="clear" w:color="auto" w:fill="CCEEFF"/>
          </w:tcPr>
          <w:p>
            <w:pPr>
              <w:spacing w:after="0"/>
              <w:rPr>
                <w:sz w:val="24"/>
                <w:szCs w:val="24"/>
                <w:color w:val="auto"/>
              </w:rPr>
            </w:pPr>
          </w:p>
        </w:tc>
        <w:tc>
          <w:tcPr>
            <w:tcW w:w="2060" w:type="dxa"/>
            <w:vAlign w:val="bottom"/>
            <w:shd w:val="clear" w:color="auto" w:fill="CCEEFF"/>
          </w:tcPr>
          <w:p>
            <w:pPr>
              <w:jc w:val="right"/>
              <w:ind w:right="479"/>
              <w:spacing w:after="0"/>
              <w:rPr>
                <w:sz w:val="20"/>
                <w:szCs w:val="20"/>
                <w:color w:val="auto"/>
              </w:rPr>
            </w:pPr>
            <w:r>
              <w:rPr>
                <w:rFonts w:ascii="Arial" w:cs="Arial" w:eastAsia="Arial" w:hAnsi="Arial"/>
                <w:sz w:val="16"/>
                <w:szCs w:val="16"/>
                <w:b w:val="1"/>
                <w:bCs w:val="1"/>
                <w:color w:val="auto"/>
              </w:rPr>
              <w:t>PSU</w:t>
            </w: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RSU</w:t>
            </w:r>
          </w:p>
        </w:tc>
        <w:tc>
          <w:tcPr>
            <w:tcW w:w="160" w:type="dxa"/>
            <w:vAlign w:val="bottom"/>
            <w:shd w:val="clear" w:color="auto" w:fill="CCEEFF"/>
          </w:tcPr>
          <w:p>
            <w:pPr>
              <w:spacing w:after="0"/>
              <w:rPr>
                <w:sz w:val="24"/>
                <w:szCs w:val="24"/>
                <w:color w:val="auto"/>
              </w:rPr>
            </w:pP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RSU</w:t>
            </w:r>
          </w:p>
        </w:tc>
      </w:tr>
      <w:tr>
        <w:trPr>
          <w:trHeight w:val="162"/>
        </w:trPr>
        <w:tc>
          <w:tcPr>
            <w:tcW w:w="3640" w:type="dxa"/>
            <w:vAlign w:val="bottom"/>
            <w:shd w:val="clear" w:color="auto" w:fill="CCEEFF"/>
          </w:tcPr>
          <w:p>
            <w:pPr>
              <w:spacing w:after="0"/>
              <w:rPr>
                <w:sz w:val="14"/>
                <w:szCs w:val="14"/>
                <w:color w:val="auto"/>
              </w:rPr>
            </w:pPr>
          </w:p>
        </w:tc>
        <w:tc>
          <w:tcPr>
            <w:tcW w:w="212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Outstanding</w:t>
            </w:r>
          </w:p>
        </w:tc>
        <w:tc>
          <w:tcPr>
            <w:tcW w:w="160" w:type="dxa"/>
            <w:vAlign w:val="bottom"/>
            <w:shd w:val="clear" w:color="auto" w:fill="CCEEFF"/>
          </w:tcPr>
          <w:p>
            <w:pPr>
              <w:spacing w:after="0"/>
              <w:rPr>
                <w:sz w:val="14"/>
                <w:szCs w:val="14"/>
                <w:color w:val="auto"/>
              </w:rPr>
            </w:pPr>
          </w:p>
        </w:tc>
        <w:tc>
          <w:tcPr>
            <w:tcW w:w="2060" w:type="dxa"/>
            <w:vAlign w:val="bottom"/>
            <w:shd w:val="clear" w:color="auto" w:fill="CCEEFF"/>
          </w:tcPr>
          <w:p>
            <w:pPr>
              <w:jc w:val="right"/>
              <w:ind w:right="479"/>
              <w:spacing w:after="0" w:line="162" w:lineRule="exact"/>
              <w:rPr>
                <w:sz w:val="20"/>
                <w:szCs w:val="20"/>
                <w:color w:val="auto"/>
              </w:rPr>
            </w:pPr>
            <w:r>
              <w:rPr>
                <w:rFonts w:ascii="Arial" w:cs="Arial" w:eastAsia="Arial" w:hAnsi="Arial"/>
                <w:sz w:val="16"/>
                <w:szCs w:val="16"/>
                <w:b w:val="1"/>
                <w:bCs w:val="1"/>
                <w:color w:val="auto"/>
              </w:rPr>
              <w:t>Weighted</w:t>
            </w:r>
          </w:p>
        </w:tc>
        <w:tc>
          <w:tcPr>
            <w:tcW w:w="158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Outstanding</w:t>
            </w:r>
          </w:p>
        </w:tc>
        <w:tc>
          <w:tcPr>
            <w:tcW w:w="160" w:type="dxa"/>
            <w:vAlign w:val="bottom"/>
            <w:shd w:val="clear" w:color="auto" w:fill="CCEEFF"/>
          </w:tcPr>
          <w:p>
            <w:pPr>
              <w:spacing w:after="0"/>
              <w:rPr>
                <w:sz w:val="14"/>
                <w:szCs w:val="14"/>
                <w:color w:val="auto"/>
              </w:rPr>
            </w:pPr>
          </w:p>
        </w:tc>
        <w:tc>
          <w:tcPr>
            <w:tcW w:w="152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Weighted</w:t>
            </w:r>
          </w:p>
        </w:tc>
      </w:tr>
      <w:tr>
        <w:trPr>
          <w:trHeight w:val="162"/>
        </w:trPr>
        <w:tc>
          <w:tcPr>
            <w:tcW w:w="3640" w:type="dxa"/>
            <w:vAlign w:val="bottom"/>
            <w:shd w:val="clear" w:color="auto" w:fill="CCEEFF"/>
          </w:tcPr>
          <w:p>
            <w:pPr>
              <w:spacing w:after="0"/>
              <w:rPr>
                <w:sz w:val="14"/>
                <w:szCs w:val="14"/>
                <w:color w:val="auto"/>
              </w:rPr>
            </w:pPr>
          </w:p>
        </w:tc>
        <w:tc>
          <w:tcPr>
            <w:tcW w:w="212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Number of</w:t>
            </w:r>
          </w:p>
        </w:tc>
        <w:tc>
          <w:tcPr>
            <w:tcW w:w="160" w:type="dxa"/>
            <w:vAlign w:val="bottom"/>
            <w:shd w:val="clear" w:color="auto" w:fill="CCEEFF"/>
          </w:tcPr>
          <w:p>
            <w:pPr>
              <w:spacing w:after="0"/>
              <w:rPr>
                <w:sz w:val="14"/>
                <w:szCs w:val="14"/>
                <w:color w:val="auto"/>
              </w:rPr>
            </w:pPr>
          </w:p>
        </w:tc>
        <w:tc>
          <w:tcPr>
            <w:tcW w:w="2060" w:type="dxa"/>
            <w:vAlign w:val="bottom"/>
            <w:shd w:val="clear" w:color="auto" w:fill="CCEEFF"/>
          </w:tcPr>
          <w:p>
            <w:pPr>
              <w:jc w:val="right"/>
              <w:ind w:right="479"/>
              <w:spacing w:after="0" w:line="162" w:lineRule="exact"/>
              <w:rPr>
                <w:sz w:val="20"/>
                <w:szCs w:val="20"/>
                <w:color w:val="auto"/>
              </w:rPr>
            </w:pPr>
            <w:r>
              <w:rPr>
                <w:rFonts w:ascii="Arial" w:cs="Arial" w:eastAsia="Arial" w:hAnsi="Arial"/>
                <w:sz w:val="16"/>
                <w:szCs w:val="16"/>
                <w:b w:val="1"/>
                <w:bCs w:val="1"/>
                <w:color w:val="auto"/>
                <w:w w:val="99"/>
              </w:rPr>
              <w:t>Average Grant Date</w:t>
            </w:r>
          </w:p>
        </w:tc>
        <w:tc>
          <w:tcPr>
            <w:tcW w:w="158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rPr>
              <w:t>Number of</w:t>
            </w:r>
          </w:p>
        </w:tc>
        <w:tc>
          <w:tcPr>
            <w:tcW w:w="160" w:type="dxa"/>
            <w:vAlign w:val="bottom"/>
            <w:shd w:val="clear" w:color="auto" w:fill="CCEEFF"/>
          </w:tcPr>
          <w:p>
            <w:pPr>
              <w:spacing w:after="0"/>
              <w:rPr>
                <w:sz w:val="14"/>
                <w:szCs w:val="14"/>
                <w:color w:val="auto"/>
              </w:rPr>
            </w:pPr>
          </w:p>
        </w:tc>
        <w:tc>
          <w:tcPr>
            <w:tcW w:w="1520" w:type="dxa"/>
            <w:vAlign w:val="bottom"/>
            <w:shd w:val="clear" w:color="auto" w:fill="CCEEFF"/>
          </w:tcPr>
          <w:p>
            <w:pPr>
              <w:jc w:val="right"/>
              <w:spacing w:after="0" w:line="162" w:lineRule="exact"/>
              <w:rPr>
                <w:sz w:val="20"/>
                <w:szCs w:val="20"/>
                <w:color w:val="auto"/>
              </w:rPr>
            </w:pPr>
            <w:r>
              <w:rPr>
                <w:rFonts w:ascii="Arial" w:cs="Arial" w:eastAsia="Arial" w:hAnsi="Arial"/>
                <w:sz w:val="16"/>
                <w:szCs w:val="16"/>
                <w:b w:val="1"/>
                <w:bCs w:val="1"/>
                <w:color w:val="auto"/>
                <w:w w:val="99"/>
              </w:rPr>
              <w:t>Average Grant Date</w:t>
            </w:r>
          </w:p>
        </w:tc>
      </w:tr>
      <w:tr>
        <w:trPr>
          <w:trHeight w:val="216"/>
        </w:trPr>
        <w:tc>
          <w:tcPr>
            <w:tcW w:w="3640" w:type="dxa"/>
            <w:vAlign w:val="bottom"/>
            <w:tcBorders>
              <w:bottom w:val="single" w:sz="8" w:color="auto"/>
            </w:tcBorders>
            <w:shd w:val="clear" w:color="auto" w:fill="CCEEFF"/>
          </w:tcPr>
          <w:p>
            <w:pPr>
              <w:spacing w:after="0"/>
              <w:rPr>
                <w:sz w:val="18"/>
                <w:szCs w:val="18"/>
                <w:color w:val="auto"/>
              </w:rPr>
            </w:pPr>
          </w:p>
        </w:tc>
        <w:tc>
          <w:tcPr>
            <w:tcW w:w="2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Shares</w:t>
            </w:r>
          </w:p>
        </w:tc>
        <w:tc>
          <w:tcPr>
            <w:tcW w:w="160" w:type="dxa"/>
            <w:vAlign w:val="bottom"/>
            <w:tcBorders>
              <w:bottom w:val="single" w:sz="8" w:color="auto"/>
            </w:tcBorders>
            <w:shd w:val="clear" w:color="auto" w:fill="CCEEFF"/>
          </w:tcPr>
          <w:p>
            <w:pPr>
              <w:spacing w:after="0"/>
              <w:rPr>
                <w:sz w:val="18"/>
                <w:szCs w:val="18"/>
                <w:color w:val="auto"/>
              </w:rPr>
            </w:pPr>
          </w:p>
        </w:tc>
        <w:tc>
          <w:tcPr>
            <w:tcW w:w="2060" w:type="dxa"/>
            <w:vAlign w:val="bottom"/>
            <w:tcBorders>
              <w:bottom w:val="single" w:sz="8" w:color="auto"/>
            </w:tcBorders>
            <w:shd w:val="clear" w:color="auto" w:fill="CCEEFF"/>
          </w:tcPr>
          <w:p>
            <w:pPr>
              <w:jc w:val="right"/>
              <w:ind w:right="479"/>
              <w:spacing w:after="0"/>
              <w:rPr>
                <w:sz w:val="20"/>
                <w:szCs w:val="20"/>
                <w:color w:val="auto"/>
              </w:rPr>
            </w:pPr>
            <w:r>
              <w:rPr>
                <w:rFonts w:ascii="Arial" w:cs="Arial" w:eastAsia="Arial" w:hAnsi="Arial"/>
                <w:sz w:val="16"/>
                <w:szCs w:val="16"/>
                <w:b w:val="1"/>
                <w:bCs w:val="1"/>
                <w:color w:val="auto"/>
              </w:rPr>
              <w:t>Fair Value</w:t>
            </w:r>
          </w:p>
        </w:tc>
        <w:tc>
          <w:tcPr>
            <w:tcW w:w="158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Shares</w:t>
            </w:r>
          </w:p>
        </w:tc>
        <w:tc>
          <w:tcPr>
            <w:tcW w:w="160" w:type="dxa"/>
            <w:vAlign w:val="bottom"/>
            <w:tcBorders>
              <w:bottom w:val="single" w:sz="8" w:color="auto"/>
            </w:tcBorders>
            <w:shd w:val="clear" w:color="auto" w:fill="CCEEFF"/>
          </w:tcPr>
          <w:p>
            <w:pPr>
              <w:spacing w:after="0"/>
              <w:rPr>
                <w:sz w:val="18"/>
                <w:szCs w:val="18"/>
                <w:color w:val="auto"/>
              </w:rPr>
            </w:pPr>
          </w:p>
        </w:tc>
        <w:tc>
          <w:tcPr>
            <w:tcW w:w="15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Fair Value</w:t>
            </w:r>
          </w:p>
        </w:tc>
      </w:tr>
      <w:tr>
        <w:trPr>
          <w:trHeight w:val="217"/>
        </w:trPr>
        <w:tc>
          <w:tcPr>
            <w:tcW w:w="36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Outstanding at December 31, 2021</w:t>
            </w:r>
          </w:p>
        </w:tc>
        <w:tc>
          <w:tcPr>
            <w:tcW w:w="2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154,190</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06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160.23</w:t>
            </w:r>
          </w:p>
        </w:tc>
        <w:tc>
          <w:tcPr>
            <w:tcW w:w="15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572,785</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191.20</w:t>
            </w:r>
          </w:p>
        </w:tc>
      </w:tr>
      <w:tr>
        <w:trPr>
          <w:trHeight w:val="243"/>
        </w:trPr>
        <w:tc>
          <w:tcPr>
            <w:tcW w:w="3640" w:type="dxa"/>
            <w:vAlign w:val="bottom"/>
            <w:shd w:val="clear" w:color="auto" w:fill="CCEEFF"/>
          </w:tcPr>
          <w:p>
            <w:pPr>
              <w:spacing w:after="0"/>
              <w:rPr>
                <w:sz w:val="21"/>
                <w:szCs w:val="21"/>
                <w:color w:val="auto"/>
              </w:rPr>
            </w:pPr>
          </w:p>
        </w:tc>
        <w:tc>
          <w:tcPr>
            <w:tcW w:w="21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060" w:type="dxa"/>
            <w:vAlign w:val="bottom"/>
            <w:shd w:val="clear" w:color="auto" w:fill="CCEEFF"/>
          </w:tcPr>
          <w:p>
            <w:pPr>
              <w:spacing w:after="0"/>
              <w:rPr>
                <w:sz w:val="21"/>
                <w:szCs w:val="21"/>
                <w:color w:val="auto"/>
              </w:rPr>
            </w:pPr>
          </w:p>
        </w:tc>
        <w:tc>
          <w:tcPr>
            <w:tcW w:w="15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520" w:type="dxa"/>
            <w:vAlign w:val="bottom"/>
            <w:shd w:val="clear" w:color="auto" w:fill="CCEEFF"/>
          </w:tcPr>
          <w:p>
            <w:pPr>
              <w:spacing w:after="0"/>
              <w:rPr>
                <w:sz w:val="21"/>
                <w:szCs w:val="21"/>
                <w:color w:val="auto"/>
              </w:rPr>
            </w:pPr>
          </w:p>
        </w:tc>
      </w:tr>
      <w:tr>
        <w:trPr>
          <w:trHeight w:val="215"/>
        </w:trPr>
        <w:tc>
          <w:tcPr>
            <w:tcW w:w="3640" w:type="dxa"/>
            <w:vAlign w:val="bottom"/>
          </w:tcPr>
          <w:p>
            <w:pPr>
              <w:ind w:left="20"/>
              <w:spacing w:after="0"/>
              <w:rPr>
                <w:sz w:val="20"/>
                <w:szCs w:val="20"/>
                <w:color w:val="auto"/>
              </w:rPr>
            </w:pPr>
            <w:r>
              <w:rPr>
                <w:rFonts w:ascii="Arial" w:cs="Arial" w:eastAsia="Arial" w:hAnsi="Arial"/>
                <w:sz w:val="16"/>
                <w:szCs w:val="16"/>
                <w:color w:val="auto"/>
              </w:rPr>
              <w:t>Granted</w:t>
            </w:r>
          </w:p>
        </w:tc>
        <w:tc>
          <w:tcPr>
            <w:tcW w:w="2120" w:type="dxa"/>
            <w:vAlign w:val="bottom"/>
          </w:tcPr>
          <w:p>
            <w:pPr>
              <w:jc w:val="right"/>
              <w:ind w:right="39"/>
              <w:spacing w:after="0"/>
              <w:rPr>
                <w:sz w:val="20"/>
                <w:szCs w:val="20"/>
                <w:color w:val="auto"/>
              </w:rPr>
            </w:pPr>
            <w:r>
              <w:rPr>
                <w:rFonts w:ascii="Arial" w:cs="Arial" w:eastAsia="Arial" w:hAnsi="Arial"/>
                <w:sz w:val="16"/>
                <w:szCs w:val="16"/>
                <w:color w:val="auto"/>
              </w:rPr>
              <w:t>51,949</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2060" w:type="dxa"/>
            <w:vAlign w:val="bottom"/>
          </w:tcPr>
          <w:p>
            <w:pPr>
              <w:jc w:val="right"/>
              <w:ind w:right="519"/>
              <w:spacing w:after="0"/>
              <w:rPr>
                <w:sz w:val="20"/>
                <w:szCs w:val="20"/>
                <w:color w:val="auto"/>
              </w:rPr>
            </w:pPr>
            <w:r>
              <w:rPr>
                <w:rFonts w:ascii="Arial" w:cs="Arial" w:eastAsia="Arial" w:hAnsi="Arial"/>
                <w:sz w:val="16"/>
                <w:szCs w:val="16"/>
                <w:color w:val="auto"/>
              </w:rPr>
              <w:t>231.68</w:t>
            </w:r>
          </w:p>
        </w:tc>
        <w:tc>
          <w:tcPr>
            <w:tcW w:w="1580" w:type="dxa"/>
            <w:vAlign w:val="bottom"/>
          </w:tcPr>
          <w:p>
            <w:pPr>
              <w:jc w:val="right"/>
              <w:ind w:right="59"/>
              <w:spacing w:after="0"/>
              <w:rPr>
                <w:sz w:val="20"/>
                <w:szCs w:val="20"/>
                <w:color w:val="auto"/>
              </w:rPr>
            </w:pPr>
            <w:r>
              <w:rPr>
                <w:rFonts w:ascii="Arial" w:cs="Arial" w:eastAsia="Arial" w:hAnsi="Arial"/>
                <w:sz w:val="16"/>
                <w:szCs w:val="16"/>
                <w:color w:val="auto"/>
              </w:rPr>
              <w:t>26,000</w:t>
            </w:r>
          </w:p>
        </w:tc>
        <w:tc>
          <w:tcPr>
            <w:tcW w:w="160" w:type="dxa"/>
            <w:vAlign w:val="bottom"/>
          </w:tcPr>
          <w:p>
            <w:pPr>
              <w:jc w:val="right"/>
              <w:spacing w:after="0"/>
              <w:rPr>
                <w:sz w:val="20"/>
                <w:szCs w:val="20"/>
                <w:color w:val="auto"/>
              </w:rPr>
            </w:pPr>
            <w:r>
              <w:rPr>
                <w:rFonts w:ascii="Arial" w:cs="Arial" w:eastAsia="Arial" w:hAnsi="Arial"/>
                <w:sz w:val="16"/>
                <w:szCs w:val="16"/>
                <w:color w:val="auto"/>
              </w:rPr>
              <w:t>$</w:t>
            </w:r>
          </w:p>
        </w:tc>
        <w:tc>
          <w:tcPr>
            <w:tcW w:w="1520" w:type="dxa"/>
            <w:vAlign w:val="bottom"/>
          </w:tcPr>
          <w:p>
            <w:pPr>
              <w:jc w:val="right"/>
              <w:spacing w:after="0"/>
              <w:rPr>
                <w:sz w:val="20"/>
                <w:szCs w:val="20"/>
                <w:color w:val="auto"/>
              </w:rPr>
            </w:pPr>
            <w:r>
              <w:rPr>
                <w:rFonts w:ascii="Arial" w:cs="Arial" w:eastAsia="Arial" w:hAnsi="Arial"/>
                <w:sz w:val="16"/>
                <w:szCs w:val="16"/>
                <w:color w:val="auto"/>
              </w:rPr>
              <w:t>231.68</w:t>
            </w:r>
          </w:p>
        </w:tc>
      </w:tr>
      <w:tr>
        <w:trPr>
          <w:trHeight w:val="217"/>
        </w:trPr>
        <w:tc>
          <w:tcPr>
            <w:tcW w:w="3640" w:type="dxa"/>
            <w:vAlign w:val="bottom"/>
            <w:shd w:val="clear" w:color="auto" w:fill="CCEEFF"/>
          </w:tcPr>
          <w:p>
            <w:pPr>
              <w:ind w:left="20"/>
              <w:spacing w:after="0"/>
              <w:rPr>
                <w:sz w:val="20"/>
                <w:szCs w:val="20"/>
                <w:color w:val="auto"/>
              </w:rPr>
            </w:pPr>
            <w:r>
              <w:rPr>
                <w:rFonts w:ascii="Arial" w:cs="Arial" w:eastAsia="Arial" w:hAnsi="Arial"/>
                <w:sz w:val="16"/>
                <w:szCs w:val="16"/>
                <w:color w:val="auto"/>
              </w:rPr>
              <w:t>Shares vested</w:t>
            </w:r>
          </w:p>
        </w:tc>
        <w:tc>
          <w:tcPr>
            <w:tcW w:w="2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(42,409)</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2060" w:type="dxa"/>
            <w:vAlign w:val="bottom"/>
            <w:shd w:val="clear" w:color="auto" w:fill="CCEEFF"/>
          </w:tcPr>
          <w:p>
            <w:pPr>
              <w:jc w:val="right"/>
              <w:ind w:right="519"/>
              <w:spacing w:after="0"/>
              <w:rPr>
                <w:sz w:val="20"/>
                <w:szCs w:val="20"/>
                <w:color w:val="auto"/>
              </w:rPr>
            </w:pPr>
            <w:r>
              <w:rPr>
                <w:rFonts w:ascii="Arial" w:cs="Arial" w:eastAsia="Arial" w:hAnsi="Arial"/>
                <w:sz w:val="16"/>
                <w:szCs w:val="16"/>
                <w:color w:val="auto"/>
              </w:rPr>
              <w:t>140.38</w:t>
            </w:r>
          </w:p>
        </w:tc>
        <w:tc>
          <w:tcPr>
            <w:tcW w:w="15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(32,360)</w:t>
            </w:r>
          </w:p>
        </w:tc>
        <w:tc>
          <w:tcPr>
            <w:tcW w:w="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5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166.85</w:t>
            </w:r>
          </w:p>
        </w:tc>
      </w:tr>
      <w:tr>
        <w:trPr>
          <w:trHeight w:val="223"/>
        </w:trPr>
        <w:tc>
          <w:tcPr>
            <w:tcW w:w="36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Forfeited</w:t>
            </w:r>
          </w:p>
        </w:tc>
        <w:tc>
          <w:tcPr>
            <w:tcW w:w="2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(285)</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06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140.18</w:t>
            </w: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(24,599)</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200.16</w:t>
            </w:r>
          </w:p>
        </w:tc>
      </w:tr>
      <w:tr>
        <w:trPr>
          <w:trHeight w:val="243"/>
        </w:trPr>
        <w:tc>
          <w:tcPr>
            <w:tcW w:w="3640" w:type="dxa"/>
            <w:vAlign w:val="bottom"/>
            <w:shd w:val="clear" w:color="auto" w:fill="CCEEFF"/>
          </w:tcPr>
          <w:p>
            <w:pPr>
              <w:spacing w:after="0"/>
              <w:rPr>
                <w:sz w:val="21"/>
                <w:szCs w:val="21"/>
                <w:color w:val="auto"/>
              </w:rPr>
            </w:pPr>
          </w:p>
        </w:tc>
        <w:tc>
          <w:tcPr>
            <w:tcW w:w="212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2060" w:type="dxa"/>
            <w:vAlign w:val="bottom"/>
            <w:shd w:val="clear" w:color="auto" w:fill="CCEEFF"/>
          </w:tcPr>
          <w:p>
            <w:pPr>
              <w:spacing w:after="0"/>
              <w:rPr>
                <w:sz w:val="21"/>
                <w:szCs w:val="21"/>
                <w:color w:val="auto"/>
              </w:rPr>
            </w:pPr>
          </w:p>
        </w:tc>
        <w:tc>
          <w:tcPr>
            <w:tcW w:w="1580" w:type="dxa"/>
            <w:vAlign w:val="bottom"/>
            <w:shd w:val="clear" w:color="auto" w:fill="CCEEFF"/>
          </w:tcPr>
          <w:p>
            <w:pPr>
              <w:spacing w:after="0"/>
              <w:rPr>
                <w:sz w:val="21"/>
                <w:szCs w:val="21"/>
                <w:color w:val="auto"/>
              </w:rPr>
            </w:pPr>
          </w:p>
        </w:tc>
        <w:tc>
          <w:tcPr>
            <w:tcW w:w="160" w:type="dxa"/>
            <w:vAlign w:val="bottom"/>
            <w:shd w:val="clear" w:color="auto" w:fill="CCEEFF"/>
          </w:tcPr>
          <w:p>
            <w:pPr>
              <w:spacing w:after="0"/>
              <w:rPr>
                <w:sz w:val="21"/>
                <w:szCs w:val="21"/>
                <w:color w:val="auto"/>
              </w:rPr>
            </w:pPr>
          </w:p>
        </w:tc>
        <w:tc>
          <w:tcPr>
            <w:tcW w:w="1520" w:type="dxa"/>
            <w:vAlign w:val="bottom"/>
            <w:shd w:val="clear" w:color="auto" w:fill="CCEEFF"/>
          </w:tcPr>
          <w:p>
            <w:pPr>
              <w:spacing w:after="0"/>
              <w:rPr>
                <w:sz w:val="21"/>
                <w:szCs w:val="21"/>
                <w:color w:val="auto"/>
              </w:rPr>
            </w:pPr>
          </w:p>
        </w:tc>
      </w:tr>
      <w:tr>
        <w:trPr>
          <w:trHeight w:val="215"/>
        </w:trPr>
        <w:tc>
          <w:tcPr>
            <w:tcW w:w="364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Outstanding at March 31, 2022</w:t>
            </w:r>
          </w:p>
        </w:tc>
        <w:tc>
          <w:tcPr>
            <w:tcW w:w="212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163,445</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2060" w:type="dxa"/>
            <w:vAlign w:val="bottom"/>
            <w:tcBorders>
              <w:bottom w:val="single" w:sz="8" w:color="auto"/>
            </w:tcBorders>
          </w:tcPr>
          <w:p>
            <w:pPr>
              <w:jc w:val="right"/>
              <w:ind w:right="519"/>
              <w:spacing w:after="0"/>
              <w:rPr>
                <w:sz w:val="20"/>
                <w:szCs w:val="20"/>
                <w:color w:val="auto"/>
              </w:rPr>
            </w:pPr>
            <w:r>
              <w:rPr>
                <w:rFonts w:ascii="Arial" w:cs="Arial" w:eastAsia="Arial" w:hAnsi="Arial"/>
                <w:sz w:val="16"/>
                <w:szCs w:val="16"/>
                <w:color w:val="auto"/>
              </w:rPr>
              <w:t>186.77</w:t>
            </w:r>
          </w:p>
        </w:tc>
        <w:tc>
          <w:tcPr>
            <w:tcW w:w="1580" w:type="dxa"/>
            <w:vAlign w:val="bottom"/>
            <w:tcBorders>
              <w:bottom w:val="single" w:sz="8" w:color="auto"/>
            </w:tcBorders>
          </w:tcPr>
          <w:p>
            <w:pPr>
              <w:jc w:val="right"/>
              <w:ind w:right="59"/>
              <w:spacing w:after="0"/>
              <w:rPr>
                <w:sz w:val="20"/>
                <w:szCs w:val="20"/>
                <w:color w:val="auto"/>
              </w:rPr>
            </w:pPr>
            <w:r>
              <w:rPr>
                <w:rFonts w:ascii="Arial" w:cs="Arial" w:eastAsia="Arial" w:hAnsi="Arial"/>
                <w:sz w:val="16"/>
                <w:szCs w:val="16"/>
                <w:color w:val="auto"/>
              </w:rPr>
              <w:t>541,826</w:t>
            </w: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5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194.19</w:t>
            </w:r>
          </w:p>
        </w:tc>
      </w:tr>
      <w:tr>
        <w:trPr>
          <w:trHeight w:val="21"/>
        </w:trPr>
        <w:tc>
          <w:tcPr>
            <w:tcW w:w="3640" w:type="dxa"/>
            <w:vAlign w:val="bottom"/>
            <w:tcBorders>
              <w:bottom w:val="single" w:sz="8" w:color="auto"/>
            </w:tcBorders>
          </w:tcPr>
          <w:p>
            <w:pPr>
              <w:spacing w:after="0" w:line="20" w:lineRule="exact"/>
              <w:rPr>
                <w:sz w:val="1"/>
                <w:szCs w:val="1"/>
                <w:color w:val="auto"/>
              </w:rPr>
            </w:pPr>
          </w:p>
        </w:tc>
        <w:tc>
          <w:tcPr>
            <w:tcW w:w="21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206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520" w:type="dxa"/>
            <w:vAlign w:val="bottom"/>
            <w:tcBorders>
              <w:bottom w:val="single" w:sz="8" w:color="auto"/>
            </w:tcBorders>
          </w:tcPr>
          <w:p>
            <w:pPr>
              <w:spacing w:after="0" w:line="20" w:lineRule="exact"/>
              <w:rPr>
                <w:sz w:val="1"/>
                <w:szCs w:val="1"/>
                <w:color w:val="auto"/>
              </w:rPr>
            </w:pPr>
          </w:p>
        </w:tc>
      </w:tr>
    </w:tbl>
    <w:p>
      <w:pPr>
        <w:spacing w:after="0" w:line="323"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fair value of PSUs vested for the three months ended March 31, 2022 totaled $6.0 million (full year 2021: $5.1 million).</w:t>
      </w:r>
    </w:p>
    <w:p>
      <w:pPr>
        <w:spacing w:after="0" w:line="248" w:lineRule="exact"/>
        <w:rPr>
          <w:sz w:val="20"/>
          <w:szCs w:val="20"/>
          <w:color w:val="auto"/>
        </w:rPr>
      </w:pPr>
    </w:p>
    <w:p>
      <w:pPr>
        <w:ind w:left="660"/>
        <w:spacing w:after="0"/>
        <w:rPr>
          <w:sz w:val="20"/>
          <w:szCs w:val="20"/>
          <w:color w:val="auto"/>
        </w:rPr>
      </w:pPr>
      <w:r>
        <w:rPr>
          <w:rFonts w:ascii="Arial" w:cs="Arial" w:eastAsia="Arial" w:hAnsi="Arial"/>
          <w:sz w:val="16"/>
          <w:szCs w:val="16"/>
          <w:color w:val="auto"/>
        </w:rPr>
        <w:t>The fair value of RSUs vested for the three months ended March 31, 2022 totaled $5.4 million (full year 2021: $83.5 million).</w:t>
      </w:r>
    </w:p>
    <w:p>
      <w:pPr>
        <w:spacing w:after="0" w:line="262"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6"/>
          <w:szCs w:val="16"/>
          <w:color w:val="auto"/>
        </w:rPr>
        <w:t>The PSUs vest based on service and specified EPS targets over the periods 2020 – 2022, 2021 - 2023 and 2022 - 2024. Depending on the amount of EPS from 2020 to 2024, up to an additional 82,594 PSUs may also be granted.</w:t>
      </w:r>
    </w:p>
    <w:p>
      <w:pPr>
        <w:spacing w:after="0" w:line="198" w:lineRule="exact"/>
        <w:rPr>
          <w:sz w:val="20"/>
          <w:szCs w:val="20"/>
          <w:color w:val="auto"/>
        </w:rPr>
      </w:pPr>
    </w:p>
    <w:p>
      <w:pPr>
        <w:spacing w:after="0"/>
        <w:rPr>
          <w:sz w:val="20"/>
          <w:szCs w:val="20"/>
          <w:color w:val="auto"/>
        </w:rPr>
      </w:pPr>
      <w:r>
        <w:rPr>
          <w:rFonts w:ascii="Arial" w:cs="Arial" w:eastAsia="Arial" w:hAnsi="Arial"/>
          <w:sz w:val="16"/>
          <w:szCs w:val="16"/>
          <w:i w:val="1"/>
          <w:iCs w:val="1"/>
          <w:color w:val="auto"/>
        </w:rPr>
        <w:t>Non-cash stock compensation expense</w:t>
      </w:r>
    </w:p>
    <w:p>
      <w:pPr>
        <w:spacing w:after="0" w:line="246" w:lineRule="exact"/>
        <w:rPr>
          <w:sz w:val="20"/>
          <w:szCs w:val="20"/>
          <w:color w:val="auto"/>
        </w:rPr>
      </w:pPr>
    </w:p>
    <w:p>
      <w:pPr>
        <w:ind w:left="660"/>
        <w:spacing w:after="0"/>
        <w:rPr>
          <w:sz w:val="20"/>
          <w:szCs w:val="20"/>
          <w:color w:val="auto"/>
        </w:rPr>
      </w:pPr>
      <w:r>
        <w:rPr>
          <w:rFonts w:ascii="Arial" w:cs="Arial" w:eastAsia="Arial" w:hAnsi="Arial"/>
          <w:sz w:val="16"/>
          <w:szCs w:val="16"/>
          <w:color w:val="auto"/>
        </w:rPr>
        <w:t>Non-cash stock compensation expense for the three months ended March 31, 2022 and March 31, 2021 has been allocated as follows:</w:t>
      </w:r>
    </w:p>
    <w:p>
      <w:pPr>
        <w:spacing w:after="0" w:line="14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820" w:type="dxa"/>
            <w:vAlign w:val="bottom"/>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3140" w:type="dxa"/>
            <w:vAlign w:val="bottom"/>
            <w:tcBorders>
              <w:bottom w:val="single" w:sz="8" w:color="auto"/>
            </w:tcBorders>
            <w:gridSpan w:val="3"/>
            <w:shd w:val="clear" w:color="auto" w:fill="CCEEFF"/>
          </w:tcPr>
          <w:p>
            <w:pPr>
              <w:jc w:val="right"/>
              <w:ind w:right="839"/>
              <w:spacing w:after="0"/>
              <w:rPr>
                <w:sz w:val="20"/>
                <w:szCs w:val="20"/>
                <w:color w:val="auto"/>
              </w:rPr>
            </w:pPr>
            <w:r>
              <w:rPr>
                <w:rFonts w:ascii="Arial" w:cs="Arial" w:eastAsia="Arial" w:hAnsi="Arial"/>
                <w:sz w:val="16"/>
                <w:szCs w:val="16"/>
                <w:b w:val="1"/>
                <w:bCs w:val="1"/>
                <w:color w:val="auto"/>
              </w:rPr>
              <w:t>Three Months Ended</w:t>
            </w:r>
          </w:p>
        </w:tc>
      </w:tr>
      <w:tr>
        <w:trPr>
          <w:trHeight w:val="210"/>
        </w:trPr>
        <w:tc>
          <w:tcPr>
            <w:tcW w:w="7820" w:type="dxa"/>
            <w:vAlign w:val="bottom"/>
            <w:tcBorders>
              <w:bottom w:val="single" w:sz="8" w:color="auto"/>
            </w:tcBorders>
          </w:tcPr>
          <w:p>
            <w:pPr>
              <w:spacing w:after="0"/>
              <w:rPr>
                <w:sz w:val="18"/>
                <w:szCs w:val="18"/>
                <w:color w:val="auto"/>
              </w:rPr>
            </w:pPr>
          </w:p>
        </w:tc>
        <w:tc>
          <w:tcPr>
            <w:tcW w:w="28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2022</w:t>
            </w:r>
          </w:p>
        </w:tc>
        <w:tc>
          <w:tcPr>
            <w:tcW w:w="36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09"/>
        </w:trPr>
        <w:tc>
          <w:tcPr>
            <w:tcW w:w="782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140" w:type="dxa"/>
            <w:vAlign w:val="bottom"/>
            <w:gridSpan w:val="3"/>
            <w:shd w:val="clear" w:color="auto" w:fill="CCEEFF"/>
          </w:tcPr>
          <w:p>
            <w:pPr>
              <w:jc w:val="right"/>
              <w:ind w:right="1079"/>
              <w:spacing w:after="0"/>
              <w:rPr>
                <w:sz w:val="20"/>
                <w:szCs w:val="20"/>
                <w:color w:val="auto"/>
              </w:rPr>
            </w:pPr>
            <w:r>
              <w:rPr>
                <w:rFonts w:ascii="Arial" w:cs="Arial" w:eastAsia="Arial" w:hAnsi="Arial"/>
                <w:sz w:val="16"/>
                <w:szCs w:val="16"/>
                <w:b w:val="1"/>
                <w:bCs w:val="1"/>
                <w:color w:val="auto"/>
              </w:rPr>
              <w:t>(in thousands)</w:t>
            </w:r>
          </w:p>
        </w:tc>
      </w:tr>
      <w:tr>
        <w:trPr>
          <w:trHeight w:val="215"/>
        </w:trPr>
        <w:tc>
          <w:tcPr>
            <w:tcW w:w="7820" w:type="dxa"/>
            <w:vAlign w:val="bottom"/>
          </w:tcPr>
          <w:p>
            <w:pPr>
              <w:ind w:left="20"/>
              <w:spacing w:after="0"/>
              <w:rPr>
                <w:sz w:val="20"/>
                <w:szCs w:val="20"/>
                <w:color w:val="auto"/>
              </w:rPr>
            </w:pPr>
            <w:r>
              <w:rPr>
                <w:rFonts w:ascii="Arial" w:cs="Arial" w:eastAsia="Arial" w:hAnsi="Arial"/>
                <w:sz w:val="16"/>
                <w:szCs w:val="16"/>
                <w:color w:val="auto"/>
              </w:rPr>
              <w:t>Direct costs</w:t>
            </w:r>
          </w:p>
        </w:tc>
        <w:tc>
          <w:tcPr>
            <w:tcW w:w="280" w:type="dxa"/>
            <w:vAlign w:val="bottom"/>
          </w:tcPr>
          <w:p>
            <w:pPr>
              <w:jc w:val="right"/>
              <w:ind w:right="99"/>
              <w:spacing w:after="0"/>
              <w:rPr>
                <w:sz w:val="20"/>
                <w:szCs w:val="20"/>
                <w:color w:val="auto"/>
              </w:rPr>
            </w:pPr>
            <w:r>
              <w:rPr>
                <w:rFonts w:ascii="Arial" w:cs="Arial" w:eastAsia="Arial" w:hAnsi="Arial"/>
                <w:sz w:val="16"/>
                <w:szCs w:val="16"/>
                <w:color w:val="auto"/>
                <w:w w:val="89"/>
              </w:rPr>
              <w:t>$</w:t>
            </w:r>
          </w:p>
        </w:tc>
        <w:tc>
          <w:tcPr>
            <w:tcW w:w="1420" w:type="dxa"/>
            <w:vAlign w:val="bottom"/>
          </w:tcPr>
          <w:p>
            <w:pPr>
              <w:jc w:val="right"/>
              <w:ind w:right="59"/>
              <w:spacing w:after="0"/>
              <w:rPr>
                <w:sz w:val="20"/>
                <w:szCs w:val="20"/>
                <w:color w:val="auto"/>
              </w:rPr>
            </w:pPr>
            <w:r>
              <w:rPr>
                <w:rFonts w:ascii="Arial" w:cs="Arial" w:eastAsia="Arial" w:hAnsi="Arial"/>
                <w:sz w:val="16"/>
                <w:szCs w:val="16"/>
                <w:color w:val="auto"/>
              </w:rPr>
              <w:t>4,999</w:t>
            </w:r>
          </w:p>
        </w:tc>
        <w:tc>
          <w:tcPr>
            <w:tcW w:w="36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360" w:type="dxa"/>
            <w:vAlign w:val="bottom"/>
          </w:tcPr>
          <w:p>
            <w:pPr>
              <w:jc w:val="right"/>
              <w:spacing w:after="0"/>
              <w:rPr>
                <w:sz w:val="20"/>
                <w:szCs w:val="20"/>
                <w:color w:val="auto"/>
              </w:rPr>
            </w:pPr>
            <w:r>
              <w:rPr>
                <w:rFonts w:ascii="Arial" w:cs="Arial" w:eastAsia="Arial" w:hAnsi="Arial"/>
                <w:sz w:val="16"/>
                <w:szCs w:val="16"/>
                <w:color w:val="auto"/>
              </w:rPr>
              <w:t>2,055</w:t>
            </w:r>
          </w:p>
        </w:tc>
      </w:tr>
      <w:tr>
        <w:trPr>
          <w:trHeight w:val="216"/>
        </w:trPr>
        <w:tc>
          <w:tcPr>
            <w:tcW w:w="7820" w:type="dxa"/>
            <w:vAlign w:val="bottom"/>
            <w:shd w:val="clear" w:color="auto" w:fill="CCEEFF"/>
          </w:tcPr>
          <w:p>
            <w:pPr>
              <w:ind w:left="20"/>
              <w:spacing w:after="0"/>
              <w:rPr>
                <w:sz w:val="20"/>
                <w:szCs w:val="20"/>
                <w:color w:val="auto"/>
              </w:rPr>
            </w:pPr>
            <w:r>
              <w:rPr>
                <w:rFonts w:ascii="Arial" w:cs="Arial" w:eastAsia="Arial" w:hAnsi="Arial"/>
                <w:sz w:val="16"/>
                <w:szCs w:val="16"/>
                <w:color w:val="auto"/>
              </w:rPr>
              <w:t>Selling, general and administrative</w:t>
            </w:r>
          </w:p>
        </w:tc>
        <w:tc>
          <w:tcPr>
            <w:tcW w:w="280" w:type="dxa"/>
            <w:vAlign w:val="bottom"/>
            <w:tcBorders>
              <w:bottom w:val="single" w:sz="8" w:color="auto"/>
            </w:tcBorders>
            <w:shd w:val="clear" w:color="auto" w:fill="CCEEFF"/>
          </w:tcPr>
          <w:p>
            <w:pPr>
              <w:spacing w:after="0"/>
              <w:rPr>
                <w:sz w:val="18"/>
                <w:szCs w:val="18"/>
                <w:color w:val="auto"/>
              </w:rPr>
            </w:pPr>
          </w:p>
        </w:tc>
        <w:tc>
          <w:tcPr>
            <w:tcW w:w="142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13,904</w:t>
            </w:r>
          </w:p>
        </w:tc>
        <w:tc>
          <w:tcPr>
            <w:tcW w:w="36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4,339</w:t>
            </w:r>
          </w:p>
        </w:tc>
      </w:tr>
      <w:tr>
        <w:trPr>
          <w:trHeight w:val="237"/>
        </w:trPr>
        <w:tc>
          <w:tcPr>
            <w:tcW w:w="78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360" w:type="dxa"/>
            <w:vAlign w:val="bottom"/>
          </w:tcPr>
          <w:p>
            <w:pPr>
              <w:spacing w:after="0"/>
              <w:rPr>
                <w:sz w:val="20"/>
                <w:szCs w:val="20"/>
                <w:color w:val="auto"/>
              </w:rPr>
            </w:pPr>
          </w:p>
        </w:tc>
      </w:tr>
      <w:tr>
        <w:trPr>
          <w:trHeight w:val="240"/>
        </w:trPr>
        <w:tc>
          <w:tcPr>
            <w:tcW w:w="7820" w:type="dxa"/>
            <w:vAlign w:val="bottom"/>
            <w:tcBorders>
              <w:bottom w:val="single" w:sz="8" w:color="auto"/>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w w:val="89"/>
              </w:rPr>
              <w:t>$</w:t>
            </w:r>
          </w:p>
        </w:tc>
        <w:tc>
          <w:tcPr>
            <w:tcW w:w="1420" w:type="dxa"/>
            <w:vAlign w:val="bottom"/>
            <w:tcBorders>
              <w:bottom w:val="single" w:sz="8" w:color="auto"/>
            </w:tcBorders>
            <w:shd w:val="clear" w:color="auto" w:fill="CCEEFF"/>
          </w:tcPr>
          <w:p>
            <w:pPr>
              <w:jc w:val="right"/>
              <w:ind w:right="59"/>
              <w:spacing w:after="0"/>
              <w:rPr>
                <w:sz w:val="20"/>
                <w:szCs w:val="20"/>
                <w:color w:val="auto"/>
              </w:rPr>
            </w:pPr>
            <w:r>
              <w:rPr>
                <w:rFonts w:ascii="Arial" w:cs="Arial" w:eastAsia="Arial" w:hAnsi="Arial"/>
                <w:sz w:val="16"/>
                <w:szCs w:val="16"/>
                <w:color w:val="auto"/>
              </w:rPr>
              <w:t>18,903</w:t>
            </w:r>
          </w:p>
        </w:tc>
        <w:tc>
          <w:tcPr>
            <w:tcW w:w="36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3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6,394</w:t>
            </w:r>
          </w:p>
        </w:tc>
      </w:tr>
      <w:tr>
        <w:trPr>
          <w:trHeight w:val="20"/>
        </w:trPr>
        <w:tc>
          <w:tcPr>
            <w:tcW w:w="782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420" w:type="dxa"/>
            <w:vAlign w:val="bottom"/>
            <w:tcBorders>
              <w:top w:val="single" w:sz="8" w:color="CCEEFF"/>
              <w:bottom w:val="single" w:sz="8" w:color="auto"/>
            </w:tcBorders>
          </w:tcPr>
          <w:p>
            <w:pPr>
              <w:spacing w:after="0" w:line="20" w:lineRule="exact"/>
              <w:rPr>
                <w:sz w:val="1"/>
                <w:szCs w:val="1"/>
                <w:color w:val="auto"/>
              </w:rPr>
            </w:pPr>
          </w:p>
        </w:tc>
        <w:tc>
          <w:tcPr>
            <w:tcW w:w="360" w:type="dxa"/>
            <w:vAlign w:val="bottom"/>
            <w:tcBorders>
              <w:top w:val="single" w:sz="8" w:color="CCEEFF"/>
              <w:bottom w:val="single" w:sz="8" w:color="auto"/>
            </w:tcBorders>
          </w:tcPr>
          <w:p>
            <w:pPr>
              <w:spacing w:after="0" w:line="20" w:lineRule="exact"/>
              <w:rPr>
                <w:sz w:val="1"/>
                <w:szCs w:val="1"/>
                <w:color w:val="auto"/>
              </w:rPr>
            </w:pPr>
          </w:p>
        </w:tc>
        <w:tc>
          <w:tcPr>
            <w:tcW w:w="1360" w:type="dxa"/>
            <w:vAlign w:val="bottom"/>
            <w:tcBorders>
              <w:top w:val="single" w:sz="8" w:color="CCEEFF"/>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4"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16. Share capital</w:t>
      </w:r>
    </w:p>
    <w:p>
      <w:pPr>
        <w:spacing w:after="0" w:line="262" w:lineRule="exact"/>
        <w:rPr>
          <w:sz w:val="20"/>
          <w:szCs w:val="20"/>
          <w:color w:val="auto"/>
        </w:rPr>
      </w:pPr>
    </w:p>
    <w:p>
      <w:pPr>
        <w:jc w:val="both"/>
        <w:ind w:right="20" w:firstLine="194"/>
        <w:spacing w:after="0" w:line="286" w:lineRule="auto"/>
        <w:rPr>
          <w:sz w:val="20"/>
          <w:szCs w:val="20"/>
          <w:color w:val="auto"/>
        </w:rPr>
      </w:pPr>
      <w:r>
        <w:rPr>
          <w:rFonts w:ascii="Arial" w:cs="Arial" w:eastAsia="Arial" w:hAnsi="Arial"/>
          <w:sz w:val="16"/>
          <w:szCs w:val="16"/>
          <w:color w:val="auto"/>
        </w:rPr>
        <w:t>The Company can acquire up to 10% of its outstanding ordinary shares (by way of redemption), in accordance with Irish law, the United States securities laws, and the Company’s constitutional documents through open market share acquisitions.</w:t>
      </w:r>
    </w:p>
    <w:p>
      <w:pPr>
        <w:spacing w:after="0" w:line="196"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6"/>
          <w:szCs w:val="16"/>
          <w:color w:val="auto"/>
        </w:rPr>
        <w:t>On July 1, 2021, the Company completed its Merger with PRA. In accordance with the terms of the Merger Agreement, the Company issued 27,372,427 shares of the Company’s ordinary share capital at par value in exchange for all outstanding PRA shares of common stock.</w:t>
      </w:r>
    </w:p>
    <w:p>
      <w:pPr>
        <w:spacing w:after="0" w:line="183"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On February 18, 2022, the Company commenced a share buyback program which was fully complete at March 31, 2022. Under this buyback program, 420,530 ordinary shares were redeemed by the Company for total consideration of $100.0 million. The buyback program gives a broker authority to acquire the Company’s ordinary shares from time to time on the open market in accordance with agreed terms and limitations. All ordinary shares that were redeemed under the buyback program were canceled in accordance with the Constitution of the Company and the nominal value of these shares transferred to other undenominated capital reserve as required under Irish Company Law.</w:t>
      </w: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4" w:name="page25"/>
    <w:bookmarkEnd w:id="24"/>
    <w:p>
      <w:pPr>
        <w:spacing w:after="0"/>
        <w:rPr>
          <w:sz w:val="20"/>
          <w:szCs w:val="20"/>
          <w:color w:val="auto"/>
        </w:rPr>
      </w:pPr>
      <w:r>
        <w:rPr>
          <w:rFonts w:ascii="Arial" w:cs="Arial" w:eastAsia="Arial" w:hAnsi="Arial"/>
          <w:sz w:val="16"/>
          <w:szCs w:val="16"/>
          <w:b w:val="1"/>
          <w:bCs w:val="1"/>
          <w:color w:val="auto"/>
        </w:rPr>
        <w:t>17. Business Segment and Geographical Information</w:t>
      </w:r>
    </w:p>
    <w:p>
      <w:pPr>
        <w:spacing w:after="0" w:line="248"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6"/>
          <w:szCs w:val="16"/>
          <w:color w:val="auto"/>
        </w:rPr>
        <w:t>The Company is a clinical research organization ("CRO"), providing outsourced development services on a global basis to the pharmaceutical, biotechnology and medical device industries. It specializes in the strategic development, management and analysis of programs that support all stages of the clinical development process - from compound selection to Phase I-IV clinical studies. The Company has the expertise and capability to conduct clinical trials in most major therapeutic areas on a global basis and has the operational flexibility to provide development services on a stand-alone basis or as part of an integrated "full-service" solution. The Company has expanded through internal growth, together with a number of strategic acquisitions to enhance its expertise and capabilities in certain areas of the clinical development process.</w:t>
      </w:r>
    </w:p>
    <w:p>
      <w:pPr>
        <w:spacing w:after="0" w:line="217"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 xml:space="preserve">The Company determines and presents operating segments based on the information that is internally provided to the chief operating decision maker, the (‘CODM’) in accordance with ASC 280 </w:t>
      </w:r>
      <w:r>
        <w:rPr>
          <w:rFonts w:ascii="Arial" w:cs="Arial" w:eastAsia="Arial" w:hAnsi="Arial"/>
          <w:sz w:val="16"/>
          <w:szCs w:val="16"/>
          <w:i w:val="1"/>
          <w:iCs w:val="1"/>
          <w:color w:val="auto"/>
        </w:rPr>
        <w:t>'Segment Reporting'</w:t>
      </w:r>
      <w:r>
        <w:rPr>
          <w:rFonts w:ascii="Arial" w:cs="Arial" w:eastAsia="Arial" w:hAnsi="Arial"/>
          <w:sz w:val="16"/>
          <w:szCs w:val="16"/>
          <w:color w:val="auto"/>
        </w:rPr>
        <w:t>. The Company determined that the CODM was comprised of the Chief Executive Officer and the Chief Financial Officer.</w:t>
      </w:r>
    </w:p>
    <w:p>
      <w:pPr>
        <w:spacing w:after="0" w:line="191"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The Company operates as one business segment, which is the provision of outsourced development services on a global basis to the pharmaceutical, biotechnology and medical devices industries.</w:t>
      </w:r>
    </w:p>
    <w:p>
      <w:pPr>
        <w:spacing w:after="0" w:line="196"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Revenues are allocated to individual entities based on where the work is performed in accordance with the Company's global transfer pricing model. Revenues and income from operations in Ireland are a function of our global contracting model and the Group’s transfer pricing model.</w:t>
      </w:r>
    </w:p>
    <w:p>
      <w:pPr>
        <w:spacing w:after="0" w:line="183"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ICON Ireland (Ireland Segment) acts as the Group entrepreneur under the Company’s global transfer pricing model given its role in the development and management of the Group, its ownership of key intellectual property and customer relationships, its key role in the mitigation of risks faced by the Group and its responsibility for maintaining the Company’s global network. ICON Ireland enters into the majority of the Company’s customer contracts.</w:t>
      </w:r>
    </w:p>
    <w:p>
      <w:pPr>
        <w:spacing w:after="0" w:line="394"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ICON Ireland remunerates other operating entities in the ICON Group on the basis of a guaranteed cost plus mark-up for the services they perform in each of their local territories. The cost plus mark-up for each ICON entity is established to ensure that each of ICON Ireland and the ICON entities that are involved in the conduct of services for customers, earn an appropriate arms-length return having regard to the assets owned, risks borne, and functions performed by each entity from these intercompany transactions. The cost plus mark-up policy is reviewed annually to ensure that it is market appropriate. The integration of entities acquired through the Merger into this global network and global transfer pricing model remains ongoing.</w:t>
      </w:r>
    </w:p>
    <w:p>
      <w:pPr>
        <w:spacing w:after="0" w:line="199"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The geographic split of revenue disclosed for each region outside Ireland is the cost plus revenue attributable to these entities. The residual revenues of the Group, once each ICON entity has been paid its respective intercompany service fee, generally fall to be retained by ICON Ireland. As such, revenues and income from operations in Ireland are a function of this global transfer pricing model and comprise revenues of the Group after deducting the cost plus revenues attributable to the activities performed outside Ireland. The integration of entities acquired through the Merger into the global transfer pricing model remains ongoing and these entities were not substantially part of the Group's cost plus arrangement in the period ended March 31, 2022.</w:t>
      </w:r>
    </w:p>
    <w:p>
      <w:pPr>
        <w:spacing w:after="0" w:line="199"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The Company's areas of operation outside of Ireland include the United States, United Kingdom, Austria, Belgium, Bulgaria, Czech Republic, France, Germany, Hungary, Italy, Latvia, Poland, Portugal, Romania, Russia, Serbia, Spain, Sweden, The Netherlands, Turkey, Ukraine, Canada, Argentina, Brazil, Chile, Colombia, Mexico, Peru, China (including Hong Kong), India, Israel, Japan, Singapore, South Korea, The Philippines, Taiwan, Thailand, Australia, New Zealand, South Africa, Belarus, Bermuda, British Virgin Islands, Costa Rica, Croatia, Denmark, Egypt, Estonia, Finland, Georgia, Greece, Guatemala, Iceland, Jersey, Kenya, Lithuania, Luxembourg, Malaysia, Norway, Panama, Puerto Rico, Slovakia, Switzerland and Uruguay.</w:t>
      </w: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65" w:right="339" w:bottom="1440" w:gutter="0" w:footer="0" w:header="0"/>
        </w:sectPr>
      </w:pPr>
    </w:p>
    <w:bookmarkStart w:id="25" w:name="page26"/>
    <w:bookmarkEnd w:id="25"/>
    <w:p>
      <w:pPr>
        <w:ind w:left="660"/>
        <w:spacing w:after="0"/>
        <w:rPr>
          <w:sz w:val="20"/>
          <w:szCs w:val="20"/>
          <w:color w:val="auto"/>
        </w:rPr>
      </w:pPr>
      <w:r>
        <w:rPr>
          <w:rFonts w:ascii="Arial" w:cs="Arial" w:eastAsia="Arial" w:hAnsi="Arial"/>
          <w:sz w:val="16"/>
          <w:szCs w:val="16"/>
          <w:color w:val="auto"/>
        </w:rPr>
        <w:t>The geographical distribution of the Company’s segment measures as at March 31, 2022 and December 31, 2021 and for the three months ended</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March 31, 2022 and March 31, 2021 is as follows:</w:t>
      </w:r>
    </w:p>
    <w:p>
      <w:pPr>
        <w:spacing w:after="0" w:line="246" w:lineRule="exact"/>
        <w:rPr>
          <w:sz w:val="20"/>
          <w:szCs w:val="20"/>
          <w:color w:val="auto"/>
        </w:rPr>
      </w:pPr>
    </w:p>
    <w:tbl>
      <w:tblPr>
        <w:tblLayout w:type="fixed"/>
        <w:tblInd w:w="0" w:type="dxa"/>
        <w:tblCellMar>
          <w:top w:w="0" w:type="dxa"/>
          <w:left w:w="0" w:type="dxa"/>
          <w:bottom w:w="0" w:type="dxa"/>
          <w:right w:w="0" w:type="dxa"/>
        </w:tblCellMar>
      </w:tblPr>
      <w:tr>
        <w:trPr>
          <w:trHeight w:val="215"/>
        </w:trPr>
        <w:tc>
          <w:tcPr>
            <w:tcW w:w="8600" w:type="dxa"/>
            <w:vAlign w:val="bottom"/>
          </w:tcPr>
          <w:p>
            <w:pPr>
              <w:spacing w:after="0"/>
              <w:rPr>
                <w:sz w:val="20"/>
                <w:szCs w:val="20"/>
                <w:color w:val="auto"/>
              </w:rPr>
            </w:pPr>
            <w:r>
              <w:rPr>
                <w:rFonts w:ascii="Arial" w:cs="Arial" w:eastAsia="Arial" w:hAnsi="Arial"/>
                <w:sz w:val="16"/>
                <w:szCs w:val="16"/>
                <w:color w:val="auto"/>
              </w:rPr>
              <w:t>a) The distribution of revenue by geographical area was as follows:</w:t>
            </w:r>
          </w:p>
        </w:tc>
        <w:tc>
          <w:tcPr>
            <w:tcW w:w="30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700" w:type="dxa"/>
            <w:vAlign w:val="bottom"/>
          </w:tcPr>
          <w:p>
            <w:pPr>
              <w:spacing w:after="0"/>
              <w:rPr>
                <w:sz w:val="18"/>
                <w:szCs w:val="18"/>
                <w:color w:val="auto"/>
              </w:rPr>
            </w:pPr>
          </w:p>
        </w:tc>
      </w:tr>
      <w:tr>
        <w:trPr>
          <w:trHeight w:val="110"/>
        </w:trPr>
        <w:tc>
          <w:tcPr>
            <w:tcW w:w="8600" w:type="dxa"/>
            <w:vAlign w:val="bottom"/>
          </w:tcPr>
          <w:p>
            <w:pPr>
              <w:spacing w:after="0"/>
              <w:rPr>
                <w:sz w:val="9"/>
                <w:szCs w:val="9"/>
                <w:color w:val="auto"/>
              </w:rPr>
            </w:pPr>
          </w:p>
        </w:tc>
        <w:tc>
          <w:tcPr>
            <w:tcW w:w="300" w:type="dxa"/>
            <w:vAlign w:val="bottom"/>
          </w:tcPr>
          <w:p>
            <w:pPr>
              <w:spacing w:after="0"/>
              <w:rPr>
                <w:sz w:val="9"/>
                <w:szCs w:val="9"/>
                <w:color w:val="auto"/>
              </w:rPr>
            </w:pPr>
          </w:p>
        </w:tc>
        <w:tc>
          <w:tcPr>
            <w:tcW w:w="2340" w:type="dxa"/>
            <w:vAlign w:val="bottom"/>
            <w:gridSpan w:val="3"/>
          </w:tcPr>
          <w:p>
            <w:pPr>
              <w:spacing w:after="0"/>
              <w:rPr>
                <w:sz w:val="9"/>
                <w:szCs w:val="9"/>
                <w:color w:val="auto"/>
              </w:rPr>
            </w:pPr>
          </w:p>
        </w:tc>
      </w:tr>
      <w:tr>
        <w:trPr>
          <w:trHeight w:val="216"/>
        </w:trPr>
        <w:tc>
          <w:tcPr>
            <w:tcW w:w="860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340" w:type="dxa"/>
            <w:vAlign w:val="bottom"/>
            <w:tcBorders>
              <w:bottom w:val="single" w:sz="8" w:color="auto"/>
            </w:tcBorders>
            <w:gridSpan w:val="3"/>
            <w:shd w:val="clear" w:color="auto" w:fill="CCEEFF"/>
          </w:tcPr>
          <w:p>
            <w:pPr>
              <w:jc w:val="center"/>
              <w:ind w:right="219"/>
              <w:spacing w:after="0"/>
              <w:rPr>
                <w:sz w:val="20"/>
                <w:szCs w:val="20"/>
                <w:color w:val="auto"/>
              </w:rPr>
            </w:pPr>
            <w:r>
              <w:rPr>
                <w:rFonts w:ascii="Arial" w:cs="Arial" w:eastAsia="Arial" w:hAnsi="Arial"/>
                <w:sz w:val="16"/>
                <w:szCs w:val="16"/>
                <w:b w:val="1"/>
                <w:bCs w:val="1"/>
                <w:color w:val="auto"/>
              </w:rPr>
              <w:t>Three Months Ended</w:t>
            </w:r>
          </w:p>
        </w:tc>
      </w:tr>
      <w:tr>
        <w:trPr>
          <w:trHeight w:val="210"/>
        </w:trPr>
        <w:tc>
          <w:tcPr>
            <w:tcW w:w="860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March 31, 2022</w:t>
            </w:r>
          </w:p>
        </w:tc>
        <w:tc>
          <w:tcPr>
            <w:tcW w:w="132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09"/>
        </w:trPr>
        <w:tc>
          <w:tcPr>
            <w:tcW w:w="8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center"/>
              <w:ind w:left="319"/>
              <w:spacing w:after="0"/>
              <w:rPr>
                <w:sz w:val="20"/>
                <w:szCs w:val="20"/>
                <w:color w:val="auto"/>
              </w:rPr>
            </w:pPr>
            <w:r>
              <w:rPr>
                <w:rFonts w:ascii="Arial" w:cs="Arial" w:eastAsia="Arial" w:hAnsi="Arial"/>
                <w:sz w:val="16"/>
                <w:szCs w:val="16"/>
                <w:b w:val="1"/>
                <w:bCs w:val="1"/>
                <w:color w:val="auto"/>
              </w:rPr>
              <w:t>(in thousands)</w:t>
            </w:r>
          </w:p>
        </w:tc>
        <w:tc>
          <w:tcPr>
            <w:tcW w:w="700" w:type="dxa"/>
            <w:vAlign w:val="bottom"/>
            <w:shd w:val="clear" w:color="auto" w:fill="CCEEFF"/>
          </w:tcPr>
          <w:p>
            <w:pPr>
              <w:spacing w:after="0"/>
              <w:rPr>
                <w:sz w:val="18"/>
                <w:szCs w:val="18"/>
                <w:color w:val="auto"/>
              </w:rPr>
            </w:pPr>
          </w:p>
        </w:tc>
      </w:tr>
      <w:tr>
        <w:trPr>
          <w:trHeight w:val="215"/>
        </w:trPr>
        <w:tc>
          <w:tcPr>
            <w:tcW w:w="8600" w:type="dxa"/>
            <w:vAlign w:val="bottom"/>
          </w:tcPr>
          <w:p>
            <w:pPr>
              <w:ind w:left="20"/>
              <w:spacing w:after="0"/>
              <w:rPr>
                <w:sz w:val="20"/>
                <w:szCs w:val="20"/>
                <w:color w:val="auto"/>
              </w:rPr>
            </w:pPr>
            <w:r>
              <w:rPr>
                <w:rFonts w:ascii="Arial" w:cs="Arial" w:eastAsia="Arial" w:hAnsi="Arial"/>
                <w:sz w:val="16"/>
                <w:szCs w:val="16"/>
                <w:color w:val="auto"/>
              </w:rPr>
              <w:t>Ireland</w:t>
            </w:r>
          </w:p>
        </w:tc>
        <w:tc>
          <w:tcPr>
            <w:tcW w:w="300" w:type="dxa"/>
            <w:vAlign w:val="bottom"/>
          </w:tcPr>
          <w:p>
            <w:pPr>
              <w:jc w:val="right"/>
              <w:ind w:right="119"/>
              <w:spacing w:after="0"/>
              <w:rPr>
                <w:sz w:val="20"/>
                <w:szCs w:val="20"/>
                <w:color w:val="auto"/>
              </w:rPr>
            </w:pPr>
            <w:r>
              <w:rPr>
                <w:rFonts w:ascii="Arial" w:cs="Arial" w:eastAsia="Arial" w:hAnsi="Arial"/>
                <w:sz w:val="16"/>
                <w:szCs w:val="16"/>
                <w:color w:val="auto"/>
                <w:w w:val="89"/>
              </w:rPr>
              <w:t>$</w:t>
            </w: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367,359</w:t>
            </w:r>
          </w:p>
        </w:tc>
        <w:tc>
          <w:tcPr>
            <w:tcW w:w="620" w:type="dxa"/>
            <w:vAlign w:val="bottom"/>
          </w:tcPr>
          <w:p>
            <w:pPr>
              <w:jc w:val="right"/>
              <w:ind w:right="379"/>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308,121</w:t>
            </w:r>
          </w:p>
        </w:tc>
      </w:tr>
      <w:tr>
        <w:trPr>
          <w:trHeight w:val="217"/>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Rest of Europe</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456,064</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120,354</w:t>
            </w:r>
          </w:p>
        </w:tc>
      </w:tr>
      <w:tr>
        <w:trPr>
          <w:trHeight w:val="215"/>
        </w:trPr>
        <w:tc>
          <w:tcPr>
            <w:tcW w:w="8600" w:type="dxa"/>
            <w:vAlign w:val="bottom"/>
          </w:tcPr>
          <w:p>
            <w:pPr>
              <w:ind w:left="20"/>
              <w:spacing w:after="0"/>
              <w:rPr>
                <w:sz w:val="20"/>
                <w:szCs w:val="20"/>
                <w:color w:val="auto"/>
              </w:rPr>
            </w:pPr>
            <w:r>
              <w:rPr>
                <w:rFonts w:ascii="Arial" w:cs="Arial" w:eastAsia="Arial" w:hAnsi="Arial"/>
                <w:sz w:val="16"/>
                <w:szCs w:val="16"/>
                <w:color w:val="auto"/>
              </w:rPr>
              <w:t>U.S.</w:t>
            </w:r>
          </w:p>
        </w:tc>
        <w:tc>
          <w:tcPr>
            <w:tcW w:w="30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970,629</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352,496</w:t>
            </w:r>
          </w:p>
        </w:tc>
      </w:tr>
      <w:tr>
        <w:trPr>
          <w:trHeight w:val="224"/>
        </w:trPr>
        <w:tc>
          <w:tcPr>
            <w:tcW w:w="86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Rest of World</w:t>
            </w:r>
          </w:p>
        </w:tc>
        <w:tc>
          <w:tcPr>
            <w:tcW w:w="30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107,712</w:t>
            </w:r>
          </w:p>
        </w:tc>
        <w:tc>
          <w:tcPr>
            <w:tcW w:w="62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77,227</w:t>
            </w:r>
          </w:p>
        </w:tc>
      </w:tr>
      <w:tr>
        <w:trPr>
          <w:trHeight w:val="243"/>
        </w:trPr>
        <w:tc>
          <w:tcPr>
            <w:tcW w:w="8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700" w:type="dxa"/>
            <w:vAlign w:val="bottom"/>
          </w:tcPr>
          <w:p>
            <w:pPr>
              <w:spacing w:after="0"/>
              <w:rPr>
                <w:sz w:val="21"/>
                <w:szCs w:val="21"/>
                <w:color w:val="auto"/>
              </w:rPr>
            </w:pPr>
          </w:p>
        </w:tc>
      </w:tr>
      <w:tr>
        <w:trPr>
          <w:trHeight w:val="240"/>
        </w:trPr>
        <w:tc>
          <w:tcPr>
            <w:tcW w:w="86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300" w:type="dxa"/>
            <w:vAlign w:val="bottom"/>
            <w:tcBorders>
              <w:bottom w:val="single" w:sz="8" w:color="auto"/>
            </w:tcBorders>
            <w:shd w:val="clear" w:color="auto" w:fill="CCEEFF"/>
          </w:tcPr>
          <w:p>
            <w:pPr>
              <w:jc w:val="right"/>
              <w:ind w:right="119"/>
              <w:spacing w:after="0"/>
              <w:rPr>
                <w:sz w:val="20"/>
                <w:szCs w:val="20"/>
                <w:color w:val="auto"/>
              </w:rPr>
            </w:pPr>
            <w:r>
              <w:rPr>
                <w:rFonts w:ascii="Arial" w:cs="Arial" w:eastAsia="Arial" w:hAnsi="Arial"/>
                <w:sz w:val="16"/>
                <w:szCs w:val="16"/>
                <w:color w:val="auto"/>
                <w:w w:val="89"/>
              </w:rPr>
              <w:t>$</w:t>
            </w:r>
          </w:p>
        </w:tc>
        <w:tc>
          <w:tcPr>
            <w:tcW w:w="10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1,901,764</w:t>
            </w:r>
          </w:p>
        </w:tc>
        <w:tc>
          <w:tcPr>
            <w:tcW w:w="620" w:type="dxa"/>
            <w:vAlign w:val="bottom"/>
            <w:tcBorders>
              <w:bottom w:val="single" w:sz="8" w:color="auto"/>
            </w:tcBorders>
            <w:shd w:val="clear" w:color="auto" w:fill="CCEEFF"/>
          </w:tcPr>
          <w:p>
            <w:pPr>
              <w:jc w:val="right"/>
              <w:ind w:right="379"/>
              <w:spacing w:after="0"/>
              <w:rPr>
                <w:sz w:val="20"/>
                <w:szCs w:val="20"/>
                <w:color w:val="auto"/>
              </w:rPr>
            </w:pPr>
            <w:r>
              <w:rPr>
                <w:rFonts w:ascii="Arial" w:cs="Arial" w:eastAsia="Arial" w:hAnsi="Arial"/>
                <w:sz w:val="16"/>
                <w:szCs w:val="16"/>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858,198</w:t>
            </w:r>
          </w:p>
        </w:tc>
      </w:tr>
      <w:tr>
        <w:trPr>
          <w:trHeight w:val="20"/>
        </w:trPr>
        <w:tc>
          <w:tcPr>
            <w:tcW w:w="860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r>
        <w:trPr>
          <w:trHeight w:val="499"/>
        </w:trPr>
        <w:tc>
          <w:tcPr>
            <w:tcW w:w="8600" w:type="dxa"/>
            <w:vAlign w:val="bottom"/>
          </w:tcPr>
          <w:p>
            <w:pPr>
              <w:spacing w:after="0"/>
              <w:rPr>
                <w:sz w:val="20"/>
                <w:szCs w:val="20"/>
                <w:color w:val="auto"/>
              </w:rPr>
            </w:pPr>
            <w:r>
              <w:rPr>
                <w:rFonts w:ascii="Arial" w:cs="Arial" w:eastAsia="Arial" w:hAnsi="Arial"/>
                <w:sz w:val="16"/>
                <w:szCs w:val="16"/>
                <w:color w:val="auto"/>
              </w:rPr>
              <w:t>b) The distribution of income from operations by geographical area was as follows:</w:t>
            </w:r>
          </w:p>
        </w:tc>
        <w:tc>
          <w:tcPr>
            <w:tcW w:w="30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123"/>
        </w:trPr>
        <w:tc>
          <w:tcPr>
            <w:tcW w:w="860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2340" w:type="dxa"/>
            <w:vAlign w:val="bottom"/>
            <w:gridSpan w:val="3"/>
          </w:tcPr>
          <w:p>
            <w:pPr>
              <w:spacing w:after="0"/>
              <w:rPr>
                <w:sz w:val="10"/>
                <w:szCs w:val="10"/>
                <w:color w:val="auto"/>
              </w:rPr>
            </w:pPr>
          </w:p>
        </w:tc>
      </w:tr>
      <w:tr>
        <w:trPr>
          <w:trHeight w:val="216"/>
        </w:trPr>
        <w:tc>
          <w:tcPr>
            <w:tcW w:w="8600" w:type="dxa"/>
            <w:vAlign w:val="bottom"/>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2340" w:type="dxa"/>
            <w:vAlign w:val="bottom"/>
            <w:tcBorders>
              <w:bottom w:val="single" w:sz="8" w:color="auto"/>
            </w:tcBorders>
            <w:gridSpan w:val="3"/>
            <w:shd w:val="clear" w:color="auto" w:fill="CCEEFF"/>
          </w:tcPr>
          <w:p>
            <w:pPr>
              <w:jc w:val="center"/>
              <w:ind w:right="219"/>
              <w:spacing w:after="0"/>
              <w:rPr>
                <w:sz w:val="20"/>
                <w:szCs w:val="20"/>
                <w:color w:val="auto"/>
              </w:rPr>
            </w:pPr>
            <w:r>
              <w:rPr>
                <w:rFonts w:ascii="Arial" w:cs="Arial" w:eastAsia="Arial" w:hAnsi="Arial"/>
                <w:sz w:val="16"/>
                <w:szCs w:val="16"/>
                <w:b w:val="1"/>
                <w:bCs w:val="1"/>
                <w:color w:val="auto"/>
              </w:rPr>
              <w:t>Three Months Ended</w:t>
            </w:r>
          </w:p>
        </w:tc>
      </w:tr>
      <w:tr>
        <w:trPr>
          <w:trHeight w:val="210"/>
        </w:trPr>
        <w:tc>
          <w:tcPr>
            <w:tcW w:w="8600" w:type="dxa"/>
            <w:vAlign w:val="bottom"/>
            <w:tcBorders>
              <w:bottom w:val="single" w:sz="8" w:color="auto"/>
            </w:tcBorders>
          </w:tcPr>
          <w:p>
            <w:pPr>
              <w:spacing w:after="0"/>
              <w:rPr>
                <w:sz w:val="18"/>
                <w:szCs w:val="18"/>
                <w:color w:val="auto"/>
              </w:rPr>
            </w:pPr>
          </w:p>
        </w:tc>
        <w:tc>
          <w:tcPr>
            <w:tcW w:w="132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March 31, 2022</w:t>
            </w:r>
          </w:p>
        </w:tc>
        <w:tc>
          <w:tcPr>
            <w:tcW w:w="1320" w:type="dxa"/>
            <w:vAlign w:val="bottom"/>
            <w:tcBorders>
              <w:bottom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rPr>
              <w:t>March 31, 2021</w:t>
            </w:r>
          </w:p>
        </w:tc>
      </w:tr>
      <w:tr>
        <w:trPr>
          <w:trHeight w:val="209"/>
        </w:trPr>
        <w:tc>
          <w:tcPr>
            <w:tcW w:w="86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1640" w:type="dxa"/>
            <w:vAlign w:val="bottom"/>
            <w:gridSpan w:val="2"/>
            <w:shd w:val="clear" w:color="auto" w:fill="CCEEFF"/>
          </w:tcPr>
          <w:p>
            <w:pPr>
              <w:jc w:val="center"/>
              <w:ind w:left="319"/>
              <w:spacing w:after="0"/>
              <w:rPr>
                <w:sz w:val="20"/>
                <w:szCs w:val="20"/>
                <w:color w:val="auto"/>
              </w:rPr>
            </w:pPr>
            <w:r>
              <w:rPr>
                <w:rFonts w:ascii="Arial" w:cs="Arial" w:eastAsia="Arial" w:hAnsi="Arial"/>
                <w:sz w:val="16"/>
                <w:szCs w:val="16"/>
                <w:b w:val="1"/>
                <w:bCs w:val="1"/>
                <w:color w:val="auto"/>
              </w:rPr>
              <w:t>(in thousands)</w:t>
            </w:r>
          </w:p>
        </w:tc>
        <w:tc>
          <w:tcPr>
            <w:tcW w:w="700" w:type="dxa"/>
            <w:vAlign w:val="bottom"/>
            <w:shd w:val="clear" w:color="auto" w:fill="CCEEFF"/>
          </w:tcPr>
          <w:p>
            <w:pPr>
              <w:spacing w:after="0"/>
              <w:rPr>
                <w:sz w:val="18"/>
                <w:szCs w:val="18"/>
                <w:color w:val="auto"/>
              </w:rPr>
            </w:pPr>
          </w:p>
        </w:tc>
      </w:tr>
      <w:tr>
        <w:trPr>
          <w:trHeight w:val="215"/>
        </w:trPr>
        <w:tc>
          <w:tcPr>
            <w:tcW w:w="8600" w:type="dxa"/>
            <w:vAlign w:val="bottom"/>
          </w:tcPr>
          <w:p>
            <w:pPr>
              <w:ind w:left="20"/>
              <w:spacing w:after="0"/>
              <w:rPr>
                <w:sz w:val="20"/>
                <w:szCs w:val="20"/>
                <w:color w:val="auto"/>
              </w:rPr>
            </w:pPr>
            <w:r>
              <w:rPr>
                <w:rFonts w:ascii="Arial" w:cs="Arial" w:eastAsia="Arial" w:hAnsi="Arial"/>
                <w:sz w:val="16"/>
                <w:szCs w:val="16"/>
                <w:color w:val="auto"/>
              </w:rPr>
              <w:t>Ireland *</w:t>
            </w:r>
          </w:p>
        </w:tc>
        <w:tc>
          <w:tcPr>
            <w:tcW w:w="300" w:type="dxa"/>
            <w:vAlign w:val="bottom"/>
          </w:tcPr>
          <w:p>
            <w:pPr>
              <w:jc w:val="right"/>
              <w:ind w:right="99"/>
              <w:spacing w:after="0"/>
              <w:rPr>
                <w:sz w:val="20"/>
                <w:szCs w:val="20"/>
                <w:color w:val="auto"/>
              </w:rPr>
            </w:pPr>
            <w:r>
              <w:rPr>
                <w:rFonts w:ascii="Arial" w:cs="Arial" w:eastAsia="Arial" w:hAnsi="Arial"/>
                <w:sz w:val="16"/>
                <w:szCs w:val="16"/>
                <w:color w:val="auto"/>
              </w:rPr>
              <w:t>$</w:t>
            </w: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9,874</w:t>
            </w:r>
          </w:p>
        </w:tc>
        <w:tc>
          <w:tcPr>
            <w:tcW w:w="620" w:type="dxa"/>
            <w:vAlign w:val="bottom"/>
          </w:tcPr>
          <w:p>
            <w:pPr>
              <w:jc w:val="right"/>
              <w:ind w:right="379"/>
              <w:spacing w:after="0"/>
              <w:rPr>
                <w:sz w:val="20"/>
                <w:szCs w:val="20"/>
                <w:color w:val="auto"/>
              </w:rPr>
            </w:pPr>
            <w:r>
              <w:rPr>
                <w:rFonts w:ascii="Arial" w:cs="Arial" w:eastAsia="Arial" w:hAnsi="Arial"/>
                <w:sz w:val="16"/>
                <w:szCs w:val="16"/>
                <w:color w:val="auto"/>
              </w:rPr>
              <w:t>$</w:t>
            </w:r>
          </w:p>
        </w:tc>
        <w:tc>
          <w:tcPr>
            <w:tcW w:w="700" w:type="dxa"/>
            <w:vAlign w:val="bottom"/>
          </w:tcPr>
          <w:p>
            <w:pPr>
              <w:jc w:val="right"/>
              <w:spacing w:after="0"/>
              <w:rPr>
                <w:sz w:val="20"/>
                <w:szCs w:val="20"/>
                <w:color w:val="auto"/>
              </w:rPr>
            </w:pPr>
            <w:r>
              <w:rPr>
                <w:rFonts w:ascii="Arial" w:cs="Arial" w:eastAsia="Arial" w:hAnsi="Arial"/>
                <w:sz w:val="16"/>
                <w:szCs w:val="16"/>
                <w:color w:val="auto"/>
              </w:rPr>
              <w:t>88,912</w:t>
            </w:r>
          </w:p>
        </w:tc>
      </w:tr>
      <w:tr>
        <w:trPr>
          <w:trHeight w:val="217"/>
        </w:trPr>
        <w:tc>
          <w:tcPr>
            <w:tcW w:w="8600" w:type="dxa"/>
            <w:vAlign w:val="bottom"/>
            <w:shd w:val="clear" w:color="auto" w:fill="CCEEFF"/>
          </w:tcPr>
          <w:p>
            <w:pPr>
              <w:ind w:left="20"/>
              <w:spacing w:after="0"/>
              <w:rPr>
                <w:sz w:val="20"/>
                <w:szCs w:val="20"/>
                <w:color w:val="auto"/>
              </w:rPr>
            </w:pPr>
            <w:r>
              <w:rPr>
                <w:rFonts w:ascii="Arial" w:cs="Arial" w:eastAsia="Arial" w:hAnsi="Arial"/>
                <w:sz w:val="16"/>
                <w:szCs w:val="16"/>
                <w:color w:val="auto"/>
              </w:rPr>
              <w:t>Rest of Europe</w:t>
            </w:r>
          </w:p>
        </w:tc>
        <w:tc>
          <w:tcPr>
            <w:tcW w:w="300" w:type="dxa"/>
            <w:vAlign w:val="bottom"/>
            <w:shd w:val="clear" w:color="auto" w:fill="CCEEFF"/>
          </w:tcPr>
          <w:p>
            <w:pPr>
              <w:spacing w:after="0"/>
              <w:rPr>
                <w:sz w:val="18"/>
                <w:szCs w:val="18"/>
                <w:color w:val="auto"/>
              </w:rPr>
            </w:pPr>
          </w:p>
        </w:tc>
        <w:tc>
          <w:tcPr>
            <w:tcW w:w="102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59,509</w:t>
            </w:r>
          </w:p>
        </w:tc>
        <w:tc>
          <w:tcPr>
            <w:tcW w:w="62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7,610</w:t>
            </w:r>
          </w:p>
        </w:tc>
      </w:tr>
      <w:tr>
        <w:trPr>
          <w:trHeight w:val="215"/>
        </w:trPr>
        <w:tc>
          <w:tcPr>
            <w:tcW w:w="8600" w:type="dxa"/>
            <w:vAlign w:val="bottom"/>
          </w:tcPr>
          <w:p>
            <w:pPr>
              <w:ind w:left="20"/>
              <w:spacing w:after="0"/>
              <w:rPr>
                <w:sz w:val="20"/>
                <w:szCs w:val="20"/>
                <w:color w:val="auto"/>
              </w:rPr>
            </w:pPr>
            <w:r>
              <w:rPr>
                <w:rFonts w:ascii="Arial" w:cs="Arial" w:eastAsia="Arial" w:hAnsi="Arial"/>
                <w:sz w:val="16"/>
                <w:szCs w:val="16"/>
                <w:color w:val="auto"/>
              </w:rPr>
              <w:t>U.S.</w:t>
            </w:r>
          </w:p>
        </w:tc>
        <w:tc>
          <w:tcPr>
            <w:tcW w:w="300" w:type="dxa"/>
            <w:vAlign w:val="bottom"/>
          </w:tcPr>
          <w:p>
            <w:pPr>
              <w:spacing w:after="0"/>
              <w:rPr>
                <w:sz w:val="18"/>
                <w:szCs w:val="18"/>
                <w:color w:val="auto"/>
              </w:rPr>
            </w:pPr>
          </w:p>
        </w:tc>
        <w:tc>
          <w:tcPr>
            <w:tcW w:w="1020" w:type="dxa"/>
            <w:vAlign w:val="bottom"/>
          </w:tcPr>
          <w:p>
            <w:pPr>
              <w:jc w:val="right"/>
              <w:ind w:right="39"/>
              <w:spacing w:after="0"/>
              <w:rPr>
                <w:sz w:val="20"/>
                <w:szCs w:val="20"/>
                <w:color w:val="auto"/>
              </w:rPr>
            </w:pPr>
            <w:r>
              <w:rPr>
                <w:rFonts w:ascii="Arial" w:cs="Arial" w:eastAsia="Arial" w:hAnsi="Arial"/>
                <w:sz w:val="16"/>
                <w:szCs w:val="16"/>
                <w:color w:val="auto"/>
              </w:rPr>
              <w:t>60,468</w:t>
            </w:r>
          </w:p>
        </w:tc>
        <w:tc>
          <w:tcPr>
            <w:tcW w:w="62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Arial" w:cs="Arial" w:eastAsia="Arial" w:hAnsi="Arial"/>
                <w:sz w:val="16"/>
                <w:szCs w:val="16"/>
                <w:color w:val="auto"/>
              </w:rPr>
              <w:t>13,237</w:t>
            </w:r>
          </w:p>
        </w:tc>
      </w:tr>
      <w:tr>
        <w:trPr>
          <w:trHeight w:val="224"/>
        </w:trPr>
        <w:tc>
          <w:tcPr>
            <w:tcW w:w="86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Rest of World</w:t>
            </w:r>
          </w:p>
        </w:tc>
        <w:tc>
          <w:tcPr>
            <w:tcW w:w="300" w:type="dxa"/>
            <w:vAlign w:val="bottom"/>
            <w:tcBorders>
              <w:bottom w:val="single" w:sz="8" w:color="auto"/>
            </w:tcBorders>
            <w:shd w:val="clear" w:color="auto" w:fill="CCEEFF"/>
          </w:tcPr>
          <w:p>
            <w:pPr>
              <w:spacing w:after="0"/>
              <w:rPr>
                <w:sz w:val="19"/>
                <w:szCs w:val="19"/>
                <w:color w:val="auto"/>
              </w:rPr>
            </w:pPr>
          </w:p>
        </w:tc>
        <w:tc>
          <w:tcPr>
            <w:tcW w:w="10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40,488</w:t>
            </w:r>
          </w:p>
        </w:tc>
        <w:tc>
          <w:tcPr>
            <w:tcW w:w="620" w:type="dxa"/>
            <w:vAlign w:val="bottom"/>
            <w:tcBorders>
              <w:bottom w:val="single" w:sz="8" w:color="auto"/>
            </w:tcBorders>
            <w:shd w:val="clear" w:color="auto" w:fill="CCEEFF"/>
          </w:tcPr>
          <w:p>
            <w:pPr>
              <w:spacing w:after="0"/>
              <w:rPr>
                <w:sz w:val="19"/>
                <w:szCs w:val="19"/>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6,255</w:t>
            </w:r>
          </w:p>
        </w:tc>
      </w:tr>
      <w:tr>
        <w:trPr>
          <w:trHeight w:val="243"/>
        </w:trPr>
        <w:tc>
          <w:tcPr>
            <w:tcW w:w="860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02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700" w:type="dxa"/>
            <w:vAlign w:val="bottom"/>
          </w:tcPr>
          <w:p>
            <w:pPr>
              <w:spacing w:after="0"/>
              <w:rPr>
                <w:sz w:val="21"/>
                <w:szCs w:val="21"/>
                <w:color w:val="auto"/>
              </w:rPr>
            </w:pPr>
          </w:p>
        </w:tc>
      </w:tr>
      <w:tr>
        <w:trPr>
          <w:trHeight w:val="240"/>
        </w:trPr>
        <w:tc>
          <w:tcPr>
            <w:tcW w:w="8600" w:type="dxa"/>
            <w:vAlign w:val="bottom"/>
            <w:tcBorders>
              <w:bottom w:val="single" w:sz="8" w:color="auto"/>
            </w:tcBorders>
            <w:shd w:val="clear" w:color="auto" w:fill="CCEEFF"/>
          </w:tcPr>
          <w:p>
            <w:pPr>
              <w:ind w:left="20"/>
              <w:spacing w:after="0"/>
              <w:rPr>
                <w:sz w:val="20"/>
                <w:szCs w:val="20"/>
                <w:color w:val="auto"/>
              </w:rPr>
            </w:pPr>
            <w:r>
              <w:rPr>
                <w:rFonts w:ascii="Arial" w:cs="Arial" w:eastAsia="Arial" w:hAnsi="Arial"/>
                <w:sz w:val="16"/>
                <w:szCs w:val="16"/>
                <w:color w:val="auto"/>
              </w:rPr>
              <w:t>Total</w:t>
            </w:r>
          </w:p>
        </w:tc>
        <w:tc>
          <w:tcPr>
            <w:tcW w:w="30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color w:val="auto"/>
              </w:rPr>
              <w:t>$</w:t>
            </w:r>
          </w:p>
        </w:tc>
        <w:tc>
          <w:tcPr>
            <w:tcW w:w="1020" w:type="dxa"/>
            <w:vAlign w:val="bottom"/>
            <w:tcBorders>
              <w:bottom w:val="single" w:sz="8" w:color="auto"/>
            </w:tcBorders>
            <w:shd w:val="clear" w:color="auto" w:fill="CCEEFF"/>
          </w:tcPr>
          <w:p>
            <w:pPr>
              <w:jc w:val="right"/>
              <w:ind w:right="39"/>
              <w:spacing w:after="0"/>
              <w:rPr>
                <w:sz w:val="20"/>
                <w:szCs w:val="20"/>
                <w:color w:val="auto"/>
              </w:rPr>
            </w:pPr>
            <w:r>
              <w:rPr>
                <w:rFonts w:ascii="Arial" w:cs="Arial" w:eastAsia="Arial" w:hAnsi="Arial"/>
                <w:sz w:val="16"/>
                <w:szCs w:val="16"/>
                <w:color w:val="auto"/>
              </w:rPr>
              <w:t>170,339</w:t>
            </w:r>
          </w:p>
        </w:tc>
        <w:tc>
          <w:tcPr>
            <w:tcW w:w="620" w:type="dxa"/>
            <w:vAlign w:val="bottom"/>
            <w:tcBorders>
              <w:bottom w:val="single" w:sz="8" w:color="auto"/>
            </w:tcBorders>
            <w:shd w:val="clear" w:color="auto" w:fill="CCEEFF"/>
          </w:tcPr>
          <w:p>
            <w:pPr>
              <w:jc w:val="right"/>
              <w:ind w:right="379"/>
              <w:spacing w:after="0"/>
              <w:rPr>
                <w:sz w:val="20"/>
                <w:szCs w:val="20"/>
                <w:color w:val="auto"/>
              </w:rPr>
            </w:pPr>
            <w:r>
              <w:rPr>
                <w:rFonts w:ascii="Arial" w:cs="Arial" w:eastAsia="Arial" w:hAnsi="Arial"/>
                <w:sz w:val="16"/>
                <w:szCs w:val="16"/>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116,014</w:t>
            </w:r>
          </w:p>
        </w:tc>
      </w:tr>
      <w:tr>
        <w:trPr>
          <w:trHeight w:val="20"/>
        </w:trPr>
        <w:tc>
          <w:tcPr>
            <w:tcW w:w="8600" w:type="dxa"/>
            <w:vAlign w:val="bottom"/>
            <w:tcBorders>
              <w:top w:val="single" w:sz="8" w:color="CCEEFF"/>
              <w:bottom w:val="single" w:sz="8" w:color="auto"/>
            </w:tcBorders>
          </w:tcPr>
          <w:p>
            <w:pPr>
              <w:spacing w:after="0" w:line="20" w:lineRule="exact"/>
              <w:rPr>
                <w:sz w:val="1"/>
                <w:szCs w:val="1"/>
                <w:color w:val="auto"/>
              </w:rPr>
            </w:pPr>
          </w:p>
        </w:tc>
        <w:tc>
          <w:tcPr>
            <w:tcW w:w="300" w:type="dxa"/>
            <w:vAlign w:val="bottom"/>
            <w:tcBorders>
              <w:top w:val="single" w:sz="8" w:color="CCEEFF"/>
              <w:bottom w:val="single" w:sz="8" w:color="auto"/>
            </w:tcBorders>
          </w:tcPr>
          <w:p>
            <w:pPr>
              <w:spacing w:after="0" w:line="20" w:lineRule="exact"/>
              <w:rPr>
                <w:sz w:val="1"/>
                <w:szCs w:val="1"/>
                <w:color w:val="auto"/>
              </w:rPr>
            </w:pPr>
          </w:p>
        </w:tc>
        <w:tc>
          <w:tcPr>
            <w:tcW w:w="1020" w:type="dxa"/>
            <w:vAlign w:val="bottom"/>
            <w:tcBorders>
              <w:top w:val="single" w:sz="8" w:color="CCEEFF"/>
              <w:bottom w:val="single" w:sz="8" w:color="auto"/>
            </w:tcBorders>
          </w:tcPr>
          <w:p>
            <w:pPr>
              <w:spacing w:after="0" w:line="20" w:lineRule="exact"/>
              <w:rPr>
                <w:sz w:val="1"/>
                <w:szCs w:val="1"/>
                <w:color w:val="auto"/>
              </w:rPr>
            </w:pPr>
          </w:p>
        </w:tc>
        <w:tc>
          <w:tcPr>
            <w:tcW w:w="620" w:type="dxa"/>
            <w:vAlign w:val="bottom"/>
            <w:tcBorders>
              <w:top w:val="single" w:sz="8" w:color="CCEEFF"/>
              <w:bottom w:val="single" w:sz="8" w:color="auto"/>
            </w:tcBorders>
          </w:tcPr>
          <w:p>
            <w:pPr>
              <w:spacing w:after="0" w:line="20" w:lineRule="exact"/>
              <w:rPr>
                <w:sz w:val="1"/>
                <w:szCs w:val="1"/>
                <w:color w:val="auto"/>
              </w:rPr>
            </w:pPr>
          </w:p>
        </w:tc>
        <w:tc>
          <w:tcPr>
            <w:tcW w:w="700" w:type="dxa"/>
            <w:vAlign w:val="bottom"/>
            <w:tcBorders>
              <w:top w:val="single" w:sz="8" w:color="CCEEFF"/>
              <w:bottom w:val="single" w:sz="8" w:color="auto"/>
            </w:tcBorders>
          </w:tcPr>
          <w:p>
            <w:pPr>
              <w:spacing w:after="0" w:line="20" w:lineRule="exact"/>
              <w:rPr>
                <w:sz w:val="1"/>
                <w:szCs w:val="1"/>
                <w:color w:val="auto"/>
              </w:rPr>
            </w:pPr>
          </w:p>
        </w:tc>
      </w:tr>
    </w:tbl>
    <w:p>
      <w:pPr>
        <w:spacing w:after="0" w:line="161" w:lineRule="exact"/>
        <w:rPr>
          <w:sz w:val="20"/>
          <w:szCs w:val="20"/>
          <w:color w:val="auto"/>
        </w:rPr>
      </w:pPr>
    </w:p>
    <w:p>
      <w:pPr>
        <w:ind w:firstLine="8"/>
        <w:spacing w:after="0" w:line="286" w:lineRule="auto"/>
        <w:tabs>
          <w:tab w:leader="none" w:pos="128" w:val="left"/>
        </w:tabs>
        <w:numPr>
          <w:ilvl w:val="0"/>
          <w:numId w:val="5"/>
        </w:numPr>
        <w:rPr>
          <w:rFonts w:ascii="Arial" w:cs="Arial" w:eastAsia="Arial" w:hAnsi="Arial"/>
          <w:sz w:val="16"/>
          <w:szCs w:val="16"/>
          <w:color w:val="auto"/>
        </w:rPr>
      </w:pPr>
      <w:r>
        <w:rPr>
          <w:rFonts w:ascii="Arial" w:cs="Arial" w:eastAsia="Arial" w:hAnsi="Arial"/>
          <w:sz w:val="16"/>
          <w:szCs w:val="16"/>
          <w:color w:val="auto"/>
        </w:rPr>
        <w:t>Includes the full amount of the amortization charge associated with the intangible asset acquired in the Merger. These assets have been provisionally allocated to Ireland.</w:t>
      </w:r>
    </w:p>
    <w:p>
      <w:pPr>
        <w:spacing w:after="0" w:line="277" w:lineRule="exact"/>
        <w:rPr>
          <w:sz w:val="20"/>
          <w:szCs w:val="20"/>
          <w:color w:val="auto"/>
        </w:rPr>
      </w:pPr>
    </w:p>
    <w:p>
      <w:pPr>
        <w:spacing w:after="0"/>
        <w:rPr>
          <w:sz w:val="20"/>
          <w:szCs w:val="20"/>
          <w:color w:val="auto"/>
        </w:rPr>
      </w:pPr>
      <w:r>
        <w:rPr>
          <w:rFonts w:ascii="Arial" w:cs="Arial" w:eastAsia="Arial" w:hAnsi="Arial"/>
          <w:sz w:val="16"/>
          <w:szCs w:val="16"/>
          <w:color w:val="auto"/>
        </w:rPr>
        <w:t>c) The distribution of long-lived assets (property, plant and equipment and operating right-of-use assets), net, by geographical area was as follows:</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4860" w:type="dxa"/>
            <w:vAlign w:val="bottom"/>
            <w:shd w:val="clear" w:color="auto" w:fill="CCEEFF"/>
          </w:tcPr>
          <w:p>
            <w:pPr>
              <w:spacing w:after="0"/>
              <w:rPr>
                <w:sz w:val="16"/>
                <w:szCs w:val="16"/>
                <w:color w:val="auto"/>
              </w:rPr>
            </w:pPr>
          </w:p>
        </w:tc>
        <w:tc>
          <w:tcPr>
            <w:tcW w:w="5060" w:type="dxa"/>
            <w:vAlign w:val="bottom"/>
            <w:gridSpan w:val="2"/>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March 31, 2022</w:t>
            </w:r>
          </w:p>
        </w:tc>
        <w:tc>
          <w:tcPr>
            <w:tcW w:w="200" w:type="dxa"/>
            <w:vAlign w:val="bottom"/>
            <w:shd w:val="clear" w:color="auto" w:fill="CCEEFF"/>
          </w:tcPr>
          <w:p>
            <w:pPr>
              <w:spacing w:after="0"/>
              <w:rPr>
                <w:sz w:val="16"/>
                <w:szCs w:val="16"/>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December 31,</w:t>
            </w:r>
          </w:p>
        </w:tc>
        <w:tc>
          <w:tcPr>
            <w:tcW w:w="0" w:type="dxa"/>
            <w:vAlign w:val="bottom"/>
          </w:tcPr>
          <w:p>
            <w:pPr>
              <w:spacing w:after="0"/>
              <w:rPr>
                <w:sz w:val="1"/>
                <w:szCs w:val="1"/>
                <w:color w:val="auto"/>
              </w:rPr>
            </w:pPr>
          </w:p>
        </w:tc>
      </w:tr>
      <w:tr>
        <w:trPr>
          <w:trHeight w:val="216"/>
        </w:trPr>
        <w:tc>
          <w:tcPr>
            <w:tcW w:w="4860" w:type="dxa"/>
            <w:vAlign w:val="bottom"/>
            <w:tcBorders>
              <w:bottom w:val="single" w:sz="8" w:color="auto"/>
            </w:tcBorders>
            <w:shd w:val="clear" w:color="auto" w:fill="CCEEFF"/>
          </w:tcPr>
          <w:p>
            <w:pPr>
              <w:spacing w:after="0"/>
              <w:rPr>
                <w:sz w:val="18"/>
                <w:szCs w:val="18"/>
                <w:color w:val="auto"/>
              </w:rPr>
            </w:pPr>
          </w:p>
        </w:tc>
        <w:tc>
          <w:tcPr>
            <w:tcW w:w="5060" w:type="dxa"/>
            <w:vAlign w:val="bottom"/>
            <w:tcBorders>
              <w:bottom w:val="single" w:sz="8" w:color="auto"/>
            </w:tcBorders>
            <w:gridSpan w:val="2"/>
            <w:vMerge w:val="continue"/>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18"/>
                <w:szCs w:val="18"/>
                <w:color w:val="auto"/>
              </w:rPr>
            </w:pPr>
          </w:p>
        </w:tc>
        <w:tc>
          <w:tcPr>
            <w:tcW w:w="112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2021</w:t>
            </w:r>
          </w:p>
        </w:tc>
        <w:tc>
          <w:tcPr>
            <w:tcW w:w="0" w:type="dxa"/>
            <w:vAlign w:val="bottom"/>
          </w:tcPr>
          <w:p>
            <w:pPr>
              <w:spacing w:after="0"/>
              <w:rPr>
                <w:sz w:val="1"/>
                <w:szCs w:val="1"/>
                <w:color w:val="auto"/>
              </w:rPr>
            </w:pPr>
          </w:p>
        </w:tc>
      </w:tr>
      <w:tr>
        <w:trPr>
          <w:trHeight w:val="210"/>
        </w:trPr>
        <w:tc>
          <w:tcPr>
            <w:tcW w:w="4860" w:type="dxa"/>
            <w:vAlign w:val="bottom"/>
          </w:tcPr>
          <w:p>
            <w:pPr>
              <w:spacing w:after="0"/>
              <w:rPr>
                <w:sz w:val="18"/>
                <w:szCs w:val="18"/>
                <w:color w:val="auto"/>
              </w:rPr>
            </w:pPr>
          </w:p>
        </w:tc>
        <w:tc>
          <w:tcPr>
            <w:tcW w:w="4100" w:type="dxa"/>
            <w:vAlign w:val="bottom"/>
          </w:tcPr>
          <w:p>
            <w:pPr>
              <w:spacing w:after="0"/>
              <w:rPr>
                <w:sz w:val="18"/>
                <w:szCs w:val="18"/>
                <w:color w:val="auto"/>
              </w:rPr>
            </w:pPr>
          </w:p>
        </w:tc>
        <w:tc>
          <w:tcPr>
            <w:tcW w:w="2280" w:type="dxa"/>
            <w:vAlign w:val="bottom"/>
            <w:gridSpan w:val="3"/>
          </w:tcPr>
          <w:p>
            <w:pPr>
              <w:jc w:val="right"/>
              <w:ind w:right="679"/>
              <w:spacing w:after="0"/>
              <w:rPr>
                <w:sz w:val="20"/>
                <w:szCs w:val="20"/>
                <w:color w:val="auto"/>
              </w:rPr>
            </w:pPr>
            <w:r>
              <w:rPr>
                <w:rFonts w:ascii="Arial" w:cs="Arial" w:eastAsia="Arial" w:hAnsi="Arial"/>
                <w:sz w:val="16"/>
                <w:szCs w:val="16"/>
                <w:b w:val="1"/>
                <w:bCs w:val="1"/>
                <w:color w:val="auto"/>
              </w:rPr>
              <w:t>(in thousands)</w:t>
            </w:r>
          </w:p>
        </w:tc>
        <w:tc>
          <w:tcPr>
            <w:tcW w:w="0" w:type="dxa"/>
            <w:vAlign w:val="bottom"/>
          </w:tcPr>
          <w:p>
            <w:pPr>
              <w:spacing w:after="0"/>
              <w:rPr>
                <w:sz w:val="1"/>
                <w:szCs w:val="1"/>
                <w:color w:val="auto"/>
              </w:rPr>
            </w:pPr>
          </w:p>
        </w:tc>
      </w:tr>
      <w:tr>
        <w:trPr>
          <w:trHeight w:val="216"/>
        </w:trPr>
        <w:tc>
          <w:tcPr>
            <w:tcW w:w="4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Ireland</w:t>
            </w:r>
          </w:p>
        </w:tc>
        <w:tc>
          <w:tcPr>
            <w:tcW w:w="4100" w:type="dxa"/>
            <w:vAlign w:val="bottom"/>
            <w:shd w:val="clear" w:color="auto" w:fill="CCEEFF"/>
          </w:tcPr>
          <w:p>
            <w:pPr>
              <w:jc w:val="right"/>
              <w:ind w:right="179"/>
              <w:spacing w:after="0"/>
              <w:rPr>
                <w:sz w:val="20"/>
                <w:szCs w:val="20"/>
                <w:color w:val="auto"/>
              </w:rPr>
            </w:pPr>
            <w:r>
              <w:rPr>
                <w:rFonts w:ascii="Arial" w:cs="Arial" w:eastAsia="Arial" w:hAnsi="Arial"/>
                <w:sz w:val="16"/>
                <w:szCs w:val="16"/>
                <w:color w:val="auto"/>
              </w:rPr>
              <w:t>$</w:t>
            </w:r>
          </w:p>
        </w:tc>
        <w:tc>
          <w:tcPr>
            <w:tcW w:w="9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116,680</w:t>
            </w:r>
          </w:p>
        </w:tc>
        <w:tc>
          <w:tcPr>
            <w:tcW w:w="200" w:type="dxa"/>
            <w:vAlign w:val="bottom"/>
            <w:shd w:val="clear" w:color="auto" w:fill="CCEEFF"/>
          </w:tcPr>
          <w:p>
            <w:pPr>
              <w:jc w:val="right"/>
              <w:spacing w:after="0"/>
              <w:rPr>
                <w:sz w:val="20"/>
                <w:szCs w:val="20"/>
                <w:color w:val="auto"/>
              </w:rPr>
            </w:pPr>
            <w:r>
              <w:rPr>
                <w:rFonts w:ascii="Arial" w:cs="Arial" w:eastAsia="Arial" w:hAnsi="Arial"/>
                <w:sz w:val="16"/>
                <w:szCs w:val="16"/>
                <w:color w:val="auto"/>
              </w:rPr>
              <w:t>$</w:t>
            </w: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118,253</w:t>
            </w:r>
          </w:p>
        </w:tc>
        <w:tc>
          <w:tcPr>
            <w:tcW w:w="0" w:type="dxa"/>
            <w:vAlign w:val="bottom"/>
          </w:tcPr>
          <w:p>
            <w:pPr>
              <w:spacing w:after="0"/>
              <w:rPr>
                <w:sz w:val="1"/>
                <w:szCs w:val="1"/>
                <w:color w:val="auto"/>
              </w:rPr>
            </w:pPr>
          </w:p>
        </w:tc>
      </w:tr>
      <w:tr>
        <w:trPr>
          <w:trHeight w:val="215"/>
        </w:trPr>
        <w:tc>
          <w:tcPr>
            <w:tcW w:w="4860" w:type="dxa"/>
            <w:vAlign w:val="bottom"/>
          </w:tcPr>
          <w:p>
            <w:pPr>
              <w:ind w:left="20"/>
              <w:spacing w:after="0"/>
              <w:rPr>
                <w:sz w:val="20"/>
                <w:szCs w:val="20"/>
                <w:color w:val="auto"/>
              </w:rPr>
            </w:pPr>
            <w:r>
              <w:rPr>
                <w:rFonts w:ascii="Arial" w:cs="Arial" w:eastAsia="Arial" w:hAnsi="Arial"/>
                <w:sz w:val="16"/>
                <w:szCs w:val="16"/>
                <w:color w:val="auto"/>
              </w:rPr>
              <w:t>Rest of Europe</w:t>
            </w:r>
          </w:p>
        </w:tc>
        <w:tc>
          <w:tcPr>
            <w:tcW w:w="4100" w:type="dxa"/>
            <w:vAlign w:val="bottom"/>
          </w:tcPr>
          <w:p>
            <w:pPr>
              <w:spacing w:after="0"/>
              <w:rPr>
                <w:sz w:val="18"/>
                <w:szCs w:val="18"/>
                <w:color w:val="auto"/>
              </w:rPr>
            </w:pPr>
          </w:p>
        </w:tc>
        <w:tc>
          <w:tcPr>
            <w:tcW w:w="960" w:type="dxa"/>
            <w:vAlign w:val="bottom"/>
          </w:tcPr>
          <w:p>
            <w:pPr>
              <w:jc w:val="right"/>
              <w:ind w:right="39"/>
              <w:spacing w:after="0"/>
              <w:rPr>
                <w:sz w:val="20"/>
                <w:szCs w:val="20"/>
                <w:color w:val="auto"/>
              </w:rPr>
            </w:pPr>
            <w:r>
              <w:rPr>
                <w:rFonts w:ascii="Arial" w:cs="Arial" w:eastAsia="Arial" w:hAnsi="Arial"/>
                <w:sz w:val="16"/>
                <w:szCs w:val="16"/>
                <w:color w:val="auto"/>
              </w:rPr>
              <w:t>107,742</w:t>
            </w:r>
          </w:p>
        </w:tc>
        <w:tc>
          <w:tcPr>
            <w:tcW w:w="200" w:type="dxa"/>
            <w:vAlign w:val="bottom"/>
          </w:tcPr>
          <w:p>
            <w:pPr>
              <w:spacing w:after="0"/>
              <w:rPr>
                <w:sz w:val="18"/>
                <w:szCs w:val="18"/>
                <w:color w:val="auto"/>
              </w:rPr>
            </w:pPr>
          </w:p>
        </w:tc>
        <w:tc>
          <w:tcPr>
            <w:tcW w:w="1120" w:type="dxa"/>
            <w:vAlign w:val="bottom"/>
          </w:tcPr>
          <w:p>
            <w:pPr>
              <w:jc w:val="right"/>
              <w:spacing w:after="0"/>
              <w:rPr>
                <w:sz w:val="20"/>
                <w:szCs w:val="20"/>
                <w:color w:val="auto"/>
              </w:rPr>
            </w:pPr>
            <w:r>
              <w:rPr>
                <w:rFonts w:ascii="Arial" w:cs="Arial" w:eastAsia="Arial" w:hAnsi="Arial"/>
                <w:sz w:val="16"/>
                <w:szCs w:val="16"/>
                <w:color w:val="auto"/>
              </w:rPr>
              <w:t>121,174</w:t>
            </w:r>
          </w:p>
        </w:tc>
        <w:tc>
          <w:tcPr>
            <w:tcW w:w="0" w:type="dxa"/>
            <w:vAlign w:val="bottom"/>
          </w:tcPr>
          <w:p>
            <w:pPr>
              <w:spacing w:after="0"/>
              <w:rPr>
                <w:sz w:val="1"/>
                <w:szCs w:val="1"/>
                <w:color w:val="auto"/>
              </w:rPr>
            </w:pPr>
          </w:p>
        </w:tc>
      </w:tr>
      <w:tr>
        <w:trPr>
          <w:trHeight w:val="217"/>
        </w:trPr>
        <w:tc>
          <w:tcPr>
            <w:tcW w:w="4860" w:type="dxa"/>
            <w:vAlign w:val="bottom"/>
            <w:shd w:val="clear" w:color="auto" w:fill="CCEEFF"/>
          </w:tcPr>
          <w:p>
            <w:pPr>
              <w:ind w:left="20"/>
              <w:spacing w:after="0"/>
              <w:rPr>
                <w:sz w:val="20"/>
                <w:szCs w:val="20"/>
                <w:color w:val="auto"/>
              </w:rPr>
            </w:pPr>
            <w:r>
              <w:rPr>
                <w:rFonts w:ascii="Arial" w:cs="Arial" w:eastAsia="Arial" w:hAnsi="Arial"/>
                <w:sz w:val="16"/>
                <w:szCs w:val="16"/>
                <w:color w:val="auto"/>
              </w:rPr>
              <w:t>U.S.</w:t>
            </w:r>
          </w:p>
        </w:tc>
        <w:tc>
          <w:tcPr>
            <w:tcW w:w="4100" w:type="dxa"/>
            <w:vAlign w:val="bottom"/>
            <w:shd w:val="clear" w:color="auto" w:fill="CCEEFF"/>
          </w:tcPr>
          <w:p>
            <w:pPr>
              <w:spacing w:after="0"/>
              <w:rPr>
                <w:sz w:val="18"/>
                <w:szCs w:val="18"/>
                <w:color w:val="auto"/>
              </w:rPr>
            </w:pPr>
          </w:p>
        </w:tc>
        <w:tc>
          <w:tcPr>
            <w:tcW w:w="960" w:type="dxa"/>
            <w:vAlign w:val="bottom"/>
            <w:shd w:val="clear" w:color="auto" w:fill="CCEEFF"/>
          </w:tcPr>
          <w:p>
            <w:pPr>
              <w:jc w:val="right"/>
              <w:ind w:right="39"/>
              <w:spacing w:after="0"/>
              <w:rPr>
                <w:sz w:val="20"/>
                <w:szCs w:val="20"/>
                <w:color w:val="auto"/>
              </w:rPr>
            </w:pPr>
            <w:r>
              <w:rPr>
                <w:rFonts w:ascii="Arial" w:cs="Arial" w:eastAsia="Arial" w:hAnsi="Arial"/>
                <w:sz w:val="16"/>
                <w:szCs w:val="16"/>
                <w:color w:val="auto"/>
              </w:rPr>
              <w:t>236,379</w:t>
            </w:r>
          </w:p>
        </w:tc>
        <w:tc>
          <w:tcPr>
            <w:tcW w:w="200" w:type="dxa"/>
            <w:vAlign w:val="bottom"/>
            <w:shd w:val="clear" w:color="auto" w:fill="CCEEFF"/>
          </w:tcPr>
          <w:p>
            <w:pPr>
              <w:spacing w:after="0"/>
              <w:rPr>
                <w:sz w:val="18"/>
                <w:szCs w:val="18"/>
                <w:color w:val="auto"/>
              </w:rPr>
            </w:pPr>
          </w:p>
        </w:tc>
        <w:tc>
          <w:tcPr>
            <w:tcW w:w="112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239,828</w:t>
            </w:r>
          </w:p>
        </w:tc>
        <w:tc>
          <w:tcPr>
            <w:tcW w:w="0" w:type="dxa"/>
            <w:vAlign w:val="bottom"/>
          </w:tcPr>
          <w:p>
            <w:pPr>
              <w:spacing w:after="0"/>
              <w:rPr>
                <w:sz w:val="1"/>
                <w:szCs w:val="1"/>
                <w:color w:val="auto"/>
              </w:rPr>
            </w:pPr>
          </w:p>
        </w:tc>
      </w:tr>
      <w:tr>
        <w:trPr>
          <w:trHeight w:val="223"/>
        </w:trPr>
        <w:tc>
          <w:tcPr>
            <w:tcW w:w="48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Rest of World</w:t>
            </w:r>
          </w:p>
        </w:tc>
        <w:tc>
          <w:tcPr>
            <w:tcW w:w="4100" w:type="dxa"/>
            <w:vAlign w:val="bottom"/>
            <w:tcBorders>
              <w:bottom w:val="single" w:sz="8" w:color="auto"/>
            </w:tcBorders>
          </w:tcPr>
          <w:p>
            <w:pPr>
              <w:spacing w:after="0"/>
              <w:rPr>
                <w:sz w:val="19"/>
                <w:szCs w:val="19"/>
                <w:color w:val="auto"/>
              </w:rPr>
            </w:pPr>
          </w:p>
        </w:tc>
        <w:tc>
          <w:tcPr>
            <w:tcW w:w="9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49,040</w:t>
            </w:r>
          </w:p>
        </w:tc>
        <w:tc>
          <w:tcPr>
            <w:tcW w:w="200" w:type="dxa"/>
            <w:vAlign w:val="bottom"/>
            <w:tcBorders>
              <w:bottom w:val="single" w:sz="8" w:color="auto"/>
            </w:tcBorders>
          </w:tcPr>
          <w:p>
            <w:pPr>
              <w:spacing w:after="0"/>
              <w:rPr>
                <w:sz w:val="19"/>
                <w:szCs w:val="19"/>
                <w:color w:val="auto"/>
              </w:rPr>
            </w:pP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55,312</w:t>
            </w:r>
          </w:p>
        </w:tc>
        <w:tc>
          <w:tcPr>
            <w:tcW w:w="0" w:type="dxa"/>
            <w:vAlign w:val="bottom"/>
          </w:tcPr>
          <w:p>
            <w:pPr>
              <w:spacing w:after="0"/>
              <w:rPr>
                <w:sz w:val="1"/>
                <w:szCs w:val="1"/>
                <w:color w:val="auto"/>
              </w:rPr>
            </w:pPr>
          </w:p>
        </w:tc>
      </w:tr>
      <w:tr>
        <w:trPr>
          <w:trHeight w:val="243"/>
        </w:trPr>
        <w:tc>
          <w:tcPr>
            <w:tcW w:w="4860" w:type="dxa"/>
            <w:vAlign w:val="bottom"/>
            <w:shd w:val="clear" w:color="auto" w:fill="CCEEFF"/>
          </w:tcPr>
          <w:p>
            <w:pPr>
              <w:spacing w:after="0"/>
              <w:rPr>
                <w:sz w:val="21"/>
                <w:szCs w:val="21"/>
                <w:color w:val="auto"/>
              </w:rPr>
            </w:pPr>
          </w:p>
        </w:tc>
        <w:tc>
          <w:tcPr>
            <w:tcW w:w="4100" w:type="dxa"/>
            <w:vAlign w:val="bottom"/>
            <w:shd w:val="clear" w:color="auto" w:fill="CCEEFF"/>
          </w:tcPr>
          <w:p>
            <w:pPr>
              <w:spacing w:after="0"/>
              <w:rPr>
                <w:sz w:val="21"/>
                <w:szCs w:val="21"/>
                <w:color w:val="auto"/>
              </w:rPr>
            </w:pPr>
          </w:p>
        </w:tc>
        <w:tc>
          <w:tcPr>
            <w:tcW w:w="960" w:type="dxa"/>
            <w:vAlign w:val="bottom"/>
            <w:shd w:val="clear" w:color="auto" w:fill="CCEEFF"/>
          </w:tcPr>
          <w:p>
            <w:pPr>
              <w:spacing w:after="0"/>
              <w:rPr>
                <w:sz w:val="21"/>
                <w:szCs w:val="21"/>
                <w:color w:val="auto"/>
              </w:rPr>
            </w:pPr>
          </w:p>
        </w:tc>
        <w:tc>
          <w:tcPr>
            <w:tcW w:w="200" w:type="dxa"/>
            <w:vAlign w:val="bottom"/>
            <w:shd w:val="clear" w:color="auto" w:fill="CCEEFF"/>
          </w:tcPr>
          <w:p>
            <w:pPr>
              <w:spacing w:after="0"/>
              <w:rPr>
                <w:sz w:val="21"/>
                <w:szCs w:val="21"/>
                <w:color w:val="auto"/>
              </w:rPr>
            </w:pPr>
          </w:p>
        </w:tc>
        <w:tc>
          <w:tcPr>
            <w:tcW w:w="1120" w:type="dxa"/>
            <w:vAlign w:val="bottom"/>
            <w:shd w:val="clear" w:color="auto" w:fill="CCEEFF"/>
          </w:tcPr>
          <w:p>
            <w:pPr>
              <w:spacing w:after="0"/>
              <w:rPr>
                <w:sz w:val="21"/>
                <w:szCs w:val="21"/>
                <w:color w:val="auto"/>
              </w:rPr>
            </w:pPr>
          </w:p>
        </w:tc>
        <w:tc>
          <w:tcPr>
            <w:tcW w:w="0" w:type="dxa"/>
            <w:vAlign w:val="bottom"/>
          </w:tcPr>
          <w:p>
            <w:pPr>
              <w:spacing w:after="0"/>
              <w:rPr>
                <w:sz w:val="1"/>
                <w:szCs w:val="1"/>
                <w:color w:val="auto"/>
              </w:rPr>
            </w:pPr>
          </w:p>
        </w:tc>
      </w:tr>
      <w:tr>
        <w:trPr>
          <w:trHeight w:val="215"/>
        </w:trPr>
        <w:tc>
          <w:tcPr>
            <w:tcW w:w="4860" w:type="dxa"/>
            <w:vAlign w:val="bottom"/>
            <w:tcBorders>
              <w:bottom w:val="single" w:sz="8" w:color="auto"/>
            </w:tcBorders>
          </w:tcPr>
          <w:p>
            <w:pPr>
              <w:ind w:left="20"/>
              <w:spacing w:after="0"/>
              <w:rPr>
                <w:sz w:val="20"/>
                <w:szCs w:val="20"/>
                <w:color w:val="auto"/>
              </w:rPr>
            </w:pPr>
            <w:r>
              <w:rPr>
                <w:rFonts w:ascii="Arial" w:cs="Arial" w:eastAsia="Arial" w:hAnsi="Arial"/>
                <w:sz w:val="16"/>
                <w:szCs w:val="16"/>
                <w:color w:val="auto"/>
              </w:rPr>
              <w:t>Total</w:t>
            </w:r>
          </w:p>
        </w:tc>
        <w:tc>
          <w:tcPr>
            <w:tcW w:w="4100" w:type="dxa"/>
            <w:vAlign w:val="bottom"/>
            <w:tcBorders>
              <w:bottom w:val="single" w:sz="8" w:color="auto"/>
            </w:tcBorders>
          </w:tcPr>
          <w:p>
            <w:pPr>
              <w:jc w:val="right"/>
              <w:ind w:right="179"/>
              <w:spacing w:after="0"/>
              <w:rPr>
                <w:sz w:val="20"/>
                <w:szCs w:val="20"/>
                <w:color w:val="auto"/>
              </w:rPr>
            </w:pPr>
            <w:r>
              <w:rPr>
                <w:rFonts w:ascii="Arial" w:cs="Arial" w:eastAsia="Arial" w:hAnsi="Arial"/>
                <w:sz w:val="16"/>
                <w:szCs w:val="16"/>
                <w:color w:val="auto"/>
              </w:rPr>
              <w:t>$</w:t>
            </w:r>
          </w:p>
        </w:tc>
        <w:tc>
          <w:tcPr>
            <w:tcW w:w="960" w:type="dxa"/>
            <w:vAlign w:val="bottom"/>
            <w:tcBorders>
              <w:bottom w:val="single" w:sz="8" w:color="auto"/>
            </w:tcBorders>
          </w:tcPr>
          <w:p>
            <w:pPr>
              <w:jc w:val="right"/>
              <w:ind w:right="39"/>
              <w:spacing w:after="0"/>
              <w:rPr>
                <w:sz w:val="20"/>
                <w:szCs w:val="20"/>
                <w:color w:val="auto"/>
              </w:rPr>
            </w:pPr>
            <w:r>
              <w:rPr>
                <w:rFonts w:ascii="Arial" w:cs="Arial" w:eastAsia="Arial" w:hAnsi="Arial"/>
                <w:sz w:val="16"/>
                <w:szCs w:val="16"/>
                <w:color w:val="auto"/>
              </w:rPr>
              <w:t>509,841</w:t>
            </w:r>
          </w:p>
        </w:tc>
        <w:tc>
          <w:tcPr>
            <w:tcW w:w="20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1120" w:type="dxa"/>
            <w:vAlign w:val="bottom"/>
            <w:tcBorders>
              <w:bottom w:val="single" w:sz="8" w:color="auto"/>
            </w:tcBorders>
          </w:tcPr>
          <w:p>
            <w:pPr>
              <w:jc w:val="right"/>
              <w:spacing w:after="0"/>
              <w:rPr>
                <w:sz w:val="20"/>
                <w:szCs w:val="20"/>
                <w:color w:val="auto"/>
              </w:rPr>
            </w:pPr>
            <w:r>
              <w:rPr>
                <w:rFonts w:ascii="Arial" w:cs="Arial" w:eastAsia="Arial" w:hAnsi="Arial"/>
                <w:sz w:val="16"/>
                <w:szCs w:val="16"/>
                <w:color w:val="auto"/>
              </w:rPr>
              <w:t>534,567</w:t>
            </w:r>
          </w:p>
        </w:tc>
        <w:tc>
          <w:tcPr>
            <w:tcW w:w="0" w:type="dxa"/>
            <w:vAlign w:val="bottom"/>
          </w:tcPr>
          <w:p>
            <w:pPr>
              <w:spacing w:after="0"/>
              <w:rPr>
                <w:sz w:val="1"/>
                <w:szCs w:val="1"/>
                <w:color w:val="auto"/>
              </w:rPr>
            </w:pPr>
          </w:p>
        </w:tc>
      </w:tr>
      <w:tr>
        <w:trPr>
          <w:trHeight w:val="21"/>
        </w:trPr>
        <w:tc>
          <w:tcPr>
            <w:tcW w:w="4860" w:type="dxa"/>
            <w:vAlign w:val="bottom"/>
            <w:tcBorders>
              <w:bottom w:val="single" w:sz="8" w:color="auto"/>
            </w:tcBorders>
          </w:tcPr>
          <w:p>
            <w:pPr>
              <w:spacing w:after="0" w:line="20" w:lineRule="exact"/>
              <w:rPr>
                <w:sz w:val="1"/>
                <w:szCs w:val="1"/>
                <w:color w:val="auto"/>
              </w:rPr>
            </w:pPr>
          </w:p>
        </w:tc>
        <w:tc>
          <w:tcPr>
            <w:tcW w:w="4100" w:type="dxa"/>
            <w:vAlign w:val="bottom"/>
            <w:tcBorders>
              <w:bottom w:val="single" w:sz="8" w:color="auto"/>
            </w:tcBorders>
          </w:tcPr>
          <w:p>
            <w:pPr>
              <w:spacing w:after="0" w:line="20" w:lineRule="exact"/>
              <w:rPr>
                <w:sz w:val="1"/>
                <w:szCs w:val="1"/>
                <w:color w:val="auto"/>
              </w:rPr>
            </w:pPr>
          </w:p>
        </w:tc>
        <w:tc>
          <w:tcPr>
            <w:tcW w:w="960" w:type="dxa"/>
            <w:vAlign w:val="bottom"/>
            <w:tcBorders>
              <w:bottom w:val="single" w:sz="8" w:color="auto"/>
            </w:tcBorders>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6" w:name="page27"/>
    <w:bookmarkEnd w:id="26"/>
    <w:p>
      <w:pPr>
        <w:spacing w:after="0"/>
        <w:rPr>
          <w:sz w:val="20"/>
          <w:szCs w:val="20"/>
          <w:color w:val="auto"/>
        </w:rPr>
      </w:pPr>
      <w:r>
        <w:rPr>
          <w:rFonts w:ascii="Arial" w:cs="Arial" w:eastAsia="Arial" w:hAnsi="Arial"/>
          <w:sz w:val="16"/>
          <w:szCs w:val="16"/>
          <w:b w:val="1"/>
          <w:bCs w:val="1"/>
          <w:color w:val="auto"/>
        </w:rPr>
        <w:t>ICON plc</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Management’s discussion and analysis of financial condition and results of operations</w:t>
      </w:r>
    </w:p>
    <w:p>
      <w:pPr>
        <w:spacing w:after="0" w:line="262"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The following discussion and analysis should be read in conjunction with the unaudited condensed consolidated financial statements and accompanying notes included elsewhere herein and the consolidated financial statements and related notes thereto included in our Form 20-F for the year ended December 31, 2021. The consolidated financial statements have been prepared in accordance with accounting principles generally accepted in the United States.</w:t>
      </w:r>
    </w:p>
    <w:p>
      <w:pPr>
        <w:spacing w:after="0" w:line="200"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Overview</w:t>
      </w:r>
    </w:p>
    <w:p>
      <w:pPr>
        <w:spacing w:after="0" w:line="262"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We are a CRO providing outsourced development services on a global basis to the pharmaceutical, biotechnology and medical device industries. We specialize in the strategic development, management and analysis of programs that support all stages of the clinical development process - from compound selection to Phase I-IV clinical studies. Our vision is to be the healthcare intelligence partner of choice by delivering industry leading solutions and best in class performance in clinical development.</w:t>
      </w:r>
    </w:p>
    <w:p>
      <w:pPr>
        <w:spacing w:after="0" w:line="200"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We believe that we are one of a select group of CROs with the expertise and capability to conduct clinical trials in most major therapeutic areas on a global basis and have the operational flexibility to provide development services on a stand-alone basis or as part of an integrated “full service” solution. At March 31, 2022, we employed approximately 39,300 employees, in 138 locations in 53 countries. During the three months ended March 31, 2022 we derived approximately 51.0%, 43.3% and 5.7% of our revenue in the United States, Europe and Rest of World respectively.</w:t>
      </w:r>
    </w:p>
    <w:p>
      <w:pPr>
        <w:spacing w:after="0" w:line="213"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6"/>
          <w:szCs w:val="16"/>
          <w:color w:val="auto"/>
        </w:rPr>
        <w:t>Revenue consists of fees earned under contracts with third-party clients. In most cases, a portion of the contract fee is paid at the time the study or trial is started, with the balance of the contract fee generally payable in installments over the study or trial duration, based on the delivery of certain performance targets or milestones. Revenue from long term contracts is recognized on a proportional performance method based on the relationship between cost incurred and the total estimated costs of the trial or on a fee-for-service basis according to the particular circumstances of the contract. As is customary in the CRO industry, we contract with third party investigators in connection with clinical trials. Investigator costs and certain other third party costs are included in our assessment of progress towards completion and costs incurred in measuring revenue. Where these costs are reimbursed by clients, they are included in the total contract value recognized over time, based on our assessment of progress towards completion.</w:t>
      </w:r>
    </w:p>
    <w:p>
      <w:pPr>
        <w:spacing w:after="0" w:line="217"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As the nature of our business involves the management of projects, the majority of which have a duration of one to four years, the commencement or completion of projects in a fiscal year can have a material impact on revenues earned with the relevant clients in such years. In addition, as we typically work with some, but not all, divisions of a client, fluctuations in the number and status of available projects within such divisions can also have a material impact on revenues earned from clients from year to year.</w:t>
      </w:r>
    </w:p>
    <w:p>
      <w:pPr>
        <w:spacing w:after="0" w:line="200"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Termination or delay in the performance of an individual contract may occur for various reasons, including, but not limited to, unexpected or undesired results, production problems resulting in shortages of the drug, adverse patient reactions to the drug, the client’s decision to de-emphasize a particular trial or inadequate patient enrollment or investigator recruitment. In the event of termination, the Company is usually entitled to all sums owed for work performed through the notice of termination and certain costs associated with the termination of the study. In addition, contracts generally contain provisions for renegotiation in the event of changes in the scope, nature, duration, or volume of services of the contract.</w:t>
      </w:r>
    </w:p>
    <w:p>
      <w:pPr>
        <w:spacing w:after="0" w:line="199"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 xml:space="preserve">Our unsatisfied performance obligation comprises our assessment of contracted revenue yet to be earned from projects awarded by clients. At March 31, 2022 we had unsatisfied performance obligations of approximately $13.6 billion </w:t>
      </w:r>
      <w:r>
        <w:rPr>
          <w:rFonts w:ascii="Arial" w:cs="Arial" w:eastAsia="Arial" w:hAnsi="Arial"/>
          <w:sz w:val="16"/>
          <w:szCs w:val="16"/>
          <w:i w:val="1"/>
          <w:iCs w:val="1"/>
          <w:color w:val="auto"/>
        </w:rPr>
        <w:t>(</w:t>
      </w:r>
      <w:r>
        <w:rPr>
          <w:rFonts w:ascii="Arial" w:cs="Arial" w:eastAsia="Arial" w:hAnsi="Arial"/>
          <w:sz w:val="16"/>
          <w:szCs w:val="16"/>
          <w:color w:val="auto"/>
        </w:rPr>
        <w:t xml:space="preserve">see </w:t>
      </w:r>
      <w:r>
        <w:rPr>
          <w:rFonts w:ascii="Arial" w:cs="Arial" w:eastAsia="Arial" w:hAnsi="Arial"/>
          <w:sz w:val="16"/>
          <w:szCs w:val="16"/>
          <w:i w:val="1"/>
          <w:iCs w:val="1"/>
          <w:color w:val="auto"/>
        </w:rPr>
        <w:t>note 4 - Accounts receivable, unbilled revenue (contract</w:t>
      </w:r>
      <w:r>
        <w:rPr>
          <w:rFonts w:ascii="Arial" w:cs="Arial" w:eastAsia="Arial" w:hAnsi="Arial"/>
          <w:sz w:val="16"/>
          <w:szCs w:val="16"/>
          <w:color w:val="auto"/>
        </w:rPr>
        <w:t xml:space="preserve"> </w:t>
      </w:r>
      <w:r>
        <w:rPr>
          <w:rFonts w:ascii="Arial" w:cs="Arial" w:eastAsia="Arial" w:hAnsi="Arial"/>
          <w:sz w:val="16"/>
          <w:szCs w:val="16"/>
          <w:i w:val="1"/>
          <w:iCs w:val="1"/>
          <w:color w:val="auto"/>
        </w:rPr>
        <w:t xml:space="preserve">assets) and unearned revenue or payments on account (contract liabilities) </w:t>
      </w:r>
      <w:r>
        <w:rPr>
          <w:rFonts w:ascii="Arial" w:cs="Arial" w:eastAsia="Arial" w:hAnsi="Arial"/>
          <w:sz w:val="16"/>
          <w:szCs w:val="16"/>
          <w:color w:val="auto"/>
        </w:rPr>
        <w:t>for further details). We believe that our unsatisfied performance obligations as of</w:t>
      </w:r>
      <w:r>
        <w:rPr>
          <w:rFonts w:ascii="Arial" w:cs="Arial" w:eastAsia="Arial" w:hAnsi="Arial"/>
          <w:sz w:val="16"/>
          <w:szCs w:val="16"/>
          <w:i w:val="1"/>
          <w:iCs w:val="1"/>
          <w:color w:val="auto"/>
        </w:rPr>
        <w:t xml:space="preserve"> </w:t>
      </w:r>
      <w:r>
        <w:rPr>
          <w:rFonts w:ascii="Arial" w:cs="Arial" w:eastAsia="Arial" w:hAnsi="Arial"/>
          <w:sz w:val="16"/>
          <w:szCs w:val="16"/>
          <w:color w:val="auto"/>
        </w:rPr>
        <w:t>any date is not necessarily a meaningful predictor of future results, due to the potential for cancellation or delay of the projects included in the unsatisfied performance obligation, and no assurances can be given on the extent to which we will be able to realize the unsatisfied performance obligation.</w:t>
      </w:r>
    </w:p>
    <w:p>
      <w:pPr>
        <w:spacing w:after="0" w:line="199"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On July 1, 2021, ICON plc announced the completion of its Merger with PRA creating one of the world’s most advanced healthcare intelligence and clinical research organization. The management's discussion and analysis below reflects the operating results of the Group for the three months ended March 31, 2022 which incorporates the results of PRA and results in large variances when comparing to the period ended March 31, 2021. The results of PRA prior to July 1, 2021 are not reflected. Where applicable, management have included commentary on specific one-time charges related to the Merger in order to provide an understanding of the normal operations of the Group.</w:t>
      </w:r>
    </w:p>
    <w:p>
      <w:pPr>
        <w:spacing w:after="0" w:line="199"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6"/>
          <w:szCs w:val="16"/>
          <w:color w:val="auto"/>
        </w:rPr>
        <w:t>Although we are domiciled in Ireland, we report our results in U.S. dollars. As a consequence the results of our non-U.S. based operations, when translated into U.S. dollars, could be materially affected by fluctuations in exchange rates between the U.S. dollar and the currencies of those operations.</w:t>
      </w: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7" w:name="page28"/>
    <w:bookmarkEnd w:id="27"/>
    <w:p>
      <w:pPr>
        <w:jc w:val="both"/>
        <w:ind w:firstLine="648"/>
        <w:spacing w:after="0" w:line="259" w:lineRule="auto"/>
        <w:rPr>
          <w:sz w:val="20"/>
          <w:szCs w:val="20"/>
          <w:color w:val="auto"/>
        </w:rPr>
      </w:pPr>
      <w:r>
        <w:rPr>
          <w:rFonts w:ascii="Arial" w:cs="Arial" w:eastAsia="Arial" w:hAnsi="Arial"/>
          <w:sz w:val="16"/>
          <w:szCs w:val="16"/>
          <w:color w:val="auto"/>
        </w:rPr>
        <w:t>In addition to translation exposures, we are also subject to transaction exposures when the currency in which contracts are priced can be different from the currencies in which costs relating to those contracts are incurred. Our operations in the United States are not materially exposed to such currency differences as the majority of our revenues and costs are in U.S. dollars. However, outside of the United States the multinational nature of our activities means that contracts are usually priced in a single currency, most often U.S. dollars or euro, while costs arise in a number of currencies, depending, among other things, on which of our offices provide staff for the contract and the location of investigator sites. Although many such contracts benefit from some degree of natural hedging, due to the matching of contract revenues and costs in the same currency, where costs are incurred in currencies other than those in which contracts are priced, fluctuations in the relative value of those currencies could have a material effect on our results of operations. We regularly review our currency exposures.</w:t>
      </w:r>
    </w:p>
    <w:p>
      <w:pPr>
        <w:spacing w:after="0" w:line="207"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As we conduct operations on a global basis, our effective tax rate has depended and will depend on the geographic distribution of our revenue and earnings among locations with varying tax rates. Our results therefore may be affected by changes in the tax rates of the various jurisdictions. In particular, as the geographic mix of our results of operations among various tax jurisdictions changes, our effective tax rate may vary significantly from period to period.</w:t>
      </w:r>
    </w:p>
    <w:p>
      <w:pPr>
        <w:spacing w:after="0" w:line="191"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Operating Results</w:t>
      </w:r>
    </w:p>
    <w:p>
      <w:pPr>
        <w:spacing w:after="0" w:line="262"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Three Months Ended March 31, 2022</w:t>
      </w:r>
    </w:p>
    <w:p>
      <w:pPr>
        <w:spacing w:after="0" w:line="248"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6"/>
          <w:szCs w:val="16"/>
          <w:color w:val="auto"/>
        </w:rPr>
        <w:t>The following table sets forth for the periods indicated certain financial data as a percentage of revenue and the percentage change in these items compared to the prior comparable period. The trends illustrated in the following table may not be indicative of future results.</w:t>
      </w:r>
    </w:p>
    <w:tbl>
      <w:tblPr>
        <w:tblLayout w:type="fixed"/>
        <w:tblInd w:w="0" w:type="dxa"/>
        <w:tblCellMar>
          <w:top w:w="0" w:type="dxa"/>
          <w:left w:w="0" w:type="dxa"/>
          <w:bottom w:w="0" w:type="dxa"/>
          <w:right w:w="0" w:type="dxa"/>
        </w:tblCellMar>
      </w:tblPr>
      <w:tr>
        <w:trPr>
          <w:trHeight w:val="216"/>
        </w:trPr>
        <w:tc>
          <w:tcPr>
            <w:tcW w:w="2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3140" w:type="dxa"/>
            <w:vAlign w:val="bottom"/>
            <w:gridSpan w:val="3"/>
            <w:shd w:val="clear" w:color="auto" w:fill="CCEEFF"/>
          </w:tcPr>
          <w:p>
            <w:pPr>
              <w:jc w:val="center"/>
              <w:ind w:right="380"/>
              <w:spacing w:after="0"/>
              <w:rPr>
                <w:sz w:val="20"/>
                <w:szCs w:val="20"/>
                <w:color w:val="auto"/>
              </w:rPr>
            </w:pPr>
            <w:r>
              <w:rPr>
                <w:rFonts w:ascii="Arial" w:cs="Arial" w:eastAsia="Arial" w:hAnsi="Arial"/>
                <w:sz w:val="16"/>
                <w:szCs w:val="16"/>
                <w:b w:val="1"/>
                <w:bCs w:val="1"/>
                <w:color w:val="auto"/>
              </w:rPr>
              <w:t>Three Months Ended</w:t>
            </w:r>
          </w:p>
        </w:tc>
        <w:tc>
          <w:tcPr>
            <w:tcW w:w="164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2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spacing w:after="0"/>
              <w:rPr>
                <w:sz w:val="18"/>
                <w:szCs w:val="18"/>
                <w:color w:val="auto"/>
              </w:rPr>
            </w:pPr>
          </w:p>
        </w:tc>
        <w:tc>
          <w:tcPr>
            <w:tcW w:w="2080" w:type="dxa"/>
            <w:vAlign w:val="bottom"/>
            <w:tcBorders>
              <w:bottom w:val="single" w:sz="8" w:color="auto"/>
            </w:tcBorders>
          </w:tcPr>
          <w:p>
            <w:pPr>
              <w:spacing w:after="0"/>
              <w:rPr>
                <w:sz w:val="18"/>
                <w:szCs w:val="18"/>
                <w:color w:val="auto"/>
              </w:rPr>
            </w:pPr>
          </w:p>
        </w:tc>
        <w:tc>
          <w:tcPr>
            <w:tcW w:w="580" w:type="dxa"/>
            <w:vAlign w:val="bottom"/>
            <w:tcBorders>
              <w:bottom w:val="single" w:sz="8" w:color="auto"/>
            </w:tcBorders>
          </w:tcPr>
          <w:p>
            <w:pPr>
              <w:spacing w:after="0"/>
              <w:rPr>
                <w:sz w:val="18"/>
                <w:szCs w:val="18"/>
                <w:color w:val="auto"/>
              </w:rPr>
            </w:pPr>
          </w:p>
        </w:tc>
        <w:tc>
          <w:tcPr>
            <w:tcW w:w="1980" w:type="dxa"/>
            <w:vAlign w:val="bottom"/>
            <w:tcBorders>
              <w:bottom w:val="single" w:sz="8" w:color="auto"/>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580" w:type="dxa"/>
            <w:vAlign w:val="bottom"/>
            <w:tcBorders>
              <w:top w:val="single" w:sz="8" w:color="auto"/>
              <w:bottom w:val="single" w:sz="8" w:color="auto"/>
            </w:tcBorders>
          </w:tcPr>
          <w:p>
            <w:pPr>
              <w:jc w:val="right"/>
              <w:ind w:right="199"/>
              <w:spacing w:after="0"/>
              <w:rPr>
                <w:sz w:val="20"/>
                <w:szCs w:val="20"/>
                <w:color w:val="auto"/>
              </w:rPr>
            </w:pPr>
            <w:r>
              <w:rPr>
                <w:rFonts w:ascii="Arial" w:cs="Arial" w:eastAsia="Arial" w:hAnsi="Arial"/>
                <w:sz w:val="16"/>
                <w:szCs w:val="16"/>
                <w:b w:val="1"/>
                <w:bCs w:val="1"/>
                <w:color w:val="auto"/>
              </w:rPr>
              <w:t>March 31, 2022</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March 31, 2021</w:t>
            </w:r>
          </w:p>
        </w:tc>
        <w:tc>
          <w:tcPr>
            <w:tcW w:w="100" w:type="dxa"/>
            <w:vAlign w:val="bottom"/>
            <w:tcBorders>
              <w:bottom w:val="single" w:sz="8" w:color="auto"/>
            </w:tcBorders>
          </w:tcPr>
          <w:p>
            <w:pPr>
              <w:spacing w:after="0"/>
              <w:rPr>
                <w:sz w:val="18"/>
                <w:szCs w:val="18"/>
                <w:color w:val="auto"/>
              </w:rPr>
            </w:pPr>
          </w:p>
        </w:tc>
        <w:tc>
          <w:tcPr>
            <w:tcW w:w="16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 to 2022</w:t>
            </w:r>
          </w:p>
        </w:tc>
        <w:tc>
          <w:tcPr>
            <w:tcW w:w="0" w:type="dxa"/>
            <w:vAlign w:val="bottom"/>
          </w:tcPr>
          <w:p>
            <w:pPr>
              <w:spacing w:after="0"/>
              <w:rPr>
                <w:sz w:val="1"/>
                <w:szCs w:val="1"/>
                <w:color w:val="auto"/>
              </w:rPr>
            </w:pPr>
          </w:p>
        </w:tc>
      </w:tr>
      <w:tr>
        <w:trPr>
          <w:trHeight w:val="237"/>
        </w:trPr>
        <w:tc>
          <w:tcPr>
            <w:tcW w:w="20" w:type="dxa"/>
            <w:vAlign w:val="bottom"/>
            <w:shd w:val="clear" w:color="auto" w:fill="CCEEFF"/>
          </w:tcPr>
          <w:p>
            <w:pPr>
              <w:spacing w:after="0"/>
              <w:rPr>
                <w:sz w:val="20"/>
                <w:szCs w:val="20"/>
                <w:color w:val="auto"/>
              </w:rPr>
            </w:pPr>
          </w:p>
        </w:tc>
        <w:tc>
          <w:tcPr>
            <w:tcW w:w="1520" w:type="dxa"/>
            <w:vAlign w:val="bottom"/>
            <w:shd w:val="clear" w:color="auto" w:fill="CCEEFF"/>
          </w:tcPr>
          <w:p>
            <w:pPr>
              <w:spacing w:after="0"/>
              <w:rPr>
                <w:sz w:val="20"/>
                <w:szCs w:val="20"/>
                <w:color w:val="auto"/>
              </w:rPr>
            </w:pPr>
          </w:p>
        </w:tc>
        <w:tc>
          <w:tcPr>
            <w:tcW w:w="2080" w:type="dxa"/>
            <w:vAlign w:val="bottom"/>
            <w:shd w:val="clear" w:color="auto" w:fill="CCEEFF"/>
          </w:tcPr>
          <w:p>
            <w:pPr>
              <w:spacing w:after="0"/>
              <w:rPr>
                <w:sz w:val="20"/>
                <w:szCs w:val="20"/>
                <w:color w:val="auto"/>
              </w:rPr>
            </w:pPr>
          </w:p>
        </w:tc>
        <w:tc>
          <w:tcPr>
            <w:tcW w:w="580" w:type="dxa"/>
            <w:vAlign w:val="bottom"/>
            <w:shd w:val="clear" w:color="auto" w:fill="CCEEFF"/>
          </w:tcPr>
          <w:p>
            <w:pPr>
              <w:spacing w:after="0"/>
              <w:rPr>
                <w:sz w:val="20"/>
                <w:szCs w:val="20"/>
                <w:color w:val="auto"/>
              </w:rPr>
            </w:pPr>
          </w:p>
        </w:tc>
        <w:tc>
          <w:tcPr>
            <w:tcW w:w="1980" w:type="dxa"/>
            <w:vAlign w:val="bottom"/>
            <w:shd w:val="clear" w:color="auto" w:fill="CCEEFF"/>
          </w:tcPr>
          <w:p>
            <w:pPr>
              <w:spacing w:after="0"/>
              <w:rPr>
                <w:sz w:val="20"/>
                <w:szCs w:val="20"/>
                <w:color w:val="auto"/>
              </w:rPr>
            </w:pPr>
          </w:p>
        </w:tc>
        <w:tc>
          <w:tcPr>
            <w:tcW w:w="280" w:type="dxa"/>
            <w:vAlign w:val="bottom"/>
            <w:shd w:val="clear" w:color="auto" w:fill="CCEEFF"/>
          </w:tcPr>
          <w:p>
            <w:pPr>
              <w:spacing w:after="0"/>
              <w:rPr>
                <w:sz w:val="20"/>
                <w:szCs w:val="20"/>
                <w:color w:val="auto"/>
              </w:rPr>
            </w:pPr>
          </w:p>
        </w:tc>
        <w:tc>
          <w:tcPr>
            <w:tcW w:w="1580" w:type="dxa"/>
            <w:vAlign w:val="bottom"/>
            <w:shd w:val="clear" w:color="auto" w:fill="CCEEFF"/>
          </w:tcPr>
          <w:p>
            <w:pPr>
              <w:spacing w:after="0"/>
              <w:rPr>
                <w:sz w:val="20"/>
                <w:szCs w:val="20"/>
                <w:color w:val="auto"/>
              </w:rPr>
            </w:pPr>
          </w:p>
        </w:tc>
        <w:tc>
          <w:tcPr>
            <w:tcW w:w="146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640" w:type="dxa"/>
            <w:vAlign w:val="bottom"/>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3140" w:type="dxa"/>
            <w:vAlign w:val="bottom"/>
            <w:gridSpan w:val="3"/>
          </w:tcPr>
          <w:p>
            <w:pPr>
              <w:jc w:val="center"/>
              <w:ind w:right="380"/>
              <w:spacing w:after="0" w:line="162" w:lineRule="exact"/>
              <w:rPr>
                <w:sz w:val="20"/>
                <w:szCs w:val="20"/>
                <w:color w:val="auto"/>
              </w:rPr>
            </w:pPr>
            <w:r>
              <w:rPr>
                <w:rFonts w:ascii="Arial" w:cs="Arial" w:eastAsia="Arial" w:hAnsi="Arial"/>
                <w:sz w:val="16"/>
                <w:szCs w:val="16"/>
                <w:b w:val="1"/>
                <w:bCs w:val="1"/>
                <w:color w:val="auto"/>
              </w:rPr>
              <w:t>Percentage of Revenue</w:t>
            </w:r>
          </w:p>
        </w:tc>
        <w:tc>
          <w:tcPr>
            <w:tcW w:w="16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rPr>
              <w:t>Percentage</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1520" w:type="dxa"/>
            <w:vAlign w:val="bottom"/>
          </w:tcPr>
          <w:p>
            <w:pPr>
              <w:spacing w:after="0"/>
              <w:rPr>
                <w:sz w:val="14"/>
                <w:szCs w:val="14"/>
                <w:color w:val="auto"/>
              </w:rPr>
            </w:pPr>
          </w:p>
        </w:tc>
        <w:tc>
          <w:tcPr>
            <w:tcW w:w="208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198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158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640" w:type="dxa"/>
            <w:vAlign w:val="bottom"/>
          </w:tcPr>
          <w:p>
            <w:pPr>
              <w:jc w:val="center"/>
              <w:spacing w:after="0" w:line="162" w:lineRule="exact"/>
              <w:rPr>
                <w:sz w:val="20"/>
                <w:szCs w:val="20"/>
                <w:color w:val="auto"/>
              </w:rPr>
            </w:pPr>
            <w:r>
              <w:rPr>
                <w:rFonts w:ascii="Arial" w:cs="Arial" w:eastAsia="Arial" w:hAnsi="Arial"/>
                <w:sz w:val="16"/>
                <w:szCs w:val="16"/>
                <w:b w:val="1"/>
                <w:bCs w:val="1"/>
                <w:color w:val="auto"/>
              </w:rPr>
              <w:t>Increase/</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208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40" w:type="dxa"/>
            <w:vAlign w:val="bottom"/>
          </w:tcPr>
          <w:p>
            <w:pPr>
              <w:jc w:val="center"/>
              <w:spacing w:after="0"/>
              <w:rPr>
                <w:sz w:val="20"/>
                <w:szCs w:val="20"/>
                <w:color w:val="auto"/>
              </w:rPr>
            </w:pPr>
            <w:r>
              <w:rPr>
                <w:rFonts w:ascii="Arial" w:cs="Arial" w:eastAsia="Arial" w:hAnsi="Arial"/>
                <w:sz w:val="16"/>
                <w:szCs w:val="16"/>
                <w:b w:val="1"/>
                <w:bCs w:val="1"/>
                <w:color w:val="auto"/>
              </w:rPr>
              <w:t>(Decrease)</w:t>
            </w:r>
          </w:p>
        </w:tc>
        <w:tc>
          <w:tcPr>
            <w:tcW w:w="0" w:type="dxa"/>
            <w:vAlign w:val="bottom"/>
          </w:tcPr>
          <w:p>
            <w:pPr>
              <w:spacing w:after="0"/>
              <w:rPr>
                <w:sz w:val="1"/>
                <w:szCs w:val="1"/>
                <w:color w:val="auto"/>
              </w:rPr>
            </w:pPr>
          </w:p>
        </w:tc>
      </w:tr>
      <w:tr>
        <w:trPr>
          <w:trHeight w:val="223"/>
        </w:trPr>
        <w:tc>
          <w:tcPr>
            <w:tcW w:w="20" w:type="dxa"/>
            <w:vAlign w:val="bottom"/>
            <w:tcBorders>
              <w:bottom w:val="single" w:sz="8" w:color="auto"/>
            </w:tcBorders>
            <w:shd w:val="clear" w:color="auto" w:fill="CCEEFF"/>
          </w:tcPr>
          <w:p>
            <w:pPr>
              <w:spacing w:after="0"/>
              <w:rPr>
                <w:sz w:val="19"/>
                <w:szCs w:val="19"/>
                <w:color w:val="auto"/>
              </w:rPr>
            </w:pPr>
          </w:p>
        </w:tc>
        <w:tc>
          <w:tcPr>
            <w:tcW w:w="360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Revenue</w:t>
            </w:r>
          </w:p>
        </w:tc>
        <w:tc>
          <w:tcPr>
            <w:tcW w:w="580" w:type="dxa"/>
            <w:vAlign w:val="bottom"/>
            <w:tcBorders>
              <w:bottom w:val="single" w:sz="8" w:color="auto"/>
            </w:tcBorders>
            <w:shd w:val="clear" w:color="auto" w:fill="CCEEFF"/>
          </w:tcPr>
          <w:p>
            <w:pPr>
              <w:spacing w:after="0"/>
              <w:rPr>
                <w:sz w:val="19"/>
                <w:szCs w:val="19"/>
                <w:color w:val="auto"/>
              </w:rPr>
            </w:pPr>
          </w:p>
        </w:tc>
        <w:tc>
          <w:tcPr>
            <w:tcW w:w="1980" w:type="dxa"/>
            <w:vAlign w:val="bottom"/>
            <w:tcBorders>
              <w:bottom w:val="single" w:sz="8" w:color="auto"/>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5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rPr>
              <w:t>100.0 %</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100.0 %</w:t>
            </w:r>
          </w:p>
        </w:tc>
        <w:tc>
          <w:tcPr>
            <w:tcW w:w="100" w:type="dxa"/>
            <w:vAlign w:val="bottom"/>
            <w:tcBorders>
              <w:bottom w:val="single" w:sz="8" w:color="auto"/>
            </w:tcBorders>
            <w:shd w:val="clear" w:color="auto" w:fill="CCEEFF"/>
          </w:tcPr>
          <w:p>
            <w:pPr>
              <w:spacing w:after="0"/>
              <w:rPr>
                <w:sz w:val="19"/>
                <w:szCs w:val="19"/>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121.6 %</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20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9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96"/>
        </w:trPr>
        <w:tc>
          <w:tcPr>
            <w:tcW w:w="20" w:type="dxa"/>
            <w:vAlign w:val="bottom"/>
            <w:tcBorders>
              <w:bottom w:val="single" w:sz="8" w:color="CCEEFF"/>
            </w:tcBorders>
            <w:shd w:val="clear" w:color="auto" w:fill="CCEEFF"/>
          </w:tcPr>
          <w:p>
            <w:pPr>
              <w:spacing w:after="0"/>
              <w:rPr>
                <w:sz w:val="17"/>
                <w:szCs w:val="17"/>
                <w:color w:val="auto"/>
              </w:rPr>
            </w:pPr>
          </w:p>
        </w:tc>
        <w:tc>
          <w:tcPr>
            <w:tcW w:w="1520" w:type="dxa"/>
            <w:vAlign w:val="bottom"/>
            <w:tcBorders>
              <w:bottom w:val="single" w:sz="8" w:color="auto"/>
            </w:tcBorders>
            <w:shd w:val="clear" w:color="auto" w:fill="CCEEFF"/>
          </w:tcPr>
          <w:p>
            <w:pPr>
              <w:spacing w:after="0" w:line="175" w:lineRule="exact"/>
              <w:rPr>
                <w:sz w:val="20"/>
                <w:szCs w:val="20"/>
                <w:color w:val="auto"/>
              </w:rPr>
            </w:pPr>
            <w:r>
              <w:rPr>
                <w:rFonts w:ascii="Arial" w:cs="Arial" w:eastAsia="Arial" w:hAnsi="Arial"/>
                <w:sz w:val="16"/>
                <w:szCs w:val="16"/>
                <w:color w:val="auto"/>
              </w:rPr>
              <w:t>Costs and expenses:</w:t>
            </w:r>
          </w:p>
        </w:tc>
        <w:tc>
          <w:tcPr>
            <w:tcW w:w="2080" w:type="dxa"/>
            <w:vAlign w:val="bottom"/>
            <w:tcBorders>
              <w:bottom w:val="single" w:sz="8" w:color="CCEEFF"/>
            </w:tcBorders>
            <w:shd w:val="clear" w:color="auto" w:fill="CCEEFF"/>
          </w:tcPr>
          <w:p>
            <w:pPr>
              <w:spacing w:after="0"/>
              <w:rPr>
                <w:sz w:val="17"/>
                <w:szCs w:val="17"/>
                <w:color w:val="auto"/>
              </w:rPr>
            </w:pPr>
          </w:p>
        </w:tc>
        <w:tc>
          <w:tcPr>
            <w:tcW w:w="580" w:type="dxa"/>
            <w:vAlign w:val="bottom"/>
            <w:tcBorders>
              <w:bottom w:val="single" w:sz="8" w:color="CCEEFF"/>
            </w:tcBorders>
            <w:shd w:val="clear" w:color="auto" w:fill="CCEEFF"/>
          </w:tcPr>
          <w:p>
            <w:pPr>
              <w:spacing w:after="0"/>
              <w:rPr>
                <w:sz w:val="17"/>
                <w:szCs w:val="17"/>
                <w:color w:val="auto"/>
              </w:rPr>
            </w:pPr>
          </w:p>
        </w:tc>
        <w:tc>
          <w:tcPr>
            <w:tcW w:w="1980" w:type="dxa"/>
            <w:vAlign w:val="bottom"/>
            <w:tcBorders>
              <w:bottom w:val="single" w:sz="8" w:color="CCEEFF"/>
            </w:tcBorders>
            <w:shd w:val="clear" w:color="auto" w:fill="CCEEFF"/>
          </w:tcPr>
          <w:p>
            <w:pPr>
              <w:spacing w:after="0"/>
              <w:rPr>
                <w:sz w:val="17"/>
                <w:szCs w:val="17"/>
                <w:color w:val="auto"/>
              </w:rPr>
            </w:pPr>
          </w:p>
        </w:tc>
        <w:tc>
          <w:tcPr>
            <w:tcW w:w="280" w:type="dxa"/>
            <w:vAlign w:val="bottom"/>
            <w:tcBorders>
              <w:bottom w:val="single" w:sz="8" w:color="CCEEFF"/>
            </w:tcBorders>
            <w:shd w:val="clear" w:color="auto" w:fill="CCEEFF"/>
          </w:tcPr>
          <w:p>
            <w:pPr>
              <w:spacing w:after="0"/>
              <w:rPr>
                <w:sz w:val="17"/>
                <w:szCs w:val="17"/>
                <w:color w:val="auto"/>
              </w:rPr>
            </w:pPr>
          </w:p>
        </w:tc>
        <w:tc>
          <w:tcPr>
            <w:tcW w:w="1580" w:type="dxa"/>
            <w:vAlign w:val="bottom"/>
            <w:tcBorders>
              <w:bottom w:val="single" w:sz="8" w:color="CCEEFF"/>
            </w:tcBorders>
            <w:shd w:val="clear" w:color="auto" w:fill="CCEEFF"/>
          </w:tcPr>
          <w:p>
            <w:pPr>
              <w:spacing w:after="0"/>
              <w:rPr>
                <w:sz w:val="17"/>
                <w:szCs w:val="17"/>
                <w:color w:val="auto"/>
              </w:rPr>
            </w:pPr>
          </w:p>
        </w:tc>
        <w:tc>
          <w:tcPr>
            <w:tcW w:w="1460" w:type="dxa"/>
            <w:vAlign w:val="bottom"/>
            <w:tcBorders>
              <w:bottom w:val="single" w:sz="8" w:color="CCEEFF"/>
            </w:tcBorders>
            <w:shd w:val="clear" w:color="auto" w:fill="CCEEFF"/>
          </w:tcPr>
          <w:p>
            <w:pPr>
              <w:spacing w:after="0"/>
              <w:rPr>
                <w:sz w:val="17"/>
                <w:szCs w:val="17"/>
                <w:color w:val="auto"/>
              </w:rPr>
            </w:pPr>
          </w:p>
        </w:tc>
        <w:tc>
          <w:tcPr>
            <w:tcW w:w="100" w:type="dxa"/>
            <w:vAlign w:val="bottom"/>
            <w:tcBorders>
              <w:bottom w:val="single" w:sz="8" w:color="CCEEFF"/>
            </w:tcBorders>
            <w:shd w:val="clear" w:color="auto" w:fill="CCEEFF"/>
          </w:tcPr>
          <w:p>
            <w:pPr>
              <w:spacing w:after="0"/>
              <w:rPr>
                <w:sz w:val="17"/>
                <w:szCs w:val="17"/>
                <w:color w:val="auto"/>
              </w:rPr>
            </w:pPr>
          </w:p>
        </w:tc>
        <w:tc>
          <w:tcPr>
            <w:tcW w:w="1640" w:type="dxa"/>
            <w:vAlign w:val="bottom"/>
            <w:tcBorders>
              <w:bottom w:val="single" w:sz="8" w:color="CCEEFF"/>
            </w:tcBorders>
            <w:shd w:val="clear" w:color="auto" w:fill="CCEEFF"/>
          </w:tcPr>
          <w:p>
            <w:pPr>
              <w:spacing w:after="0"/>
              <w:rPr>
                <w:sz w:val="17"/>
                <w:szCs w:val="17"/>
                <w:color w:val="auto"/>
              </w:rPr>
            </w:pP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600" w:type="dxa"/>
            <w:vAlign w:val="bottom"/>
            <w:gridSpan w:val="2"/>
          </w:tcPr>
          <w:p>
            <w:pPr>
              <w:spacing w:after="0"/>
              <w:rPr>
                <w:sz w:val="20"/>
                <w:szCs w:val="20"/>
                <w:color w:val="auto"/>
              </w:rPr>
            </w:pPr>
            <w:r>
              <w:rPr>
                <w:rFonts w:ascii="Arial" w:cs="Arial" w:eastAsia="Arial" w:hAnsi="Arial"/>
                <w:sz w:val="16"/>
                <w:szCs w:val="16"/>
                <w:color w:val="auto"/>
              </w:rPr>
              <w:t>Direct costs</w:t>
            </w:r>
          </w:p>
        </w:tc>
        <w:tc>
          <w:tcPr>
            <w:tcW w:w="5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80" w:type="dxa"/>
            <w:vAlign w:val="bottom"/>
          </w:tcPr>
          <w:p>
            <w:pPr>
              <w:jc w:val="right"/>
              <w:ind w:right="199"/>
              <w:spacing w:after="0"/>
              <w:rPr>
                <w:sz w:val="20"/>
                <w:szCs w:val="20"/>
                <w:color w:val="auto"/>
              </w:rPr>
            </w:pPr>
            <w:r>
              <w:rPr>
                <w:rFonts w:ascii="Arial" w:cs="Arial" w:eastAsia="Arial" w:hAnsi="Arial"/>
                <w:sz w:val="16"/>
                <w:szCs w:val="16"/>
                <w:color w:val="auto"/>
              </w:rPr>
              <w:t>72.5 %</w:t>
            </w:r>
          </w:p>
        </w:tc>
        <w:tc>
          <w:tcPr>
            <w:tcW w:w="1460" w:type="dxa"/>
            <w:vAlign w:val="bottom"/>
          </w:tcPr>
          <w:p>
            <w:pPr>
              <w:jc w:val="right"/>
              <w:spacing w:after="0"/>
              <w:rPr>
                <w:sz w:val="20"/>
                <w:szCs w:val="20"/>
                <w:color w:val="auto"/>
              </w:rPr>
            </w:pPr>
            <w:r>
              <w:rPr>
                <w:rFonts w:ascii="Arial" w:cs="Arial" w:eastAsia="Arial" w:hAnsi="Arial"/>
                <w:sz w:val="16"/>
                <w:szCs w:val="16"/>
                <w:color w:val="auto"/>
              </w:rPr>
              <w:t>73.0 %</w:t>
            </w:r>
          </w:p>
        </w:tc>
        <w:tc>
          <w:tcPr>
            <w:tcW w:w="100" w:type="dxa"/>
            <w:vAlign w:val="bottom"/>
          </w:tcPr>
          <w:p>
            <w:pPr>
              <w:spacing w:after="0"/>
              <w:rPr>
                <w:sz w:val="18"/>
                <w:szCs w:val="18"/>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120.1 %</w:t>
            </w:r>
          </w:p>
        </w:tc>
        <w:tc>
          <w:tcPr>
            <w:tcW w:w="0" w:type="dxa"/>
            <w:vAlign w:val="bottom"/>
          </w:tcPr>
          <w:p>
            <w:pPr>
              <w:spacing w:after="0"/>
              <w:rPr>
                <w:sz w:val="1"/>
                <w:szCs w:val="1"/>
                <w:color w:val="auto"/>
              </w:rPr>
            </w:pPr>
          </w:p>
        </w:tc>
      </w:tr>
      <w:tr>
        <w:trPr>
          <w:trHeight w:val="217"/>
        </w:trPr>
        <w:tc>
          <w:tcPr>
            <w:tcW w:w="20" w:type="dxa"/>
            <w:vAlign w:val="bottom"/>
            <w:shd w:val="clear" w:color="auto" w:fill="CCEEFF"/>
          </w:tcPr>
          <w:p>
            <w:pPr>
              <w:spacing w:after="0"/>
              <w:rPr>
                <w:sz w:val="18"/>
                <w:szCs w:val="18"/>
                <w:color w:val="auto"/>
              </w:rPr>
            </w:pPr>
          </w:p>
        </w:tc>
        <w:tc>
          <w:tcPr>
            <w:tcW w:w="36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Selling, general and administrative expense</w:t>
            </w:r>
          </w:p>
        </w:tc>
        <w:tc>
          <w:tcPr>
            <w:tcW w:w="58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5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10.3 %</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10.0 %</w:t>
            </w:r>
          </w:p>
        </w:tc>
        <w:tc>
          <w:tcPr>
            <w:tcW w:w="10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127.0 %</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600" w:type="dxa"/>
            <w:vAlign w:val="bottom"/>
            <w:gridSpan w:val="2"/>
          </w:tcPr>
          <w:p>
            <w:pPr>
              <w:spacing w:after="0"/>
              <w:rPr>
                <w:sz w:val="20"/>
                <w:szCs w:val="20"/>
                <w:color w:val="auto"/>
              </w:rPr>
            </w:pPr>
            <w:r>
              <w:rPr>
                <w:rFonts w:ascii="Arial" w:cs="Arial" w:eastAsia="Arial" w:hAnsi="Arial"/>
                <w:sz w:val="16"/>
                <w:szCs w:val="16"/>
                <w:color w:val="auto"/>
              </w:rPr>
              <w:t>Depreciation</w:t>
            </w:r>
          </w:p>
        </w:tc>
        <w:tc>
          <w:tcPr>
            <w:tcW w:w="5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80" w:type="dxa"/>
            <w:vAlign w:val="bottom"/>
          </w:tcPr>
          <w:p>
            <w:pPr>
              <w:jc w:val="right"/>
              <w:ind w:right="199"/>
              <w:spacing w:after="0"/>
              <w:rPr>
                <w:sz w:val="20"/>
                <w:szCs w:val="20"/>
                <w:color w:val="auto"/>
              </w:rPr>
            </w:pPr>
            <w:r>
              <w:rPr>
                <w:rFonts w:ascii="Arial" w:cs="Arial" w:eastAsia="Arial" w:hAnsi="Arial"/>
                <w:sz w:val="16"/>
                <w:szCs w:val="16"/>
                <w:color w:val="auto"/>
              </w:rPr>
              <w:t>1.4 %</w:t>
            </w:r>
          </w:p>
        </w:tc>
        <w:tc>
          <w:tcPr>
            <w:tcW w:w="1460" w:type="dxa"/>
            <w:vAlign w:val="bottom"/>
          </w:tcPr>
          <w:p>
            <w:pPr>
              <w:jc w:val="right"/>
              <w:spacing w:after="0"/>
              <w:rPr>
                <w:sz w:val="20"/>
                <w:szCs w:val="20"/>
                <w:color w:val="auto"/>
              </w:rPr>
            </w:pPr>
            <w:r>
              <w:rPr>
                <w:rFonts w:ascii="Arial" w:cs="Arial" w:eastAsia="Arial" w:hAnsi="Arial"/>
                <w:sz w:val="16"/>
                <w:szCs w:val="16"/>
                <w:color w:val="auto"/>
              </w:rPr>
              <w:t>1.5 %</w:t>
            </w:r>
          </w:p>
        </w:tc>
        <w:tc>
          <w:tcPr>
            <w:tcW w:w="100" w:type="dxa"/>
            <w:vAlign w:val="bottom"/>
          </w:tcPr>
          <w:p>
            <w:pPr>
              <w:spacing w:after="0"/>
              <w:rPr>
                <w:sz w:val="18"/>
                <w:szCs w:val="18"/>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109.1 %</w:t>
            </w:r>
          </w:p>
        </w:tc>
        <w:tc>
          <w:tcPr>
            <w:tcW w:w="0" w:type="dxa"/>
            <w:vAlign w:val="bottom"/>
          </w:tcPr>
          <w:p>
            <w:pPr>
              <w:spacing w:after="0"/>
              <w:rPr>
                <w:sz w:val="1"/>
                <w:szCs w:val="1"/>
                <w:color w:val="auto"/>
              </w:rPr>
            </w:pPr>
          </w:p>
        </w:tc>
      </w:tr>
      <w:tr>
        <w:trPr>
          <w:trHeight w:val="217"/>
        </w:trPr>
        <w:tc>
          <w:tcPr>
            <w:tcW w:w="20" w:type="dxa"/>
            <w:vAlign w:val="bottom"/>
            <w:shd w:val="clear" w:color="auto" w:fill="CCEEFF"/>
          </w:tcPr>
          <w:p>
            <w:pPr>
              <w:spacing w:after="0"/>
              <w:rPr>
                <w:sz w:val="18"/>
                <w:szCs w:val="18"/>
                <w:color w:val="auto"/>
              </w:rPr>
            </w:pPr>
          </w:p>
        </w:tc>
        <w:tc>
          <w:tcPr>
            <w:tcW w:w="36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Amortization</w:t>
            </w:r>
          </w:p>
        </w:tc>
        <w:tc>
          <w:tcPr>
            <w:tcW w:w="580" w:type="dxa"/>
            <w:vAlign w:val="bottom"/>
            <w:shd w:val="clear" w:color="auto" w:fill="CCEEFF"/>
          </w:tcPr>
          <w:p>
            <w:pPr>
              <w:spacing w:after="0"/>
              <w:rPr>
                <w:sz w:val="18"/>
                <w:szCs w:val="18"/>
                <w:color w:val="auto"/>
              </w:rPr>
            </w:pPr>
          </w:p>
        </w:tc>
        <w:tc>
          <w:tcPr>
            <w:tcW w:w="1980" w:type="dxa"/>
            <w:vAlign w:val="bottom"/>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15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6.0 %</w:t>
            </w:r>
          </w:p>
        </w:tc>
        <w:tc>
          <w:tcPr>
            <w:tcW w:w="14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0.5 %</w:t>
            </w:r>
          </w:p>
        </w:tc>
        <w:tc>
          <w:tcPr>
            <w:tcW w:w="10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2,351.5 %</w:t>
            </w:r>
          </w:p>
        </w:tc>
        <w:tc>
          <w:tcPr>
            <w:tcW w:w="0" w:type="dxa"/>
            <w:vAlign w:val="bottom"/>
          </w:tcPr>
          <w:p>
            <w:pPr>
              <w:spacing w:after="0"/>
              <w:rPr>
                <w:sz w:val="1"/>
                <w:szCs w:val="1"/>
                <w:color w:val="auto"/>
              </w:rPr>
            </w:pPr>
          </w:p>
        </w:tc>
      </w:tr>
      <w:tr>
        <w:trPr>
          <w:trHeight w:val="215"/>
        </w:trPr>
        <w:tc>
          <w:tcPr>
            <w:tcW w:w="20" w:type="dxa"/>
            <w:vAlign w:val="bottom"/>
          </w:tcPr>
          <w:p>
            <w:pPr>
              <w:spacing w:after="0"/>
              <w:rPr>
                <w:sz w:val="18"/>
                <w:szCs w:val="18"/>
                <w:color w:val="auto"/>
              </w:rPr>
            </w:pPr>
          </w:p>
        </w:tc>
        <w:tc>
          <w:tcPr>
            <w:tcW w:w="3600" w:type="dxa"/>
            <w:vAlign w:val="bottom"/>
            <w:gridSpan w:val="2"/>
          </w:tcPr>
          <w:p>
            <w:pPr>
              <w:spacing w:after="0"/>
              <w:rPr>
                <w:sz w:val="20"/>
                <w:szCs w:val="20"/>
                <w:color w:val="auto"/>
              </w:rPr>
            </w:pPr>
            <w:r>
              <w:rPr>
                <w:rFonts w:ascii="Arial" w:cs="Arial" w:eastAsia="Arial" w:hAnsi="Arial"/>
                <w:sz w:val="16"/>
                <w:szCs w:val="16"/>
                <w:color w:val="auto"/>
              </w:rPr>
              <w:t>Transaction and integration-related expenses</w:t>
            </w:r>
          </w:p>
        </w:tc>
        <w:tc>
          <w:tcPr>
            <w:tcW w:w="580" w:type="dxa"/>
            <w:vAlign w:val="bottom"/>
          </w:tcPr>
          <w:p>
            <w:pPr>
              <w:spacing w:after="0"/>
              <w:rPr>
                <w:sz w:val="18"/>
                <w:szCs w:val="18"/>
                <w:color w:val="auto"/>
              </w:rPr>
            </w:pPr>
          </w:p>
        </w:tc>
        <w:tc>
          <w:tcPr>
            <w:tcW w:w="1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80" w:type="dxa"/>
            <w:vAlign w:val="bottom"/>
          </w:tcPr>
          <w:p>
            <w:pPr>
              <w:jc w:val="right"/>
              <w:ind w:right="199"/>
              <w:spacing w:after="0"/>
              <w:rPr>
                <w:sz w:val="20"/>
                <w:szCs w:val="20"/>
                <w:color w:val="auto"/>
              </w:rPr>
            </w:pPr>
            <w:r>
              <w:rPr>
                <w:rFonts w:ascii="Arial" w:cs="Arial" w:eastAsia="Arial" w:hAnsi="Arial"/>
                <w:sz w:val="16"/>
                <w:szCs w:val="16"/>
                <w:color w:val="auto"/>
              </w:rPr>
              <w:t>0.6 %</w:t>
            </w:r>
          </w:p>
        </w:tc>
        <w:tc>
          <w:tcPr>
            <w:tcW w:w="1460" w:type="dxa"/>
            <w:vAlign w:val="bottom"/>
          </w:tcPr>
          <w:p>
            <w:pPr>
              <w:jc w:val="right"/>
              <w:spacing w:after="0"/>
              <w:rPr>
                <w:sz w:val="20"/>
                <w:szCs w:val="20"/>
                <w:color w:val="auto"/>
              </w:rPr>
            </w:pPr>
            <w:r>
              <w:rPr>
                <w:rFonts w:ascii="Arial" w:cs="Arial" w:eastAsia="Arial" w:hAnsi="Arial"/>
                <w:sz w:val="16"/>
                <w:szCs w:val="16"/>
                <w:color w:val="auto"/>
              </w:rPr>
              <w:t>1.5 %</w:t>
            </w:r>
          </w:p>
        </w:tc>
        <w:tc>
          <w:tcPr>
            <w:tcW w:w="100" w:type="dxa"/>
            <w:vAlign w:val="bottom"/>
          </w:tcPr>
          <w:p>
            <w:pPr>
              <w:spacing w:after="0"/>
              <w:rPr>
                <w:sz w:val="18"/>
                <w:szCs w:val="18"/>
                <w:color w:val="auto"/>
              </w:rPr>
            </w:pPr>
          </w:p>
        </w:tc>
        <w:tc>
          <w:tcPr>
            <w:tcW w:w="1640" w:type="dxa"/>
            <w:vAlign w:val="bottom"/>
          </w:tcPr>
          <w:p>
            <w:pPr>
              <w:jc w:val="right"/>
              <w:spacing w:after="0"/>
              <w:rPr>
                <w:sz w:val="20"/>
                <w:szCs w:val="20"/>
                <w:color w:val="auto"/>
              </w:rPr>
            </w:pPr>
            <w:r>
              <w:rPr>
                <w:rFonts w:ascii="Arial" w:cs="Arial" w:eastAsia="Arial" w:hAnsi="Arial"/>
                <w:sz w:val="16"/>
                <w:szCs w:val="16"/>
                <w:color w:val="auto"/>
              </w:rPr>
              <w:t>(3.3)%</w:t>
            </w:r>
          </w:p>
        </w:tc>
        <w:tc>
          <w:tcPr>
            <w:tcW w:w="0" w:type="dxa"/>
            <w:vAlign w:val="bottom"/>
          </w:tcPr>
          <w:p>
            <w:pPr>
              <w:spacing w:after="0"/>
              <w:rPr>
                <w:sz w:val="1"/>
                <w:szCs w:val="1"/>
                <w:color w:val="auto"/>
              </w:rPr>
            </w:pPr>
          </w:p>
        </w:tc>
      </w:tr>
      <w:tr>
        <w:trPr>
          <w:trHeight w:val="224"/>
        </w:trPr>
        <w:tc>
          <w:tcPr>
            <w:tcW w:w="20" w:type="dxa"/>
            <w:vAlign w:val="bottom"/>
            <w:tcBorders>
              <w:bottom w:val="single" w:sz="8" w:color="auto"/>
            </w:tcBorders>
            <w:shd w:val="clear" w:color="auto" w:fill="CCEEFF"/>
          </w:tcPr>
          <w:p>
            <w:pPr>
              <w:spacing w:after="0"/>
              <w:rPr>
                <w:sz w:val="19"/>
                <w:szCs w:val="19"/>
                <w:color w:val="auto"/>
              </w:rPr>
            </w:pPr>
          </w:p>
        </w:tc>
        <w:tc>
          <w:tcPr>
            <w:tcW w:w="360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Restructuring</w:t>
            </w:r>
          </w:p>
        </w:tc>
        <w:tc>
          <w:tcPr>
            <w:tcW w:w="580" w:type="dxa"/>
            <w:vAlign w:val="bottom"/>
            <w:tcBorders>
              <w:bottom w:val="single" w:sz="8" w:color="auto"/>
            </w:tcBorders>
            <w:shd w:val="clear" w:color="auto" w:fill="CCEEFF"/>
          </w:tcPr>
          <w:p>
            <w:pPr>
              <w:spacing w:after="0"/>
              <w:rPr>
                <w:sz w:val="19"/>
                <w:szCs w:val="19"/>
                <w:color w:val="auto"/>
              </w:rPr>
            </w:pPr>
          </w:p>
        </w:tc>
        <w:tc>
          <w:tcPr>
            <w:tcW w:w="1980" w:type="dxa"/>
            <w:vAlign w:val="bottom"/>
            <w:tcBorders>
              <w:bottom w:val="single" w:sz="8" w:color="auto"/>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spacing w:after="0"/>
              <w:rPr>
                <w:sz w:val="19"/>
                <w:szCs w:val="19"/>
                <w:color w:val="auto"/>
              </w:rPr>
            </w:pPr>
          </w:p>
        </w:tc>
        <w:tc>
          <w:tcPr>
            <w:tcW w:w="15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rPr>
              <w:t>0.2 %</w:t>
            </w:r>
          </w:p>
        </w:tc>
        <w:tc>
          <w:tcPr>
            <w:tcW w:w="1560" w:type="dxa"/>
            <w:vAlign w:val="bottom"/>
            <w:tcBorders>
              <w:bottom w:val="single" w:sz="8" w:color="auto"/>
            </w:tcBorders>
            <w:gridSpan w:val="2"/>
            <w:shd w:val="clear" w:color="auto" w:fill="CCEEFF"/>
          </w:tcPr>
          <w:p>
            <w:pPr>
              <w:jc w:val="right"/>
              <w:ind w:right="120"/>
              <w:spacing w:after="0"/>
              <w:rPr>
                <w:sz w:val="20"/>
                <w:szCs w:val="20"/>
                <w:color w:val="auto"/>
              </w:rPr>
            </w:pPr>
            <w:r>
              <w:rPr>
                <w:rFonts w:ascii="Arial" w:cs="Arial" w:eastAsia="Arial" w:hAnsi="Arial"/>
                <w:sz w:val="16"/>
                <w:szCs w:val="16"/>
                <w:color w:val="auto"/>
              </w:rPr>
              <w:t>— %</w:t>
            </w: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N/M</w:t>
            </w: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1520" w:type="dxa"/>
            <w:vAlign w:val="bottom"/>
          </w:tcPr>
          <w:p>
            <w:pPr>
              <w:spacing w:after="0"/>
              <w:rPr>
                <w:sz w:val="21"/>
                <w:szCs w:val="21"/>
                <w:color w:val="auto"/>
              </w:rPr>
            </w:pPr>
          </w:p>
        </w:tc>
        <w:tc>
          <w:tcPr>
            <w:tcW w:w="208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198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6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20" w:type="dxa"/>
            <w:vAlign w:val="bottom"/>
            <w:tcBorders>
              <w:bottom w:val="single" w:sz="8" w:color="auto"/>
            </w:tcBorders>
            <w:shd w:val="clear" w:color="auto" w:fill="CCEEFF"/>
          </w:tcPr>
          <w:p>
            <w:pPr>
              <w:spacing w:after="0"/>
              <w:rPr>
                <w:sz w:val="20"/>
                <w:szCs w:val="20"/>
                <w:color w:val="auto"/>
              </w:rPr>
            </w:pPr>
          </w:p>
        </w:tc>
        <w:tc>
          <w:tcPr>
            <w:tcW w:w="3600" w:type="dxa"/>
            <w:vAlign w:val="bottom"/>
            <w:tcBorders>
              <w:bottom w:val="single" w:sz="8" w:color="auto"/>
            </w:tcBorders>
            <w:gridSpan w:val="2"/>
            <w:shd w:val="clear" w:color="auto" w:fill="CCEEFF"/>
          </w:tcPr>
          <w:p>
            <w:pPr>
              <w:spacing w:after="0"/>
              <w:rPr>
                <w:sz w:val="20"/>
                <w:szCs w:val="20"/>
                <w:color w:val="auto"/>
              </w:rPr>
            </w:pPr>
            <w:r>
              <w:rPr>
                <w:rFonts w:ascii="Arial" w:cs="Arial" w:eastAsia="Arial" w:hAnsi="Arial"/>
                <w:sz w:val="16"/>
                <w:szCs w:val="16"/>
                <w:color w:val="auto"/>
              </w:rPr>
              <w:t>Income from operations</w:t>
            </w:r>
          </w:p>
        </w:tc>
        <w:tc>
          <w:tcPr>
            <w:tcW w:w="580" w:type="dxa"/>
            <w:vAlign w:val="bottom"/>
            <w:tcBorders>
              <w:bottom w:val="single" w:sz="8" w:color="auto"/>
            </w:tcBorders>
            <w:shd w:val="clear" w:color="auto" w:fill="CCEEFF"/>
          </w:tcPr>
          <w:p>
            <w:pPr>
              <w:spacing w:after="0"/>
              <w:rPr>
                <w:sz w:val="20"/>
                <w:szCs w:val="20"/>
                <w:color w:val="auto"/>
              </w:rPr>
            </w:pPr>
          </w:p>
        </w:tc>
        <w:tc>
          <w:tcPr>
            <w:tcW w:w="1980" w:type="dxa"/>
            <w:vAlign w:val="bottom"/>
            <w:tcBorders>
              <w:bottom w:val="single" w:sz="8" w:color="auto"/>
            </w:tcBorders>
            <w:shd w:val="clear" w:color="auto" w:fill="CCEEFF"/>
          </w:tcPr>
          <w:p>
            <w:pPr>
              <w:spacing w:after="0"/>
              <w:rPr>
                <w:sz w:val="20"/>
                <w:szCs w:val="20"/>
                <w:color w:val="auto"/>
              </w:rPr>
            </w:pPr>
          </w:p>
        </w:tc>
        <w:tc>
          <w:tcPr>
            <w:tcW w:w="280" w:type="dxa"/>
            <w:vAlign w:val="bottom"/>
            <w:tcBorders>
              <w:bottom w:val="single" w:sz="8" w:color="auto"/>
            </w:tcBorders>
            <w:shd w:val="clear" w:color="auto" w:fill="CCEEFF"/>
          </w:tcPr>
          <w:p>
            <w:pPr>
              <w:spacing w:after="0"/>
              <w:rPr>
                <w:sz w:val="20"/>
                <w:szCs w:val="20"/>
                <w:color w:val="auto"/>
              </w:rPr>
            </w:pPr>
          </w:p>
        </w:tc>
        <w:tc>
          <w:tcPr>
            <w:tcW w:w="1580" w:type="dxa"/>
            <w:vAlign w:val="bottom"/>
            <w:tcBorders>
              <w:bottom w:val="single" w:sz="8" w:color="auto"/>
            </w:tcBorders>
            <w:shd w:val="clear" w:color="auto" w:fill="CCEEFF"/>
          </w:tcPr>
          <w:p>
            <w:pPr>
              <w:jc w:val="right"/>
              <w:ind w:right="199"/>
              <w:spacing w:after="0"/>
              <w:rPr>
                <w:sz w:val="20"/>
                <w:szCs w:val="20"/>
                <w:color w:val="auto"/>
              </w:rPr>
            </w:pPr>
            <w:r>
              <w:rPr>
                <w:rFonts w:ascii="Arial" w:cs="Arial" w:eastAsia="Arial" w:hAnsi="Arial"/>
                <w:sz w:val="16"/>
                <w:szCs w:val="16"/>
                <w:color w:val="auto"/>
              </w:rPr>
              <w:t>9.0 %</w:t>
            </w:r>
          </w:p>
        </w:tc>
        <w:tc>
          <w:tcPr>
            <w:tcW w:w="146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13.5 %</w:t>
            </w:r>
          </w:p>
        </w:tc>
        <w:tc>
          <w:tcPr>
            <w:tcW w:w="100" w:type="dxa"/>
            <w:vAlign w:val="bottom"/>
            <w:tcBorders>
              <w:bottom w:val="single" w:sz="8" w:color="auto"/>
            </w:tcBorders>
            <w:shd w:val="clear" w:color="auto" w:fill="CCEEFF"/>
          </w:tcPr>
          <w:p>
            <w:pPr>
              <w:spacing w:after="0"/>
              <w:rPr>
                <w:sz w:val="20"/>
                <w:szCs w:val="20"/>
                <w:color w:val="auto"/>
              </w:rPr>
            </w:pPr>
          </w:p>
        </w:tc>
        <w:tc>
          <w:tcPr>
            <w:tcW w:w="164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color w:val="auto"/>
              </w:rPr>
              <w:t>46.8 %</w:t>
            </w:r>
          </w:p>
        </w:tc>
        <w:tc>
          <w:tcPr>
            <w:tcW w:w="0" w:type="dxa"/>
            <w:vAlign w:val="bottom"/>
          </w:tcPr>
          <w:p>
            <w:pPr>
              <w:spacing w:after="0"/>
              <w:rPr>
                <w:sz w:val="1"/>
                <w:szCs w:val="1"/>
                <w:color w:val="auto"/>
              </w:rPr>
            </w:pPr>
          </w:p>
        </w:tc>
      </w:tr>
      <w:tr>
        <w:trPr>
          <w:trHeight w:val="20"/>
        </w:trPr>
        <w:tc>
          <w:tcPr>
            <w:tcW w:w="20" w:type="dxa"/>
            <w:vAlign w:val="bottom"/>
            <w:tcBorders>
              <w:top w:val="single" w:sz="8" w:color="CCEEFF"/>
              <w:bottom w:val="single" w:sz="8" w:color="auto"/>
            </w:tcBorders>
          </w:tcPr>
          <w:p>
            <w:pPr>
              <w:spacing w:after="0" w:line="20" w:lineRule="exact"/>
              <w:rPr>
                <w:sz w:val="1"/>
                <w:szCs w:val="1"/>
                <w:color w:val="auto"/>
              </w:rPr>
            </w:pPr>
          </w:p>
        </w:tc>
        <w:tc>
          <w:tcPr>
            <w:tcW w:w="1520" w:type="dxa"/>
            <w:vAlign w:val="bottom"/>
            <w:tcBorders>
              <w:top w:val="single" w:sz="8" w:color="CCEEFF"/>
              <w:bottom w:val="single" w:sz="8" w:color="auto"/>
            </w:tcBorders>
          </w:tcPr>
          <w:p>
            <w:pPr>
              <w:spacing w:after="0" w:line="20" w:lineRule="exact"/>
              <w:rPr>
                <w:sz w:val="1"/>
                <w:szCs w:val="1"/>
                <w:color w:val="auto"/>
              </w:rPr>
            </w:pPr>
          </w:p>
        </w:tc>
        <w:tc>
          <w:tcPr>
            <w:tcW w:w="2080" w:type="dxa"/>
            <w:vAlign w:val="bottom"/>
            <w:tcBorders>
              <w:top w:val="single" w:sz="8" w:color="CCEEFF"/>
              <w:bottom w:val="single" w:sz="8" w:color="auto"/>
            </w:tcBorders>
          </w:tcPr>
          <w:p>
            <w:pPr>
              <w:spacing w:after="0" w:line="20" w:lineRule="exact"/>
              <w:rPr>
                <w:sz w:val="1"/>
                <w:szCs w:val="1"/>
                <w:color w:val="auto"/>
              </w:rPr>
            </w:pPr>
          </w:p>
        </w:tc>
        <w:tc>
          <w:tcPr>
            <w:tcW w:w="580" w:type="dxa"/>
            <w:vAlign w:val="bottom"/>
            <w:tcBorders>
              <w:top w:val="single" w:sz="8" w:color="CCEEFF"/>
              <w:bottom w:val="single" w:sz="8" w:color="auto"/>
            </w:tcBorders>
          </w:tcPr>
          <w:p>
            <w:pPr>
              <w:spacing w:after="0" w:line="20" w:lineRule="exact"/>
              <w:rPr>
                <w:sz w:val="1"/>
                <w:szCs w:val="1"/>
                <w:color w:val="auto"/>
              </w:rPr>
            </w:pPr>
          </w:p>
        </w:tc>
        <w:tc>
          <w:tcPr>
            <w:tcW w:w="1980" w:type="dxa"/>
            <w:vAlign w:val="bottom"/>
            <w:tcBorders>
              <w:top w:val="single" w:sz="8" w:color="CCEEFF"/>
              <w:bottom w:val="single" w:sz="8" w:color="auto"/>
            </w:tcBorders>
          </w:tcPr>
          <w:p>
            <w:pPr>
              <w:spacing w:after="0" w:line="20" w:lineRule="exact"/>
              <w:rPr>
                <w:sz w:val="1"/>
                <w:szCs w:val="1"/>
                <w:color w:val="auto"/>
              </w:rPr>
            </w:pPr>
          </w:p>
        </w:tc>
        <w:tc>
          <w:tcPr>
            <w:tcW w:w="280" w:type="dxa"/>
            <w:vAlign w:val="bottom"/>
            <w:tcBorders>
              <w:top w:val="single" w:sz="8" w:color="CCEEFF"/>
              <w:bottom w:val="single" w:sz="8" w:color="auto"/>
            </w:tcBorders>
          </w:tcPr>
          <w:p>
            <w:pPr>
              <w:spacing w:after="0" w:line="20" w:lineRule="exact"/>
              <w:rPr>
                <w:sz w:val="1"/>
                <w:szCs w:val="1"/>
                <w:color w:val="auto"/>
              </w:rPr>
            </w:pPr>
          </w:p>
        </w:tc>
        <w:tc>
          <w:tcPr>
            <w:tcW w:w="1580" w:type="dxa"/>
            <w:vAlign w:val="bottom"/>
            <w:tcBorders>
              <w:top w:val="single" w:sz="8" w:color="CCEEFF"/>
              <w:bottom w:val="single" w:sz="8" w:color="auto"/>
            </w:tcBorders>
          </w:tcPr>
          <w:p>
            <w:pPr>
              <w:spacing w:after="0" w:line="20" w:lineRule="exact"/>
              <w:rPr>
                <w:sz w:val="1"/>
                <w:szCs w:val="1"/>
                <w:color w:val="auto"/>
              </w:rPr>
            </w:pPr>
          </w:p>
        </w:tc>
        <w:tc>
          <w:tcPr>
            <w:tcW w:w="1460" w:type="dxa"/>
            <w:vAlign w:val="bottom"/>
            <w:tcBorders>
              <w:top w:val="single" w:sz="8" w:color="CCEEFF"/>
              <w:bottom w:val="single" w:sz="8" w:color="auto"/>
            </w:tcBorders>
          </w:tcPr>
          <w:p>
            <w:pPr>
              <w:spacing w:after="0" w:line="20" w:lineRule="exact"/>
              <w:rPr>
                <w:sz w:val="1"/>
                <w:szCs w:val="1"/>
                <w:color w:val="auto"/>
              </w:rPr>
            </w:pPr>
          </w:p>
        </w:tc>
        <w:tc>
          <w:tcPr>
            <w:tcW w:w="100" w:type="dxa"/>
            <w:vAlign w:val="bottom"/>
            <w:tcBorders>
              <w:top w:val="single" w:sz="8" w:color="CCEEFF"/>
              <w:bottom w:val="single" w:sz="8" w:color="auto"/>
            </w:tcBorders>
          </w:tcPr>
          <w:p>
            <w:pPr>
              <w:spacing w:after="0" w:line="20" w:lineRule="exact"/>
              <w:rPr>
                <w:sz w:val="1"/>
                <w:szCs w:val="1"/>
                <w:color w:val="auto"/>
              </w:rPr>
            </w:pPr>
          </w:p>
        </w:tc>
        <w:tc>
          <w:tcPr>
            <w:tcW w:w="1640" w:type="dxa"/>
            <w:vAlign w:val="bottom"/>
            <w:tcBorders>
              <w:top w:val="single" w:sz="8" w:color="CCEEFF"/>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24"/>
        </w:trPr>
        <w:tc>
          <w:tcPr>
            <w:tcW w:w="3620" w:type="dxa"/>
            <w:vAlign w:val="bottom"/>
            <w:gridSpan w:val="3"/>
          </w:tcPr>
          <w:p>
            <w:pPr>
              <w:spacing w:after="0"/>
              <w:rPr>
                <w:sz w:val="20"/>
                <w:szCs w:val="20"/>
                <w:color w:val="auto"/>
              </w:rPr>
            </w:pPr>
            <w:r>
              <w:rPr>
                <w:rFonts w:ascii="Arial" w:cs="Arial" w:eastAsia="Arial" w:hAnsi="Arial"/>
                <w:sz w:val="16"/>
                <w:szCs w:val="16"/>
                <w:color w:val="auto"/>
              </w:rPr>
              <w:t>N/M = Not Meaningful</w:t>
            </w:r>
          </w:p>
        </w:tc>
        <w:tc>
          <w:tcPr>
            <w:tcW w:w="5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3"/>
        </w:trPr>
        <w:tc>
          <w:tcPr>
            <w:tcW w:w="3620" w:type="dxa"/>
            <w:vAlign w:val="bottom"/>
            <w:gridSpan w:val="3"/>
          </w:tcPr>
          <w:p>
            <w:pPr>
              <w:spacing w:after="0"/>
              <w:rPr>
                <w:sz w:val="20"/>
                <w:szCs w:val="20"/>
                <w:color w:val="auto"/>
              </w:rPr>
            </w:pPr>
            <w:r>
              <w:rPr>
                <w:rFonts w:ascii="Arial" w:cs="Arial" w:eastAsia="Arial" w:hAnsi="Arial"/>
                <w:sz w:val="16"/>
                <w:szCs w:val="16"/>
                <w:b w:val="1"/>
                <w:bCs w:val="1"/>
                <w:i w:val="1"/>
                <w:iCs w:val="1"/>
                <w:color w:val="auto"/>
              </w:rPr>
              <w:t>Revenue</w:t>
            </w:r>
          </w:p>
        </w:tc>
        <w:tc>
          <w:tcPr>
            <w:tcW w:w="58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20" w:type="dxa"/>
            <w:vAlign w:val="bottom"/>
          </w:tcPr>
          <w:p>
            <w:pPr>
              <w:spacing w:after="0"/>
              <w:rPr>
                <w:sz w:val="8"/>
                <w:szCs w:val="8"/>
                <w:color w:val="auto"/>
              </w:rPr>
            </w:pPr>
          </w:p>
        </w:tc>
        <w:tc>
          <w:tcPr>
            <w:tcW w:w="1520" w:type="dxa"/>
            <w:vAlign w:val="bottom"/>
          </w:tcPr>
          <w:p>
            <w:pPr>
              <w:spacing w:after="0"/>
              <w:rPr>
                <w:sz w:val="8"/>
                <w:szCs w:val="8"/>
                <w:color w:val="auto"/>
              </w:rPr>
            </w:pPr>
          </w:p>
        </w:tc>
        <w:tc>
          <w:tcPr>
            <w:tcW w:w="2080" w:type="dxa"/>
            <w:vAlign w:val="bottom"/>
          </w:tcPr>
          <w:p>
            <w:pPr>
              <w:spacing w:after="0"/>
              <w:rPr>
                <w:sz w:val="8"/>
                <w:szCs w:val="8"/>
                <w:color w:val="auto"/>
              </w:rPr>
            </w:pPr>
          </w:p>
        </w:tc>
        <w:tc>
          <w:tcPr>
            <w:tcW w:w="580" w:type="dxa"/>
            <w:vAlign w:val="bottom"/>
          </w:tcPr>
          <w:p>
            <w:pPr>
              <w:spacing w:after="0"/>
              <w:rPr>
                <w:sz w:val="8"/>
                <w:szCs w:val="8"/>
                <w:color w:val="auto"/>
              </w:rPr>
            </w:pPr>
          </w:p>
        </w:tc>
        <w:tc>
          <w:tcPr>
            <w:tcW w:w="2260" w:type="dxa"/>
            <w:vAlign w:val="bottom"/>
            <w:gridSpan w:val="2"/>
          </w:tcPr>
          <w:p>
            <w:pPr>
              <w:spacing w:after="0"/>
              <w:rPr>
                <w:sz w:val="8"/>
                <w:szCs w:val="8"/>
                <w:color w:val="auto"/>
              </w:rPr>
            </w:pPr>
          </w:p>
        </w:tc>
        <w:tc>
          <w:tcPr>
            <w:tcW w:w="1580" w:type="dxa"/>
            <w:vAlign w:val="bottom"/>
          </w:tcPr>
          <w:p>
            <w:pPr>
              <w:spacing w:after="0"/>
              <w:rPr>
                <w:sz w:val="8"/>
                <w:szCs w:val="8"/>
                <w:color w:val="auto"/>
              </w:rPr>
            </w:pPr>
          </w:p>
        </w:tc>
        <w:tc>
          <w:tcPr>
            <w:tcW w:w="1460" w:type="dxa"/>
            <w:vAlign w:val="bottom"/>
          </w:tcPr>
          <w:p>
            <w:pPr>
              <w:spacing w:after="0"/>
              <w:rPr>
                <w:sz w:val="8"/>
                <w:szCs w:val="8"/>
                <w:color w:val="auto"/>
              </w:rPr>
            </w:pPr>
          </w:p>
        </w:tc>
        <w:tc>
          <w:tcPr>
            <w:tcW w:w="100" w:type="dxa"/>
            <w:vAlign w:val="bottom"/>
          </w:tcPr>
          <w:p>
            <w:pPr>
              <w:spacing w:after="0"/>
              <w:rPr>
                <w:sz w:val="8"/>
                <w:szCs w:val="8"/>
                <w:color w:val="auto"/>
              </w:rPr>
            </w:pPr>
          </w:p>
        </w:tc>
        <w:tc>
          <w:tcPr>
            <w:tcW w:w="1640" w:type="dxa"/>
            <w:vAlign w:val="bottom"/>
          </w:tcPr>
          <w:p>
            <w:pPr>
              <w:spacing w:after="0"/>
              <w:rPr>
                <w:sz w:val="8"/>
                <w:szCs w:val="8"/>
                <w:color w:val="auto"/>
              </w:rPr>
            </w:pPr>
          </w:p>
        </w:tc>
        <w:tc>
          <w:tcPr>
            <w:tcW w:w="0" w:type="dxa"/>
            <w:vAlign w:val="bottom"/>
          </w:tcPr>
          <w:p>
            <w:pPr>
              <w:spacing w:after="0"/>
              <w:rPr>
                <w:sz w:val="1"/>
                <w:szCs w:val="1"/>
                <w:color w:val="auto"/>
              </w:rPr>
            </w:pPr>
          </w:p>
        </w:tc>
      </w:tr>
      <w:tr>
        <w:trPr>
          <w:trHeight w:val="162"/>
        </w:trPr>
        <w:tc>
          <w:tcPr>
            <w:tcW w:w="20" w:type="dxa"/>
            <w:vAlign w:val="bottom"/>
            <w:shd w:val="clear" w:color="auto" w:fill="CCEEFF"/>
          </w:tcPr>
          <w:p>
            <w:pPr>
              <w:spacing w:after="0"/>
              <w:rPr>
                <w:sz w:val="14"/>
                <w:szCs w:val="14"/>
                <w:color w:val="auto"/>
              </w:rPr>
            </w:pPr>
          </w:p>
        </w:tc>
        <w:tc>
          <w:tcPr>
            <w:tcW w:w="1520" w:type="dxa"/>
            <w:vAlign w:val="bottom"/>
            <w:shd w:val="clear" w:color="auto" w:fill="CCEEFF"/>
          </w:tcPr>
          <w:p>
            <w:pPr>
              <w:spacing w:after="0"/>
              <w:rPr>
                <w:sz w:val="14"/>
                <w:szCs w:val="14"/>
                <w:color w:val="auto"/>
              </w:rPr>
            </w:pPr>
          </w:p>
        </w:tc>
        <w:tc>
          <w:tcPr>
            <w:tcW w:w="2080" w:type="dxa"/>
            <w:vAlign w:val="bottom"/>
            <w:shd w:val="clear" w:color="auto" w:fill="CCEEFF"/>
          </w:tcPr>
          <w:p>
            <w:pPr>
              <w:spacing w:after="0"/>
              <w:rPr>
                <w:sz w:val="14"/>
                <w:szCs w:val="14"/>
                <w:color w:val="auto"/>
              </w:rPr>
            </w:pPr>
          </w:p>
        </w:tc>
        <w:tc>
          <w:tcPr>
            <w:tcW w:w="580" w:type="dxa"/>
            <w:vAlign w:val="bottom"/>
            <w:shd w:val="clear" w:color="auto" w:fill="CCEEFF"/>
          </w:tcPr>
          <w:p>
            <w:pPr>
              <w:spacing w:after="0"/>
              <w:rPr>
                <w:sz w:val="14"/>
                <w:szCs w:val="14"/>
                <w:color w:val="auto"/>
              </w:rPr>
            </w:pPr>
          </w:p>
        </w:tc>
        <w:tc>
          <w:tcPr>
            <w:tcW w:w="2260" w:type="dxa"/>
            <w:vAlign w:val="bottom"/>
            <w:gridSpan w:val="2"/>
            <w:shd w:val="clear" w:color="auto" w:fill="CCEEFF"/>
          </w:tcPr>
          <w:p>
            <w:pPr>
              <w:ind w:left="480"/>
              <w:spacing w:after="0" w:line="162" w:lineRule="exact"/>
              <w:rPr>
                <w:sz w:val="20"/>
                <w:szCs w:val="20"/>
                <w:color w:val="auto"/>
              </w:rPr>
            </w:pPr>
            <w:r>
              <w:rPr>
                <w:rFonts w:ascii="Arial" w:cs="Arial" w:eastAsia="Arial" w:hAnsi="Arial"/>
                <w:sz w:val="16"/>
                <w:szCs w:val="16"/>
                <w:b w:val="1"/>
                <w:bCs w:val="1"/>
                <w:color w:val="auto"/>
              </w:rPr>
              <w:t>Three Months Ended</w:t>
            </w:r>
          </w:p>
        </w:tc>
        <w:tc>
          <w:tcPr>
            <w:tcW w:w="1580" w:type="dxa"/>
            <w:vAlign w:val="bottom"/>
            <w:shd w:val="clear" w:color="auto" w:fill="CCEEFF"/>
          </w:tcPr>
          <w:p>
            <w:pPr>
              <w:spacing w:after="0"/>
              <w:rPr>
                <w:sz w:val="14"/>
                <w:szCs w:val="14"/>
                <w:color w:val="auto"/>
              </w:rPr>
            </w:pPr>
          </w:p>
        </w:tc>
        <w:tc>
          <w:tcPr>
            <w:tcW w:w="1560" w:type="dxa"/>
            <w:vAlign w:val="bottom"/>
            <w:gridSpan w:val="2"/>
            <w:vMerge w:val="restart"/>
            <w:shd w:val="clear" w:color="auto" w:fill="CCEEFF"/>
          </w:tcPr>
          <w:p>
            <w:pPr>
              <w:ind w:left="960"/>
              <w:spacing w:after="0"/>
              <w:rPr>
                <w:sz w:val="20"/>
                <w:szCs w:val="20"/>
                <w:color w:val="auto"/>
              </w:rPr>
            </w:pPr>
            <w:r>
              <w:rPr>
                <w:rFonts w:ascii="Arial" w:cs="Arial" w:eastAsia="Arial" w:hAnsi="Arial"/>
                <w:sz w:val="16"/>
                <w:szCs w:val="16"/>
                <w:b w:val="1"/>
                <w:bCs w:val="1"/>
                <w:color w:val="auto"/>
                <w:w w:val="98"/>
              </w:rPr>
              <w:t>Change</w:t>
            </w:r>
          </w:p>
        </w:tc>
        <w:tc>
          <w:tcPr>
            <w:tcW w:w="164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20" w:type="dxa"/>
            <w:vAlign w:val="bottom"/>
            <w:shd w:val="clear" w:color="auto" w:fill="CCEEFF"/>
          </w:tcPr>
          <w:p>
            <w:pPr>
              <w:spacing w:after="0"/>
              <w:rPr>
                <w:sz w:val="18"/>
                <w:szCs w:val="18"/>
                <w:color w:val="auto"/>
              </w:rPr>
            </w:pPr>
          </w:p>
        </w:tc>
        <w:tc>
          <w:tcPr>
            <w:tcW w:w="1520" w:type="dxa"/>
            <w:vAlign w:val="bottom"/>
            <w:shd w:val="clear" w:color="auto" w:fill="CCEEFF"/>
          </w:tcPr>
          <w:p>
            <w:pPr>
              <w:spacing w:after="0"/>
              <w:rPr>
                <w:sz w:val="18"/>
                <w:szCs w:val="18"/>
                <w:color w:val="auto"/>
              </w:rPr>
            </w:pPr>
          </w:p>
        </w:tc>
        <w:tc>
          <w:tcPr>
            <w:tcW w:w="2080" w:type="dxa"/>
            <w:vAlign w:val="bottom"/>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spacing w:after="0"/>
              <w:rPr>
                <w:sz w:val="18"/>
                <w:szCs w:val="18"/>
                <w:color w:val="auto"/>
              </w:rPr>
            </w:pPr>
          </w:p>
        </w:tc>
        <w:tc>
          <w:tcPr>
            <w:tcW w:w="2260" w:type="dxa"/>
            <w:vAlign w:val="bottom"/>
            <w:tcBorders>
              <w:bottom w:val="single" w:sz="8" w:color="auto"/>
            </w:tcBorders>
            <w:gridSpan w:val="2"/>
            <w:shd w:val="clear" w:color="auto" w:fill="CCEEFF"/>
          </w:tcPr>
          <w:p>
            <w:pPr>
              <w:ind w:left="920"/>
              <w:spacing w:after="0"/>
              <w:rPr>
                <w:sz w:val="20"/>
                <w:szCs w:val="20"/>
                <w:color w:val="auto"/>
              </w:rPr>
            </w:pPr>
            <w:r>
              <w:rPr>
                <w:rFonts w:ascii="Arial" w:cs="Arial" w:eastAsia="Arial" w:hAnsi="Arial"/>
                <w:sz w:val="16"/>
                <w:szCs w:val="16"/>
                <w:b w:val="1"/>
                <w:bCs w:val="1"/>
                <w:color w:val="auto"/>
              </w:rPr>
              <w:t>March 31,</w:t>
            </w:r>
          </w:p>
        </w:tc>
        <w:tc>
          <w:tcPr>
            <w:tcW w:w="1580" w:type="dxa"/>
            <w:vAlign w:val="bottom"/>
            <w:tcBorders>
              <w:bottom w:val="single" w:sz="8" w:color="auto"/>
            </w:tcBorders>
            <w:shd w:val="clear" w:color="auto" w:fill="CCEEFF"/>
          </w:tcPr>
          <w:p>
            <w:pPr>
              <w:spacing w:after="0"/>
              <w:rPr>
                <w:sz w:val="18"/>
                <w:szCs w:val="18"/>
                <w:color w:val="auto"/>
              </w:rPr>
            </w:pPr>
          </w:p>
        </w:tc>
        <w:tc>
          <w:tcPr>
            <w:tcW w:w="1560" w:type="dxa"/>
            <w:vAlign w:val="bottom"/>
            <w:tcBorders>
              <w:bottom w:val="single" w:sz="8" w:color="auto"/>
            </w:tcBorders>
            <w:gridSpan w:val="2"/>
            <w:vMerge w:val="continue"/>
            <w:shd w:val="clear" w:color="auto" w:fill="CCEEFF"/>
          </w:tcPr>
          <w:p>
            <w:pPr>
              <w:spacing w:after="0"/>
              <w:rPr>
                <w:sz w:val="18"/>
                <w:szCs w:val="18"/>
                <w:color w:val="auto"/>
              </w:rPr>
            </w:pPr>
          </w:p>
        </w:tc>
        <w:tc>
          <w:tcPr>
            <w:tcW w:w="164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20" w:type="dxa"/>
            <w:vAlign w:val="bottom"/>
            <w:tcBorders>
              <w:bottom w:val="single" w:sz="8" w:color="CCEEFF"/>
            </w:tcBorders>
          </w:tcPr>
          <w:p>
            <w:pPr>
              <w:spacing w:after="0"/>
              <w:rPr>
                <w:sz w:val="18"/>
                <w:szCs w:val="18"/>
                <w:color w:val="auto"/>
              </w:rPr>
            </w:pPr>
          </w:p>
        </w:tc>
        <w:tc>
          <w:tcPr>
            <w:tcW w:w="3600" w:type="dxa"/>
            <w:vAlign w:val="bottom"/>
            <w:tcBorders>
              <w:bottom w:val="single" w:sz="8" w:color="CCEEFF"/>
            </w:tcBorders>
            <w:gridSpan w:val="2"/>
          </w:tcPr>
          <w:p>
            <w:pPr>
              <w:spacing w:after="0"/>
              <w:rPr>
                <w:sz w:val="20"/>
                <w:szCs w:val="20"/>
                <w:color w:val="auto"/>
              </w:rPr>
            </w:pPr>
            <w:r>
              <w:rPr>
                <w:rFonts w:ascii="Arial" w:cs="Arial" w:eastAsia="Arial" w:hAnsi="Arial"/>
                <w:sz w:val="16"/>
                <w:szCs w:val="16"/>
                <w:i w:val="1"/>
                <w:iCs w:val="1"/>
                <w:color w:val="auto"/>
              </w:rPr>
              <w:t>(dollars in thousands)</w:t>
            </w:r>
          </w:p>
        </w:tc>
        <w:tc>
          <w:tcPr>
            <w:tcW w:w="580" w:type="dxa"/>
            <w:vAlign w:val="bottom"/>
            <w:tcBorders>
              <w:bottom w:val="single" w:sz="8" w:color="auto"/>
            </w:tcBorders>
          </w:tcPr>
          <w:p>
            <w:pPr>
              <w:spacing w:after="0"/>
              <w:rPr>
                <w:sz w:val="18"/>
                <w:szCs w:val="18"/>
                <w:color w:val="auto"/>
              </w:rPr>
            </w:pPr>
          </w:p>
        </w:tc>
        <w:tc>
          <w:tcPr>
            <w:tcW w:w="1980" w:type="dxa"/>
            <w:vAlign w:val="bottom"/>
            <w:tcBorders>
              <w:bottom w:val="single" w:sz="8" w:color="auto"/>
            </w:tcBorders>
          </w:tcPr>
          <w:p>
            <w:pPr>
              <w:ind w:left="920"/>
              <w:spacing w:after="0"/>
              <w:rPr>
                <w:sz w:val="20"/>
                <w:szCs w:val="20"/>
                <w:color w:val="auto"/>
              </w:rPr>
            </w:pPr>
            <w:r>
              <w:rPr>
                <w:rFonts w:ascii="Arial" w:cs="Arial" w:eastAsia="Arial" w:hAnsi="Arial"/>
                <w:sz w:val="16"/>
                <w:szCs w:val="16"/>
                <w:b w:val="1"/>
                <w:bCs w:val="1"/>
                <w:color w:val="auto"/>
              </w:rPr>
              <w:t>2022</w:t>
            </w:r>
          </w:p>
        </w:tc>
        <w:tc>
          <w:tcPr>
            <w:tcW w:w="28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jc w:val="right"/>
              <w:ind w:right="619"/>
              <w:spacing w:after="0"/>
              <w:rPr>
                <w:sz w:val="20"/>
                <w:szCs w:val="20"/>
                <w:color w:val="auto"/>
              </w:rPr>
            </w:pPr>
            <w:r>
              <w:rPr>
                <w:rFonts w:ascii="Arial" w:cs="Arial" w:eastAsia="Arial" w:hAnsi="Arial"/>
                <w:sz w:val="16"/>
                <w:szCs w:val="16"/>
                <w:b w:val="1"/>
                <w:bCs w:val="1"/>
                <w:color w:val="auto"/>
              </w:rPr>
              <w:t>2021</w:t>
            </w:r>
          </w:p>
        </w:tc>
        <w:tc>
          <w:tcPr>
            <w:tcW w:w="1460" w:type="dxa"/>
            <w:vAlign w:val="bottom"/>
            <w:tcBorders>
              <w:bottom w:val="single" w:sz="8" w:color="auto"/>
            </w:tcBorders>
          </w:tcPr>
          <w:p>
            <w:pPr>
              <w:jc w:val="right"/>
              <w:ind w:right="199"/>
              <w:spacing w:after="0"/>
              <w:rPr>
                <w:sz w:val="20"/>
                <w:szCs w:val="20"/>
                <w:color w:val="auto"/>
              </w:rPr>
            </w:pPr>
            <w:r>
              <w:rPr>
                <w:rFonts w:ascii="Arial" w:cs="Arial" w:eastAsia="Arial" w:hAnsi="Arial"/>
                <w:sz w:val="16"/>
                <w:szCs w:val="16"/>
                <w:b w:val="1"/>
                <w:bCs w:val="1"/>
                <w:color w:val="auto"/>
              </w:rPr>
              <w:t>$</w:t>
            </w:r>
          </w:p>
        </w:tc>
        <w:tc>
          <w:tcPr>
            <w:tcW w:w="100" w:type="dxa"/>
            <w:vAlign w:val="bottom"/>
            <w:tcBorders>
              <w:bottom w:val="single" w:sz="8" w:color="auto"/>
            </w:tcBorders>
          </w:tcPr>
          <w:p>
            <w:pPr>
              <w:spacing w:after="0"/>
              <w:rPr>
                <w:sz w:val="18"/>
                <w:szCs w:val="18"/>
                <w:color w:val="auto"/>
              </w:rPr>
            </w:pPr>
          </w:p>
        </w:tc>
        <w:tc>
          <w:tcPr>
            <w:tcW w:w="16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209"/>
        </w:trPr>
        <w:tc>
          <w:tcPr>
            <w:tcW w:w="20" w:type="dxa"/>
            <w:vAlign w:val="bottom"/>
            <w:shd w:val="clear" w:color="auto" w:fill="CCEEFF"/>
          </w:tcPr>
          <w:p>
            <w:pPr>
              <w:spacing w:after="0"/>
              <w:rPr>
                <w:sz w:val="18"/>
                <w:szCs w:val="18"/>
                <w:color w:val="auto"/>
              </w:rPr>
            </w:pPr>
          </w:p>
        </w:tc>
        <w:tc>
          <w:tcPr>
            <w:tcW w:w="3600" w:type="dxa"/>
            <w:vAlign w:val="bottom"/>
            <w:gridSpan w:val="2"/>
            <w:shd w:val="clear" w:color="auto" w:fill="CCEEFF"/>
          </w:tcPr>
          <w:p>
            <w:pPr>
              <w:spacing w:after="0"/>
              <w:rPr>
                <w:sz w:val="20"/>
                <w:szCs w:val="20"/>
                <w:color w:val="auto"/>
              </w:rPr>
            </w:pPr>
            <w:r>
              <w:rPr>
                <w:rFonts w:ascii="Arial" w:cs="Arial" w:eastAsia="Arial" w:hAnsi="Arial"/>
                <w:sz w:val="16"/>
                <w:szCs w:val="16"/>
                <w:color w:val="auto"/>
              </w:rPr>
              <w:t>Revenue</w:t>
            </w:r>
          </w:p>
        </w:tc>
        <w:tc>
          <w:tcPr>
            <w:tcW w:w="580" w:type="dxa"/>
            <w:vAlign w:val="bottom"/>
            <w:shd w:val="clear" w:color="auto" w:fill="CCEEFF"/>
          </w:tcPr>
          <w:p>
            <w:pPr>
              <w:jc w:val="right"/>
              <w:ind w:right="399"/>
              <w:spacing w:after="0"/>
              <w:rPr>
                <w:sz w:val="20"/>
                <w:szCs w:val="20"/>
                <w:color w:val="auto"/>
              </w:rPr>
            </w:pPr>
            <w:r>
              <w:rPr>
                <w:rFonts w:ascii="Arial" w:cs="Arial" w:eastAsia="Arial" w:hAnsi="Arial"/>
                <w:sz w:val="16"/>
                <w:szCs w:val="16"/>
                <w:color w:val="auto"/>
                <w:w w:val="89"/>
              </w:rPr>
              <w:t>$</w:t>
            </w:r>
          </w:p>
        </w:tc>
        <w:tc>
          <w:tcPr>
            <w:tcW w:w="1980" w:type="dxa"/>
            <w:vAlign w:val="bottom"/>
            <w:shd w:val="clear" w:color="auto" w:fill="CCEEFF"/>
          </w:tcPr>
          <w:p>
            <w:pPr>
              <w:ind w:left="500"/>
              <w:spacing w:after="0"/>
              <w:rPr>
                <w:sz w:val="20"/>
                <w:szCs w:val="20"/>
                <w:color w:val="auto"/>
              </w:rPr>
            </w:pPr>
            <w:r>
              <w:rPr>
                <w:rFonts w:ascii="Arial" w:cs="Arial" w:eastAsia="Arial" w:hAnsi="Arial"/>
                <w:sz w:val="16"/>
                <w:szCs w:val="16"/>
                <w:color w:val="auto"/>
              </w:rPr>
              <w:t>1,901,764 $</w:t>
            </w:r>
          </w:p>
        </w:tc>
        <w:tc>
          <w:tcPr>
            <w:tcW w:w="280" w:type="dxa"/>
            <w:vAlign w:val="bottom"/>
            <w:shd w:val="clear" w:color="auto" w:fill="CCEEFF"/>
          </w:tcPr>
          <w:p>
            <w:pPr>
              <w:spacing w:after="0"/>
              <w:rPr>
                <w:sz w:val="18"/>
                <w:szCs w:val="18"/>
                <w:color w:val="auto"/>
              </w:rPr>
            </w:pPr>
          </w:p>
        </w:tc>
        <w:tc>
          <w:tcPr>
            <w:tcW w:w="1580" w:type="dxa"/>
            <w:vAlign w:val="bottom"/>
            <w:shd w:val="clear" w:color="auto" w:fill="CCEEFF"/>
          </w:tcPr>
          <w:p>
            <w:pPr>
              <w:jc w:val="right"/>
              <w:ind w:right="479"/>
              <w:spacing w:after="0"/>
              <w:rPr>
                <w:sz w:val="20"/>
                <w:szCs w:val="20"/>
                <w:color w:val="auto"/>
              </w:rPr>
            </w:pPr>
            <w:r>
              <w:rPr>
                <w:rFonts w:ascii="Arial" w:cs="Arial" w:eastAsia="Arial" w:hAnsi="Arial"/>
                <w:sz w:val="16"/>
                <w:szCs w:val="16"/>
                <w:color w:val="auto"/>
              </w:rPr>
              <w:t>858,198 $</w:t>
            </w:r>
          </w:p>
        </w:tc>
        <w:tc>
          <w:tcPr>
            <w:tcW w:w="1460" w:type="dxa"/>
            <w:vAlign w:val="bottom"/>
            <w:shd w:val="clear" w:color="auto" w:fill="CCEEFF"/>
          </w:tcPr>
          <w:p>
            <w:pPr>
              <w:jc w:val="right"/>
              <w:ind w:right="259"/>
              <w:spacing w:after="0"/>
              <w:rPr>
                <w:sz w:val="20"/>
                <w:szCs w:val="20"/>
                <w:color w:val="auto"/>
              </w:rPr>
            </w:pPr>
            <w:r>
              <w:rPr>
                <w:rFonts w:ascii="Arial" w:cs="Arial" w:eastAsia="Arial" w:hAnsi="Arial"/>
                <w:sz w:val="16"/>
                <w:szCs w:val="16"/>
                <w:color w:val="auto"/>
              </w:rPr>
              <w:t>1,043,566</w:t>
            </w:r>
          </w:p>
        </w:tc>
        <w:tc>
          <w:tcPr>
            <w:tcW w:w="100" w:type="dxa"/>
            <w:vAlign w:val="bottom"/>
            <w:shd w:val="clear" w:color="auto" w:fill="CCEEFF"/>
          </w:tcPr>
          <w:p>
            <w:pPr>
              <w:spacing w:after="0"/>
              <w:rPr>
                <w:sz w:val="18"/>
                <w:szCs w:val="18"/>
                <w:color w:val="auto"/>
              </w:rPr>
            </w:pPr>
          </w:p>
        </w:tc>
        <w:tc>
          <w:tcPr>
            <w:tcW w:w="16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121.6 %</w:t>
            </w:r>
          </w:p>
        </w:tc>
        <w:tc>
          <w:tcPr>
            <w:tcW w:w="0" w:type="dxa"/>
            <w:vAlign w:val="bottom"/>
          </w:tcPr>
          <w:p>
            <w:pPr>
              <w:spacing w:after="0"/>
              <w:rPr>
                <w:sz w:val="1"/>
                <w:szCs w:val="1"/>
                <w:color w:val="auto"/>
              </w:rPr>
            </w:pPr>
          </w:p>
        </w:tc>
      </w:tr>
    </w:tbl>
    <w:p>
      <w:pPr>
        <w:spacing w:after="0" w:line="310"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Revenue for the three months ended March 31, 2022 increased by $1,043.6 million, or 121.6%, to $1,901.8 million, compared to $858.2 million for the three months ended March 31, 2021. The increase in revenue for the three months ended March 31, 2022 is due to the Merger and continued organic growth across the Company's markets.</w:t>
      </w:r>
    </w:p>
    <w:p>
      <w:pPr>
        <w:spacing w:after="0" w:line="191"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During the three months ended March 31, 2022 we derived approximately 51.0%, 43.3% and 5.7% of our revenue in the United States, Europe and Rest of World respectively. During the three months ended March 31, 2022, $544.6 million or 28.6% of our revenues were derived from our top 5 customers. New customer accounts are continually added across the full portfolio of large pharma customers, mid-tier pharma customers and biotech customers.</w:t>
      </w: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8" w:name="page29"/>
    <w:bookmarkEnd w:id="28"/>
    <w:p>
      <w:pPr>
        <w:jc w:val="both"/>
        <w:ind w:firstLine="648"/>
        <w:spacing w:after="0" w:line="261" w:lineRule="auto"/>
        <w:rPr>
          <w:sz w:val="20"/>
          <w:szCs w:val="20"/>
          <w:color w:val="auto"/>
        </w:rPr>
      </w:pPr>
      <w:r>
        <w:rPr>
          <w:rFonts w:ascii="Arial" w:cs="Arial" w:eastAsia="Arial" w:hAnsi="Arial"/>
          <w:sz w:val="16"/>
          <w:szCs w:val="16"/>
          <w:color w:val="auto"/>
        </w:rPr>
        <w:t xml:space="preserve">Revenue in Ireland for the three months ended March 31, 2022 increased to $367.4 million compared to $308.1 million for the three months ended March 31, 2021. Revenue in Ireland is principally a function of the Company’s global transfer pricing model (see </w:t>
      </w:r>
      <w:r>
        <w:rPr>
          <w:rFonts w:ascii="Arial" w:cs="Arial" w:eastAsia="Arial" w:hAnsi="Arial"/>
          <w:sz w:val="16"/>
          <w:szCs w:val="16"/>
          <w:i w:val="1"/>
          <w:iCs w:val="1"/>
          <w:color w:val="auto"/>
        </w:rPr>
        <w:t>note 17 - Business segment information</w:t>
      </w:r>
      <w:r>
        <w:rPr>
          <w:rFonts w:ascii="Arial" w:cs="Arial" w:eastAsia="Arial" w:hAnsi="Arial"/>
          <w:sz w:val="16"/>
          <w:szCs w:val="16"/>
          <w:color w:val="auto"/>
        </w:rPr>
        <w:t xml:space="preserve"> for further details). Revenue in our Rest of Europe region increased to $456.1 million compared to $120.4 million for the three months ended March 31, 2021. Revenue in the Rest of World region increased to $107.7 million compared to $77.2 million for the three months ended March 31, 2021. Revenue in the U.S. region increased to $970.6 million from $352.5 million for the three months ended March 31, 2021. Revenue has increased across all regions due to the completion of the Merger on July 1, 2021.</w:t>
      </w:r>
    </w:p>
    <w:p>
      <w:pPr>
        <w:spacing w:after="0" w:line="20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Direct costs</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5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13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78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Three Months Ended</w:t>
            </w:r>
          </w:p>
        </w:tc>
        <w:tc>
          <w:tcPr>
            <w:tcW w:w="60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r>
      <w:tr>
        <w:trPr>
          <w:trHeight w:val="216"/>
        </w:trPr>
        <w:tc>
          <w:tcPr>
            <w:tcW w:w="5520" w:type="dxa"/>
            <w:vAlign w:val="bottom"/>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136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780" w:type="dxa"/>
            <w:vAlign w:val="bottom"/>
            <w:tcBorders>
              <w:bottom w:val="single" w:sz="8" w:color="auto"/>
            </w:tcBorders>
            <w:shd w:val="clear" w:color="auto" w:fill="CCEEFF"/>
          </w:tcPr>
          <w:p>
            <w:pPr>
              <w:jc w:val="right"/>
              <w:ind w:right="499"/>
              <w:spacing w:after="0"/>
              <w:rPr>
                <w:sz w:val="20"/>
                <w:szCs w:val="20"/>
                <w:color w:val="auto"/>
              </w:rPr>
            </w:pPr>
            <w:r>
              <w:rPr>
                <w:rFonts w:ascii="Arial" w:cs="Arial" w:eastAsia="Arial" w:hAnsi="Arial"/>
                <w:sz w:val="16"/>
                <w:szCs w:val="16"/>
                <w:b w:val="1"/>
                <w:bCs w:val="1"/>
                <w:color w:val="auto"/>
              </w:rPr>
              <w:t>March 31,</w:t>
            </w:r>
          </w:p>
        </w:tc>
        <w:tc>
          <w:tcPr>
            <w:tcW w:w="60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spacing w:after="0"/>
              <w:rPr>
                <w:sz w:val="18"/>
                <w:szCs w:val="18"/>
                <w:color w:val="auto"/>
              </w:rPr>
            </w:pPr>
          </w:p>
        </w:tc>
      </w:tr>
      <w:tr>
        <w:trPr>
          <w:trHeight w:val="210"/>
        </w:trPr>
        <w:tc>
          <w:tcPr>
            <w:tcW w:w="552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560" w:type="dxa"/>
            <w:vAlign w:val="bottom"/>
            <w:tcBorders>
              <w:bottom w:val="single" w:sz="8" w:color="auto"/>
            </w:tcBorders>
          </w:tcPr>
          <w:p>
            <w:pPr>
              <w:spacing w:after="0"/>
              <w:rPr>
                <w:sz w:val="18"/>
                <w:szCs w:val="18"/>
                <w:color w:val="auto"/>
              </w:rPr>
            </w:pPr>
          </w:p>
        </w:tc>
        <w:tc>
          <w:tcPr>
            <w:tcW w:w="13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2022</w:t>
            </w:r>
          </w:p>
        </w:tc>
        <w:tc>
          <w:tcPr>
            <w:tcW w:w="120" w:type="dxa"/>
            <w:vAlign w:val="bottom"/>
            <w:tcBorders>
              <w:bottom w:val="single" w:sz="8" w:color="auto"/>
            </w:tcBorders>
          </w:tcPr>
          <w:p>
            <w:pPr>
              <w:spacing w:after="0"/>
              <w:rPr>
                <w:sz w:val="18"/>
                <w:szCs w:val="18"/>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60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Change</w:t>
            </w:r>
          </w:p>
        </w:tc>
      </w:tr>
      <w:tr>
        <w:trPr>
          <w:trHeight w:val="209"/>
        </w:trPr>
        <w:tc>
          <w:tcPr>
            <w:tcW w:w="5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Direct costs</w:t>
            </w:r>
          </w:p>
        </w:tc>
        <w:tc>
          <w:tcPr>
            <w:tcW w:w="560" w:type="dxa"/>
            <w:vAlign w:val="bottom"/>
            <w:shd w:val="clear" w:color="auto" w:fill="CCEEFF"/>
          </w:tcPr>
          <w:p>
            <w:pPr>
              <w:jc w:val="right"/>
              <w:ind w:right="359"/>
              <w:spacing w:after="0"/>
              <w:rPr>
                <w:sz w:val="20"/>
                <w:szCs w:val="20"/>
                <w:color w:val="auto"/>
              </w:rPr>
            </w:pPr>
            <w:r>
              <w:rPr>
                <w:rFonts w:ascii="Arial" w:cs="Arial" w:eastAsia="Arial" w:hAnsi="Arial"/>
                <w:sz w:val="16"/>
                <w:szCs w:val="16"/>
                <w:color w:val="auto"/>
              </w:rPr>
              <w:t>$</w:t>
            </w:r>
          </w:p>
        </w:tc>
        <w:tc>
          <w:tcPr>
            <w:tcW w:w="136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1,378,467</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626,244</w:t>
            </w:r>
          </w:p>
        </w:tc>
        <w:tc>
          <w:tcPr>
            <w:tcW w:w="600" w:type="dxa"/>
            <w:vAlign w:val="bottom"/>
            <w:shd w:val="clear" w:color="auto" w:fill="CCEEFF"/>
          </w:tcPr>
          <w:p>
            <w:pPr>
              <w:jc w:val="right"/>
              <w:ind w:right="419"/>
              <w:spacing w:after="0"/>
              <w:rPr>
                <w:sz w:val="20"/>
                <w:szCs w:val="20"/>
                <w:color w:val="auto"/>
              </w:rPr>
            </w:pPr>
            <w:r>
              <w:rPr>
                <w:rFonts w:ascii="Arial" w:cs="Arial" w:eastAsia="Arial" w:hAnsi="Arial"/>
                <w:sz w:val="16"/>
                <w:szCs w:val="16"/>
                <w:color w:val="auto"/>
                <w:w w:val="89"/>
              </w:rPr>
              <w:t>$</w:t>
            </w:r>
          </w:p>
        </w:tc>
        <w:tc>
          <w:tcPr>
            <w:tcW w:w="1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752,223</w:t>
            </w:r>
          </w:p>
        </w:tc>
      </w:tr>
      <w:tr>
        <w:trPr>
          <w:trHeight w:val="215"/>
        </w:trPr>
        <w:tc>
          <w:tcPr>
            <w:tcW w:w="552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56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Arial" w:cs="Arial" w:eastAsia="Arial" w:hAnsi="Arial"/>
                <w:sz w:val="16"/>
                <w:szCs w:val="16"/>
                <w:color w:val="auto"/>
              </w:rPr>
              <w:t>72.5 %</w:t>
            </w:r>
          </w:p>
        </w:tc>
        <w:tc>
          <w:tcPr>
            <w:tcW w:w="12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73.0 %</w:t>
            </w:r>
          </w:p>
        </w:tc>
        <w:tc>
          <w:tcPr>
            <w:tcW w:w="6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120.1 %</w:t>
            </w:r>
          </w:p>
        </w:tc>
      </w:tr>
    </w:tbl>
    <w:p>
      <w:pPr>
        <w:spacing w:after="0" w:line="311"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6"/>
          <w:szCs w:val="16"/>
          <w:color w:val="auto"/>
        </w:rPr>
        <w:t>Direct costs for the three months ended March 31, 2022 increased by $752.2 million, or 120.1%, to $1,378.5 million compared to $626.2 million for the three months ended March 31, 2021. Direct costs consist primarily of investigator and other reimbursable costs, compensation, associated fringe benefits and share based compensation expense for project-related employees and other direct project driven costs. The increase in direct costs arose due to an increase in headcount and an increase in personnel related expenditure in the period to March 31, 2022 as a result of the Merger combined with an increase in other direct project related costs, an increase in travel related costs and an increase in third party investigator and other reimbursable costs. These were partly offset by a small decrease in laboratory costs.</w:t>
      </w: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Selling, general and administrative expense</w:t>
      </w: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52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78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Three Months Ended</w:t>
            </w:r>
          </w:p>
        </w:tc>
        <w:tc>
          <w:tcPr>
            <w:tcW w:w="60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r>
      <w:tr>
        <w:trPr>
          <w:trHeight w:val="216"/>
        </w:trPr>
        <w:tc>
          <w:tcPr>
            <w:tcW w:w="5520" w:type="dxa"/>
            <w:vAlign w:val="bottom"/>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780" w:type="dxa"/>
            <w:vAlign w:val="bottom"/>
            <w:tcBorders>
              <w:bottom w:val="single" w:sz="8" w:color="auto"/>
            </w:tcBorders>
            <w:shd w:val="clear" w:color="auto" w:fill="CCEEFF"/>
          </w:tcPr>
          <w:p>
            <w:pPr>
              <w:jc w:val="right"/>
              <w:ind w:right="499"/>
              <w:spacing w:after="0"/>
              <w:rPr>
                <w:sz w:val="20"/>
                <w:szCs w:val="20"/>
                <w:color w:val="auto"/>
              </w:rPr>
            </w:pPr>
            <w:r>
              <w:rPr>
                <w:rFonts w:ascii="Arial" w:cs="Arial" w:eastAsia="Arial" w:hAnsi="Arial"/>
                <w:sz w:val="16"/>
                <w:szCs w:val="16"/>
                <w:b w:val="1"/>
                <w:bCs w:val="1"/>
                <w:color w:val="auto"/>
              </w:rPr>
              <w:t>March 31,</w:t>
            </w:r>
          </w:p>
        </w:tc>
        <w:tc>
          <w:tcPr>
            <w:tcW w:w="60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spacing w:after="0"/>
              <w:rPr>
                <w:sz w:val="18"/>
                <w:szCs w:val="18"/>
                <w:color w:val="auto"/>
              </w:rPr>
            </w:pPr>
          </w:p>
        </w:tc>
      </w:tr>
      <w:tr>
        <w:trPr>
          <w:trHeight w:val="210"/>
        </w:trPr>
        <w:tc>
          <w:tcPr>
            <w:tcW w:w="552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6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2022</w:t>
            </w:r>
          </w:p>
        </w:tc>
        <w:tc>
          <w:tcPr>
            <w:tcW w:w="120" w:type="dxa"/>
            <w:vAlign w:val="bottom"/>
            <w:tcBorders>
              <w:bottom w:val="single" w:sz="8" w:color="auto"/>
            </w:tcBorders>
          </w:tcPr>
          <w:p>
            <w:pPr>
              <w:spacing w:after="0"/>
              <w:rPr>
                <w:sz w:val="18"/>
                <w:szCs w:val="18"/>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60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Change</w:t>
            </w:r>
          </w:p>
        </w:tc>
      </w:tr>
      <w:tr>
        <w:trPr>
          <w:trHeight w:val="209"/>
        </w:trPr>
        <w:tc>
          <w:tcPr>
            <w:tcW w:w="5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Selling, general and administrative expense</w:t>
            </w:r>
          </w:p>
        </w:tc>
        <w:tc>
          <w:tcPr>
            <w:tcW w:w="620" w:type="dxa"/>
            <w:vAlign w:val="bottom"/>
            <w:shd w:val="clear" w:color="auto" w:fill="CCEEFF"/>
          </w:tcPr>
          <w:p>
            <w:pPr>
              <w:jc w:val="right"/>
              <w:ind w:right="41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195,261</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86,034</w:t>
            </w:r>
          </w:p>
        </w:tc>
        <w:tc>
          <w:tcPr>
            <w:tcW w:w="600" w:type="dxa"/>
            <w:vAlign w:val="bottom"/>
            <w:shd w:val="clear" w:color="auto" w:fill="CCEEFF"/>
          </w:tcPr>
          <w:p>
            <w:pPr>
              <w:jc w:val="right"/>
              <w:ind w:right="419"/>
              <w:spacing w:after="0"/>
              <w:rPr>
                <w:sz w:val="20"/>
                <w:szCs w:val="20"/>
                <w:color w:val="auto"/>
              </w:rPr>
            </w:pPr>
            <w:r>
              <w:rPr>
                <w:rFonts w:ascii="Arial" w:cs="Arial" w:eastAsia="Arial" w:hAnsi="Arial"/>
                <w:sz w:val="16"/>
                <w:szCs w:val="16"/>
                <w:color w:val="auto"/>
                <w:w w:val="89"/>
              </w:rPr>
              <w:t>$</w:t>
            </w:r>
          </w:p>
        </w:tc>
        <w:tc>
          <w:tcPr>
            <w:tcW w:w="13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109,227</w:t>
            </w:r>
          </w:p>
        </w:tc>
      </w:tr>
      <w:tr>
        <w:trPr>
          <w:trHeight w:val="215"/>
        </w:trPr>
        <w:tc>
          <w:tcPr>
            <w:tcW w:w="552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6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10.3 %</w:t>
            </w:r>
          </w:p>
        </w:tc>
        <w:tc>
          <w:tcPr>
            <w:tcW w:w="12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10.0 %</w:t>
            </w:r>
          </w:p>
        </w:tc>
        <w:tc>
          <w:tcPr>
            <w:tcW w:w="60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127.0 %</w:t>
            </w:r>
          </w:p>
        </w:tc>
      </w:tr>
    </w:tbl>
    <w:p>
      <w:pPr>
        <w:spacing w:after="0" w:line="271"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6"/>
          <w:szCs w:val="16"/>
          <w:color w:val="auto"/>
        </w:rPr>
        <w:t>Selling, general and administrative expenses for the three months ended March 31, 2022 increased by $109.2 million, or 127%, to $195.3 million, compared to $86.0 million for the three months ended March 31, 2021. Selling, general and administrative expenses comprise primarily of compensation, related fringe benefits and routine share based compensation expense for non-project-related employees, recruitment expenditure, professional service costs, advertising costs and all costs related to facilities and information systems. As a percentage of revenue, selling, general and administrative expenses increased to 10.3% compared to 10.0% for the three months ended March 31, 2021. From March 31, 2021 to March 31, 2022, the increase in selling, general and administrative expenses relates to an increase in personnel related expenditure, an increase in general overhead costs, an increase in facilities related costs, an increase in marketing fees and an increase in professional fees. These increases were partly offset by a decrease in relation to foreign exchange movements.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5" w:right="339" w:bottom="1440" w:gutter="0" w:footer="0" w:header="0"/>
        </w:sectPr>
      </w:pPr>
    </w:p>
    <w:bookmarkStart w:id="29" w:name="page30"/>
    <w:bookmarkEnd w:id="29"/>
    <w:p>
      <w:pPr>
        <w:spacing w:after="0"/>
        <w:rPr>
          <w:sz w:val="20"/>
          <w:szCs w:val="20"/>
          <w:color w:val="auto"/>
        </w:rPr>
      </w:pPr>
      <w:r>
        <w:rPr>
          <w:rFonts w:ascii="Arial" w:cs="Arial" w:eastAsia="Arial" w:hAnsi="Arial"/>
          <w:sz w:val="16"/>
          <w:szCs w:val="16"/>
          <w:b w:val="1"/>
          <w:bCs w:val="1"/>
          <w:i w:val="1"/>
          <w:iCs w:val="1"/>
          <w:color w:val="auto"/>
        </w:rPr>
        <w:t>Depreciation and amortization</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52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78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Three Months Ended</w:t>
            </w:r>
          </w:p>
        </w:tc>
        <w:tc>
          <w:tcPr>
            <w:tcW w:w="620" w:type="dxa"/>
            <w:vAlign w:val="bottom"/>
            <w:shd w:val="clear" w:color="auto" w:fill="CCEEFF"/>
          </w:tcPr>
          <w:p>
            <w:pPr>
              <w:spacing w:after="0"/>
              <w:rPr>
                <w:sz w:val="16"/>
                <w:szCs w:val="16"/>
                <w:color w:val="auto"/>
              </w:rPr>
            </w:pPr>
          </w:p>
        </w:tc>
        <w:tc>
          <w:tcPr>
            <w:tcW w:w="1280" w:type="dxa"/>
            <w:vAlign w:val="bottom"/>
            <w:shd w:val="clear" w:color="auto" w:fill="CCEEFF"/>
          </w:tcPr>
          <w:p>
            <w:pPr>
              <w:spacing w:after="0"/>
              <w:rPr>
                <w:sz w:val="16"/>
                <w:szCs w:val="16"/>
                <w:color w:val="auto"/>
              </w:rPr>
            </w:pPr>
          </w:p>
        </w:tc>
      </w:tr>
      <w:tr>
        <w:trPr>
          <w:trHeight w:val="216"/>
        </w:trPr>
        <w:tc>
          <w:tcPr>
            <w:tcW w:w="5520" w:type="dxa"/>
            <w:vAlign w:val="bottom"/>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780" w:type="dxa"/>
            <w:vAlign w:val="bottom"/>
            <w:tcBorders>
              <w:bottom w:val="single" w:sz="8" w:color="auto"/>
            </w:tcBorders>
            <w:shd w:val="clear" w:color="auto" w:fill="CCEEFF"/>
          </w:tcPr>
          <w:p>
            <w:pPr>
              <w:jc w:val="right"/>
              <w:ind w:right="499"/>
              <w:spacing w:after="0"/>
              <w:rPr>
                <w:sz w:val="20"/>
                <w:szCs w:val="20"/>
                <w:color w:val="auto"/>
              </w:rPr>
            </w:pPr>
            <w:r>
              <w:rPr>
                <w:rFonts w:ascii="Arial" w:cs="Arial" w:eastAsia="Arial" w:hAnsi="Arial"/>
                <w:sz w:val="16"/>
                <w:szCs w:val="16"/>
                <w:b w:val="1"/>
                <w:bCs w:val="1"/>
                <w:color w:val="auto"/>
              </w:rPr>
              <w:t>March 31,</w:t>
            </w:r>
          </w:p>
        </w:tc>
        <w:tc>
          <w:tcPr>
            <w:tcW w:w="620" w:type="dxa"/>
            <w:vAlign w:val="bottom"/>
            <w:tcBorders>
              <w:bottom w:val="single" w:sz="8" w:color="auto"/>
            </w:tcBorders>
            <w:shd w:val="clear" w:color="auto" w:fill="CCEEFF"/>
          </w:tcPr>
          <w:p>
            <w:pPr>
              <w:spacing w:after="0"/>
              <w:rPr>
                <w:sz w:val="18"/>
                <w:szCs w:val="18"/>
                <w:color w:val="auto"/>
              </w:rPr>
            </w:pPr>
          </w:p>
        </w:tc>
        <w:tc>
          <w:tcPr>
            <w:tcW w:w="1280" w:type="dxa"/>
            <w:vAlign w:val="bottom"/>
            <w:tcBorders>
              <w:bottom w:val="single" w:sz="8" w:color="auto"/>
            </w:tcBorders>
            <w:shd w:val="clear" w:color="auto" w:fill="CCEEFF"/>
          </w:tcPr>
          <w:p>
            <w:pPr>
              <w:spacing w:after="0"/>
              <w:rPr>
                <w:sz w:val="18"/>
                <w:szCs w:val="18"/>
                <w:color w:val="auto"/>
              </w:rPr>
            </w:pPr>
          </w:p>
        </w:tc>
      </w:tr>
      <w:tr>
        <w:trPr>
          <w:trHeight w:val="209"/>
        </w:trPr>
        <w:tc>
          <w:tcPr>
            <w:tcW w:w="552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6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2022</w:t>
            </w:r>
          </w:p>
        </w:tc>
        <w:tc>
          <w:tcPr>
            <w:tcW w:w="120" w:type="dxa"/>
            <w:vAlign w:val="bottom"/>
            <w:tcBorders>
              <w:bottom w:val="single" w:sz="8" w:color="auto"/>
            </w:tcBorders>
          </w:tcPr>
          <w:p>
            <w:pPr>
              <w:spacing w:after="0"/>
              <w:rPr>
                <w:sz w:val="18"/>
                <w:szCs w:val="18"/>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620" w:type="dxa"/>
            <w:vAlign w:val="bottom"/>
            <w:tcBorders>
              <w:bottom w:val="single" w:sz="8" w:color="auto"/>
            </w:tcBorders>
          </w:tcPr>
          <w:p>
            <w:pPr>
              <w:spacing w:after="0"/>
              <w:rPr>
                <w:sz w:val="18"/>
                <w:szCs w:val="18"/>
                <w:color w:val="auto"/>
              </w:rPr>
            </w:pPr>
          </w:p>
        </w:tc>
        <w:tc>
          <w:tcPr>
            <w:tcW w:w="12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Change</w:t>
            </w:r>
          </w:p>
        </w:tc>
      </w:tr>
      <w:tr>
        <w:trPr>
          <w:trHeight w:val="210"/>
        </w:trPr>
        <w:tc>
          <w:tcPr>
            <w:tcW w:w="5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Depreciation</w:t>
            </w:r>
          </w:p>
        </w:tc>
        <w:tc>
          <w:tcPr>
            <w:tcW w:w="620" w:type="dxa"/>
            <w:vAlign w:val="bottom"/>
            <w:shd w:val="clear" w:color="auto" w:fill="CCEEFF"/>
          </w:tcPr>
          <w:p>
            <w:pPr>
              <w:jc w:val="right"/>
              <w:ind w:right="41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26,603</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12,722</w:t>
            </w:r>
          </w:p>
        </w:tc>
        <w:tc>
          <w:tcPr>
            <w:tcW w:w="620" w:type="dxa"/>
            <w:vAlign w:val="bottom"/>
            <w:shd w:val="clear" w:color="auto" w:fill="CCEEFF"/>
          </w:tcPr>
          <w:p>
            <w:pPr>
              <w:jc w:val="right"/>
              <w:ind w:right="439"/>
              <w:spacing w:after="0"/>
              <w:rPr>
                <w:sz w:val="20"/>
                <w:szCs w:val="20"/>
                <w:color w:val="auto"/>
              </w:rPr>
            </w:pPr>
            <w:r>
              <w:rPr>
                <w:rFonts w:ascii="Arial" w:cs="Arial" w:eastAsia="Arial" w:hAnsi="Arial"/>
                <w:sz w:val="16"/>
                <w:szCs w:val="16"/>
                <w:color w:val="auto"/>
                <w:w w:val="89"/>
              </w:rPr>
              <w:t>$</w:t>
            </w:r>
          </w:p>
        </w:tc>
        <w:tc>
          <w:tcPr>
            <w:tcW w:w="12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13,881</w:t>
            </w:r>
          </w:p>
        </w:tc>
      </w:tr>
      <w:tr>
        <w:trPr>
          <w:trHeight w:val="215"/>
        </w:trPr>
        <w:tc>
          <w:tcPr>
            <w:tcW w:w="552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6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1.4 %</w:t>
            </w:r>
          </w:p>
        </w:tc>
        <w:tc>
          <w:tcPr>
            <w:tcW w:w="12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1.5 %</w:t>
            </w:r>
          </w:p>
        </w:tc>
        <w:tc>
          <w:tcPr>
            <w:tcW w:w="6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109.1 %</w:t>
            </w:r>
          </w:p>
        </w:tc>
      </w:tr>
      <w:tr>
        <w:trPr>
          <w:trHeight w:val="217"/>
        </w:trPr>
        <w:tc>
          <w:tcPr>
            <w:tcW w:w="5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Amortization</w:t>
            </w:r>
          </w:p>
        </w:tc>
        <w:tc>
          <w:tcPr>
            <w:tcW w:w="620" w:type="dxa"/>
            <w:vAlign w:val="bottom"/>
            <w:shd w:val="clear" w:color="auto" w:fill="CCEEFF"/>
          </w:tcPr>
          <w:p>
            <w:pPr>
              <w:jc w:val="right"/>
              <w:ind w:right="41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114,802</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4,683</w:t>
            </w:r>
          </w:p>
        </w:tc>
        <w:tc>
          <w:tcPr>
            <w:tcW w:w="620" w:type="dxa"/>
            <w:vAlign w:val="bottom"/>
            <w:shd w:val="clear" w:color="auto" w:fill="CCEEFF"/>
          </w:tcPr>
          <w:p>
            <w:pPr>
              <w:jc w:val="right"/>
              <w:ind w:right="439"/>
              <w:spacing w:after="0"/>
              <w:rPr>
                <w:sz w:val="20"/>
                <w:szCs w:val="20"/>
                <w:color w:val="auto"/>
              </w:rPr>
            </w:pPr>
            <w:r>
              <w:rPr>
                <w:rFonts w:ascii="Arial" w:cs="Arial" w:eastAsia="Arial" w:hAnsi="Arial"/>
                <w:sz w:val="16"/>
                <w:szCs w:val="16"/>
                <w:color w:val="auto"/>
                <w:w w:val="89"/>
              </w:rPr>
              <w:t>$</w:t>
            </w:r>
          </w:p>
        </w:tc>
        <w:tc>
          <w:tcPr>
            <w:tcW w:w="12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110,119</w:t>
            </w:r>
          </w:p>
        </w:tc>
      </w:tr>
      <w:tr>
        <w:trPr>
          <w:trHeight w:val="215"/>
        </w:trPr>
        <w:tc>
          <w:tcPr>
            <w:tcW w:w="552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6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6.0 %</w:t>
            </w:r>
          </w:p>
        </w:tc>
        <w:tc>
          <w:tcPr>
            <w:tcW w:w="12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0.5 %</w:t>
            </w:r>
          </w:p>
        </w:tc>
        <w:tc>
          <w:tcPr>
            <w:tcW w:w="620" w:type="dxa"/>
            <w:vAlign w:val="bottom"/>
          </w:tcPr>
          <w:p>
            <w:pPr>
              <w:spacing w:after="0"/>
              <w:rPr>
                <w:sz w:val="18"/>
                <w:szCs w:val="18"/>
                <w:color w:val="auto"/>
              </w:rPr>
            </w:pPr>
          </w:p>
        </w:tc>
        <w:tc>
          <w:tcPr>
            <w:tcW w:w="1280" w:type="dxa"/>
            <w:vAlign w:val="bottom"/>
          </w:tcPr>
          <w:p>
            <w:pPr>
              <w:jc w:val="right"/>
              <w:spacing w:after="0"/>
              <w:rPr>
                <w:sz w:val="20"/>
                <w:szCs w:val="20"/>
                <w:color w:val="auto"/>
              </w:rPr>
            </w:pPr>
            <w:r>
              <w:rPr>
                <w:rFonts w:ascii="Arial" w:cs="Arial" w:eastAsia="Arial" w:hAnsi="Arial"/>
                <w:sz w:val="16"/>
                <w:szCs w:val="16"/>
                <w:color w:val="auto"/>
              </w:rPr>
              <w:t>2,351.5 %</w:t>
            </w:r>
          </w:p>
        </w:tc>
      </w:tr>
    </w:tbl>
    <w:p>
      <w:pPr>
        <w:spacing w:after="0" w:line="325" w:lineRule="exact"/>
        <w:rPr>
          <w:sz w:val="20"/>
          <w:szCs w:val="20"/>
          <w:color w:val="auto"/>
        </w:rPr>
      </w:pPr>
    </w:p>
    <w:p>
      <w:pPr>
        <w:jc w:val="both"/>
        <w:ind w:firstLine="648"/>
        <w:spacing w:after="0" w:line="262" w:lineRule="auto"/>
        <w:rPr>
          <w:sz w:val="20"/>
          <w:szCs w:val="20"/>
          <w:color w:val="auto"/>
        </w:rPr>
      </w:pPr>
      <w:r>
        <w:rPr>
          <w:rFonts w:ascii="Arial" w:cs="Arial" w:eastAsia="Arial" w:hAnsi="Arial"/>
          <w:sz w:val="16"/>
          <w:szCs w:val="16"/>
          <w:color w:val="auto"/>
        </w:rPr>
        <w:t>The depreciation charge reflects investment in facilities, information systems and equipment to support the Company’s continued growth. The depreciation expense for the three months ended March 31, 2022 increased by $13.9 million, or 109.1%, to $26.6 million compared to $12.7 million for the three months ended March 31, 2021. The depreciation charge, from a value perspective, has increased mainly due to the additional office footprint acquired through the Merger. As a percentage of revenue the depreciation expense was 1.4%, which decreased from 1.5% for the three months ended March 31, 2021.</w:t>
      </w:r>
    </w:p>
    <w:p>
      <w:pPr>
        <w:spacing w:after="0" w:line="200" w:lineRule="exact"/>
        <w:rPr>
          <w:sz w:val="20"/>
          <w:szCs w:val="20"/>
          <w:color w:val="auto"/>
        </w:rPr>
      </w:pPr>
    </w:p>
    <w:p>
      <w:pPr>
        <w:spacing w:after="0" w:line="212"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The amortization expense represents the amortization of intangible assets acquired in business combinations. Amortization of intangibles for the three months ended March 31, 2022 increased by $110.1 million, or 2,351.5%, to $114.8 million compared to $4.7 million for the three months ended March 31, 2021. The increase in amortization reflects the amortization of newly acquired intangibles arising on the Merger. As a percentage of revenue, amortization expense increased to 6.0%, compared to 0.5% for the three months ended March 31, 2021.</w:t>
      </w: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Restructuring, transaction and integration-related expenses associated with the Merger</w:t>
      </w:r>
    </w:p>
    <w:p>
      <w:pPr>
        <w:spacing w:after="0" w:line="27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520" w:type="dxa"/>
            <w:vAlign w:val="bottom"/>
            <w:shd w:val="clear" w:color="auto" w:fill="CCEEFF"/>
          </w:tcPr>
          <w:p>
            <w:pPr>
              <w:spacing w:after="0"/>
              <w:rPr>
                <w:sz w:val="16"/>
                <w:szCs w:val="16"/>
                <w:color w:val="auto"/>
              </w:rPr>
            </w:pPr>
          </w:p>
        </w:tc>
        <w:tc>
          <w:tcPr>
            <w:tcW w:w="660" w:type="dxa"/>
            <w:vAlign w:val="bottom"/>
            <w:shd w:val="clear" w:color="auto" w:fill="CCEEFF"/>
          </w:tcPr>
          <w:p>
            <w:pPr>
              <w:spacing w:after="0"/>
              <w:rPr>
                <w:sz w:val="16"/>
                <w:szCs w:val="16"/>
                <w:color w:val="auto"/>
              </w:rPr>
            </w:pPr>
          </w:p>
        </w:tc>
        <w:tc>
          <w:tcPr>
            <w:tcW w:w="126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78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Three Months Ended</w:t>
            </w:r>
          </w:p>
        </w:tc>
        <w:tc>
          <w:tcPr>
            <w:tcW w:w="700" w:type="dxa"/>
            <w:vAlign w:val="bottom"/>
            <w:shd w:val="clear" w:color="auto" w:fill="CCEEFF"/>
          </w:tcPr>
          <w:p>
            <w:pPr>
              <w:spacing w:after="0"/>
              <w:rPr>
                <w:sz w:val="16"/>
                <w:szCs w:val="16"/>
                <w:color w:val="auto"/>
              </w:rPr>
            </w:pPr>
          </w:p>
        </w:tc>
        <w:tc>
          <w:tcPr>
            <w:tcW w:w="1200" w:type="dxa"/>
            <w:vAlign w:val="bottom"/>
            <w:shd w:val="clear" w:color="auto" w:fill="CCEEFF"/>
          </w:tcPr>
          <w:p>
            <w:pPr>
              <w:spacing w:after="0"/>
              <w:rPr>
                <w:sz w:val="16"/>
                <w:szCs w:val="16"/>
                <w:color w:val="auto"/>
              </w:rPr>
            </w:pPr>
          </w:p>
        </w:tc>
      </w:tr>
      <w:tr>
        <w:trPr>
          <w:trHeight w:val="216"/>
        </w:trPr>
        <w:tc>
          <w:tcPr>
            <w:tcW w:w="5520" w:type="dxa"/>
            <w:vAlign w:val="bottom"/>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780" w:type="dxa"/>
            <w:vAlign w:val="bottom"/>
            <w:tcBorders>
              <w:bottom w:val="single" w:sz="8" w:color="auto"/>
            </w:tcBorders>
            <w:shd w:val="clear" w:color="auto" w:fill="CCEEFF"/>
          </w:tcPr>
          <w:p>
            <w:pPr>
              <w:jc w:val="right"/>
              <w:ind w:right="499"/>
              <w:spacing w:after="0"/>
              <w:rPr>
                <w:sz w:val="20"/>
                <w:szCs w:val="20"/>
                <w:color w:val="auto"/>
              </w:rPr>
            </w:pPr>
            <w:r>
              <w:rPr>
                <w:rFonts w:ascii="Arial" w:cs="Arial" w:eastAsia="Arial" w:hAnsi="Arial"/>
                <w:sz w:val="16"/>
                <w:szCs w:val="16"/>
                <w:b w:val="1"/>
                <w:bCs w:val="1"/>
                <w:color w:val="auto"/>
              </w:rPr>
              <w:t>March 31,</w:t>
            </w:r>
          </w:p>
        </w:tc>
        <w:tc>
          <w:tcPr>
            <w:tcW w:w="700" w:type="dxa"/>
            <w:vAlign w:val="bottom"/>
            <w:tcBorders>
              <w:bottom w:val="single" w:sz="8" w:color="auto"/>
            </w:tcBorders>
            <w:shd w:val="clear" w:color="auto" w:fill="CCEEFF"/>
          </w:tcPr>
          <w:p>
            <w:pPr>
              <w:spacing w:after="0"/>
              <w:rPr>
                <w:sz w:val="18"/>
                <w:szCs w:val="18"/>
                <w:color w:val="auto"/>
              </w:rPr>
            </w:pPr>
          </w:p>
        </w:tc>
        <w:tc>
          <w:tcPr>
            <w:tcW w:w="1200" w:type="dxa"/>
            <w:vAlign w:val="bottom"/>
            <w:tcBorders>
              <w:bottom w:val="single" w:sz="8" w:color="auto"/>
            </w:tcBorders>
            <w:shd w:val="clear" w:color="auto" w:fill="CCEEFF"/>
          </w:tcPr>
          <w:p>
            <w:pPr>
              <w:spacing w:after="0"/>
              <w:rPr>
                <w:sz w:val="18"/>
                <w:szCs w:val="18"/>
                <w:color w:val="auto"/>
              </w:rPr>
            </w:pPr>
          </w:p>
        </w:tc>
      </w:tr>
      <w:tr>
        <w:trPr>
          <w:trHeight w:val="210"/>
        </w:trPr>
        <w:tc>
          <w:tcPr>
            <w:tcW w:w="552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660" w:type="dxa"/>
            <w:vAlign w:val="bottom"/>
            <w:tcBorders>
              <w:bottom w:val="single" w:sz="8" w:color="auto"/>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2022</w:t>
            </w:r>
          </w:p>
        </w:tc>
        <w:tc>
          <w:tcPr>
            <w:tcW w:w="120" w:type="dxa"/>
            <w:vAlign w:val="bottom"/>
            <w:tcBorders>
              <w:bottom w:val="single" w:sz="8" w:color="auto"/>
            </w:tcBorders>
          </w:tcPr>
          <w:p>
            <w:pPr>
              <w:spacing w:after="0"/>
              <w:rPr>
                <w:sz w:val="18"/>
                <w:szCs w:val="18"/>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700" w:type="dxa"/>
            <w:vAlign w:val="bottom"/>
            <w:tcBorders>
              <w:bottom w:val="single" w:sz="8" w:color="auto"/>
            </w:tcBorders>
          </w:tcPr>
          <w:p>
            <w:pPr>
              <w:spacing w:after="0"/>
              <w:rPr>
                <w:sz w:val="18"/>
                <w:szCs w:val="18"/>
                <w:color w:val="auto"/>
              </w:rPr>
            </w:pPr>
          </w:p>
        </w:tc>
        <w:tc>
          <w:tcPr>
            <w:tcW w:w="12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Change</w:t>
            </w:r>
          </w:p>
        </w:tc>
      </w:tr>
      <w:tr>
        <w:trPr>
          <w:trHeight w:val="210"/>
        </w:trPr>
        <w:tc>
          <w:tcPr>
            <w:tcW w:w="5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Transaction and integration-related expenses</w:t>
            </w:r>
          </w:p>
        </w:tc>
        <w:tc>
          <w:tcPr>
            <w:tcW w:w="660" w:type="dxa"/>
            <w:vAlign w:val="bottom"/>
            <w:shd w:val="clear" w:color="auto" w:fill="CCEEFF"/>
          </w:tcPr>
          <w:p>
            <w:pPr>
              <w:jc w:val="right"/>
              <w:ind w:right="459"/>
              <w:spacing w:after="0"/>
              <w:rPr>
                <w:sz w:val="20"/>
                <w:szCs w:val="20"/>
                <w:color w:val="auto"/>
              </w:rPr>
            </w:pPr>
            <w:r>
              <w:rPr>
                <w:rFonts w:ascii="Arial" w:cs="Arial" w:eastAsia="Arial" w:hAnsi="Arial"/>
                <w:sz w:val="16"/>
                <w:szCs w:val="16"/>
                <w:color w:val="auto"/>
              </w:rPr>
              <w:t>$</w:t>
            </w:r>
          </w:p>
        </w:tc>
        <w:tc>
          <w:tcPr>
            <w:tcW w:w="126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12,085</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12,501</w:t>
            </w:r>
          </w:p>
        </w:tc>
        <w:tc>
          <w:tcPr>
            <w:tcW w:w="700" w:type="dxa"/>
            <w:vAlign w:val="bottom"/>
            <w:shd w:val="clear" w:color="auto" w:fill="CCEEFF"/>
          </w:tcPr>
          <w:p>
            <w:pPr>
              <w:jc w:val="right"/>
              <w:ind w:right="519"/>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(416)</w:t>
            </w:r>
          </w:p>
        </w:tc>
      </w:tr>
      <w:tr>
        <w:trPr>
          <w:trHeight w:val="215"/>
        </w:trPr>
        <w:tc>
          <w:tcPr>
            <w:tcW w:w="552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66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0.6 %</w:t>
            </w:r>
          </w:p>
        </w:tc>
        <w:tc>
          <w:tcPr>
            <w:tcW w:w="12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1.5 %</w:t>
            </w:r>
          </w:p>
        </w:tc>
        <w:tc>
          <w:tcPr>
            <w:tcW w:w="7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(3.3)%</w:t>
            </w:r>
          </w:p>
        </w:tc>
      </w:tr>
      <w:tr>
        <w:trPr>
          <w:trHeight w:val="217"/>
        </w:trPr>
        <w:tc>
          <w:tcPr>
            <w:tcW w:w="5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Facilities restructuring costs</w:t>
            </w:r>
          </w:p>
        </w:tc>
        <w:tc>
          <w:tcPr>
            <w:tcW w:w="660" w:type="dxa"/>
            <w:vAlign w:val="bottom"/>
            <w:shd w:val="clear" w:color="auto" w:fill="CCEEFF"/>
          </w:tcPr>
          <w:p>
            <w:pPr>
              <w:jc w:val="right"/>
              <w:ind w:right="459"/>
              <w:spacing w:after="0"/>
              <w:rPr>
                <w:sz w:val="20"/>
                <w:szCs w:val="20"/>
                <w:color w:val="auto"/>
              </w:rPr>
            </w:pPr>
            <w:r>
              <w:rPr>
                <w:rFonts w:ascii="Arial" w:cs="Arial" w:eastAsia="Arial" w:hAnsi="Arial"/>
                <w:sz w:val="16"/>
                <w:szCs w:val="16"/>
                <w:color w:val="auto"/>
              </w:rPr>
              <w:t>$</w:t>
            </w:r>
          </w:p>
        </w:tc>
        <w:tc>
          <w:tcPr>
            <w:tcW w:w="126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4,207</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w:t>
            </w:r>
          </w:p>
        </w:tc>
        <w:tc>
          <w:tcPr>
            <w:tcW w:w="700" w:type="dxa"/>
            <w:vAlign w:val="bottom"/>
            <w:shd w:val="clear" w:color="auto" w:fill="CCEEFF"/>
          </w:tcPr>
          <w:p>
            <w:pPr>
              <w:jc w:val="right"/>
              <w:ind w:right="519"/>
              <w:spacing w:after="0"/>
              <w:rPr>
                <w:sz w:val="20"/>
                <w:szCs w:val="20"/>
                <w:color w:val="auto"/>
              </w:rPr>
            </w:pPr>
            <w:r>
              <w:rPr>
                <w:rFonts w:ascii="Arial" w:cs="Arial" w:eastAsia="Arial" w:hAnsi="Arial"/>
                <w:sz w:val="16"/>
                <w:szCs w:val="16"/>
                <w:color w:val="auto"/>
                <w:w w:val="89"/>
              </w:rPr>
              <w:t>$</w:t>
            </w:r>
          </w:p>
        </w:tc>
        <w:tc>
          <w:tcPr>
            <w:tcW w:w="120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4,207</w:t>
            </w:r>
          </w:p>
        </w:tc>
      </w:tr>
      <w:tr>
        <w:trPr>
          <w:trHeight w:val="215"/>
        </w:trPr>
        <w:tc>
          <w:tcPr>
            <w:tcW w:w="552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66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Arial" w:cs="Arial" w:eastAsia="Arial" w:hAnsi="Arial"/>
                <w:sz w:val="16"/>
                <w:szCs w:val="16"/>
                <w:color w:val="auto"/>
              </w:rPr>
              <w:t>0.2 %</w:t>
            </w:r>
          </w:p>
        </w:tc>
        <w:tc>
          <w:tcPr>
            <w:tcW w:w="12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 %</w:t>
            </w:r>
          </w:p>
        </w:tc>
        <w:tc>
          <w:tcPr>
            <w:tcW w:w="70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6"/>
                <w:szCs w:val="16"/>
                <w:color w:val="auto"/>
              </w:rPr>
              <w:t>N/M</w:t>
            </w:r>
          </w:p>
        </w:tc>
      </w:tr>
    </w:tbl>
    <w:p>
      <w:pPr>
        <w:spacing w:after="0" w:line="163" w:lineRule="exact"/>
        <w:rPr>
          <w:sz w:val="20"/>
          <w:szCs w:val="20"/>
          <w:color w:val="auto"/>
        </w:rPr>
      </w:pPr>
    </w:p>
    <w:p>
      <w:pPr>
        <w:spacing w:after="0"/>
        <w:rPr>
          <w:sz w:val="20"/>
          <w:szCs w:val="20"/>
          <w:color w:val="auto"/>
        </w:rPr>
      </w:pPr>
      <w:r>
        <w:rPr>
          <w:rFonts w:ascii="Arial" w:cs="Arial" w:eastAsia="Arial" w:hAnsi="Arial"/>
          <w:sz w:val="16"/>
          <w:szCs w:val="16"/>
          <w:color w:val="auto"/>
        </w:rPr>
        <w:t>N/M = Not Meaningful</w:t>
      </w:r>
    </w:p>
    <w:p>
      <w:pPr>
        <w:spacing w:after="0" w:line="248"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During the three months ended March 31, 2022, the Company incurred $16.3 million for restructuring, transaction and integration-related expenses associated with the Merger. The charge includes transaction and integration costs of $12.1 million associated with advisory costs, retention agreements with employees and ongoing integration activities.</w:t>
      </w:r>
    </w:p>
    <w:p>
      <w:pPr>
        <w:spacing w:after="0" w:line="191" w:lineRule="exact"/>
        <w:rPr>
          <w:sz w:val="20"/>
          <w:szCs w:val="20"/>
          <w:color w:val="auto"/>
        </w:rPr>
      </w:pPr>
    </w:p>
    <w:p>
      <w:pPr>
        <w:jc w:val="both"/>
        <w:ind w:right="20" w:firstLine="648"/>
        <w:spacing w:after="0" w:line="275" w:lineRule="auto"/>
        <w:rPr>
          <w:sz w:val="20"/>
          <w:szCs w:val="20"/>
          <w:color w:val="auto"/>
        </w:rPr>
      </w:pPr>
      <w:r>
        <w:rPr>
          <w:rFonts w:ascii="Arial" w:cs="Arial" w:eastAsia="Arial" w:hAnsi="Arial"/>
          <w:sz w:val="16"/>
          <w:szCs w:val="16"/>
          <w:color w:val="auto"/>
        </w:rPr>
        <w:t>The Company has also undertaken a restructuring program following the announcement of the Merger to review its global office footprint, optimize its locations to best fit the requirements of the Company and reorganize its workforce to drive future growth. This program has resulted in a charge of $4.2 million in the three months ended March 31, 2022.</w:t>
      </w:r>
    </w:p>
    <w:p>
      <w:pPr>
        <w:spacing w:after="0" w:line="205"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We expect to incur additional integration expenses associated with the Merger; however, the timing and the amount of these expenses depends on various factors such as, but not limited to, the execution of integration activities and the aggregate amount of synergies we achieve from these activities.</w:t>
      </w:r>
    </w:p>
    <w:p>
      <w:pPr>
        <w:sectPr>
          <w:pgSz w:w="11900" w:h="16838" w:orient="portrait"/>
          <w:cols w:equalWidth="0" w:num="1">
            <w:col w:w="11240"/>
          </w:cols>
          <w:pgMar w:left="320" w:top="114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40" w:right="339" w:bottom="1440" w:gutter="0" w:footer="0" w:header="0"/>
          <w:type w:val="continuous"/>
        </w:sectPr>
      </w:pPr>
    </w:p>
    <w:bookmarkStart w:id="30" w:name="page31"/>
    <w:bookmarkEnd w:id="30"/>
    <w:p>
      <w:pPr>
        <w:spacing w:after="0"/>
        <w:rPr>
          <w:sz w:val="20"/>
          <w:szCs w:val="20"/>
          <w:color w:val="auto"/>
        </w:rPr>
      </w:pPr>
      <w:r>
        <w:rPr>
          <w:rFonts w:ascii="Arial" w:cs="Arial" w:eastAsia="Arial" w:hAnsi="Arial"/>
          <w:sz w:val="16"/>
          <w:szCs w:val="16"/>
          <w:b w:val="1"/>
          <w:bCs w:val="1"/>
          <w:i w:val="1"/>
          <w:iCs w:val="1"/>
          <w:color w:val="auto"/>
        </w:rPr>
        <w:t>Income from operations</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52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1300" w:type="dxa"/>
            <w:vAlign w:val="bottom"/>
            <w:shd w:val="clear" w:color="auto" w:fill="CCEEFF"/>
          </w:tcPr>
          <w:p>
            <w:pPr>
              <w:spacing w:after="0"/>
              <w:rPr>
                <w:sz w:val="16"/>
                <w:szCs w:val="16"/>
                <w:color w:val="auto"/>
              </w:rPr>
            </w:pPr>
          </w:p>
        </w:tc>
        <w:tc>
          <w:tcPr>
            <w:tcW w:w="120" w:type="dxa"/>
            <w:vAlign w:val="bottom"/>
            <w:shd w:val="clear" w:color="auto" w:fill="CCEEFF"/>
          </w:tcPr>
          <w:p>
            <w:pPr>
              <w:spacing w:after="0"/>
              <w:rPr>
                <w:sz w:val="16"/>
                <w:szCs w:val="16"/>
                <w:color w:val="auto"/>
              </w:rPr>
            </w:pPr>
          </w:p>
        </w:tc>
        <w:tc>
          <w:tcPr>
            <w:tcW w:w="1780" w:type="dxa"/>
            <w:vAlign w:val="bottom"/>
            <w:shd w:val="clear" w:color="auto" w:fill="CCEEFF"/>
          </w:tcPr>
          <w:p>
            <w:pPr>
              <w:jc w:val="right"/>
              <w:ind w:right="79"/>
              <w:spacing w:after="0"/>
              <w:rPr>
                <w:sz w:val="20"/>
                <w:szCs w:val="20"/>
                <w:color w:val="auto"/>
              </w:rPr>
            </w:pPr>
            <w:r>
              <w:rPr>
                <w:rFonts w:ascii="Arial" w:cs="Arial" w:eastAsia="Arial" w:hAnsi="Arial"/>
                <w:sz w:val="16"/>
                <w:szCs w:val="16"/>
                <w:b w:val="1"/>
                <w:bCs w:val="1"/>
                <w:color w:val="auto"/>
              </w:rPr>
              <w:t>Three Months Ended</w:t>
            </w:r>
          </w:p>
        </w:tc>
        <w:tc>
          <w:tcPr>
            <w:tcW w:w="660" w:type="dxa"/>
            <w:vAlign w:val="bottom"/>
            <w:shd w:val="clear" w:color="auto" w:fill="CCEEFF"/>
          </w:tcPr>
          <w:p>
            <w:pPr>
              <w:spacing w:after="0"/>
              <w:rPr>
                <w:sz w:val="16"/>
                <w:szCs w:val="16"/>
                <w:color w:val="auto"/>
              </w:rPr>
            </w:pPr>
          </w:p>
        </w:tc>
        <w:tc>
          <w:tcPr>
            <w:tcW w:w="1240" w:type="dxa"/>
            <w:vAlign w:val="bottom"/>
            <w:shd w:val="clear" w:color="auto" w:fill="CCEEFF"/>
          </w:tcPr>
          <w:p>
            <w:pPr>
              <w:spacing w:after="0"/>
              <w:rPr>
                <w:sz w:val="16"/>
                <w:szCs w:val="16"/>
                <w:color w:val="auto"/>
              </w:rPr>
            </w:pPr>
          </w:p>
        </w:tc>
      </w:tr>
      <w:tr>
        <w:trPr>
          <w:trHeight w:val="216"/>
        </w:trPr>
        <w:tc>
          <w:tcPr>
            <w:tcW w:w="5520" w:type="dxa"/>
            <w:vAlign w:val="bottom"/>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780" w:type="dxa"/>
            <w:vAlign w:val="bottom"/>
            <w:tcBorders>
              <w:bottom w:val="single" w:sz="8" w:color="auto"/>
            </w:tcBorders>
            <w:shd w:val="clear" w:color="auto" w:fill="CCEEFF"/>
          </w:tcPr>
          <w:p>
            <w:pPr>
              <w:jc w:val="right"/>
              <w:ind w:right="499"/>
              <w:spacing w:after="0"/>
              <w:rPr>
                <w:sz w:val="20"/>
                <w:szCs w:val="20"/>
                <w:color w:val="auto"/>
              </w:rPr>
            </w:pPr>
            <w:r>
              <w:rPr>
                <w:rFonts w:ascii="Arial" w:cs="Arial" w:eastAsia="Arial" w:hAnsi="Arial"/>
                <w:sz w:val="16"/>
                <w:szCs w:val="16"/>
                <w:b w:val="1"/>
                <w:bCs w:val="1"/>
                <w:color w:val="auto"/>
              </w:rPr>
              <w:t>March 31,</w:t>
            </w:r>
          </w:p>
        </w:tc>
        <w:tc>
          <w:tcPr>
            <w:tcW w:w="660" w:type="dxa"/>
            <w:vAlign w:val="bottom"/>
            <w:tcBorders>
              <w:bottom w:val="single" w:sz="8" w:color="auto"/>
            </w:tcBorders>
            <w:shd w:val="clear" w:color="auto" w:fill="CCEEFF"/>
          </w:tcPr>
          <w:p>
            <w:pPr>
              <w:spacing w:after="0"/>
              <w:rPr>
                <w:sz w:val="18"/>
                <w:szCs w:val="18"/>
                <w:color w:val="auto"/>
              </w:rPr>
            </w:pPr>
          </w:p>
        </w:tc>
        <w:tc>
          <w:tcPr>
            <w:tcW w:w="1240" w:type="dxa"/>
            <w:vAlign w:val="bottom"/>
            <w:tcBorders>
              <w:bottom w:val="single" w:sz="8" w:color="auto"/>
            </w:tcBorders>
            <w:shd w:val="clear" w:color="auto" w:fill="CCEEFF"/>
          </w:tcPr>
          <w:p>
            <w:pPr>
              <w:spacing w:after="0"/>
              <w:rPr>
                <w:sz w:val="18"/>
                <w:szCs w:val="18"/>
                <w:color w:val="auto"/>
              </w:rPr>
            </w:pPr>
          </w:p>
        </w:tc>
      </w:tr>
      <w:tr>
        <w:trPr>
          <w:trHeight w:val="209"/>
        </w:trPr>
        <w:tc>
          <w:tcPr>
            <w:tcW w:w="552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6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2022</w:t>
            </w:r>
          </w:p>
        </w:tc>
        <w:tc>
          <w:tcPr>
            <w:tcW w:w="120" w:type="dxa"/>
            <w:vAlign w:val="bottom"/>
            <w:tcBorders>
              <w:bottom w:val="single" w:sz="8" w:color="auto"/>
            </w:tcBorders>
          </w:tcPr>
          <w:p>
            <w:pPr>
              <w:spacing w:after="0"/>
              <w:rPr>
                <w:sz w:val="18"/>
                <w:szCs w:val="18"/>
                <w:color w:val="auto"/>
              </w:rPr>
            </w:pPr>
          </w:p>
        </w:tc>
        <w:tc>
          <w:tcPr>
            <w:tcW w:w="17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6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Change</w:t>
            </w:r>
          </w:p>
        </w:tc>
      </w:tr>
      <w:tr>
        <w:trPr>
          <w:trHeight w:val="209"/>
        </w:trPr>
        <w:tc>
          <w:tcPr>
            <w:tcW w:w="5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Income from operations</w:t>
            </w:r>
          </w:p>
        </w:tc>
        <w:tc>
          <w:tcPr>
            <w:tcW w:w="620" w:type="dxa"/>
            <w:vAlign w:val="bottom"/>
            <w:shd w:val="clear" w:color="auto" w:fill="CCEEFF"/>
          </w:tcPr>
          <w:p>
            <w:pPr>
              <w:jc w:val="right"/>
              <w:ind w:right="41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170,339</w:t>
            </w:r>
          </w:p>
        </w:tc>
        <w:tc>
          <w:tcPr>
            <w:tcW w:w="120" w:type="dxa"/>
            <w:vAlign w:val="bottom"/>
            <w:shd w:val="clear" w:color="auto" w:fill="CCEEFF"/>
          </w:tcPr>
          <w:p>
            <w:pPr>
              <w:jc w:val="right"/>
              <w:spacing w:after="0"/>
              <w:rPr>
                <w:sz w:val="20"/>
                <w:szCs w:val="20"/>
                <w:color w:val="auto"/>
              </w:rPr>
            </w:pPr>
            <w:r>
              <w:rPr>
                <w:rFonts w:ascii="Arial" w:cs="Arial" w:eastAsia="Arial" w:hAnsi="Arial"/>
                <w:sz w:val="16"/>
                <w:szCs w:val="16"/>
                <w:color w:val="auto"/>
                <w:w w:val="89"/>
              </w:rPr>
              <w:t>$</w:t>
            </w:r>
          </w:p>
        </w:tc>
        <w:tc>
          <w:tcPr>
            <w:tcW w:w="178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116,014</w:t>
            </w:r>
          </w:p>
        </w:tc>
        <w:tc>
          <w:tcPr>
            <w:tcW w:w="660" w:type="dxa"/>
            <w:vAlign w:val="bottom"/>
            <w:shd w:val="clear" w:color="auto" w:fill="CCEEFF"/>
          </w:tcPr>
          <w:p>
            <w:pPr>
              <w:jc w:val="right"/>
              <w:ind w:right="479"/>
              <w:spacing w:after="0"/>
              <w:rPr>
                <w:sz w:val="20"/>
                <w:szCs w:val="20"/>
                <w:color w:val="auto"/>
              </w:rPr>
            </w:pPr>
            <w:r>
              <w:rPr>
                <w:rFonts w:ascii="Arial" w:cs="Arial" w:eastAsia="Arial" w:hAnsi="Arial"/>
                <w:sz w:val="16"/>
                <w:szCs w:val="16"/>
                <w:color w:val="auto"/>
                <w:w w:val="89"/>
              </w:rPr>
              <w:t>$</w:t>
            </w:r>
          </w:p>
        </w:tc>
        <w:tc>
          <w:tcPr>
            <w:tcW w:w="124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54,325</w:t>
            </w:r>
          </w:p>
        </w:tc>
      </w:tr>
      <w:tr>
        <w:trPr>
          <w:trHeight w:val="215"/>
        </w:trPr>
        <w:tc>
          <w:tcPr>
            <w:tcW w:w="5520" w:type="dxa"/>
            <w:vAlign w:val="bottom"/>
          </w:tcPr>
          <w:p>
            <w:pPr>
              <w:ind w:left="20"/>
              <w:spacing w:after="0"/>
              <w:rPr>
                <w:sz w:val="20"/>
                <w:szCs w:val="20"/>
                <w:color w:val="auto"/>
              </w:rPr>
            </w:pPr>
            <w:r>
              <w:rPr>
                <w:rFonts w:ascii="Arial" w:cs="Arial" w:eastAsia="Arial" w:hAnsi="Arial"/>
                <w:sz w:val="16"/>
                <w:szCs w:val="16"/>
                <w:color w:val="auto"/>
              </w:rPr>
              <w:t>% of revenue</w:t>
            </w:r>
          </w:p>
        </w:tc>
        <w:tc>
          <w:tcPr>
            <w:tcW w:w="6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9.0 %</w:t>
            </w:r>
          </w:p>
        </w:tc>
        <w:tc>
          <w:tcPr>
            <w:tcW w:w="120" w:type="dxa"/>
            <w:vAlign w:val="bottom"/>
          </w:tcPr>
          <w:p>
            <w:pPr>
              <w:spacing w:after="0"/>
              <w:rPr>
                <w:sz w:val="18"/>
                <w:szCs w:val="18"/>
                <w:color w:val="auto"/>
              </w:rPr>
            </w:pPr>
          </w:p>
        </w:tc>
        <w:tc>
          <w:tcPr>
            <w:tcW w:w="1780" w:type="dxa"/>
            <w:vAlign w:val="bottom"/>
          </w:tcPr>
          <w:p>
            <w:pPr>
              <w:jc w:val="right"/>
              <w:spacing w:after="0"/>
              <w:rPr>
                <w:sz w:val="20"/>
                <w:szCs w:val="20"/>
                <w:color w:val="auto"/>
              </w:rPr>
            </w:pPr>
            <w:r>
              <w:rPr>
                <w:rFonts w:ascii="Arial" w:cs="Arial" w:eastAsia="Arial" w:hAnsi="Arial"/>
                <w:sz w:val="16"/>
                <w:szCs w:val="16"/>
                <w:color w:val="auto"/>
              </w:rPr>
              <w:t>13.5 %</w:t>
            </w:r>
          </w:p>
        </w:tc>
        <w:tc>
          <w:tcPr>
            <w:tcW w:w="660" w:type="dxa"/>
            <w:vAlign w:val="bottom"/>
          </w:tcPr>
          <w:p>
            <w:pPr>
              <w:spacing w:after="0"/>
              <w:rPr>
                <w:sz w:val="18"/>
                <w:szCs w:val="18"/>
                <w:color w:val="auto"/>
              </w:rPr>
            </w:pPr>
          </w:p>
        </w:tc>
        <w:tc>
          <w:tcPr>
            <w:tcW w:w="1240" w:type="dxa"/>
            <w:vAlign w:val="bottom"/>
          </w:tcPr>
          <w:p>
            <w:pPr>
              <w:jc w:val="right"/>
              <w:spacing w:after="0"/>
              <w:rPr>
                <w:sz w:val="20"/>
                <w:szCs w:val="20"/>
                <w:color w:val="auto"/>
              </w:rPr>
            </w:pPr>
            <w:r>
              <w:rPr>
                <w:rFonts w:ascii="Arial" w:cs="Arial" w:eastAsia="Arial" w:hAnsi="Arial"/>
                <w:sz w:val="16"/>
                <w:szCs w:val="16"/>
                <w:color w:val="auto"/>
              </w:rPr>
              <w:t>46.8 %</w:t>
            </w:r>
          </w:p>
        </w:tc>
      </w:tr>
    </w:tbl>
    <w:p>
      <w:pPr>
        <w:spacing w:after="0" w:line="392"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Income from operations for the three months ended March 31, 2022 increased by $54.3 million or 46.8% to $170.3 million compared to $116.0 million for the three months ended March 31, 2021. As a percentage of revenue, income from operations decreased to 9.0% compared to 13.5% of revenue for the three months ended March 31, 2021.</w:t>
      </w:r>
    </w:p>
    <w:p>
      <w:pPr>
        <w:spacing w:after="0" w:line="205"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6"/>
          <w:szCs w:val="16"/>
          <w:color w:val="auto"/>
        </w:rPr>
        <w:t>Income from operations in Ireland decreased to $9.9 million compared to $88.9 million for the three months ended March 31, 2021. The decrease in the period ended March 31, 2022 is mainly a result of the amortization charged on the intangible assets acquired in the Merger. Income from operations in Ireland and other geographic regions are reflective of the Company’s global transfer pricing model.</w:t>
      </w:r>
    </w:p>
    <w:p>
      <w:pPr>
        <w:spacing w:after="0" w:line="212"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In the Rest of Europe region, income from operations increased to $59.5 million compared to $7.6 million for the three months ended March 31, 2021. The increase is due to the additional activity in the region as a result of the Merger. As a percentage of revenues, income from operations in the Rest of Europe region increased to 13.0% compared to 6.3% for the period ended March 31, 2021.</w:t>
      </w:r>
    </w:p>
    <w:p>
      <w:pPr>
        <w:spacing w:after="0" w:line="191"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In the U.S. region, income from operations increased by $47.2 million, to $60.5 million, compared to $13.2 million for the period ended March 31, 2021. The increase is due to the additional activity in the region as a result of the Merger. As a percentage of revenues, income from operations in the U.S. region increased to 6.2% compared to 3.8% for the period ended March 31, 2021.</w:t>
      </w:r>
    </w:p>
    <w:p>
      <w:pPr>
        <w:spacing w:after="0" w:line="137"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In other regions, income from operations increased by $34.2 million to $40.5 million compared to $6.3 million for the three months ended March 31, 2021. The increase is due to the additional activity in the region as a result of the Merger. As percentage of revenues, income from operations in the other regions increased to 37.6% compared to 8.1% for the period ended March 31, 2021.</w:t>
      </w: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Interest income and expense</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3920" w:type="dxa"/>
            <w:vAlign w:val="bottom"/>
            <w:shd w:val="clear" w:color="auto" w:fill="CCEEFF"/>
          </w:tcPr>
          <w:p>
            <w:pPr>
              <w:spacing w:after="0"/>
              <w:rPr>
                <w:sz w:val="16"/>
                <w:szCs w:val="16"/>
                <w:color w:val="auto"/>
              </w:rPr>
            </w:pPr>
          </w:p>
        </w:tc>
        <w:tc>
          <w:tcPr>
            <w:tcW w:w="560" w:type="dxa"/>
            <w:vAlign w:val="bottom"/>
            <w:shd w:val="clear" w:color="auto" w:fill="CCEEFF"/>
          </w:tcPr>
          <w:p>
            <w:pPr>
              <w:spacing w:after="0"/>
              <w:rPr>
                <w:sz w:val="16"/>
                <w:szCs w:val="16"/>
                <w:color w:val="auto"/>
              </w:rPr>
            </w:pPr>
          </w:p>
        </w:tc>
        <w:tc>
          <w:tcPr>
            <w:tcW w:w="2260" w:type="dxa"/>
            <w:vAlign w:val="bottom"/>
            <w:gridSpan w:val="2"/>
            <w:shd w:val="clear" w:color="auto" w:fill="CCEEFF"/>
          </w:tcPr>
          <w:p>
            <w:pPr>
              <w:ind w:left="440"/>
              <w:spacing w:after="0"/>
              <w:rPr>
                <w:sz w:val="20"/>
                <w:szCs w:val="20"/>
                <w:color w:val="auto"/>
              </w:rPr>
            </w:pPr>
            <w:r>
              <w:rPr>
                <w:rFonts w:ascii="Arial" w:cs="Arial" w:eastAsia="Arial" w:hAnsi="Arial"/>
                <w:sz w:val="16"/>
                <w:szCs w:val="16"/>
                <w:b w:val="1"/>
                <w:bCs w:val="1"/>
                <w:color w:val="auto"/>
              </w:rPr>
              <w:t>Three Months Ended</w:t>
            </w:r>
          </w:p>
        </w:tc>
        <w:tc>
          <w:tcPr>
            <w:tcW w:w="780" w:type="dxa"/>
            <w:vAlign w:val="bottom"/>
            <w:shd w:val="clear" w:color="auto" w:fill="CCEEFF"/>
          </w:tcPr>
          <w:p>
            <w:pPr>
              <w:spacing w:after="0"/>
              <w:rPr>
                <w:sz w:val="16"/>
                <w:szCs w:val="16"/>
                <w:color w:val="auto"/>
              </w:rPr>
            </w:pPr>
          </w:p>
        </w:tc>
        <w:tc>
          <w:tcPr>
            <w:tcW w:w="640" w:type="dxa"/>
            <w:vAlign w:val="bottom"/>
            <w:shd w:val="clear" w:color="auto" w:fill="CCEEFF"/>
          </w:tcPr>
          <w:p>
            <w:pPr>
              <w:spacing w:after="0"/>
              <w:rPr>
                <w:sz w:val="16"/>
                <w:szCs w:val="16"/>
                <w:color w:val="auto"/>
              </w:rPr>
            </w:pPr>
          </w:p>
        </w:tc>
        <w:tc>
          <w:tcPr>
            <w:tcW w:w="1920" w:type="dxa"/>
            <w:vAlign w:val="bottom"/>
            <w:vMerge w:val="restart"/>
            <w:shd w:val="clear" w:color="auto" w:fill="CCEEFF"/>
          </w:tcPr>
          <w:p>
            <w:pPr>
              <w:jc w:val="right"/>
              <w:ind w:right="319"/>
              <w:spacing w:after="0"/>
              <w:rPr>
                <w:sz w:val="20"/>
                <w:szCs w:val="20"/>
                <w:color w:val="auto"/>
              </w:rPr>
            </w:pPr>
            <w:r>
              <w:rPr>
                <w:rFonts w:ascii="Arial" w:cs="Arial" w:eastAsia="Arial" w:hAnsi="Arial"/>
                <w:sz w:val="16"/>
                <w:szCs w:val="16"/>
                <w:b w:val="1"/>
                <w:bCs w:val="1"/>
                <w:color w:val="auto"/>
              </w:rPr>
              <w:t>Change</w:t>
            </w:r>
          </w:p>
        </w:tc>
        <w:tc>
          <w:tcPr>
            <w:tcW w:w="1160" w:type="dxa"/>
            <w:vAlign w:val="bottom"/>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3920" w:type="dxa"/>
            <w:vAlign w:val="bottom"/>
            <w:shd w:val="clear" w:color="auto" w:fill="CCEEFF"/>
          </w:tcPr>
          <w:p>
            <w:pPr>
              <w:spacing w:after="0"/>
              <w:rPr>
                <w:sz w:val="18"/>
                <w:szCs w:val="18"/>
                <w:color w:val="auto"/>
              </w:rPr>
            </w:pPr>
          </w:p>
        </w:tc>
        <w:tc>
          <w:tcPr>
            <w:tcW w:w="560" w:type="dxa"/>
            <w:vAlign w:val="bottom"/>
            <w:tcBorders>
              <w:bottom w:val="single" w:sz="8" w:color="auto"/>
            </w:tcBorders>
            <w:shd w:val="clear" w:color="auto" w:fill="CCEEFF"/>
          </w:tcPr>
          <w:p>
            <w:pPr>
              <w:spacing w:after="0"/>
              <w:rPr>
                <w:sz w:val="18"/>
                <w:szCs w:val="18"/>
                <w:color w:val="auto"/>
              </w:rPr>
            </w:pPr>
          </w:p>
        </w:tc>
        <w:tc>
          <w:tcPr>
            <w:tcW w:w="2260" w:type="dxa"/>
            <w:vAlign w:val="bottom"/>
            <w:tcBorders>
              <w:bottom w:val="single" w:sz="8" w:color="auto"/>
            </w:tcBorders>
            <w:gridSpan w:val="2"/>
            <w:shd w:val="clear" w:color="auto" w:fill="CCEEFF"/>
          </w:tcPr>
          <w:p>
            <w:pPr>
              <w:ind w:left="860"/>
              <w:spacing w:after="0"/>
              <w:rPr>
                <w:sz w:val="20"/>
                <w:szCs w:val="20"/>
                <w:color w:val="auto"/>
              </w:rPr>
            </w:pPr>
            <w:r>
              <w:rPr>
                <w:rFonts w:ascii="Arial" w:cs="Arial" w:eastAsia="Arial" w:hAnsi="Arial"/>
                <w:sz w:val="16"/>
                <w:szCs w:val="16"/>
                <w:b w:val="1"/>
                <w:bCs w:val="1"/>
                <w:color w:val="auto"/>
              </w:rPr>
              <w:t>March 31,</w:t>
            </w:r>
          </w:p>
        </w:tc>
        <w:tc>
          <w:tcPr>
            <w:tcW w:w="780" w:type="dxa"/>
            <w:vAlign w:val="bottom"/>
            <w:tcBorders>
              <w:bottom w:val="single" w:sz="8" w:color="auto"/>
            </w:tcBorders>
            <w:shd w:val="clear" w:color="auto" w:fill="CCEEFF"/>
          </w:tcPr>
          <w:p>
            <w:pPr>
              <w:spacing w:after="0"/>
              <w:rPr>
                <w:sz w:val="18"/>
                <w:szCs w:val="18"/>
                <w:color w:val="auto"/>
              </w:rPr>
            </w:pPr>
          </w:p>
        </w:tc>
        <w:tc>
          <w:tcPr>
            <w:tcW w:w="640" w:type="dxa"/>
            <w:vAlign w:val="bottom"/>
            <w:tcBorders>
              <w:bottom w:val="single" w:sz="8" w:color="auto"/>
            </w:tcBorders>
            <w:shd w:val="clear" w:color="auto" w:fill="CCEEFF"/>
          </w:tcPr>
          <w:p>
            <w:pPr>
              <w:spacing w:after="0"/>
              <w:rPr>
                <w:sz w:val="18"/>
                <w:szCs w:val="18"/>
                <w:color w:val="auto"/>
              </w:rPr>
            </w:pPr>
          </w:p>
        </w:tc>
        <w:tc>
          <w:tcPr>
            <w:tcW w:w="1920" w:type="dxa"/>
            <w:vAlign w:val="bottom"/>
            <w:tcBorders>
              <w:bottom w:val="single" w:sz="8" w:color="auto"/>
            </w:tcBorders>
            <w:vMerge w:val="continue"/>
            <w:shd w:val="clear" w:color="auto" w:fill="CCEEFF"/>
          </w:tcPr>
          <w:p>
            <w:pPr>
              <w:spacing w:after="0"/>
              <w:rPr>
                <w:sz w:val="18"/>
                <w:szCs w:val="18"/>
                <w:color w:val="auto"/>
              </w:rPr>
            </w:pPr>
          </w:p>
        </w:tc>
        <w:tc>
          <w:tcPr>
            <w:tcW w:w="1160" w:type="dxa"/>
            <w:vAlign w:val="bottom"/>
            <w:tcBorders>
              <w:bottom w:val="single" w:sz="8" w:color="auto"/>
            </w:tcBorders>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92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560" w:type="dxa"/>
            <w:vAlign w:val="bottom"/>
            <w:tcBorders>
              <w:bottom w:val="single" w:sz="8" w:color="auto"/>
            </w:tcBorders>
          </w:tcPr>
          <w:p>
            <w:pPr>
              <w:spacing w:after="0"/>
              <w:rPr>
                <w:sz w:val="18"/>
                <w:szCs w:val="18"/>
                <w:color w:val="auto"/>
              </w:rPr>
            </w:pPr>
          </w:p>
        </w:tc>
        <w:tc>
          <w:tcPr>
            <w:tcW w:w="1240" w:type="dxa"/>
            <w:vAlign w:val="bottom"/>
            <w:tcBorders>
              <w:bottom w:val="single" w:sz="8" w:color="auto"/>
            </w:tcBorders>
          </w:tcPr>
          <w:p>
            <w:pPr>
              <w:ind w:left="860"/>
              <w:spacing w:after="0"/>
              <w:rPr>
                <w:sz w:val="20"/>
                <w:szCs w:val="20"/>
                <w:color w:val="auto"/>
              </w:rPr>
            </w:pPr>
            <w:r>
              <w:rPr>
                <w:rFonts w:ascii="Arial" w:cs="Arial" w:eastAsia="Arial" w:hAnsi="Arial"/>
                <w:sz w:val="16"/>
                <w:szCs w:val="16"/>
                <w:b w:val="1"/>
                <w:bCs w:val="1"/>
                <w:color w:val="auto"/>
              </w:rPr>
              <w:t>2022</w:t>
            </w:r>
          </w:p>
        </w:tc>
        <w:tc>
          <w:tcPr>
            <w:tcW w:w="102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640" w:type="dxa"/>
            <w:vAlign w:val="bottom"/>
            <w:tcBorders>
              <w:bottom w:val="single" w:sz="8" w:color="auto"/>
            </w:tcBorders>
          </w:tcPr>
          <w:p>
            <w:pPr>
              <w:spacing w:after="0"/>
              <w:rPr>
                <w:sz w:val="18"/>
                <w:szCs w:val="18"/>
                <w:color w:val="auto"/>
              </w:rPr>
            </w:pPr>
          </w:p>
        </w:tc>
        <w:tc>
          <w:tcPr>
            <w:tcW w:w="1920" w:type="dxa"/>
            <w:vAlign w:val="bottom"/>
            <w:tcBorders>
              <w:bottom w:val="single" w:sz="8" w:color="auto"/>
            </w:tcBorders>
          </w:tcPr>
          <w:p>
            <w:pPr>
              <w:jc w:val="right"/>
              <w:ind w:right="699"/>
              <w:spacing w:after="0"/>
              <w:rPr>
                <w:sz w:val="20"/>
                <w:szCs w:val="20"/>
                <w:color w:val="auto"/>
              </w:rPr>
            </w:pPr>
            <w:r>
              <w:rPr>
                <w:rFonts w:ascii="Arial" w:cs="Arial" w:eastAsia="Arial" w:hAnsi="Arial"/>
                <w:sz w:val="16"/>
                <w:szCs w:val="16"/>
                <w:b w:val="1"/>
                <w:bCs w:val="1"/>
                <w:color w:val="auto"/>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w:t>
            </w:r>
          </w:p>
        </w:tc>
        <w:tc>
          <w:tcPr>
            <w:tcW w:w="0" w:type="dxa"/>
            <w:vAlign w:val="bottom"/>
          </w:tcPr>
          <w:p>
            <w:pPr>
              <w:spacing w:after="0"/>
              <w:rPr>
                <w:sz w:val="1"/>
                <w:szCs w:val="1"/>
                <w:color w:val="auto"/>
              </w:rPr>
            </w:pPr>
          </w:p>
        </w:tc>
      </w:tr>
      <w:tr>
        <w:trPr>
          <w:trHeight w:val="210"/>
        </w:trPr>
        <w:tc>
          <w:tcPr>
            <w:tcW w:w="392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Interest income</w:t>
            </w:r>
          </w:p>
        </w:tc>
        <w:tc>
          <w:tcPr>
            <w:tcW w:w="560" w:type="dxa"/>
            <w:vAlign w:val="bottom"/>
            <w:shd w:val="clear" w:color="auto" w:fill="CCEEFF"/>
          </w:tcPr>
          <w:p>
            <w:pPr>
              <w:jc w:val="right"/>
              <w:ind w:right="359"/>
              <w:spacing w:after="0"/>
              <w:rPr>
                <w:sz w:val="20"/>
                <w:szCs w:val="20"/>
                <w:color w:val="auto"/>
              </w:rPr>
            </w:pPr>
            <w:r>
              <w:rPr>
                <w:rFonts w:ascii="Arial" w:cs="Arial" w:eastAsia="Arial" w:hAnsi="Arial"/>
                <w:sz w:val="16"/>
                <w:szCs w:val="16"/>
                <w:color w:val="auto"/>
              </w:rPr>
              <w:t>$</w:t>
            </w:r>
          </w:p>
        </w:tc>
        <w:tc>
          <w:tcPr>
            <w:tcW w:w="1240" w:type="dxa"/>
            <w:vAlign w:val="bottom"/>
            <w:shd w:val="clear" w:color="auto" w:fill="CCEEFF"/>
          </w:tcPr>
          <w:p>
            <w:pPr>
              <w:jc w:val="right"/>
              <w:spacing w:after="0"/>
              <w:rPr>
                <w:sz w:val="20"/>
                <w:szCs w:val="20"/>
                <w:color w:val="auto"/>
              </w:rPr>
            </w:pPr>
            <w:r>
              <w:rPr>
                <w:rFonts w:ascii="Arial" w:cs="Arial" w:eastAsia="Arial" w:hAnsi="Arial"/>
                <w:sz w:val="16"/>
                <w:szCs w:val="16"/>
                <w:color w:val="auto"/>
              </w:rPr>
              <w:t>127</w:t>
            </w:r>
          </w:p>
        </w:tc>
        <w:tc>
          <w:tcPr>
            <w:tcW w:w="1020" w:type="dxa"/>
            <w:vAlign w:val="bottom"/>
            <w:shd w:val="clear" w:color="auto" w:fill="CCEEFF"/>
          </w:tcPr>
          <w:p>
            <w:pPr>
              <w:jc w:val="right"/>
              <w:ind w:right="839"/>
              <w:spacing w:after="0"/>
              <w:rPr>
                <w:sz w:val="20"/>
                <w:szCs w:val="20"/>
                <w:color w:val="auto"/>
              </w:rPr>
            </w:pPr>
            <w:r>
              <w:rPr>
                <w:rFonts w:ascii="Arial" w:cs="Arial" w:eastAsia="Arial" w:hAnsi="Arial"/>
                <w:sz w:val="16"/>
                <w:szCs w:val="16"/>
                <w:color w:val="auto"/>
                <w:w w:val="89"/>
              </w:rPr>
              <w:t>$</w:t>
            </w:r>
          </w:p>
        </w:tc>
        <w:tc>
          <w:tcPr>
            <w:tcW w:w="780" w:type="dxa"/>
            <w:vAlign w:val="bottom"/>
            <w:shd w:val="clear" w:color="auto" w:fill="CCEEFF"/>
          </w:tcPr>
          <w:p>
            <w:pPr>
              <w:jc w:val="right"/>
              <w:spacing w:after="0"/>
              <w:rPr>
                <w:sz w:val="20"/>
                <w:szCs w:val="20"/>
                <w:color w:val="auto"/>
              </w:rPr>
            </w:pPr>
            <w:r>
              <w:rPr>
                <w:rFonts w:ascii="Arial" w:cs="Arial" w:eastAsia="Arial" w:hAnsi="Arial"/>
                <w:sz w:val="16"/>
                <w:szCs w:val="16"/>
                <w:color w:val="auto"/>
              </w:rPr>
              <w:t>257</w:t>
            </w:r>
          </w:p>
        </w:tc>
        <w:tc>
          <w:tcPr>
            <w:tcW w:w="640" w:type="dxa"/>
            <w:vAlign w:val="bottom"/>
            <w:shd w:val="clear" w:color="auto" w:fill="CCEEFF"/>
          </w:tcPr>
          <w:p>
            <w:pPr>
              <w:jc w:val="right"/>
              <w:ind w:right="459"/>
              <w:spacing w:after="0"/>
              <w:rPr>
                <w:sz w:val="20"/>
                <w:szCs w:val="20"/>
                <w:color w:val="auto"/>
              </w:rPr>
            </w:pPr>
            <w:r>
              <w:rPr>
                <w:rFonts w:ascii="Arial" w:cs="Arial" w:eastAsia="Arial" w:hAnsi="Arial"/>
                <w:sz w:val="16"/>
                <w:szCs w:val="16"/>
                <w:color w:val="auto"/>
                <w:w w:val="89"/>
              </w:rPr>
              <w:t>$</w:t>
            </w:r>
          </w:p>
        </w:tc>
        <w:tc>
          <w:tcPr>
            <w:tcW w:w="1920" w:type="dxa"/>
            <w:vAlign w:val="bottom"/>
            <w:shd w:val="clear" w:color="auto" w:fill="CCEEFF"/>
          </w:tcPr>
          <w:p>
            <w:pPr>
              <w:jc w:val="right"/>
              <w:ind w:right="699"/>
              <w:spacing w:after="0"/>
              <w:rPr>
                <w:sz w:val="20"/>
                <w:szCs w:val="20"/>
                <w:color w:val="auto"/>
              </w:rPr>
            </w:pPr>
            <w:r>
              <w:rPr>
                <w:rFonts w:ascii="Arial" w:cs="Arial" w:eastAsia="Arial" w:hAnsi="Arial"/>
                <w:sz w:val="16"/>
                <w:szCs w:val="16"/>
                <w:color w:val="auto"/>
              </w:rPr>
              <w:t>(130)</w:t>
            </w:r>
          </w:p>
        </w:tc>
        <w:tc>
          <w:tcPr>
            <w:tcW w:w="1160" w:type="dxa"/>
            <w:vAlign w:val="bottom"/>
            <w:shd w:val="clear" w:color="auto" w:fill="CCEEFF"/>
          </w:tcPr>
          <w:p>
            <w:pPr>
              <w:jc w:val="right"/>
              <w:spacing w:after="0"/>
              <w:rPr>
                <w:sz w:val="20"/>
                <w:szCs w:val="20"/>
                <w:color w:val="auto"/>
              </w:rPr>
            </w:pPr>
            <w:r>
              <w:rPr>
                <w:rFonts w:ascii="Arial" w:cs="Arial" w:eastAsia="Arial" w:hAnsi="Arial"/>
                <w:sz w:val="16"/>
                <w:szCs w:val="16"/>
                <w:color w:val="auto"/>
              </w:rPr>
              <w:t>(50.6)%</w:t>
            </w:r>
          </w:p>
        </w:tc>
        <w:tc>
          <w:tcPr>
            <w:tcW w:w="0" w:type="dxa"/>
            <w:vAlign w:val="bottom"/>
          </w:tcPr>
          <w:p>
            <w:pPr>
              <w:spacing w:after="0"/>
              <w:rPr>
                <w:sz w:val="1"/>
                <w:szCs w:val="1"/>
                <w:color w:val="auto"/>
              </w:rPr>
            </w:pPr>
          </w:p>
        </w:tc>
      </w:tr>
      <w:tr>
        <w:trPr>
          <w:trHeight w:val="215"/>
        </w:trPr>
        <w:tc>
          <w:tcPr>
            <w:tcW w:w="3920" w:type="dxa"/>
            <w:vAlign w:val="bottom"/>
          </w:tcPr>
          <w:p>
            <w:pPr>
              <w:ind w:left="20"/>
              <w:spacing w:after="0"/>
              <w:rPr>
                <w:sz w:val="20"/>
                <w:szCs w:val="20"/>
                <w:color w:val="auto"/>
              </w:rPr>
            </w:pPr>
            <w:r>
              <w:rPr>
                <w:rFonts w:ascii="Arial" w:cs="Arial" w:eastAsia="Arial" w:hAnsi="Arial"/>
                <w:sz w:val="16"/>
                <w:szCs w:val="16"/>
                <w:color w:val="auto"/>
              </w:rPr>
              <w:t>Interest expense</w:t>
            </w:r>
          </w:p>
        </w:tc>
        <w:tc>
          <w:tcPr>
            <w:tcW w:w="560" w:type="dxa"/>
            <w:vAlign w:val="bottom"/>
          </w:tcPr>
          <w:p>
            <w:pPr>
              <w:jc w:val="right"/>
              <w:ind w:right="359"/>
              <w:spacing w:after="0"/>
              <w:rPr>
                <w:sz w:val="20"/>
                <w:szCs w:val="20"/>
                <w:color w:val="auto"/>
              </w:rPr>
            </w:pPr>
            <w:r>
              <w:rPr>
                <w:rFonts w:ascii="Arial" w:cs="Arial" w:eastAsia="Arial" w:hAnsi="Arial"/>
                <w:sz w:val="16"/>
                <w:szCs w:val="16"/>
                <w:color w:val="auto"/>
              </w:rPr>
              <w:t>$</w:t>
            </w:r>
          </w:p>
        </w:tc>
        <w:tc>
          <w:tcPr>
            <w:tcW w:w="1240" w:type="dxa"/>
            <w:vAlign w:val="bottom"/>
          </w:tcPr>
          <w:p>
            <w:pPr>
              <w:jc w:val="right"/>
              <w:spacing w:after="0"/>
              <w:rPr>
                <w:sz w:val="20"/>
                <w:szCs w:val="20"/>
                <w:color w:val="auto"/>
              </w:rPr>
            </w:pPr>
            <w:r>
              <w:rPr>
                <w:rFonts w:ascii="Arial" w:cs="Arial" w:eastAsia="Arial" w:hAnsi="Arial"/>
                <w:sz w:val="16"/>
                <w:szCs w:val="16"/>
                <w:color w:val="auto"/>
              </w:rPr>
              <w:t>(44,425)</w:t>
            </w:r>
          </w:p>
        </w:tc>
        <w:tc>
          <w:tcPr>
            <w:tcW w:w="1020" w:type="dxa"/>
            <w:vAlign w:val="bottom"/>
          </w:tcPr>
          <w:p>
            <w:pPr>
              <w:jc w:val="right"/>
              <w:ind w:right="839"/>
              <w:spacing w:after="0"/>
              <w:rPr>
                <w:sz w:val="20"/>
                <w:szCs w:val="20"/>
                <w:color w:val="auto"/>
              </w:rPr>
            </w:pPr>
            <w:r>
              <w:rPr>
                <w:rFonts w:ascii="Arial" w:cs="Arial" w:eastAsia="Arial" w:hAnsi="Arial"/>
                <w:sz w:val="16"/>
                <w:szCs w:val="16"/>
                <w:color w:val="auto"/>
                <w:w w:val="89"/>
              </w:rPr>
              <w:t>$</w:t>
            </w:r>
          </w:p>
        </w:tc>
        <w:tc>
          <w:tcPr>
            <w:tcW w:w="780" w:type="dxa"/>
            <w:vAlign w:val="bottom"/>
          </w:tcPr>
          <w:p>
            <w:pPr>
              <w:jc w:val="right"/>
              <w:spacing w:after="0"/>
              <w:rPr>
                <w:sz w:val="20"/>
                <w:szCs w:val="20"/>
                <w:color w:val="auto"/>
              </w:rPr>
            </w:pPr>
            <w:r>
              <w:rPr>
                <w:rFonts w:ascii="Arial" w:cs="Arial" w:eastAsia="Arial" w:hAnsi="Arial"/>
                <w:sz w:val="16"/>
                <w:szCs w:val="16"/>
                <w:color w:val="auto"/>
              </w:rPr>
              <w:t>(2,727)</w:t>
            </w:r>
          </w:p>
        </w:tc>
        <w:tc>
          <w:tcPr>
            <w:tcW w:w="640" w:type="dxa"/>
            <w:vAlign w:val="bottom"/>
          </w:tcPr>
          <w:p>
            <w:pPr>
              <w:jc w:val="right"/>
              <w:ind w:right="459"/>
              <w:spacing w:after="0"/>
              <w:rPr>
                <w:sz w:val="20"/>
                <w:szCs w:val="20"/>
                <w:color w:val="auto"/>
              </w:rPr>
            </w:pPr>
            <w:r>
              <w:rPr>
                <w:rFonts w:ascii="Arial" w:cs="Arial" w:eastAsia="Arial" w:hAnsi="Arial"/>
                <w:sz w:val="16"/>
                <w:szCs w:val="16"/>
                <w:color w:val="auto"/>
                <w:w w:val="89"/>
              </w:rPr>
              <w:t>$</w:t>
            </w:r>
          </w:p>
        </w:tc>
        <w:tc>
          <w:tcPr>
            <w:tcW w:w="1920" w:type="dxa"/>
            <w:vAlign w:val="bottom"/>
          </w:tcPr>
          <w:p>
            <w:pPr>
              <w:jc w:val="right"/>
              <w:ind w:right="699"/>
              <w:spacing w:after="0"/>
              <w:rPr>
                <w:sz w:val="20"/>
                <w:szCs w:val="20"/>
                <w:color w:val="auto"/>
              </w:rPr>
            </w:pPr>
            <w:r>
              <w:rPr>
                <w:rFonts w:ascii="Arial" w:cs="Arial" w:eastAsia="Arial" w:hAnsi="Arial"/>
                <w:sz w:val="16"/>
                <w:szCs w:val="16"/>
                <w:color w:val="auto"/>
              </w:rPr>
              <w:t>(41,698)</w:t>
            </w:r>
          </w:p>
        </w:tc>
        <w:tc>
          <w:tcPr>
            <w:tcW w:w="1160" w:type="dxa"/>
            <w:vAlign w:val="bottom"/>
          </w:tcPr>
          <w:p>
            <w:pPr>
              <w:jc w:val="right"/>
              <w:spacing w:after="0"/>
              <w:rPr>
                <w:sz w:val="20"/>
                <w:szCs w:val="20"/>
                <w:color w:val="auto"/>
              </w:rPr>
            </w:pPr>
            <w:r>
              <w:rPr>
                <w:rFonts w:ascii="Arial" w:cs="Arial" w:eastAsia="Arial" w:hAnsi="Arial"/>
                <w:sz w:val="16"/>
                <w:szCs w:val="16"/>
                <w:color w:val="auto"/>
              </w:rPr>
              <w:t>1,529.1 %</w:t>
            </w:r>
          </w:p>
        </w:tc>
        <w:tc>
          <w:tcPr>
            <w:tcW w:w="0" w:type="dxa"/>
            <w:vAlign w:val="bottom"/>
          </w:tcPr>
          <w:p>
            <w:pPr>
              <w:spacing w:after="0"/>
              <w:rPr>
                <w:sz w:val="1"/>
                <w:szCs w:val="1"/>
                <w:color w:val="auto"/>
              </w:rPr>
            </w:pPr>
          </w:p>
        </w:tc>
      </w:tr>
    </w:tbl>
    <w:p>
      <w:pPr>
        <w:spacing w:after="0" w:line="311" w:lineRule="exact"/>
        <w:rPr>
          <w:sz w:val="20"/>
          <w:szCs w:val="20"/>
          <w:color w:val="auto"/>
        </w:rPr>
      </w:pPr>
    </w:p>
    <w:p>
      <w:pPr>
        <w:jc w:val="both"/>
        <w:ind w:firstLine="648"/>
        <w:spacing w:after="0" w:line="271" w:lineRule="auto"/>
        <w:rPr>
          <w:sz w:val="20"/>
          <w:szCs w:val="20"/>
          <w:color w:val="auto"/>
        </w:rPr>
      </w:pPr>
      <w:r>
        <w:rPr>
          <w:rFonts w:ascii="Arial" w:cs="Arial" w:eastAsia="Arial" w:hAnsi="Arial"/>
          <w:sz w:val="16"/>
          <w:szCs w:val="16"/>
          <w:color w:val="auto"/>
        </w:rPr>
        <w:t>Interest expense for the three months ended March 31, 2022 increased to $44.4 million, compared to $2.7 million for the three months ended March 31, 2021 due to the draw down of debt facilities associated with the Merger. No amounts were drawn down on the revolving credit facilities during the period ended March 31, 2022 or the period ended March 31, 2021. Interest income for the three months ended March 31, 2022 decreased to $0.1 million, compared to $0.3 million for the three months ended March 31, 2021. This reflects reduced returns on cash and cash equivalents.</w:t>
      </w:r>
    </w:p>
    <w:p>
      <w:pPr>
        <w:spacing w:after="0" w:line="200" w:lineRule="exact"/>
        <w:rPr>
          <w:sz w:val="20"/>
          <w:szCs w:val="20"/>
          <w:color w:val="auto"/>
        </w:rPr>
      </w:pPr>
    </w:p>
    <w:p>
      <w:pPr>
        <w:spacing w:after="0" w:line="332"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67945</wp:posOffset>
            </wp:positionV>
            <wp:extent cx="7157720" cy="425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897" w:right="339" w:bottom="1440" w:gutter="0" w:footer="0" w:header="0"/>
        </w:sectPr>
      </w:pPr>
    </w:p>
    <w:bookmarkStart w:id="31" w:name="page32"/>
    <w:bookmarkEnd w:id="31"/>
    <w:p>
      <w:pPr>
        <w:spacing w:after="0"/>
        <w:rPr>
          <w:sz w:val="20"/>
          <w:szCs w:val="20"/>
          <w:color w:val="auto"/>
        </w:rPr>
      </w:pPr>
      <w:r>
        <w:rPr>
          <w:rFonts w:ascii="Arial" w:cs="Arial" w:eastAsia="Arial" w:hAnsi="Arial"/>
          <w:sz w:val="16"/>
          <w:szCs w:val="16"/>
          <w:b w:val="1"/>
          <w:bCs w:val="1"/>
          <w:i w:val="1"/>
          <w:iCs w:val="1"/>
          <w:color w:val="auto"/>
        </w:rPr>
        <w:t>Income tax expense</w:t>
      </w:r>
    </w:p>
    <w:p>
      <w:pPr>
        <w:spacing w:after="0" w:line="117"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5520" w:type="dxa"/>
            <w:vAlign w:val="bottom"/>
            <w:shd w:val="clear" w:color="auto" w:fill="CCEEFF"/>
          </w:tcPr>
          <w:p>
            <w:pPr>
              <w:spacing w:after="0"/>
              <w:rPr>
                <w:sz w:val="16"/>
                <w:szCs w:val="16"/>
                <w:color w:val="auto"/>
              </w:rPr>
            </w:pPr>
          </w:p>
        </w:tc>
        <w:tc>
          <w:tcPr>
            <w:tcW w:w="620" w:type="dxa"/>
            <w:vAlign w:val="bottom"/>
            <w:shd w:val="clear" w:color="auto" w:fill="CCEEFF"/>
          </w:tcPr>
          <w:p>
            <w:pPr>
              <w:spacing w:after="0"/>
              <w:rPr>
                <w:sz w:val="16"/>
                <w:szCs w:val="16"/>
                <w:color w:val="auto"/>
              </w:rPr>
            </w:pPr>
          </w:p>
        </w:tc>
        <w:tc>
          <w:tcPr>
            <w:tcW w:w="2300" w:type="dxa"/>
            <w:vAlign w:val="bottom"/>
            <w:gridSpan w:val="2"/>
            <w:shd w:val="clear" w:color="auto" w:fill="CCEEFF"/>
          </w:tcPr>
          <w:p>
            <w:pPr>
              <w:ind w:left="500"/>
              <w:spacing w:after="0"/>
              <w:rPr>
                <w:sz w:val="20"/>
                <w:szCs w:val="20"/>
                <w:color w:val="auto"/>
              </w:rPr>
            </w:pPr>
            <w:r>
              <w:rPr>
                <w:rFonts w:ascii="Arial" w:cs="Arial" w:eastAsia="Arial" w:hAnsi="Arial"/>
                <w:sz w:val="16"/>
                <w:szCs w:val="16"/>
                <w:b w:val="1"/>
                <w:bCs w:val="1"/>
                <w:color w:val="auto"/>
              </w:rPr>
              <w:t>Three Months Ended</w:t>
            </w:r>
          </w:p>
        </w:tc>
        <w:tc>
          <w:tcPr>
            <w:tcW w:w="900" w:type="dxa"/>
            <w:vAlign w:val="bottom"/>
            <w:shd w:val="clear" w:color="auto" w:fill="CCEEFF"/>
          </w:tcPr>
          <w:p>
            <w:pPr>
              <w:spacing w:after="0"/>
              <w:rPr>
                <w:sz w:val="16"/>
                <w:szCs w:val="16"/>
                <w:color w:val="auto"/>
              </w:rPr>
            </w:pPr>
          </w:p>
        </w:tc>
        <w:tc>
          <w:tcPr>
            <w:tcW w:w="380" w:type="dxa"/>
            <w:vAlign w:val="bottom"/>
            <w:shd w:val="clear" w:color="auto" w:fill="CCEEFF"/>
          </w:tcPr>
          <w:p>
            <w:pPr>
              <w:spacing w:after="0"/>
              <w:rPr>
                <w:sz w:val="16"/>
                <w:szCs w:val="16"/>
                <w:color w:val="auto"/>
              </w:rPr>
            </w:pPr>
          </w:p>
        </w:tc>
        <w:tc>
          <w:tcPr>
            <w:tcW w:w="1520" w:type="dxa"/>
            <w:vAlign w:val="bottom"/>
            <w:vMerge w:val="restart"/>
            <w:shd w:val="clear" w:color="auto" w:fill="CCEEFF"/>
          </w:tcPr>
          <w:p>
            <w:pPr>
              <w:jc w:val="right"/>
              <w:ind w:right="579"/>
              <w:spacing w:after="0"/>
              <w:rPr>
                <w:sz w:val="20"/>
                <w:szCs w:val="20"/>
                <w:color w:val="auto"/>
              </w:rPr>
            </w:pPr>
            <w:r>
              <w:rPr>
                <w:rFonts w:ascii="Arial" w:cs="Arial" w:eastAsia="Arial" w:hAnsi="Arial"/>
                <w:sz w:val="16"/>
                <w:szCs w:val="16"/>
                <w:b w:val="1"/>
                <w:bCs w:val="1"/>
                <w:color w:val="auto"/>
              </w:rPr>
              <w:t>Change</w:t>
            </w:r>
          </w:p>
        </w:tc>
        <w:tc>
          <w:tcPr>
            <w:tcW w:w="0" w:type="dxa"/>
            <w:vAlign w:val="bottom"/>
          </w:tcPr>
          <w:p>
            <w:pPr>
              <w:spacing w:after="0"/>
              <w:rPr>
                <w:sz w:val="1"/>
                <w:szCs w:val="1"/>
                <w:color w:val="auto"/>
              </w:rPr>
            </w:pPr>
          </w:p>
        </w:tc>
      </w:tr>
      <w:tr>
        <w:trPr>
          <w:trHeight w:val="216"/>
        </w:trPr>
        <w:tc>
          <w:tcPr>
            <w:tcW w:w="5520" w:type="dxa"/>
            <w:vAlign w:val="bottom"/>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spacing w:after="0"/>
              <w:rPr>
                <w:sz w:val="18"/>
                <w:szCs w:val="18"/>
                <w:color w:val="auto"/>
              </w:rPr>
            </w:pPr>
          </w:p>
        </w:tc>
        <w:tc>
          <w:tcPr>
            <w:tcW w:w="2300" w:type="dxa"/>
            <w:vAlign w:val="bottom"/>
            <w:tcBorders>
              <w:bottom w:val="single" w:sz="8" w:color="auto"/>
            </w:tcBorders>
            <w:gridSpan w:val="2"/>
            <w:shd w:val="clear" w:color="auto" w:fill="CCEEFF"/>
          </w:tcPr>
          <w:p>
            <w:pPr>
              <w:ind w:left="920"/>
              <w:spacing w:after="0"/>
              <w:rPr>
                <w:sz w:val="20"/>
                <w:szCs w:val="20"/>
                <w:color w:val="auto"/>
              </w:rPr>
            </w:pPr>
            <w:r>
              <w:rPr>
                <w:rFonts w:ascii="Arial" w:cs="Arial" w:eastAsia="Arial" w:hAnsi="Arial"/>
                <w:sz w:val="16"/>
                <w:szCs w:val="16"/>
                <w:b w:val="1"/>
                <w:bCs w:val="1"/>
                <w:color w:val="auto"/>
              </w:rPr>
              <w:t>March 31,</w:t>
            </w:r>
          </w:p>
        </w:tc>
        <w:tc>
          <w:tcPr>
            <w:tcW w:w="900" w:type="dxa"/>
            <w:vAlign w:val="bottom"/>
            <w:tcBorders>
              <w:bottom w:val="single" w:sz="8" w:color="auto"/>
            </w:tcBorders>
            <w:shd w:val="clear" w:color="auto" w:fill="CCEEFF"/>
          </w:tcPr>
          <w:p>
            <w:pPr>
              <w:spacing w:after="0"/>
              <w:rPr>
                <w:sz w:val="18"/>
                <w:szCs w:val="18"/>
                <w:color w:val="auto"/>
              </w:rPr>
            </w:pPr>
          </w:p>
        </w:tc>
        <w:tc>
          <w:tcPr>
            <w:tcW w:w="380" w:type="dxa"/>
            <w:vAlign w:val="bottom"/>
            <w:tcBorders>
              <w:bottom w:val="single" w:sz="8" w:color="auto"/>
            </w:tcBorders>
            <w:shd w:val="clear" w:color="auto" w:fill="CCEEFF"/>
          </w:tcPr>
          <w:p>
            <w:pPr>
              <w:spacing w:after="0"/>
              <w:rPr>
                <w:sz w:val="18"/>
                <w:szCs w:val="18"/>
                <w:color w:val="auto"/>
              </w:rPr>
            </w:pPr>
          </w:p>
        </w:tc>
        <w:tc>
          <w:tcPr>
            <w:tcW w:w="152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5520" w:type="dxa"/>
            <w:vAlign w:val="bottom"/>
            <w:tcBorders>
              <w:bottom w:val="single" w:sz="8" w:color="CCEEFF"/>
            </w:tcBorders>
          </w:tcPr>
          <w:p>
            <w:pPr>
              <w:ind w:left="20"/>
              <w:spacing w:after="0"/>
              <w:rPr>
                <w:sz w:val="20"/>
                <w:szCs w:val="20"/>
                <w:color w:val="auto"/>
              </w:rPr>
            </w:pPr>
            <w:r>
              <w:rPr>
                <w:rFonts w:ascii="Arial" w:cs="Arial" w:eastAsia="Arial" w:hAnsi="Arial"/>
                <w:sz w:val="16"/>
                <w:szCs w:val="16"/>
                <w:i w:val="1"/>
                <w:iCs w:val="1"/>
                <w:color w:val="auto"/>
              </w:rPr>
              <w:t>(dollars in thousands)</w:t>
            </w:r>
          </w:p>
        </w:tc>
        <w:tc>
          <w:tcPr>
            <w:tcW w:w="6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ind w:left="920"/>
              <w:spacing w:after="0"/>
              <w:rPr>
                <w:sz w:val="20"/>
                <w:szCs w:val="20"/>
                <w:color w:val="auto"/>
              </w:rPr>
            </w:pPr>
            <w:r>
              <w:rPr>
                <w:rFonts w:ascii="Arial" w:cs="Arial" w:eastAsia="Arial" w:hAnsi="Arial"/>
                <w:sz w:val="16"/>
                <w:szCs w:val="16"/>
                <w:b w:val="1"/>
                <w:bCs w:val="1"/>
                <w:color w:val="auto"/>
              </w:rPr>
              <w:t>2022</w:t>
            </w:r>
          </w:p>
        </w:tc>
        <w:tc>
          <w:tcPr>
            <w:tcW w:w="100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2021</w:t>
            </w:r>
          </w:p>
        </w:tc>
        <w:tc>
          <w:tcPr>
            <w:tcW w:w="380" w:type="dxa"/>
            <w:vAlign w:val="bottom"/>
            <w:tcBorders>
              <w:bottom w:val="single" w:sz="8" w:color="auto"/>
            </w:tcBorders>
          </w:tcPr>
          <w:p>
            <w:pPr>
              <w:spacing w:after="0"/>
              <w:rPr>
                <w:sz w:val="18"/>
                <w:szCs w:val="18"/>
                <w:color w:val="auto"/>
              </w:rPr>
            </w:pPr>
          </w:p>
        </w:tc>
        <w:tc>
          <w:tcPr>
            <w:tcW w:w="1520" w:type="dxa"/>
            <w:vAlign w:val="bottom"/>
            <w:tcBorders>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5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Income tax expense (excl. restructuring charges)</w:t>
            </w:r>
          </w:p>
        </w:tc>
        <w:tc>
          <w:tcPr>
            <w:tcW w:w="620" w:type="dxa"/>
            <w:vAlign w:val="bottom"/>
            <w:shd w:val="clear" w:color="auto" w:fill="CCEEFF"/>
          </w:tcPr>
          <w:p>
            <w:pPr>
              <w:jc w:val="right"/>
              <w:ind w:right="41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14,114</w:t>
            </w:r>
          </w:p>
        </w:tc>
        <w:tc>
          <w:tcPr>
            <w:tcW w:w="1000" w:type="dxa"/>
            <w:vAlign w:val="bottom"/>
            <w:shd w:val="clear" w:color="auto" w:fill="CCEEFF"/>
          </w:tcPr>
          <w:p>
            <w:pPr>
              <w:jc w:val="right"/>
              <w:ind w:right="819"/>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16,148</w:t>
            </w:r>
          </w:p>
        </w:tc>
        <w:tc>
          <w:tcPr>
            <w:tcW w:w="3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152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(2,034)</w:t>
            </w:r>
          </w:p>
        </w:tc>
        <w:tc>
          <w:tcPr>
            <w:tcW w:w="0" w:type="dxa"/>
            <w:vAlign w:val="bottom"/>
          </w:tcPr>
          <w:p>
            <w:pPr>
              <w:spacing w:after="0"/>
              <w:rPr>
                <w:sz w:val="1"/>
                <w:szCs w:val="1"/>
                <w:color w:val="auto"/>
              </w:rPr>
            </w:pPr>
          </w:p>
        </w:tc>
      </w:tr>
      <w:tr>
        <w:trPr>
          <w:trHeight w:val="215"/>
        </w:trPr>
        <w:tc>
          <w:tcPr>
            <w:tcW w:w="5520" w:type="dxa"/>
            <w:vAlign w:val="bottom"/>
          </w:tcPr>
          <w:p>
            <w:pPr>
              <w:ind w:left="20"/>
              <w:spacing w:after="0"/>
              <w:rPr>
                <w:sz w:val="20"/>
                <w:szCs w:val="20"/>
                <w:color w:val="auto"/>
              </w:rPr>
            </w:pPr>
            <w:r>
              <w:rPr>
                <w:rFonts w:ascii="Arial" w:cs="Arial" w:eastAsia="Arial" w:hAnsi="Arial"/>
                <w:sz w:val="16"/>
                <w:szCs w:val="16"/>
                <w:color w:val="auto"/>
              </w:rPr>
              <w:t>Effective income tax rate (excl. restructuring charges)</w:t>
            </w:r>
          </w:p>
        </w:tc>
        <w:tc>
          <w:tcPr>
            <w:tcW w:w="6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10.8 %</w:t>
            </w:r>
          </w:p>
        </w:tc>
        <w:tc>
          <w:tcPr>
            <w:tcW w:w="10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14.2 %</w:t>
            </w:r>
          </w:p>
        </w:tc>
        <w:tc>
          <w:tcPr>
            <w:tcW w:w="38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6"/>
                <w:szCs w:val="16"/>
                <w:color w:val="auto"/>
              </w:rPr>
              <w:t>(12.6)%</w:t>
            </w:r>
          </w:p>
        </w:tc>
        <w:tc>
          <w:tcPr>
            <w:tcW w:w="0" w:type="dxa"/>
            <w:vAlign w:val="bottom"/>
          </w:tcPr>
          <w:p>
            <w:pPr>
              <w:spacing w:after="0"/>
              <w:rPr>
                <w:sz w:val="1"/>
                <w:szCs w:val="1"/>
                <w:color w:val="auto"/>
              </w:rPr>
            </w:pPr>
          </w:p>
        </w:tc>
      </w:tr>
      <w:tr>
        <w:trPr>
          <w:trHeight w:val="217"/>
        </w:trPr>
        <w:tc>
          <w:tcPr>
            <w:tcW w:w="5520" w:type="dxa"/>
            <w:vAlign w:val="bottom"/>
            <w:shd w:val="clear" w:color="auto" w:fill="CCEEFF"/>
          </w:tcPr>
          <w:p>
            <w:pPr>
              <w:ind w:left="20"/>
              <w:spacing w:after="0"/>
              <w:rPr>
                <w:sz w:val="20"/>
                <w:szCs w:val="20"/>
                <w:color w:val="auto"/>
              </w:rPr>
            </w:pPr>
            <w:r>
              <w:rPr>
                <w:rFonts w:ascii="Arial" w:cs="Arial" w:eastAsia="Arial" w:hAnsi="Arial"/>
                <w:sz w:val="16"/>
                <w:szCs w:val="16"/>
                <w:color w:val="auto"/>
              </w:rPr>
              <w:t>Income tax expense</w:t>
            </w:r>
          </w:p>
        </w:tc>
        <w:tc>
          <w:tcPr>
            <w:tcW w:w="620" w:type="dxa"/>
            <w:vAlign w:val="bottom"/>
            <w:shd w:val="clear" w:color="auto" w:fill="CCEEFF"/>
          </w:tcPr>
          <w:p>
            <w:pPr>
              <w:jc w:val="right"/>
              <w:ind w:right="419"/>
              <w:spacing w:after="0"/>
              <w:rPr>
                <w:sz w:val="20"/>
                <w:szCs w:val="20"/>
                <w:color w:val="auto"/>
              </w:rPr>
            </w:pPr>
            <w:r>
              <w:rPr>
                <w:rFonts w:ascii="Arial" w:cs="Arial" w:eastAsia="Arial" w:hAnsi="Arial"/>
                <w:sz w:val="16"/>
                <w:szCs w:val="16"/>
                <w:color w:val="auto"/>
              </w:rPr>
              <w:t>$</w:t>
            </w:r>
          </w:p>
        </w:tc>
        <w:tc>
          <w:tcPr>
            <w:tcW w:w="13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13,286</w:t>
            </w:r>
          </w:p>
        </w:tc>
        <w:tc>
          <w:tcPr>
            <w:tcW w:w="1000" w:type="dxa"/>
            <w:vAlign w:val="bottom"/>
            <w:shd w:val="clear" w:color="auto" w:fill="CCEEFF"/>
          </w:tcPr>
          <w:p>
            <w:pPr>
              <w:jc w:val="right"/>
              <w:ind w:right="819"/>
              <w:spacing w:after="0"/>
              <w:rPr>
                <w:sz w:val="20"/>
                <w:szCs w:val="20"/>
                <w:color w:val="auto"/>
              </w:rPr>
            </w:pPr>
            <w:r>
              <w:rPr>
                <w:rFonts w:ascii="Arial" w:cs="Arial" w:eastAsia="Arial" w:hAnsi="Arial"/>
                <w:sz w:val="16"/>
                <w:szCs w:val="16"/>
                <w:color w:val="auto"/>
                <w:w w:val="89"/>
              </w:rPr>
              <w:t>$</w:t>
            </w:r>
          </w:p>
        </w:tc>
        <w:tc>
          <w:tcPr>
            <w:tcW w:w="900" w:type="dxa"/>
            <w:vAlign w:val="bottom"/>
            <w:shd w:val="clear" w:color="auto" w:fill="CCEEFF"/>
          </w:tcPr>
          <w:p>
            <w:pPr>
              <w:jc w:val="right"/>
              <w:ind w:right="139"/>
              <w:spacing w:after="0"/>
              <w:rPr>
                <w:sz w:val="20"/>
                <w:szCs w:val="20"/>
                <w:color w:val="auto"/>
              </w:rPr>
            </w:pPr>
            <w:r>
              <w:rPr>
                <w:rFonts w:ascii="Arial" w:cs="Arial" w:eastAsia="Arial" w:hAnsi="Arial"/>
                <w:sz w:val="16"/>
                <w:szCs w:val="16"/>
                <w:color w:val="auto"/>
              </w:rPr>
              <w:t>16,148</w:t>
            </w:r>
          </w:p>
        </w:tc>
        <w:tc>
          <w:tcPr>
            <w:tcW w:w="38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w w:val="89"/>
              </w:rPr>
              <w:t>$</w:t>
            </w:r>
          </w:p>
        </w:tc>
        <w:tc>
          <w:tcPr>
            <w:tcW w:w="1520" w:type="dxa"/>
            <w:vAlign w:val="bottom"/>
            <w:shd w:val="clear" w:color="auto" w:fill="CCEEFF"/>
          </w:tcPr>
          <w:p>
            <w:pPr>
              <w:jc w:val="right"/>
              <w:ind w:right="79"/>
              <w:spacing w:after="0"/>
              <w:rPr>
                <w:sz w:val="20"/>
                <w:szCs w:val="20"/>
                <w:color w:val="auto"/>
              </w:rPr>
            </w:pPr>
            <w:r>
              <w:rPr>
                <w:rFonts w:ascii="Arial" w:cs="Arial" w:eastAsia="Arial" w:hAnsi="Arial"/>
                <w:sz w:val="16"/>
                <w:szCs w:val="16"/>
                <w:color w:val="auto"/>
              </w:rPr>
              <w:t>(2,862)</w:t>
            </w:r>
          </w:p>
        </w:tc>
        <w:tc>
          <w:tcPr>
            <w:tcW w:w="0" w:type="dxa"/>
            <w:vAlign w:val="bottom"/>
          </w:tcPr>
          <w:p>
            <w:pPr>
              <w:spacing w:after="0"/>
              <w:rPr>
                <w:sz w:val="1"/>
                <w:szCs w:val="1"/>
                <w:color w:val="auto"/>
              </w:rPr>
            </w:pPr>
          </w:p>
        </w:tc>
      </w:tr>
      <w:tr>
        <w:trPr>
          <w:trHeight w:val="215"/>
        </w:trPr>
        <w:tc>
          <w:tcPr>
            <w:tcW w:w="5520" w:type="dxa"/>
            <w:vAlign w:val="bottom"/>
          </w:tcPr>
          <w:p>
            <w:pPr>
              <w:ind w:left="20"/>
              <w:spacing w:after="0"/>
              <w:rPr>
                <w:sz w:val="20"/>
                <w:szCs w:val="20"/>
                <w:color w:val="auto"/>
              </w:rPr>
            </w:pPr>
            <w:r>
              <w:rPr>
                <w:rFonts w:ascii="Arial" w:cs="Arial" w:eastAsia="Arial" w:hAnsi="Arial"/>
                <w:sz w:val="16"/>
                <w:szCs w:val="16"/>
                <w:color w:val="auto"/>
              </w:rPr>
              <w:t>Effective income tax rate</w:t>
            </w:r>
          </w:p>
        </w:tc>
        <w:tc>
          <w:tcPr>
            <w:tcW w:w="6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Arial" w:cs="Arial" w:eastAsia="Arial" w:hAnsi="Arial"/>
                <w:sz w:val="16"/>
                <w:szCs w:val="16"/>
                <w:color w:val="auto"/>
              </w:rPr>
              <w:t>10.5 %</w:t>
            </w:r>
          </w:p>
        </w:tc>
        <w:tc>
          <w:tcPr>
            <w:tcW w:w="100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Arial" w:cs="Arial" w:eastAsia="Arial" w:hAnsi="Arial"/>
                <w:sz w:val="16"/>
                <w:szCs w:val="16"/>
                <w:color w:val="auto"/>
              </w:rPr>
              <w:t>14.2 %</w:t>
            </w:r>
          </w:p>
        </w:tc>
        <w:tc>
          <w:tcPr>
            <w:tcW w:w="380" w:type="dxa"/>
            <w:vAlign w:val="bottom"/>
          </w:tcPr>
          <w:p>
            <w:pPr>
              <w:spacing w:after="0"/>
              <w:rPr>
                <w:sz w:val="18"/>
                <w:szCs w:val="18"/>
                <w:color w:val="auto"/>
              </w:rPr>
            </w:pPr>
          </w:p>
        </w:tc>
        <w:tc>
          <w:tcPr>
            <w:tcW w:w="1520" w:type="dxa"/>
            <w:vAlign w:val="bottom"/>
          </w:tcPr>
          <w:p>
            <w:pPr>
              <w:jc w:val="right"/>
              <w:spacing w:after="0"/>
              <w:rPr>
                <w:sz w:val="20"/>
                <w:szCs w:val="20"/>
                <w:color w:val="auto"/>
              </w:rPr>
            </w:pPr>
            <w:r>
              <w:rPr>
                <w:rFonts w:ascii="Arial" w:cs="Arial" w:eastAsia="Arial" w:hAnsi="Arial"/>
                <w:sz w:val="16"/>
                <w:szCs w:val="16"/>
                <w:color w:val="auto"/>
              </w:rPr>
              <w:t>(17.7)%</w:t>
            </w:r>
          </w:p>
        </w:tc>
        <w:tc>
          <w:tcPr>
            <w:tcW w:w="0" w:type="dxa"/>
            <w:vAlign w:val="bottom"/>
          </w:tcPr>
          <w:p>
            <w:pPr>
              <w:spacing w:after="0"/>
              <w:rPr>
                <w:sz w:val="1"/>
                <w:szCs w:val="1"/>
                <w:color w:val="auto"/>
              </w:rPr>
            </w:pPr>
          </w:p>
        </w:tc>
      </w:tr>
    </w:tbl>
    <w:p>
      <w:pPr>
        <w:spacing w:after="0" w:line="325" w:lineRule="exact"/>
        <w:rPr>
          <w:sz w:val="20"/>
          <w:szCs w:val="20"/>
          <w:color w:val="auto"/>
        </w:rPr>
      </w:pPr>
    </w:p>
    <w:p>
      <w:pPr>
        <w:jc w:val="both"/>
        <w:ind w:right="20" w:firstLine="648"/>
        <w:spacing w:after="0" w:line="266" w:lineRule="auto"/>
        <w:rPr>
          <w:sz w:val="20"/>
          <w:szCs w:val="20"/>
          <w:color w:val="auto"/>
        </w:rPr>
      </w:pPr>
      <w:r>
        <w:rPr>
          <w:rFonts w:ascii="Arial" w:cs="Arial" w:eastAsia="Arial" w:hAnsi="Arial"/>
          <w:sz w:val="16"/>
          <w:szCs w:val="16"/>
          <w:color w:val="auto"/>
        </w:rPr>
        <w:t>Provision for income taxes decreased to a $13.3 million charge ($14.1 million charge excluding restructuring charges), compared to $16.1 million for the three months ended March 31, 2021. The Company’s effective tax rate for the three months ended March 31, 2022 was 10.5% (10.8% excluding restructuring charges) compared with 14.2% for the three months ended March 31, 2021.</w:t>
      </w:r>
    </w:p>
    <w:p>
      <w:pPr>
        <w:spacing w:after="0" w:line="212"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The Company’s effective tax rate remains principally a function of the distribution of pre-tax profits amongst the territories in which it operates and the tax treatment of costs related to the Merger.</w:t>
      </w:r>
    </w:p>
    <w:p>
      <w:pPr>
        <w:spacing w:after="0" w:line="196"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Liquidity and capital resources</w:t>
      </w:r>
    </w:p>
    <w:p>
      <w:pPr>
        <w:spacing w:after="0" w:line="248"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The CRO industry is generally not capital intensive. The Group’s principal operating cash needs are payment of salaries, office rents, travel expenditures and payments to investigators. Investing activities primarily reflect capital expenditures for facilities and information systems enhancements, the purchase and sale of short term investments and acquisitions. Financing activities primarily reflect the servicing of the Company's external debt.</w:t>
      </w:r>
    </w:p>
    <w:p>
      <w:pPr>
        <w:spacing w:after="0" w:line="191"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Our clinical research and development contracts are generally fixed price with some variable components and range in duration from a few weeks to several years. Revenue from contracts is generally recognized as income on the basis of the relationship between time incurred and the total estimated contract duration or on a fee-for-service basis. The cash flow from contracts typically consists of a down payment at the time the contract is entered into, with the balance paid in installments over the contract's duration, in some cases on the achievement of certain milestones. Therefore, cash receipts do not correspond to costs incurred and revenue recognized on contracts.</w:t>
      </w:r>
    </w:p>
    <w:p>
      <w:pPr>
        <w:spacing w:after="0" w:line="19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Cash and cash equivalents and net borrowings</w:t>
      </w:r>
    </w:p>
    <w:p>
      <w:pPr>
        <w:spacing w:after="0" w:line="119"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3120" w:type="dxa"/>
            <w:vAlign w:val="bottom"/>
            <w:shd w:val="clear" w:color="auto" w:fill="CCEEFF"/>
          </w:tcPr>
          <w:p>
            <w:pPr>
              <w:spacing w:after="0"/>
              <w:rPr>
                <w:sz w:val="16"/>
                <w:szCs w:val="16"/>
                <w:color w:val="auto"/>
              </w:rPr>
            </w:pPr>
          </w:p>
        </w:tc>
        <w:tc>
          <w:tcPr>
            <w:tcW w:w="1460" w:type="dxa"/>
            <w:vAlign w:val="bottom"/>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Balance</w:t>
            </w:r>
          </w:p>
        </w:tc>
        <w:tc>
          <w:tcPr>
            <w:tcW w:w="1200" w:type="dxa"/>
            <w:vAlign w:val="bottom"/>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(Drawn</w:t>
            </w:r>
          </w:p>
        </w:tc>
        <w:tc>
          <w:tcPr>
            <w:tcW w:w="1220" w:type="dxa"/>
            <w:vAlign w:val="bottom"/>
            <w:shd w:val="clear" w:color="auto" w:fill="CCEEFF"/>
          </w:tcPr>
          <w:p>
            <w:pPr>
              <w:jc w:val="center"/>
              <w:spacing w:after="0"/>
              <w:rPr>
                <w:sz w:val="20"/>
                <w:szCs w:val="20"/>
                <w:color w:val="auto"/>
              </w:rPr>
            </w:pPr>
            <w:r>
              <w:rPr>
                <w:rFonts w:ascii="Arial" w:cs="Arial" w:eastAsia="Arial" w:hAnsi="Arial"/>
                <w:sz w:val="16"/>
                <w:szCs w:val="16"/>
                <w:b w:val="1"/>
                <w:bCs w:val="1"/>
                <w:color w:val="auto"/>
                <w:w w:val="98"/>
              </w:rPr>
              <w:t>Net cash</w:t>
            </w:r>
          </w:p>
        </w:tc>
        <w:tc>
          <w:tcPr>
            <w:tcW w:w="1460" w:type="dxa"/>
            <w:vAlign w:val="bottom"/>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Other non-</w:t>
            </w:r>
          </w:p>
        </w:tc>
        <w:tc>
          <w:tcPr>
            <w:tcW w:w="1180" w:type="dxa"/>
            <w:vAlign w:val="bottom"/>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Effect of</w:t>
            </w:r>
          </w:p>
        </w:tc>
        <w:tc>
          <w:tcPr>
            <w:tcW w:w="160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Balance March 31,</w:t>
            </w:r>
          </w:p>
        </w:tc>
        <w:tc>
          <w:tcPr>
            <w:tcW w:w="0" w:type="dxa"/>
            <w:vAlign w:val="bottom"/>
          </w:tcPr>
          <w:p>
            <w:pPr>
              <w:spacing w:after="0"/>
              <w:rPr>
                <w:sz w:val="1"/>
                <w:szCs w:val="1"/>
                <w:color w:val="auto"/>
              </w:rPr>
            </w:pPr>
          </w:p>
        </w:tc>
      </w:tr>
      <w:tr>
        <w:trPr>
          <w:trHeight w:val="162"/>
        </w:trPr>
        <w:tc>
          <w:tcPr>
            <w:tcW w:w="3120" w:type="dxa"/>
            <w:vAlign w:val="bottom"/>
            <w:shd w:val="clear" w:color="auto" w:fill="CCEEFF"/>
          </w:tcPr>
          <w:p>
            <w:pPr>
              <w:spacing w:after="0"/>
              <w:rPr>
                <w:sz w:val="14"/>
                <w:szCs w:val="14"/>
                <w:color w:val="auto"/>
              </w:rPr>
            </w:pPr>
          </w:p>
        </w:tc>
        <w:tc>
          <w:tcPr>
            <w:tcW w:w="1460" w:type="dxa"/>
            <w:vAlign w:val="bottom"/>
            <w:shd w:val="clear" w:color="auto" w:fill="CCEEFF"/>
          </w:tcPr>
          <w:p>
            <w:pPr>
              <w:jc w:val="right"/>
              <w:ind w:right="219"/>
              <w:spacing w:after="0" w:line="162" w:lineRule="exact"/>
              <w:rPr>
                <w:sz w:val="20"/>
                <w:szCs w:val="20"/>
                <w:color w:val="auto"/>
              </w:rPr>
            </w:pPr>
            <w:r>
              <w:rPr>
                <w:rFonts w:ascii="Arial" w:cs="Arial" w:eastAsia="Arial" w:hAnsi="Arial"/>
                <w:sz w:val="16"/>
                <w:szCs w:val="16"/>
                <w:b w:val="1"/>
                <w:bCs w:val="1"/>
                <w:color w:val="auto"/>
              </w:rPr>
              <w:t>December 31,</w:t>
            </w:r>
          </w:p>
        </w:tc>
        <w:tc>
          <w:tcPr>
            <w:tcW w:w="1200" w:type="dxa"/>
            <w:vAlign w:val="bottom"/>
            <w:shd w:val="clear" w:color="auto" w:fill="CCEEFF"/>
          </w:tcPr>
          <w:p>
            <w:pPr>
              <w:jc w:val="right"/>
              <w:ind w:right="179"/>
              <w:spacing w:after="0" w:line="162" w:lineRule="exact"/>
              <w:rPr>
                <w:sz w:val="20"/>
                <w:szCs w:val="20"/>
                <w:color w:val="auto"/>
              </w:rPr>
            </w:pPr>
            <w:r>
              <w:rPr>
                <w:rFonts w:ascii="Arial" w:cs="Arial" w:eastAsia="Arial" w:hAnsi="Arial"/>
                <w:sz w:val="16"/>
                <w:szCs w:val="16"/>
                <w:b w:val="1"/>
                <w:bCs w:val="1"/>
                <w:color w:val="auto"/>
              </w:rPr>
              <w:t>down)/</w:t>
            </w:r>
          </w:p>
        </w:tc>
        <w:tc>
          <w:tcPr>
            <w:tcW w:w="1220" w:type="dxa"/>
            <w:vAlign w:val="bottom"/>
            <w:shd w:val="clear" w:color="auto" w:fill="CCEEFF"/>
          </w:tcPr>
          <w:p>
            <w:pPr>
              <w:ind w:left="440"/>
              <w:spacing w:after="0" w:line="162" w:lineRule="exact"/>
              <w:rPr>
                <w:sz w:val="20"/>
                <w:szCs w:val="20"/>
                <w:color w:val="auto"/>
              </w:rPr>
            </w:pPr>
            <w:r>
              <w:rPr>
                <w:rFonts w:ascii="Arial" w:cs="Arial" w:eastAsia="Arial" w:hAnsi="Arial"/>
                <w:sz w:val="16"/>
                <w:szCs w:val="16"/>
                <w:b w:val="1"/>
                <w:bCs w:val="1"/>
                <w:color w:val="auto"/>
              </w:rPr>
              <w:t>inflow/</w:t>
            </w:r>
          </w:p>
        </w:tc>
        <w:tc>
          <w:tcPr>
            <w:tcW w:w="1460" w:type="dxa"/>
            <w:vAlign w:val="bottom"/>
            <w:shd w:val="clear" w:color="auto" w:fill="CCEEFF"/>
          </w:tcPr>
          <w:p>
            <w:pPr>
              <w:jc w:val="right"/>
              <w:ind w:right="159"/>
              <w:spacing w:after="0" w:line="162" w:lineRule="exact"/>
              <w:rPr>
                <w:sz w:val="20"/>
                <w:szCs w:val="20"/>
                <w:color w:val="auto"/>
              </w:rPr>
            </w:pPr>
            <w:r>
              <w:rPr>
                <w:rFonts w:ascii="Arial" w:cs="Arial" w:eastAsia="Arial" w:hAnsi="Arial"/>
                <w:sz w:val="16"/>
                <w:szCs w:val="16"/>
                <w:b w:val="1"/>
                <w:bCs w:val="1"/>
                <w:color w:val="auto"/>
              </w:rPr>
              <w:t>cash</w:t>
            </w:r>
          </w:p>
        </w:tc>
        <w:tc>
          <w:tcPr>
            <w:tcW w:w="1180" w:type="dxa"/>
            <w:vAlign w:val="bottom"/>
            <w:shd w:val="clear" w:color="auto" w:fill="CCEEFF"/>
          </w:tcPr>
          <w:p>
            <w:pPr>
              <w:jc w:val="right"/>
              <w:ind w:right="99"/>
              <w:spacing w:after="0" w:line="162" w:lineRule="exact"/>
              <w:rPr>
                <w:sz w:val="20"/>
                <w:szCs w:val="20"/>
                <w:color w:val="auto"/>
              </w:rPr>
            </w:pPr>
            <w:r>
              <w:rPr>
                <w:rFonts w:ascii="Arial" w:cs="Arial" w:eastAsia="Arial" w:hAnsi="Arial"/>
                <w:sz w:val="16"/>
                <w:szCs w:val="16"/>
                <w:b w:val="1"/>
                <w:bCs w:val="1"/>
                <w:color w:val="auto"/>
              </w:rPr>
              <w:t>exchange</w:t>
            </w:r>
          </w:p>
        </w:tc>
        <w:tc>
          <w:tcPr>
            <w:tcW w:w="160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3120" w:type="dxa"/>
            <w:vAlign w:val="bottom"/>
            <w:tcBorders>
              <w:bottom w:val="single" w:sz="8" w:color="auto"/>
            </w:tcBorders>
            <w:shd w:val="clear" w:color="auto" w:fill="CCEEFF"/>
          </w:tcPr>
          <w:p>
            <w:pPr>
              <w:spacing w:after="0"/>
              <w:rPr>
                <w:sz w:val="18"/>
                <w:szCs w:val="18"/>
                <w:color w:val="auto"/>
              </w:rPr>
            </w:pPr>
          </w:p>
        </w:tc>
        <w:tc>
          <w:tcPr>
            <w:tcW w:w="1460" w:type="dxa"/>
            <w:vAlign w:val="bottom"/>
            <w:tcBorders>
              <w:bottom w:val="single" w:sz="8" w:color="auto"/>
            </w:tcBorders>
            <w:shd w:val="clear" w:color="auto" w:fill="CCEEFF"/>
          </w:tcPr>
          <w:p>
            <w:pPr>
              <w:jc w:val="right"/>
              <w:ind w:right="219"/>
              <w:spacing w:after="0"/>
              <w:rPr>
                <w:sz w:val="20"/>
                <w:szCs w:val="20"/>
                <w:color w:val="auto"/>
              </w:rPr>
            </w:pPr>
            <w:r>
              <w:rPr>
                <w:rFonts w:ascii="Arial" w:cs="Arial" w:eastAsia="Arial" w:hAnsi="Arial"/>
                <w:sz w:val="16"/>
                <w:szCs w:val="16"/>
                <w:b w:val="1"/>
                <w:bCs w:val="1"/>
                <w:color w:val="auto"/>
              </w:rPr>
              <w:t>2021</w:t>
            </w:r>
          </w:p>
        </w:tc>
        <w:tc>
          <w:tcPr>
            <w:tcW w:w="1200" w:type="dxa"/>
            <w:vAlign w:val="bottom"/>
            <w:tcBorders>
              <w:bottom w:val="single" w:sz="8" w:color="auto"/>
            </w:tcBorders>
            <w:shd w:val="clear" w:color="auto" w:fill="CCEEFF"/>
          </w:tcPr>
          <w:p>
            <w:pPr>
              <w:jc w:val="right"/>
              <w:ind w:right="179"/>
              <w:spacing w:after="0"/>
              <w:rPr>
                <w:sz w:val="20"/>
                <w:szCs w:val="20"/>
                <w:color w:val="auto"/>
              </w:rPr>
            </w:pPr>
            <w:r>
              <w:rPr>
                <w:rFonts w:ascii="Arial" w:cs="Arial" w:eastAsia="Arial" w:hAnsi="Arial"/>
                <w:sz w:val="16"/>
                <w:szCs w:val="16"/>
                <w:b w:val="1"/>
                <w:bCs w:val="1"/>
                <w:color w:val="auto"/>
              </w:rPr>
              <w:t>repaid</w:t>
            </w:r>
          </w:p>
        </w:tc>
        <w:tc>
          <w:tcPr>
            <w:tcW w:w="1220" w:type="dxa"/>
            <w:vAlign w:val="bottom"/>
            <w:tcBorders>
              <w:bottom w:val="single" w:sz="8" w:color="auto"/>
            </w:tcBorders>
            <w:shd w:val="clear" w:color="auto" w:fill="CCEEFF"/>
          </w:tcPr>
          <w:p>
            <w:pPr>
              <w:jc w:val="center"/>
              <w:spacing w:after="0"/>
              <w:rPr>
                <w:sz w:val="20"/>
                <w:szCs w:val="20"/>
                <w:color w:val="auto"/>
              </w:rPr>
            </w:pPr>
            <w:r>
              <w:rPr>
                <w:rFonts w:ascii="Arial" w:cs="Arial" w:eastAsia="Arial" w:hAnsi="Arial"/>
                <w:sz w:val="16"/>
                <w:szCs w:val="16"/>
                <w:b w:val="1"/>
                <w:bCs w:val="1"/>
                <w:color w:val="auto"/>
              </w:rPr>
              <w:t>(outflow)</w:t>
            </w:r>
          </w:p>
        </w:tc>
        <w:tc>
          <w:tcPr>
            <w:tcW w:w="1460" w:type="dxa"/>
            <w:vAlign w:val="bottom"/>
            <w:tcBorders>
              <w:bottom w:val="single" w:sz="8" w:color="auto"/>
            </w:tcBorders>
            <w:shd w:val="clear" w:color="auto" w:fill="CCEEFF"/>
          </w:tcPr>
          <w:p>
            <w:pPr>
              <w:jc w:val="right"/>
              <w:ind w:right="159"/>
              <w:spacing w:after="0"/>
              <w:rPr>
                <w:sz w:val="20"/>
                <w:szCs w:val="20"/>
                <w:color w:val="auto"/>
              </w:rPr>
            </w:pPr>
            <w:r>
              <w:rPr>
                <w:rFonts w:ascii="Arial" w:cs="Arial" w:eastAsia="Arial" w:hAnsi="Arial"/>
                <w:sz w:val="16"/>
                <w:szCs w:val="16"/>
                <w:b w:val="1"/>
                <w:bCs w:val="1"/>
                <w:color w:val="auto"/>
              </w:rPr>
              <w:t>adjustments</w:t>
            </w:r>
          </w:p>
        </w:tc>
        <w:tc>
          <w:tcPr>
            <w:tcW w:w="1180" w:type="dxa"/>
            <w:vAlign w:val="bottom"/>
            <w:tcBorders>
              <w:bottom w:val="single" w:sz="8" w:color="auto"/>
            </w:tcBorders>
            <w:shd w:val="clear" w:color="auto" w:fill="CCEEFF"/>
          </w:tcPr>
          <w:p>
            <w:pPr>
              <w:jc w:val="right"/>
              <w:ind w:right="99"/>
              <w:spacing w:after="0"/>
              <w:rPr>
                <w:sz w:val="20"/>
                <w:szCs w:val="20"/>
                <w:color w:val="auto"/>
              </w:rPr>
            </w:pPr>
            <w:r>
              <w:rPr>
                <w:rFonts w:ascii="Arial" w:cs="Arial" w:eastAsia="Arial" w:hAnsi="Arial"/>
                <w:sz w:val="16"/>
                <w:szCs w:val="16"/>
                <w:b w:val="1"/>
                <w:bCs w:val="1"/>
                <w:color w:val="auto"/>
              </w:rPr>
              <w:t>rates</w:t>
            </w:r>
          </w:p>
        </w:tc>
        <w:tc>
          <w:tcPr>
            <w:tcW w:w="1600" w:type="dxa"/>
            <w:vAlign w:val="bottom"/>
            <w:tcBorders>
              <w:bottom w:val="single" w:sz="8" w:color="auto"/>
            </w:tcBorders>
            <w:shd w:val="clear" w:color="auto" w:fill="CCEEFF"/>
          </w:tcPr>
          <w:p>
            <w:pPr>
              <w:jc w:val="right"/>
              <w:spacing w:after="0"/>
              <w:rPr>
                <w:sz w:val="20"/>
                <w:szCs w:val="20"/>
                <w:color w:val="auto"/>
              </w:rPr>
            </w:pPr>
            <w:r>
              <w:rPr>
                <w:rFonts w:ascii="Arial" w:cs="Arial" w:eastAsia="Arial" w:hAnsi="Arial"/>
                <w:sz w:val="16"/>
                <w:szCs w:val="16"/>
                <w:b w:val="1"/>
                <w:bCs w:val="1"/>
                <w:color w:val="auto"/>
              </w:rPr>
              <w:t>2022</w:t>
            </w:r>
          </w:p>
        </w:tc>
        <w:tc>
          <w:tcPr>
            <w:tcW w:w="0" w:type="dxa"/>
            <w:vAlign w:val="bottom"/>
          </w:tcPr>
          <w:p>
            <w:pPr>
              <w:spacing w:after="0"/>
              <w:rPr>
                <w:sz w:val="1"/>
                <w:szCs w:val="1"/>
                <w:color w:val="auto"/>
              </w:rPr>
            </w:pPr>
          </w:p>
        </w:tc>
      </w:tr>
      <w:tr>
        <w:trPr>
          <w:trHeight w:val="210"/>
        </w:trPr>
        <w:tc>
          <w:tcPr>
            <w:tcW w:w="31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680" w:type="dxa"/>
            <w:vAlign w:val="bottom"/>
            <w:gridSpan w:val="2"/>
          </w:tcPr>
          <w:p>
            <w:pPr>
              <w:jc w:val="right"/>
              <w:ind w:right="579"/>
              <w:spacing w:after="0"/>
              <w:rPr>
                <w:sz w:val="20"/>
                <w:szCs w:val="20"/>
                <w:color w:val="auto"/>
              </w:rPr>
            </w:pPr>
            <w:r>
              <w:rPr>
                <w:rFonts w:ascii="Arial" w:cs="Arial" w:eastAsia="Arial" w:hAnsi="Arial"/>
                <w:sz w:val="16"/>
                <w:szCs w:val="16"/>
                <w:b w:val="1"/>
                <w:bCs w:val="1"/>
                <w:color w:val="auto"/>
              </w:rPr>
              <w:t>$ (in thousands)</w:t>
            </w:r>
          </w:p>
        </w:tc>
        <w:tc>
          <w:tcPr>
            <w:tcW w:w="118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120" w:type="dxa"/>
            <w:vAlign w:val="bottom"/>
            <w:shd w:val="clear" w:color="auto" w:fill="CCEEFF"/>
          </w:tcPr>
          <w:p>
            <w:pPr>
              <w:ind w:left="20"/>
              <w:spacing w:after="0"/>
              <w:rPr>
                <w:sz w:val="20"/>
                <w:szCs w:val="20"/>
                <w:color w:val="auto"/>
              </w:rPr>
            </w:pPr>
            <w:r>
              <w:rPr>
                <w:rFonts w:ascii="Arial" w:cs="Arial" w:eastAsia="Arial" w:hAnsi="Arial"/>
                <w:sz w:val="16"/>
                <w:szCs w:val="16"/>
                <w:color w:val="auto"/>
              </w:rPr>
              <w:t>Cash and cash equivalents</w:t>
            </w:r>
          </w:p>
        </w:tc>
        <w:tc>
          <w:tcPr>
            <w:tcW w:w="1460" w:type="dxa"/>
            <w:vAlign w:val="bottom"/>
            <w:shd w:val="clear" w:color="auto" w:fill="CCEEFF"/>
          </w:tcPr>
          <w:p>
            <w:pPr>
              <w:jc w:val="right"/>
              <w:ind w:right="279"/>
              <w:spacing w:after="0"/>
              <w:rPr>
                <w:sz w:val="20"/>
                <w:szCs w:val="20"/>
                <w:color w:val="auto"/>
              </w:rPr>
            </w:pPr>
            <w:r>
              <w:rPr>
                <w:rFonts w:ascii="Arial" w:cs="Arial" w:eastAsia="Arial" w:hAnsi="Arial"/>
                <w:sz w:val="16"/>
                <w:szCs w:val="16"/>
                <w:color w:val="auto"/>
              </w:rPr>
              <w:t>752,213</w:t>
            </w:r>
          </w:p>
        </w:tc>
        <w:tc>
          <w:tcPr>
            <w:tcW w:w="1200" w:type="dxa"/>
            <w:vAlign w:val="bottom"/>
            <w:shd w:val="clear" w:color="auto" w:fill="CCEEFF"/>
          </w:tcPr>
          <w:p>
            <w:pPr>
              <w:jc w:val="right"/>
              <w:ind w:right="219"/>
              <w:spacing w:after="0"/>
              <w:rPr>
                <w:sz w:val="20"/>
                <w:szCs w:val="20"/>
                <w:color w:val="auto"/>
              </w:rPr>
            </w:pPr>
            <w:r>
              <w:rPr>
                <w:rFonts w:ascii="Arial" w:cs="Arial" w:eastAsia="Arial" w:hAnsi="Arial"/>
                <w:sz w:val="16"/>
                <w:szCs w:val="16"/>
                <w:color w:val="auto"/>
              </w:rPr>
              <w:t>—</w:t>
            </w:r>
          </w:p>
        </w:tc>
        <w:tc>
          <w:tcPr>
            <w:tcW w:w="1220" w:type="dxa"/>
            <w:vAlign w:val="bottom"/>
            <w:shd w:val="clear" w:color="auto" w:fill="CCEEFF"/>
          </w:tcPr>
          <w:p>
            <w:pPr>
              <w:jc w:val="center"/>
              <w:spacing w:after="0"/>
              <w:rPr>
                <w:sz w:val="20"/>
                <w:szCs w:val="20"/>
                <w:color w:val="auto"/>
              </w:rPr>
            </w:pPr>
            <w:r>
              <w:rPr>
                <w:rFonts w:ascii="Arial" w:cs="Arial" w:eastAsia="Arial" w:hAnsi="Arial"/>
                <w:sz w:val="16"/>
                <w:szCs w:val="16"/>
                <w:color w:val="auto"/>
              </w:rPr>
              <w:t>(185,132)</w:t>
            </w:r>
          </w:p>
        </w:tc>
        <w:tc>
          <w:tcPr>
            <w:tcW w:w="1460" w:type="dxa"/>
            <w:vAlign w:val="bottom"/>
            <w:shd w:val="clear" w:color="auto" w:fill="CCEEFF"/>
          </w:tcPr>
          <w:p>
            <w:pPr>
              <w:jc w:val="right"/>
              <w:ind w:right="199"/>
              <w:spacing w:after="0"/>
              <w:rPr>
                <w:sz w:val="20"/>
                <w:szCs w:val="20"/>
                <w:color w:val="auto"/>
              </w:rPr>
            </w:pPr>
            <w:r>
              <w:rPr>
                <w:rFonts w:ascii="Arial" w:cs="Arial" w:eastAsia="Arial" w:hAnsi="Arial"/>
                <w:sz w:val="16"/>
                <w:szCs w:val="16"/>
                <w:color w:val="auto"/>
              </w:rPr>
              <w:t>—</w:t>
            </w:r>
          </w:p>
        </w:tc>
        <w:tc>
          <w:tcPr>
            <w:tcW w:w="1180" w:type="dxa"/>
            <w:vAlign w:val="bottom"/>
            <w:shd w:val="clear" w:color="auto" w:fill="CCEEFF"/>
          </w:tcPr>
          <w:p>
            <w:pPr>
              <w:jc w:val="right"/>
              <w:ind w:right="119"/>
              <w:spacing w:after="0"/>
              <w:rPr>
                <w:sz w:val="20"/>
                <w:szCs w:val="20"/>
                <w:color w:val="auto"/>
              </w:rPr>
            </w:pPr>
            <w:r>
              <w:rPr>
                <w:rFonts w:ascii="Arial" w:cs="Arial" w:eastAsia="Arial" w:hAnsi="Arial"/>
                <w:sz w:val="16"/>
                <w:szCs w:val="16"/>
                <w:color w:val="auto"/>
              </w:rPr>
              <w:t>(7,983)</w:t>
            </w:r>
          </w:p>
        </w:tc>
        <w:tc>
          <w:tcPr>
            <w:tcW w:w="1600" w:type="dxa"/>
            <w:vAlign w:val="bottom"/>
            <w:shd w:val="clear" w:color="auto" w:fill="CCEEFF"/>
          </w:tcPr>
          <w:p>
            <w:pPr>
              <w:jc w:val="right"/>
              <w:spacing w:after="0"/>
              <w:rPr>
                <w:sz w:val="20"/>
                <w:szCs w:val="20"/>
                <w:color w:val="auto"/>
              </w:rPr>
            </w:pPr>
            <w:r>
              <w:rPr>
                <w:rFonts w:ascii="Arial" w:cs="Arial" w:eastAsia="Arial" w:hAnsi="Arial"/>
                <w:sz w:val="16"/>
                <w:szCs w:val="16"/>
                <w:b w:val="1"/>
                <w:bCs w:val="1"/>
                <w:color w:val="auto"/>
              </w:rPr>
              <w:t>559,098</w:t>
            </w:r>
          </w:p>
        </w:tc>
        <w:tc>
          <w:tcPr>
            <w:tcW w:w="0" w:type="dxa"/>
            <w:vAlign w:val="bottom"/>
          </w:tcPr>
          <w:p>
            <w:pPr>
              <w:spacing w:after="0"/>
              <w:rPr>
                <w:sz w:val="1"/>
                <w:szCs w:val="1"/>
                <w:color w:val="auto"/>
              </w:rPr>
            </w:pPr>
          </w:p>
        </w:tc>
      </w:tr>
      <w:tr>
        <w:trPr>
          <w:trHeight w:val="216"/>
        </w:trPr>
        <w:tc>
          <w:tcPr>
            <w:tcW w:w="3120" w:type="dxa"/>
            <w:vAlign w:val="bottom"/>
          </w:tcPr>
          <w:p>
            <w:pPr>
              <w:ind w:left="20"/>
              <w:spacing w:after="0"/>
              <w:rPr>
                <w:sz w:val="20"/>
                <w:szCs w:val="20"/>
                <w:color w:val="auto"/>
              </w:rPr>
            </w:pPr>
            <w:r>
              <w:rPr>
                <w:rFonts w:ascii="Arial" w:cs="Arial" w:eastAsia="Arial" w:hAnsi="Arial"/>
                <w:sz w:val="16"/>
                <w:szCs w:val="16"/>
                <w:color w:val="auto"/>
              </w:rPr>
              <w:t>Available for sale investments</w:t>
            </w:r>
          </w:p>
        </w:tc>
        <w:tc>
          <w:tcPr>
            <w:tcW w:w="1460" w:type="dxa"/>
            <w:vAlign w:val="bottom"/>
          </w:tcPr>
          <w:p>
            <w:pPr>
              <w:jc w:val="right"/>
              <w:ind w:right="279"/>
              <w:spacing w:after="0"/>
              <w:rPr>
                <w:sz w:val="20"/>
                <w:szCs w:val="20"/>
                <w:color w:val="auto"/>
              </w:rPr>
            </w:pPr>
            <w:r>
              <w:rPr>
                <w:rFonts w:ascii="Arial" w:cs="Arial" w:eastAsia="Arial" w:hAnsi="Arial"/>
                <w:sz w:val="16"/>
                <w:szCs w:val="16"/>
                <w:color w:val="auto"/>
              </w:rPr>
              <w:t>1,712</w:t>
            </w:r>
          </w:p>
        </w:tc>
        <w:tc>
          <w:tcPr>
            <w:tcW w:w="1200" w:type="dxa"/>
            <w:vAlign w:val="bottom"/>
          </w:tcPr>
          <w:p>
            <w:pPr>
              <w:jc w:val="right"/>
              <w:ind w:right="219"/>
              <w:spacing w:after="0"/>
              <w:rPr>
                <w:sz w:val="20"/>
                <w:szCs w:val="20"/>
                <w:color w:val="auto"/>
              </w:rPr>
            </w:pPr>
            <w:r>
              <w:rPr>
                <w:rFonts w:ascii="Arial" w:cs="Arial" w:eastAsia="Arial" w:hAnsi="Arial"/>
                <w:sz w:val="16"/>
                <w:szCs w:val="16"/>
                <w:color w:val="auto"/>
              </w:rPr>
              <w:t>—</w:t>
            </w:r>
          </w:p>
        </w:tc>
        <w:tc>
          <w:tcPr>
            <w:tcW w:w="1220" w:type="dxa"/>
            <w:vAlign w:val="bottom"/>
          </w:tcPr>
          <w:p>
            <w:pPr>
              <w:ind w:left="740"/>
              <w:spacing w:after="0"/>
              <w:rPr>
                <w:sz w:val="20"/>
                <w:szCs w:val="20"/>
                <w:color w:val="auto"/>
              </w:rPr>
            </w:pPr>
            <w:r>
              <w:rPr>
                <w:rFonts w:ascii="Arial" w:cs="Arial" w:eastAsia="Arial" w:hAnsi="Arial"/>
                <w:sz w:val="16"/>
                <w:szCs w:val="16"/>
                <w:color w:val="auto"/>
              </w:rPr>
              <w:t>—</w:t>
            </w:r>
          </w:p>
        </w:tc>
        <w:tc>
          <w:tcPr>
            <w:tcW w:w="1460" w:type="dxa"/>
            <w:vAlign w:val="bottom"/>
          </w:tcPr>
          <w:p>
            <w:pPr>
              <w:jc w:val="right"/>
              <w:ind w:right="199"/>
              <w:spacing w:after="0"/>
              <w:rPr>
                <w:sz w:val="20"/>
                <w:szCs w:val="20"/>
                <w:color w:val="auto"/>
              </w:rPr>
            </w:pPr>
            <w:r>
              <w:rPr>
                <w:rFonts w:ascii="Arial" w:cs="Arial" w:eastAsia="Arial" w:hAnsi="Arial"/>
                <w:sz w:val="16"/>
                <w:szCs w:val="16"/>
                <w:color w:val="auto"/>
              </w:rPr>
              <w:t>—</w:t>
            </w:r>
          </w:p>
        </w:tc>
        <w:tc>
          <w:tcPr>
            <w:tcW w:w="1180" w:type="dxa"/>
            <w:vAlign w:val="bottom"/>
          </w:tcPr>
          <w:p>
            <w:pPr>
              <w:jc w:val="right"/>
              <w:ind w:right="159"/>
              <w:spacing w:after="0"/>
              <w:rPr>
                <w:sz w:val="20"/>
                <w:szCs w:val="20"/>
                <w:color w:val="auto"/>
              </w:rPr>
            </w:pPr>
            <w:r>
              <w:rPr>
                <w:rFonts w:ascii="Arial" w:cs="Arial" w:eastAsia="Arial" w:hAnsi="Arial"/>
                <w:sz w:val="16"/>
                <w:szCs w:val="16"/>
                <w:color w:val="auto"/>
              </w:rPr>
              <w:t>—</w:t>
            </w:r>
          </w:p>
        </w:tc>
        <w:tc>
          <w:tcPr>
            <w:tcW w:w="1600" w:type="dxa"/>
            <w:vAlign w:val="bottom"/>
          </w:tcPr>
          <w:p>
            <w:pPr>
              <w:jc w:val="right"/>
              <w:spacing w:after="0"/>
              <w:rPr>
                <w:sz w:val="20"/>
                <w:szCs w:val="20"/>
                <w:color w:val="auto"/>
              </w:rPr>
            </w:pPr>
            <w:r>
              <w:rPr>
                <w:rFonts w:ascii="Arial" w:cs="Arial" w:eastAsia="Arial" w:hAnsi="Arial"/>
                <w:sz w:val="16"/>
                <w:szCs w:val="16"/>
                <w:b w:val="1"/>
                <w:bCs w:val="1"/>
                <w:color w:val="auto"/>
              </w:rPr>
              <w:t>1,712</w:t>
            </w:r>
          </w:p>
        </w:tc>
        <w:tc>
          <w:tcPr>
            <w:tcW w:w="0" w:type="dxa"/>
            <w:vAlign w:val="bottom"/>
          </w:tcPr>
          <w:p>
            <w:pPr>
              <w:spacing w:after="0"/>
              <w:rPr>
                <w:sz w:val="1"/>
                <w:szCs w:val="1"/>
                <w:color w:val="auto"/>
              </w:rPr>
            </w:pPr>
          </w:p>
        </w:tc>
      </w:tr>
      <w:tr>
        <w:trPr>
          <w:trHeight w:val="162"/>
        </w:trPr>
        <w:tc>
          <w:tcPr>
            <w:tcW w:w="3120" w:type="dxa"/>
            <w:vAlign w:val="bottom"/>
            <w:shd w:val="clear" w:color="auto" w:fill="CCEEFF"/>
          </w:tcPr>
          <w:p>
            <w:pPr>
              <w:ind w:left="20"/>
              <w:spacing w:after="0" w:line="162" w:lineRule="exact"/>
              <w:rPr>
                <w:sz w:val="20"/>
                <w:szCs w:val="20"/>
                <w:color w:val="auto"/>
              </w:rPr>
            </w:pPr>
            <w:r>
              <w:rPr>
                <w:rFonts w:ascii="Arial" w:cs="Arial" w:eastAsia="Arial" w:hAnsi="Arial"/>
                <w:sz w:val="16"/>
                <w:szCs w:val="16"/>
                <w:color w:val="auto"/>
              </w:rPr>
              <w:t>Senior Secured Credit Facilities &amp; Senior</w:t>
            </w:r>
          </w:p>
        </w:tc>
        <w:tc>
          <w:tcPr>
            <w:tcW w:w="1460" w:type="dxa"/>
            <w:vAlign w:val="bottom"/>
            <w:vMerge w:val="restart"/>
            <w:shd w:val="clear" w:color="auto" w:fill="CCEEFF"/>
          </w:tcPr>
          <w:p>
            <w:pPr>
              <w:jc w:val="right"/>
              <w:ind w:right="219"/>
              <w:spacing w:after="0"/>
              <w:rPr>
                <w:sz w:val="20"/>
                <w:szCs w:val="20"/>
                <w:color w:val="auto"/>
              </w:rPr>
            </w:pPr>
            <w:r>
              <w:rPr>
                <w:rFonts w:ascii="Arial" w:cs="Arial" w:eastAsia="Arial" w:hAnsi="Arial"/>
                <w:sz w:val="16"/>
                <w:szCs w:val="16"/>
                <w:color w:val="auto"/>
              </w:rPr>
              <w:t>(5,436,312)</w:t>
            </w:r>
          </w:p>
        </w:tc>
        <w:tc>
          <w:tcPr>
            <w:tcW w:w="1200" w:type="dxa"/>
            <w:vAlign w:val="bottom"/>
            <w:vMerge w:val="restart"/>
            <w:shd w:val="clear" w:color="auto" w:fill="CCEEFF"/>
          </w:tcPr>
          <w:p>
            <w:pPr>
              <w:jc w:val="right"/>
              <w:ind w:right="219"/>
              <w:spacing w:after="0"/>
              <w:rPr>
                <w:sz w:val="20"/>
                <w:szCs w:val="20"/>
                <w:color w:val="auto"/>
              </w:rPr>
            </w:pPr>
            <w:r>
              <w:rPr>
                <w:rFonts w:ascii="Arial" w:cs="Arial" w:eastAsia="Arial" w:hAnsi="Arial"/>
                <w:sz w:val="16"/>
                <w:szCs w:val="16"/>
                <w:color w:val="auto"/>
              </w:rPr>
              <w:t>300,000</w:t>
            </w:r>
          </w:p>
        </w:tc>
        <w:tc>
          <w:tcPr>
            <w:tcW w:w="1220" w:type="dxa"/>
            <w:vAlign w:val="bottom"/>
            <w:vMerge w:val="restart"/>
            <w:shd w:val="clear" w:color="auto" w:fill="CCEEFF"/>
          </w:tcPr>
          <w:p>
            <w:pPr>
              <w:ind w:left="740"/>
              <w:spacing w:after="0"/>
              <w:rPr>
                <w:sz w:val="20"/>
                <w:szCs w:val="20"/>
                <w:color w:val="auto"/>
              </w:rPr>
            </w:pPr>
            <w:r>
              <w:rPr>
                <w:rFonts w:ascii="Arial" w:cs="Arial" w:eastAsia="Arial" w:hAnsi="Arial"/>
                <w:sz w:val="16"/>
                <w:szCs w:val="16"/>
                <w:color w:val="auto"/>
              </w:rPr>
              <w:t>—</w:t>
            </w:r>
          </w:p>
        </w:tc>
        <w:tc>
          <w:tcPr>
            <w:tcW w:w="1460" w:type="dxa"/>
            <w:vAlign w:val="bottom"/>
            <w:vMerge w:val="restart"/>
            <w:shd w:val="clear" w:color="auto" w:fill="CCEEFF"/>
          </w:tcPr>
          <w:p>
            <w:pPr>
              <w:jc w:val="right"/>
              <w:ind w:right="159"/>
              <w:spacing w:after="0"/>
              <w:rPr>
                <w:sz w:val="20"/>
                <w:szCs w:val="20"/>
                <w:color w:val="auto"/>
              </w:rPr>
            </w:pPr>
            <w:r>
              <w:rPr>
                <w:rFonts w:ascii="Arial" w:cs="Arial" w:eastAsia="Arial" w:hAnsi="Arial"/>
                <w:sz w:val="16"/>
                <w:szCs w:val="16"/>
                <w:color w:val="auto"/>
              </w:rPr>
              <w:t>(5,781)</w:t>
            </w:r>
          </w:p>
        </w:tc>
        <w:tc>
          <w:tcPr>
            <w:tcW w:w="1180" w:type="dxa"/>
            <w:vAlign w:val="bottom"/>
            <w:vMerge w:val="restart"/>
            <w:shd w:val="clear" w:color="auto" w:fill="CCEEFF"/>
          </w:tcPr>
          <w:p>
            <w:pPr>
              <w:jc w:val="right"/>
              <w:ind w:right="159"/>
              <w:spacing w:after="0"/>
              <w:rPr>
                <w:sz w:val="20"/>
                <w:szCs w:val="20"/>
                <w:color w:val="auto"/>
              </w:rPr>
            </w:pPr>
            <w:r>
              <w:rPr>
                <w:rFonts w:ascii="Arial" w:cs="Arial" w:eastAsia="Arial" w:hAnsi="Arial"/>
                <w:sz w:val="16"/>
                <w:szCs w:val="16"/>
                <w:color w:val="auto"/>
              </w:rPr>
              <w:t>—</w:t>
            </w:r>
          </w:p>
        </w:tc>
        <w:tc>
          <w:tcPr>
            <w:tcW w:w="1600" w:type="dxa"/>
            <w:vAlign w:val="bottom"/>
            <w:vMerge w:val="restart"/>
            <w:shd w:val="clear" w:color="auto" w:fill="CCEEFF"/>
          </w:tcPr>
          <w:p>
            <w:pPr>
              <w:jc w:val="right"/>
              <w:spacing w:after="0"/>
              <w:rPr>
                <w:sz w:val="20"/>
                <w:szCs w:val="20"/>
                <w:color w:val="auto"/>
              </w:rPr>
            </w:pPr>
            <w:r>
              <w:rPr>
                <w:rFonts w:ascii="Arial" w:cs="Arial" w:eastAsia="Arial" w:hAnsi="Arial"/>
                <w:sz w:val="16"/>
                <w:szCs w:val="16"/>
                <w:b w:val="1"/>
                <w:bCs w:val="1"/>
                <w:color w:val="auto"/>
              </w:rPr>
              <w:t>(5,142,093)</w:t>
            </w:r>
          </w:p>
        </w:tc>
        <w:tc>
          <w:tcPr>
            <w:tcW w:w="0" w:type="dxa"/>
            <w:vAlign w:val="bottom"/>
          </w:tcPr>
          <w:p>
            <w:pPr>
              <w:spacing w:after="0"/>
              <w:rPr>
                <w:sz w:val="1"/>
                <w:szCs w:val="1"/>
                <w:color w:val="auto"/>
              </w:rPr>
            </w:pPr>
          </w:p>
        </w:tc>
      </w:tr>
      <w:tr>
        <w:trPr>
          <w:trHeight w:val="221"/>
        </w:trPr>
        <w:tc>
          <w:tcPr>
            <w:tcW w:w="3120" w:type="dxa"/>
            <w:vAlign w:val="bottom"/>
            <w:shd w:val="clear" w:color="auto" w:fill="CCEEFF"/>
          </w:tcPr>
          <w:p>
            <w:pPr>
              <w:ind w:left="20"/>
              <w:spacing w:after="0"/>
              <w:rPr>
                <w:sz w:val="20"/>
                <w:szCs w:val="20"/>
                <w:color w:val="auto"/>
              </w:rPr>
            </w:pPr>
            <w:r>
              <w:rPr>
                <w:rFonts w:ascii="Arial" w:cs="Arial" w:eastAsia="Arial" w:hAnsi="Arial"/>
                <w:sz w:val="16"/>
                <w:szCs w:val="16"/>
                <w:color w:val="auto"/>
              </w:rPr>
              <w:t>Secured Notes</w:t>
            </w:r>
          </w:p>
        </w:tc>
        <w:tc>
          <w:tcPr>
            <w:tcW w:w="1460" w:type="dxa"/>
            <w:vAlign w:val="bottom"/>
            <w:tcBorders>
              <w:bottom w:val="single" w:sz="8" w:color="auto"/>
            </w:tcBorders>
            <w:vMerge w:val="continue"/>
            <w:shd w:val="clear" w:color="auto" w:fill="CCEEFF"/>
          </w:tcPr>
          <w:p>
            <w:pPr>
              <w:spacing w:after="0"/>
              <w:rPr>
                <w:sz w:val="18"/>
                <w:szCs w:val="18"/>
                <w:color w:val="auto"/>
              </w:rPr>
            </w:pPr>
          </w:p>
        </w:tc>
        <w:tc>
          <w:tcPr>
            <w:tcW w:w="1200" w:type="dxa"/>
            <w:vAlign w:val="bottom"/>
            <w:tcBorders>
              <w:bottom w:val="single" w:sz="8" w:color="auto"/>
            </w:tcBorders>
            <w:vMerge w:val="continue"/>
            <w:shd w:val="clear" w:color="auto" w:fill="CCEEFF"/>
          </w:tcPr>
          <w:p>
            <w:pPr>
              <w:spacing w:after="0"/>
              <w:rPr>
                <w:sz w:val="18"/>
                <w:szCs w:val="18"/>
                <w:color w:val="auto"/>
              </w:rPr>
            </w:pPr>
          </w:p>
        </w:tc>
        <w:tc>
          <w:tcPr>
            <w:tcW w:w="1220" w:type="dxa"/>
            <w:vAlign w:val="bottom"/>
            <w:tcBorders>
              <w:bottom w:val="single" w:sz="8" w:color="auto"/>
            </w:tcBorders>
            <w:vMerge w:val="continue"/>
            <w:shd w:val="clear" w:color="auto" w:fill="CCEEFF"/>
          </w:tcPr>
          <w:p>
            <w:pPr>
              <w:spacing w:after="0"/>
              <w:rPr>
                <w:sz w:val="18"/>
                <w:szCs w:val="18"/>
                <w:color w:val="auto"/>
              </w:rPr>
            </w:pPr>
          </w:p>
        </w:tc>
        <w:tc>
          <w:tcPr>
            <w:tcW w:w="1460" w:type="dxa"/>
            <w:vAlign w:val="bottom"/>
            <w:tcBorders>
              <w:bottom w:val="single" w:sz="8" w:color="auto"/>
            </w:tcBorders>
            <w:vMerge w:val="continue"/>
            <w:shd w:val="clear" w:color="auto" w:fill="CCEEFF"/>
          </w:tcPr>
          <w:p>
            <w:pPr>
              <w:spacing w:after="0"/>
              <w:rPr>
                <w:sz w:val="18"/>
                <w:szCs w:val="18"/>
                <w:color w:val="auto"/>
              </w:rPr>
            </w:pPr>
          </w:p>
        </w:tc>
        <w:tc>
          <w:tcPr>
            <w:tcW w:w="1180" w:type="dxa"/>
            <w:vAlign w:val="bottom"/>
            <w:tcBorders>
              <w:bottom w:val="single" w:sz="8" w:color="auto"/>
            </w:tcBorders>
            <w:vMerge w:val="continue"/>
            <w:shd w:val="clear" w:color="auto" w:fill="CCEEFF"/>
          </w:tcPr>
          <w:p>
            <w:pPr>
              <w:spacing w:after="0"/>
              <w:rPr>
                <w:sz w:val="18"/>
                <w:szCs w:val="18"/>
                <w:color w:val="auto"/>
              </w:rPr>
            </w:pPr>
          </w:p>
        </w:tc>
        <w:tc>
          <w:tcPr>
            <w:tcW w:w="1600" w:type="dxa"/>
            <w:vAlign w:val="bottom"/>
            <w:tcBorders>
              <w:bottom w:val="single" w:sz="8" w:color="auto"/>
            </w:tcBorders>
            <w:vMerge w:val="continue"/>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12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rPr>
              <w:t>(4,682,387)</w:t>
            </w:r>
          </w:p>
        </w:tc>
        <w:tc>
          <w:tcPr>
            <w:tcW w:w="1200" w:type="dxa"/>
            <w:vAlign w:val="bottom"/>
            <w:tcBorders>
              <w:bottom w:val="single" w:sz="8" w:color="auto"/>
            </w:tcBorders>
          </w:tcPr>
          <w:p>
            <w:pPr>
              <w:jc w:val="right"/>
              <w:ind w:right="219"/>
              <w:spacing w:after="0"/>
              <w:rPr>
                <w:sz w:val="20"/>
                <w:szCs w:val="20"/>
                <w:color w:val="auto"/>
              </w:rPr>
            </w:pPr>
            <w:r>
              <w:rPr>
                <w:rFonts w:ascii="Arial" w:cs="Arial" w:eastAsia="Arial" w:hAnsi="Arial"/>
                <w:sz w:val="16"/>
                <w:szCs w:val="16"/>
                <w:color w:val="auto"/>
              </w:rPr>
              <w:t>300,000</w:t>
            </w:r>
          </w:p>
        </w:tc>
        <w:tc>
          <w:tcPr>
            <w:tcW w:w="1220" w:type="dxa"/>
            <w:vAlign w:val="bottom"/>
            <w:tcBorders>
              <w:bottom w:val="single" w:sz="8" w:color="auto"/>
            </w:tcBorders>
          </w:tcPr>
          <w:p>
            <w:pPr>
              <w:jc w:val="center"/>
              <w:spacing w:after="0"/>
              <w:rPr>
                <w:sz w:val="20"/>
                <w:szCs w:val="20"/>
                <w:color w:val="auto"/>
              </w:rPr>
            </w:pPr>
            <w:r>
              <w:rPr>
                <w:rFonts w:ascii="Arial" w:cs="Arial" w:eastAsia="Arial" w:hAnsi="Arial"/>
                <w:sz w:val="16"/>
                <w:szCs w:val="16"/>
                <w:color w:val="auto"/>
              </w:rPr>
              <w:t>(185,132)</w:t>
            </w:r>
          </w:p>
        </w:tc>
        <w:tc>
          <w:tcPr>
            <w:tcW w:w="1460" w:type="dxa"/>
            <w:vAlign w:val="bottom"/>
            <w:tcBorders>
              <w:bottom w:val="single" w:sz="8" w:color="auto"/>
            </w:tcBorders>
          </w:tcPr>
          <w:p>
            <w:pPr>
              <w:jc w:val="right"/>
              <w:ind w:right="159"/>
              <w:spacing w:after="0"/>
              <w:rPr>
                <w:sz w:val="20"/>
                <w:szCs w:val="20"/>
                <w:color w:val="auto"/>
              </w:rPr>
            </w:pPr>
            <w:r>
              <w:rPr>
                <w:rFonts w:ascii="Arial" w:cs="Arial" w:eastAsia="Arial" w:hAnsi="Arial"/>
                <w:sz w:val="16"/>
                <w:szCs w:val="16"/>
                <w:color w:val="auto"/>
              </w:rPr>
              <w:t>(5,781)</w:t>
            </w:r>
          </w:p>
        </w:tc>
        <w:tc>
          <w:tcPr>
            <w:tcW w:w="1180" w:type="dxa"/>
            <w:vAlign w:val="bottom"/>
            <w:tcBorders>
              <w:bottom w:val="single" w:sz="8" w:color="auto"/>
            </w:tcBorders>
          </w:tcPr>
          <w:p>
            <w:pPr>
              <w:jc w:val="right"/>
              <w:ind w:right="119"/>
              <w:spacing w:after="0"/>
              <w:rPr>
                <w:sz w:val="20"/>
                <w:szCs w:val="20"/>
                <w:color w:val="auto"/>
              </w:rPr>
            </w:pPr>
            <w:r>
              <w:rPr>
                <w:rFonts w:ascii="Arial" w:cs="Arial" w:eastAsia="Arial" w:hAnsi="Arial"/>
                <w:sz w:val="16"/>
                <w:szCs w:val="16"/>
                <w:color w:val="auto"/>
              </w:rPr>
              <w:t>(7,983)</w:t>
            </w: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6"/>
                <w:szCs w:val="16"/>
                <w:b w:val="1"/>
                <w:bCs w:val="1"/>
                <w:color w:val="auto"/>
              </w:rPr>
              <w:t>(4,581,283)</w:t>
            </w:r>
          </w:p>
        </w:tc>
        <w:tc>
          <w:tcPr>
            <w:tcW w:w="0" w:type="dxa"/>
            <w:vAlign w:val="bottom"/>
          </w:tcPr>
          <w:p>
            <w:pPr>
              <w:spacing w:after="0"/>
              <w:rPr>
                <w:sz w:val="1"/>
                <w:szCs w:val="1"/>
                <w:color w:val="auto"/>
              </w:rPr>
            </w:pPr>
          </w:p>
        </w:tc>
      </w:tr>
      <w:tr>
        <w:trPr>
          <w:trHeight w:val="20"/>
        </w:trPr>
        <w:tc>
          <w:tcPr>
            <w:tcW w:w="31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20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60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bl>
    <w:p>
      <w:pPr>
        <w:spacing w:after="0" w:line="323"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6"/>
          <w:szCs w:val="16"/>
          <w:color w:val="auto"/>
        </w:rPr>
        <w:t>The Company’s cash and short term investment balances at March 31, 2022 amounted to $560.8 million compared with cash and short term investment balances of $753.9 million at December 31, 2021.</w:t>
      </w:r>
    </w:p>
    <w:p>
      <w:pPr>
        <w:spacing w:after="0" w:line="196"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In conjunction with the completion of the Merger agreement, on July 1, 2021, ICON entered into a credit agreement providing for a senior secured term loan facility of $5,515 million and a senior secured revolving loan facility in an initial aggregate principal amount of $300 million (the "Senior Secured Credit Facilities").The senior secured term loan facility will mature in July 2028 and the revolving loan facility will mature in July 2026. No amounts have been drawn under the revolving loan facility at March 31, 2022.</w:t>
      </w:r>
    </w:p>
    <w:p>
      <w:pPr>
        <w:spacing w:after="0" w:line="200"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6"/>
          <w:szCs w:val="16"/>
          <w:color w:val="auto"/>
        </w:rPr>
        <w:t>In addition to the Senior Secured Credit Facilities, on July 1, 2021, the Company, issued $500 million in aggregate principal amount of 2.875% senior secured notes due 2026 in a private offering. The senior secured notes will mature on July 15, 2026 and will bear interest at a rate of 2.875%.</w:t>
      </w:r>
    </w:p>
    <w:p>
      <w:pPr>
        <w:spacing w:after="0" w:line="168" w:lineRule="exact"/>
        <w:rPr>
          <w:sz w:val="20"/>
          <w:szCs w:val="20"/>
          <w:color w:val="auto"/>
        </w:rPr>
      </w:pPr>
    </w:p>
    <w:p>
      <w:pPr>
        <w:jc w:val="both"/>
        <w:ind w:right="20" w:firstLine="648"/>
        <w:spacing w:after="0" w:line="286" w:lineRule="auto"/>
        <w:rPr>
          <w:sz w:val="20"/>
          <w:szCs w:val="20"/>
          <w:color w:val="auto"/>
        </w:rPr>
      </w:pPr>
      <w:r>
        <w:rPr>
          <w:rFonts w:ascii="Arial" w:cs="Arial" w:eastAsia="Arial" w:hAnsi="Arial"/>
          <w:sz w:val="16"/>
          <w:szCs w:val="16"/>
          <w:color w:val="auto"/>
        </w:rPr>
        <w:t>On March 31, 2022 the Company repaid $300.0 million of the senior secured term loan facility and made a quarterly interest payment of $35.1 million. These repayments resulted in an accelerated charge associated with previously capitalized fees of $3.2 million.</w:t>
      </w:r>
    </w:p>
    <w:p>
      <w:pPr>
        <w:spacing w:after="0" w:line="200" w:lineRule="exact"/>
        <w:rPr>
          <w:sz w:val="20"/>
          <w:szCs w:val="20"/>
          <w:color w:val="auto"/>
        </w:rPr>
      </w:pPr>
    </w:p>
    <w:p>
      <w:pPr>
        <w:spacing w:after="0" w:line="320"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40" w:right="339" w:bottom="1440" w:gutter="0" w:footer="0" w:header="0"/>
        </w:sectPr>
      </w:pPr>
    </w:p>
    <w:bookmarkStart w:id="32" w:name="page33"/>
    <w:bookmarkEnd w:id="32"/>
    <w:p>
      <w:pPr>
        <w:spacing w:after="0"/>
        <w:rPr>
          <w:sz w:val="20"/>
          <w:szCs w:val="20"/>
          <w:color w:val="auto"/>
        </w:rPr>
      </w:pPr>
      <w:r>
        <w:rPr>
          <w:rFonts w:ascii="Arial" w:cs="Arial" w:eastAsia="Arial" w:hAnsi="Arial"/>
          <w:sz w:val="16"/>
          <w:szCs w:val="16"/>
          <w:b w:val="1"/>
          <w:bCs w:val="1"/>
          <w:color w:val="auto"/>
        </w:rPr>
        <w:t>Cash flows</w:t>
      </w:r>
    </w:p>
    <w:p>
      <w:pPr>
        <w:spacing w:after="0" w:line="25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Net cash from operating activities</w:t>
      </w:r>
    </w:p>
    <w:p>
      <w:pPr>
        <w:spacing w:after="0" w:line="260" w:lineRule="exact"/>
        <w:rPr>
          <w:sz w:val="20"/>
          <w:szCs w:val="20"/>
          <w:color w:val="auto"/>
        </w:rPr>
      </w:pPr>
    </w:p>
    <w:p>
      <w:pPr>
        <w:jc w:val="both"/>
        <w:ind w:firstLine="648"/>
        <w:spacing w:after="0" w:line="259" w:lineRule="auto"/>
        <w:rPr>
          <w:sz w:val="20"/>
          <w:szCs w:val="20"/>
          <w:color w:val="auto"/>
        </w:rPr>
      </w:pPr>
      <w:r>
        <w:rPr>
          <w:rFonts w:ascii="Arial" w:cs="Arial" w:eastAsia="Arial" w:hAnsi="Arial"/>
          <w:sz w:val="16"/>
          <w:szCs w:val="16"/>
          <w:color w:val="auto"/>
        </w:rPr>
        <w:t>Net cash provided by operating activities was $226.9 million for the three months ended March 31, 2022 compared with cash provided by operating activities of $111.9 million for the three months ended March 31, 2021. The dollar value of working capital balances and the related number of days’ revenue outstanding (i.e. revenue outstanding as a percentage of revenue for the period, multiplied by the number of days in the period) can vary over a study or trial duration. The number of days’ revenue outstanding at March 31, 2022 was 35 days compared to 31 days at December 31, 2021 and 49 days at March 31, 2021. This reflects the timing of cash collections and individual contractual terms. Contract fees are generally payable in installments based on the achievement of certain performance targets or “milestones” (e.g. target patient enrollment rates, clinical testing sites initiated or case report forms completed), such milestones being specific to the terms of each individual contract, while revenues on contracts are recognized as contractual obligations are performed. Billed and unbilled revenue also includes amounts recoverable from customers in respect of reimbursable costs.</w:t>
      </w:r>
    </w:p>
    <w:p>
      <w:pPr>
        <w:spacing w:after="0" w:line="209"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Net cash used in investing activities</w:t>
      </w:r>
    </w:p>
    <w:p>
      <w:pPr>
        <w:spacing w:after="0" w:line="246" w:lineRule="exact"/>
        <w:rPr>
          <w:sz w:val="20"/>
          <w:szCs w:val="20"/>
          <w:color w:val="auto"/>
        </w:rPr>
      </w:pPr>
    </w:p>
    <w:p>
      <w:pPr>
        <w:jc w:val="both"/>
        <w:ind w:firstLine="648"/>
        <w:spacing w:after="0" w:line="275" w:lineRule="auto"/>
        <w:rPr>
          <w:sz w:val="20"/>
          <w:szCs w:val="20"/>
          <w:color w:val="auto"/>
        </w:rPr>
      </w:pPr>
      <w:r>
        <w:rPr>
          <w:rFonts w:ascii="Arial" w:cs="Arial" w:eastAsia="Arial" w:hAnsi="Arial"/>
          <w:sz w:val="16"/>
          <w:szCs w:val="16"/>
          <w:color w:val="auto"/>
        </w:rPr>
        <w:t>Net cash used in investing activities was $19.5 million for the three months ended March 31, 2022 compared to net cash used in investing activities of $9.3 million for the three months ended March 31, 2021. Net cash used in investing activities during the three months ended March 31, 2022 were primarily related to cash outflows of $19.6 million for capital expenditures made mainly relating to investment in facilities and IT infrastructure.</w:t>
      </w:r>
    </w:p>
    <w:p>
      <w:pPr>
        <w:spacing w:after="0" w:line="191" w:lineRule="exact"/>
        <w:rPr>
          <w:sz w:val="20"/>
          <w:szCs w:val="20"/>
          <w:color w:val="auto"/>
        </w:rPr>
      </w:pPr>
    </w:p>
    <w:p>
      <w:pPr>
        <w:jc w:val="both"/>
        <w:ind w:firstLine="648"/>
        <w:spacing w:after="0" w:line="304" w:lineRule="auto"/>
        <w:rPr>
          <w:sz w:val="20"/>
          <w:szCs w:val="20"/>
          <w:color w:val="auto"/>
        </w:rPr>
      </w:pPr>
      <w:r>
        <w:rPr>
          <w:rFonts w:ascii="Arial" w:cs="Arial" w:eastAsia="Arial" w:hAnsi="Arial"/>
          <w:sz w:val="16"/>
          <w:szCs w:val="16"/>
          <w:color w:val="auto"/>
        </w:rPr>
        <w:t>Net cash used in investing activities during the three months ended March 31, 2021 was largely attributable to capital expenditure of $8.7 million which was mainly comprised of investment in facilities and IT infrastructure. In addition, $0.6 million was used for the purchase of investments in equity.</w:t>
      </w:r>
    </w:p>
    <w:p>
      <w:pPr>
        <w:spacing w:after="0" w:line="170"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Net cash used in financing activities</w:t>
      </w:r>
    </w:p>
    <w:p>
      <w:pPr>
        <w:spacing w:after="0" w:line="260" w:lineRule="exact"/>
        <w:rPr>
          <w:sz w:val="20"/>
          <w:szCs w:val="20"/>
          <w:color w:val="auto"/>
        </w:rPr>
      </w:pPr>
    </w:p>
    <w:p>
      <w:pPr>
        <w:jc w:val="both"/>
        <w:ind w:firstLine="648"/>
        <w:spacing w:after="0" w:line="265" w:lineRule="auto"/>
        <w:rPr>
          <w:sz w:val="20"/>
          <w:szCs w:val="20"/>
          <w:color w:val="auto"/>
        </w:rPr>
      </w:pPr>
      <w:r>
        <w:rPr>
          <w:rFonts w:ascii="Arial" w:cs="Arial" w:eastAsia="Arial" w:hAnsi="Arial"/>
          <w:sz w:val="16"/>
          <w:szCs w:val="16"/>
          <w:color w:val="auto"/>
        </w:rPr>
        <w:t>Net cash provided by financing activities during the three months ended March 31, 2022 amounted to $392.5 million compared to net cash used in financing activities of $Nil for the three months ended March 31, 2021. During the three months ended March 31, 2022, the Company repaid external financing of $300.0 million and repurchased shares to the value of $100.0 million. This was offset by $7.5 million that was received by the Company from the exercise of share options.</w:t>
      </w:r>
    </w:p>
    <w:p>
      <w:pPr>
        <w:spacing w:after="0" w:line="202" w:lineRule="exact"/>
        <w:rPr>
          <w:sz w:val="20"/>
          <w:szCs w:val="20"/>
          <w:color w:val="auto"/>
        </w:rPr>
      </w:pPr>
    </w:p>
    <w:p>
      <w:pPr>
        <w:spacing w:after="0"/>
        <w:rPr>
          <w:sz w:val="20"/>
          <w:szCs w:val="20"/>
          <w:color w:val="auto"/>
        </w:rPr>
      </w:pPr>
      <w:r>
        <w:rPr>
          <w:rFonts w:ascii="Arial" w:cs="Arial" w:eastAsia="Arial" w:hAnsi="Arial"/>
          <w:sz w:val="16"/>
          <w:szCs w:val="16"/>
          <w:b w:val="1"/>
          <w:bCs w:val="1"/>
          <w:i w:val="1"/>
          <w:iCs w:val="1"/>
          <w:color w:val="auto"/>
        </w:rPr>
        <w:t>Net cash outflow</w:t>
      </w:r>
    </w:p>
    <w:p>
      <w:pPr>
        <w:spacing w:after="0" w:line="260" w:lineRule="exact"/>
        <w:rPr>
          <w:sz w:val="20"/>
          <w:szCs w:val="20"/>
          <w:color w:val="auto"/>
        </w:rPr>
      </w:pPr>
    </w:p>
    <w:p>
      <w:pPr>
        <w:jc w:val="both"/>
        <w:ind w:firstLine="648"/>
        <w:spacing w:after="0" w:line="286" w:lineRule="auto"/>
        <w:rPr>
          <w:sz w:val="20"/>
          <w:szCs w:val="20"/>
          <w:color w:val="auto"/>
        </w:rPr>
      </w:pPr>
      <w:r>
        <w:rPr>
          <w:rFonts w:ascii="Arial" w:cs="Arial" w:eastAsia="Arial" w:hAnsi="Arial"/>
          <w:sz w:val="16"/>
          <w:szCs w:val="16"/>
          <w:color w:val="auto"/>
        </w:rPr>
        <w:t>As a result of these cash flows, cash and cash equivalents decreased by $193.1 million for the three months ended March 31, 2022 compared to an increase of $102.2 million for the three months ended March 31, 2021.</w:t>
      </w:r>
    </w:p>
    <w:p>
      <w:pPr>
        <w:spacing w:after="0" w:line="183"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Inflation</w:t>
      </w:r>
    </w:p>
    <w:p>
      <w:pPr>
        <w:spacing w:after="0" w:line="262" w:lineRule="exact"/>
        <w:rPr>
          <w:sz w:val="20"/>
          <w:szCs w:val="20"/>
          <w:color w:val="auto"/>
        </w:rPr>
      </w:pPr>
    </w:p>
    <w:p>
      <w:pPr>
        <w:ind w:left="660"/>
        <w:spacing w:after="0"/>
        <w:rPr>
          <w:sz w:val="20"/>
          <w:szCs w:val="20"/>
          <w:color w:val="auto"/>
        </w:rPr>
      </w:pPr>
      <w:r>
        <w:rPr>
          <w:rFonts w:ascii="Arial" w:cs="Arial" w:eastAsia="Arial" w:hAnsi="Arial"/>
          <w:sz w:val="16"/>
          <w:szCs w:val="16"/>
          <w:color w:val="auto"/>
        </w:rPr>
        <w:t>We believe the effects of inflation generally do not have a material adverse impact on our operations or financial condition.</w:t>
      </w:r>
    </w:p>
    <w:p>
      <w:pPr>
        <w:spacing w:after="0" w:line="24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Legal proceedings</w:t>
      </w:r>
    </w:p>
    <w:p>
      <w:pPr>
        <w:spacing w:after="0" w:line="248" w:lineRule="exact"/>
        <w:rPr>
          <w:sz w:val="20"/>
          <w:szCs w:val="20"/>
          <w:color w:val="auto"/>
        </w:rPr>
      </w:pPr>
    </w:p>
    <w:p>
      <w:pPr>
        <w:jc w:val="both"/>
        <w:ind w:firstLine="648"/>
        <w:spacing w:after="0" w:line="257" w:lineRule="auto"/>
        <w:rPr>
          <w:sz w:val="20"/>
          <w:szCs w:val="20"/>
          <w:color w:val="auto"/>
        </w:rPr>
      </w:pPr>
      <w:r>
        <w:rPr>
          <w:rFonts w:ascii="Arial" w:cs="Arial" w:eastAsia="Arial" w:hAnsi="Arial"/>
          <w:sz w:val="16"/>
          <w:szCs w:val="16"/>
          <w:color w:val="auto"/>
        </w:rPr>
        <w:t>We do not expect any litigation to have a materially adverse effect on our financial condition or results of operations. However, from time to time, we may become involved in various lawsuits and legal proceedings which arise in the ordinary course of business. Litigation is subject to inherent uncertainties, and an adverse result in these or other matters may arise from time to time that may harm our business.</w:t>
      </w:r>
    </w:p>
    <w:p>
      <w:pPr>
        <w:spacing w:after="0" w:line="21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Forward-Looking Statements</w:t>
      </w:r>
    </w:p>
    <w:p>
      <w:pPr>
        <w:spacing w:after="0" w:line="248"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6"/>
          <w:szCs w:val="16"/>
          <w:color w:val="auto"/>
        </w:rPr>
        <w:t>Certain statements contained herein are forward looking statements. These statements are based on management's current expectations and information currently available, including current economic and industry conditions. Actual results may differ materially from those stated or implied by forward looking statements due to risks and uncertainties associated with the Company’s business and forward looking statements are not guarantees of future performance. Forward-looking statements are only as of the date they are made and we do not undertake any obligation to update publicly any forward-looking statement, either as a result of new information, future events or otherwise. Please also refer to the Form 20-F filed on March 01, 2022 for risks and uncertainties facing the Company.</w:t>
      </w:r>
    </w:p>
    <w:p>
      <w:pPr>
        <w:spacing w:after="0" w:line="200" w:lineRule="exact"/>
        <w:rPr>
          <w:sz w:val="20"/>
          <w:szCs w:val="20"/>
          <w:color w:val="auto"/>
        </w:rPr>
      </w:pPr>
    </w:p>
    <w:p>
      <w:pPr>
        <w:spacing w:after="0" w:line="341" w:lineRule="exact"/>
        <w:rPr>
          <w:sz w:val="20"/>
          <w:szCs w:val="20"/>
          <w:color w:val="auto"/>
        </w:rPr>
      </w:pPr>
    </w:p>
    <w:p>
      <w:pPr>
        <w:jc w:val="center"/>
        <w:spacing w:after="0"/>
        <w:rPr>
          <w:sz w:val="20"/>
          <w:szCs w:val="20"/>
          <w:color w:val="auto"/>
        </w:rPr>
      </w:pPr>
      <w:r>
        <w:rPr>
          <w:rFonts w:ascii="Arial" w:cs="Arial" w:eastAsia="Arial" w:hAnsi="Arial"/>
          <w:sz w:val="16"/>
          <w:szCs w:val="16"/>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-6985</wp:posOffset>
            </wp:positionH>
            <wp:positionV relativeFrom="paragraph">
              <wp:posOffset>76835</wp:posOffset>
            </wp:positionV>
            <wp:extent cx="7157720" cy="425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57720" cy="42545"/>
                    </a:xfrm>
                    <a:prstGeom prst="rect">
                      <a:avLst/>
                    </a:prstGeom>
                    <a:noFill/>
                  </pic:spPr>
                </pic:pic>
              </a:graphicData>
            </a:graphic>
          </wp:anchor>
        </w:drawing>
      </w:r>
    </w:p>
    <w:p>
      <w:pPr>
        <w:sectPr>
          <w:pgSz w:w="11900" w:h="16838" w:orient="portrait"/>
          <w:cols w:equalWidth="0" w:num="1">
            <w:col w:w="11240"/>
          </w:cols>
          <w:pgMar w:left="320" w:top="1138" w:right="339" w:bottom="1440" w:gutter="0" w:footer="0" w:header="0"/>
        </w:sectPr>
      </w:pPr>
    </w:p>
    <w:bookmarkStart w:id="33" w:name="page34"/>
    <w:bookmarkEnd w:id="33"/>
    <w:p>
      <w:pPr>
        <w:spacing w:after="0"/>
        <w:rPr>
          <w:sz w:val="20"/>
          <w:szCs w:val="20"/>
          <w:color w:val="auto"/>
        </w:rPr>
      </w:pPr>
      <w:r>
        <w:rPr>
          <w:rFonts w:ascii="Arial" w:cs="Arial" w:eastAsia="Arial" w:hAnsi="Arial"/>
          <w:sz w:val="16"/>
          <w:szCs w:val="16"/>
          <w:b w:val="1"/>
          <w:bCs w:val="1"/>
          <w:color w:val="auto"/>
        </w:rPr>
        <w:t>SIGNATURES</w:t>
      </w:r>
    </w:p>
    <w:p>
      <w:pPr>
        <w:spacing w:after="0" w:line="248" w:lineRule="exact"/>
        <w:rPr>
          <w:sz w:val="20"/>
          <w:szCs w:val="20"/>
          <w:color w:val="auto"/>
        </w:rPr>
      </w:pPr>
    </w:p>
    <w:p>
      <w:pPr>
        <w:ind w:firstLine="277"/>
        <w:spacing w:after="0" w:line="304" w:lineRule="auto"/>
        <w:rPr>
          <w:sz w:val="20"/>
          <w:szCs w:val="20"/>
          <w:color w:val="auto"/>
        </w:rPr>
      </w:pPr>
      <w:r>
        <w:rPr>
          <w:rFonts w:ascii="Arial" w:cs="Arial" w:eastAsia="Arial" w:hAnsi="Arial"/>
          <w:sz w:val="16"/>
          <w:szCs w:val="16"/>
          <w:color w:val="auto"/>
        </w:rPr>
        <w:t>Pursuant to the requirements of the Securities Exchange Act of 1934, the Registrant has duly caused this report to be signed on its behalf by the undersigned thereunto duly authorized.</w:t>
      </w:r>
    </w:p>
    <w:p>
      <w:pPr>
        <w:spacing w:after="0" w:line="209" w:lineRule="exact"/>
        <w:rPr>
          <w:sz w:val="20"/>
          <w:szCs w:val="20"/>
          <w:color w:val="auto"/>
        </w:rPr>
      </w:pPr>
    </w:p>
    <w:p>
      <w:pPr>
        <w:ind w:left="7900"/>
        <w:spacing w:after="0"/>
        <w:rPr>
          <w:sz w:val="20"/>
          <w:szCs w:val="20"/>
          <w:color w:val="auto"/>
        </w:rPr>
      </w:pPr>
      <w:r>
        <w:rPr>
          <w:rFonts w:ascii="Arial" w:cs="Arial" w:eastAsia="Arial" w:hAnsi="Arial"/>
          <w:sz w:val="16"/>
          <w:szCs w:val="16"/>
          <w:b w:val="1"/>
          <w:bCs w:val="1"/>
          <w:color w:val="auto"/>
        </w:rPr>
        <w:t>ICON plc</w:t>
      </w:r>
    </w:p>
    <w:p>
      <w:pPr>
        <w:spacing w:after="0" w:line="200" w:lineRule="exact"/>
        <w:rPr>
          <w:sz w:val="20"/>
          <w:szCs w:val="20"/>
          <w:color w:val="auto"/>
        </w:rPr>
      </w:pPr>
    </w:p>
    <w:p>
      <w:pPr>
        <w:spacing w:after="0" w:line="345" w:lineRule="exact"/>
        <w:rPr>
          <w:sz w:val="20"/>
          <w:szCs w:val="20"/>
          <w:color w:val="auto"/>
        </w:rPr>
      </w:pPr>
    </w:p>
    <w:p>
      <w:pPr>
        <w:ind w:left="7900"/>
        <w:spacing w:after="0"/>
        <w:rPr>
          <w:sz w:val="20"/>
          <w:szCs w:val="20"/>
          <w:color w:val="auto"/>
        </w:rPr>
      </w:pPr>
      <w:r>
        <w:rPr>
          <w:rFonts w:ascii="Arial" w:cs="Arial" w:eastAsia="Arial" w:hAnsi="Arial"/>
          <w:sz w:val="16"/>
          <w:szCs w:val="16"/>
          <w:u w:val="single" w:color="auto"/>
          <w:color w:val="auto"/>
        </w:rPr>
        <w:t>/s/Brendan Brennan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12065</wp:posOffset>
            </wp:positionV>
            <wp:extent cx="2623185" cy="171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623185" cy="17145"/>
                    </a:xfrm>
                    <a:prstGeom prst="rect">
                      <a:avLst/>
                    </a:prstGeom>
                    <a:noFill/>
                  </pic:spPr>
                </pic:pic>
              </a:graphicData>
            </a:graphic>
          </wp:anchor>
        </w:drawing>
      </w:r>
    </w:p>
    <w:p>
      <w:pPr>
        <w:spacing w:after="0" w:line="26" w:lineRule="exact"/>
        <w:rPr>
          <w:sz w:val="20"/>
          <w:szCs w:val="20"/>
          <w:color w:val="auto"/>
        </w:rPr>
      </w:pPr>
    </w:p>
    <w:p>
      <w:pPr>
        <w:ind w:left="680" w:right="1740" w:hanging="7869"/>
        <w:spacing w:after="0" w:line="280" w:lineRule="auto"/>
        <w:tabs>
          <w:tab w:leader="none" w:pos="660" w:val="left"/>
        </w:tabs>
        <w:rPr>
          <w:sz w:val="20"/>
          <w:szCs w:val="20"/>
          <w:color w:val="auto"/>
        </w:rPr>
      </w:pPr>
      <w:r>
        <w:rPr>
          <w:rFonts w:ascii="Arial" w:cs="Arial" w:eastAsia="Arial" w:hAnsi="Arial"/>
          <w:sz w:val="16"/>
          <w:szCs w:val="16"/>
          <w:color w:val="auto"/>
        </w:rPr>
        <w:t>Date:</w:t>
        <w:tab/>
        <w:t>April 29, 2022 Brendan Brennan Chief Financial Officer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33</w:t>
      </w:r>
    </w:p>
    <w:sectPr>
      <w:pgSz w:w="11900" w:h="16838" w:orient="portrait"/>
      <w:cols w:equalWidth="0" w:num="1">
        <w:col w:w="11220"/>
      </w:cols>
      <w:pgMar w:left="320" w:top="1138"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1."/>
      <w:numFmt w:val="decimal"/>
      <w:start w:val="4"/>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
      <w:numFmt w:val="bullet"/>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2022-04-29T06:41:45Z</dcterms:created>
  <dcterms:modified xsi:type="dcterms:W3CDTF">2022-04-29T06:41:45Z</dcterms:modified>
</cp:coreProperties>
</file>