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16"/>
          <w:szCs w:val="16"/>
          <w:b w:val="1"/>
          <w:bCs w:val="1"/>
          <w:color w:val="auto"/>
        </w:rPr>
        <w:t>FORM 6-K</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Washington, D.C. 20549</w:t>
      </w:r>
    </w:p>
    <w:p>
      <w:pPr>
        <w:spacing w:after="0" w:line="248"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Report of Foreign Private Issuer</w:t>
      </w:r>
    </w:p>
    <w:p>
      <w:pPr>
        <w:spacing w:after="0" w:line="35"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7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For</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the month ended April, 2022</w:t>
      </w:r>
    </w:p>
    <w:p>
      <w:pPr>
        <w:spacing w:after="0" w:line="236"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(Registrant's name)</w:t>
      </w:r>
    </w:p>
    <w:p>
      <w:pPr>
        <w:spacing w:after="0" w:line="200" w:lineRule="exact"/>
        <w:rPr>
          <w:sz w:val="24"/>
          <w:szCs w:val="24"/>
          <w:color w:val="auto"/>
        </w:rPr>
      </w:pPr>
    </w:p>
    <w:p>
      <w:pPr>
        <w:spacing w:after="0" w:line="27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333-08704</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89"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75" w:lineRule="exact"/>
        <w:rPr>
          <w:sz w:val="24"/>
          <w:szCs w:val="24"/>
          <w:color w:val="auto"/>
        </w:rPr>
      </w:pPr>
    </w:p>
    <w:p>
      <w:pPr>
        <w:ind w:left="4760"/>
        <w:spacing w:after="0"/>
        <w:rPr>
          <w:sz w:val="20"/>
          <w:szCs w:val="20"/>
          <w:color w:val="auto"/>
        </w:rPr>
      </w:pPr>
      <w:r>
        <w:rPr>
          <w:rFonts w:ascii="Arial" w:cs="Arial" w:eastAsia="Arial" w:hAnsi="Arial"/>
          <w:sz w:val="16"/>
          <w:szCs w:val="16"/>
          <w:color w:val="auto"/>
        </w:rPr>
        <w:t>Brendan Brennan, CFO</w:t>
      </w:r>
    </w:p>
    <w:p>
      <w:pPr>
        <w:spacing w:after="0" w:line="31" w:lineRule="exact"/>
        <w:rPr>
          <w:sz w:val="24"/>
          <w:szCs w:val="24"/>
          <w:color w:val="auto"/>
        </w:rPr>
      </w:pPr>
    </w:p>
    <w:p>
      <w:pPr>
        <w:ind w:left="2920"/>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6"/>
          <w:szCs w:val="16"/>
          <w:color w:val="auto"/>
        </w:rPr>
        <w:t>Brendan.Brennan@iconplc.com</w:t>
      </w:r>
    </w:p>
    <w:p>
      <w:pPr>
        <w:spacing w:after="0" w:line="15" w:lineRule="exact"/>
        <w:rPr>
          <w:sz w:val="24"/>
          <w:szCs w:val="24"/>
          <w:color w:val="auto"/>
        </w:rPr>
      </w:pPr>
    </w:p>
    <w:p>
      <w:pPr>
        <w:ind w:left="4980"/>
        <w:spacing w:after="0"/>
        <w:rPr>
          <w:sz w:val="20"/>
          <w:szCs w:val="20"/>
          <w:color w:val="auto"/>
        </w:rPr>
      </w:pPr>
      <w:r>
        <w:rPr>
          <w:rFonts w:ascii="Arial" w:cs="Arial" w:eastAsia="Arial" w:hAnsi="Arial"/>
          <w:sz w:val="16"/>
          <w:szCs w:val="16"/>
          <w:color w:val="auto"/>
        </w:rPr>
        <w:t>+353-1-291-2000</w:t>
      </w:r>
    </w:p>
    <w:p>
      <w:pPr>
        <w:spacing w:after="0" w:line="9" w:lineRule="exact"/>
        <w:rPr>
          <w:sz w:val="24"/>
          <w:szCs w:val="24"/>
          <w:color w:val="auto"/>
        </w:rPr>
      </w:pPr>
    </w:p>
    <w:p>
      <w:pPr>
        <w:ind w:left="2060"/>
        <w:spacing w:after="0"/>
        <w:rPr>
          <w:sz w:val="20"/>
          <w:szCs w:val="20"/>
          <w:color w:val="auto"/>
        </w:rPr>
      </w:pPr>
      <w:r>
        <w:rPr>
          <w:rFonts w:ascii="Arial" w:cs="Arial" w:eastAsia="Arial" w:hAnsi="Arial"/>
          <w:sz w:val="16"/>
          <w:szCs w:val="16"/>
          <w:color w:val="auto"/>
        </w:rPr>
        <w:t>(Name, telephone number, email and/or facsimile number and address of Company contact person)</w:t>
      </w: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"Yes" is marked, indicate below the file number assigned to the registrant in connection with Rule 12g3-2(b):82 </w:t>
      </w: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40" w:top="1246" w:right="11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6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This report on Form 6-K is hereby incorporated by reference in the registration statement on Form F-3 (Registration No. 333-133371) of ICON plc and in the prospectus contained therein, registration statement on Form F-4 (Registration No. 333-254891) of ICON plc and in the prospectus contained therein, registration statement on Form S-8 (Registration No. 333-152802) of ICON plc, registration statement on Form S-8 (Registration No. 333-190068) of ICON plc, registration statement on Form S-8 (Registration No. 333-231527) of ICON plc, registration statement on Form S-8 (Registration No. 333-254891) of ICON plc, and registration statement on Form S-8 (Registration No. 333-257578) of ICON plc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As used herein, “ICON”, the “Company” and “we” refer to ICON plc and its consolidated subsidiaries, unless the context requires otherwise.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2022 we had approximately 39,300 employees, in 138 locations in 53 countries. During the three months ended March 31, 2022, we derived approximately 51.0%, 43.3% and 5.7% of our revenue in the United States, Europe and Rest of World respectively.</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 repayment</w:t>
      </w:r>
    </w:p>
    <w:p>
      <w:pPr>
        <w:spacing w:after="0" w:line="246"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These repayments resulted in an accelerated charge associated with previously capitalized fees of $3.2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w:t>
      </w:r>
    </w:p>
    <w:p>
      <w:pPr>
        <w:spacing w:after="0" w:line="246"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On February 18, 2022, the Company commenced a further share buyback program. The share buyback program was completed during the three months ended March 31, 2022 with a total of 420,530 ordinary shares redeemed by the Company for a total consideration of $100.0 million.</w:t>
      </w:r>
    </w:p>
    <w:p>
      <w:pPr>
        <w:spacing w:after="0" w:line="168"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Ukraine situation</w:t>
      </w:r>
    </w:p>
    <w:p>
      <w:pPr>
        <w:spacing w:after="0" w:line="24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On February 24, 2022 Russia invaded Ukraine creating significant instability and unrest in the region. The Company's operations in these affected regions have been significantly curtailed as a result of these events. The Company's operations in the affected regions are approximately 1%-2% of the Company's turnover and the financial impact of the unrest is not material to the Company during the three months ended March 31, 2022.</w:t>
      </w:r>
    </w:p>
    <w:p>
      <w:pPr>
        <w:spacing w:after="0" w:line="2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During these concerning times, the Company's key focus is on the safety of their employees, their families, patients, investigators and on the mitigation of adverse impacts on ongoing clinical trials. The Company has worked to ensure the safety of employees and their families based in the Ukraine through the implementation of a number of employee assistance programs. These programs aim to provide affected employees and their families with transportation, accommodation in neighboring countries, financial assistance, communications and other support services as required.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 Merger Completion</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July 1, 2021, ICON completed the Acquisition of PRA by means of a merger whereby Indigo Merger Sub, Inc., a Delaware corporation and subsidiary of ICON, merged with and into PRA, the parent of the PRA Health Sciences Group ("the Acquisition" and "the Merger"). The combined Group retained the name ICON and brought together approximately 38,000 employees (as at the Merger date) across the globe, creating one of the world’s most advanced healthcare intelligence and clinical research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both"/>
        <w:ind w:firstLine="648"/>
        <w:spacing w:after="0" w:line="275" w:lineRule="auto"/>
        <w:rPr>
          <w:sz w:val="20"/>
          <w:szCs w:val="20"/>
          <w:color w:val="auto"/>
        </w:rPr>
      </w:pPr>
      <w:r>
        <w:rPr>
          <w:rFonts w:ascii="Arial" w:cs="Arial" w:eastAsia="Arial" w:hAnsi="Arial"/>
          <w:sz w:val="16"/>
          <w:szCs w:val="16"/>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ICON. Under the terms of the Merger, PRA shareholders received per share $80 in cash and 0.4125 shares of ICON stock. The trading of PRA common stock on NASDAQ was suspended prior to market open on July 1, 2021.</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total value of the Merger consideration is $12.0 billion and has resulted in the recognition of goodwill of $8.1 billion, intangible assets of $4.9 billion and an associated deferred tax liability of $1.1 billion. The accounting for the Merger remains provisional for the period ended March 31, 2022 and the Company expects to finalize the accounting by June 30, 2022.</w:t>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financial information presented in this Form 6-K reflect the results of the combined Company for the three months ended March 31, 2022. The financial information presented for the three months ended March 31, 2021 are as previously reported and do not reflect the pre-Merger results of PRA, other than where clearly stated and required by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ind w:left="5400"/>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AT MARCH 31, 2022 AND DECEMBER 31,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(Unaudited)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(Audited)</w:t>
            </w:r>
          </w:p>
        </w:tc>
        <w:tc>
          <w:tcPr>
            <w:tcW w:w="0" w:type="dxa"/>
            <w:vAlign w:val="bottom"/>
          </w:tcPr>
          <w:p>
            <w:pPr>
              <w:spacing w:after="0"/>
              <w:rPr>
                <w:sz w:val="1"/>
                <w:szCs w:val="1"/>
                <w:color w:val="auto"/>
              </w:rPr>
            </w:pPr>
          </w:p>
        </w:tc>
      </w:tr>
      <w:tr>
        <w:trPr>
          <w:trHeight w:val="162"/>
        </w:trPr>
        <w:tc>
          <w:tcPr>
            <w:tcW w:w="7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March 31,</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6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559,098</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752,213</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Available for sale investments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1,712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1,371,409</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1,342,770</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Unbilled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674,509</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623,121</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60,233</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56,760</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Prepayments and other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151,140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114,323</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52,245</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50,299</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2,870,346</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2,941,198</w:t>
            </w:r>
          </w:p>
        </w:tc>
        <w:tc>
          <w:tcPr>
            <w:tcW w:w="0" w:type="dxa"/>
            <w:vAlign w:val="bottom"/>
          </w:tcPr>
          <w:p>
            <w:pPr>
              <w:spacing w:after="0"/>
              <w:rPr>
                <w:sz w:val="1"/>
                <w:szCs w:val="1"/>
                <w:color w:val="auto"/>
              </w:rPr>
            </w:pPr>
          </w:p>
        </w:tc>
      </w:tr>
      <w:tr>
        <w:trPr>
          <w:trHeight w:val="163"/>
        </w:trPr>
        <w:tc>
          <w:tcPr>
            <w:tcW w:w="7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plant and equipment, net</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322,546</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336,444</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Goodwill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9,027,983</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9,037,931</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4,592,587</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4,710,843</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Operating right-of-use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187,295</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198,123</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66,310</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70,557</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13,841</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18,637</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 asset</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54,362</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48,392</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Equity method investments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1,588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Investments in equity- long term</w:t>
            </w:r>
          </w:p>
        </w:tc>
        <w:tc>
          <w:tcPr>
            <w:tcW w:w="10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25,996</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22,592</w:t>
            </w:r>
          </w:p>
        </w:tc>
        <w:tc>
          <w:tcPr>
            <w:tcW w:w="0" w:type="dxa"/>
            <w:vAlign w:val="bottom"/>
          </w:tcPr>
          <w:p>
            <w:pPr>
              <w:spacing w:after="0"/>
              <w:rPr>
                <w:sz w:val="1"/>
                <w:szCs w:val="1"/>
                <w:color w:val="auto"/>
              </w:rPr>
            </w:pPr>
          </w:p>
        </w:tc>
      </w:tr>
      <w:tr>
        <w:trPr>
          <w:trHeight w:val="20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17,162,854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17,387,090</w:t>
            </w: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63,508</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90,764</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Unearned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1,300,980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1,323,961</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liabilities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1,081,150</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949,629</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Income taxes payable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40,644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59,433</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Current bank credit lines and loan facilities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55,150</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55,150</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2,541,432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2,478,937</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Non-current bank credit lines and loan facilities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5,086,943</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5,381,162</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liabilities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154,345</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159,483</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Non-current other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38,170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42,596</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income taxes payable</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214,748</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172,109</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Deferred tax liability</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1,057,899</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1,085,976</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Commitments and contingencies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9,093,537</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9,320,263</w:t>
            </w: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81,293,012 shares issued and outstanding at March 31, 2022 and</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81,554,683 shares issued and outstanding at December 31, 2021</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6,622</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6,760,238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6,733,910</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undenominated capital</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1,162</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Accumulated other comprehensive loss</w:t>
            </w:r>
          </w:p>
        </w:tc>
        <w:tc>
          <w:tcPr>
            <w:tcW w:w="10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(126,755)</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(90,937)</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1,428,050</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1,416,080</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 Shareholders' Equity</w:t>
            </w: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8,069,317</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40"/>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17,162,854</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17,387,090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2022 AND MARCH 31, 2021</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920" w:type="dxa"/>
            <w:vAlign w:val="bottom"/>
            <w:tcBorders>
              <w:bottom w:val="single" w:sz="8" w:color="auto"/>
            </w:tcBorders>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6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155"/>
        </w:trPr>
        <w:tc>
          <w:tcPr>
            <w:tcW w:w="6480" w:type="dxa"/>
            <w:vAlign w:val="bottom"/>
            <w:shd w:val="clear" w:color="auto" w:fill="CCEEFF"/>
          </w:tcPr>
          <w:p>
            <w:pPr>
              <w:spacing w:after="0"/>
              <w:rPr>
                <w:sz w:val="13"/>
                <w:szCs w:val="13"/>
                <w:color w:val="auto"/>
              </w:rPr>
            </w:pPr>
          </w:p>
        </w:tc>
        <w:tc>
          <w:tcPr>
            <w:tcW w:w="4760" w:type="dxa"/>
            <w:vAlign w:val="bottom"/>
            <w:gridSpan w:val="5"/>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(in thousands except share and per share</w:t>
            </w:r>
          </w:p>
        </w:tc>
      </w:tr>
      <w:tr>
        <w:trPr>
          <w:trHeight w:val="216"/>
        </w:trPr>
        <w:tc>
          <w:tcPr>
            <w:tcW w:w="6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data)</w:t>
            </w:r>
          </w:p>
        </w:tc>
        <w:tc>
          <w:tcPr>
            <w:tcW w:w="1300" w:type="dxa"/>
            <w:vAlign w:val="bottom"/>
            <w:shd w:val="clear" w:color="auto" w:fill="CCEEFF"/>
          </w:tcPr>
          <w:p>
            <w:pPr>
              <w:spacing w:after="0"/>
              <w:rPr>
                <w:sz w:val="18"/>
                <w:szCs w:val="18"/>
                <w:color w:val="auto"/>
              </w:rPr>
            </w:pPr>
          </w:p>
        </w:tc>
      </w:tr>
      <w:tr>
        <w:trPr>
          <w:trHeight w:val="270"/>
        </w:trPr>
        <w:tc>
          <w:tcPr>
            <w:tcW w:w="64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1,901,764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858,198</w:t>
            </w:r>
          </w:p>
        </w:tc>
      </w:tr>
      <w:tr>
        <w:trPr>
          <w:trHeight w:val="270"/>
        </w:trPr>
        <w:tc>
          <w:tcPr>
            <w:tcW w:w="64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6480" w:type="dxa"/>
            <w:vAlign w:val="bottom"/>
          </w:tcPr>
          <w:p>
            <w:pPr>
              <w:ind w:left="360"/>
              <w:spacing w:after="0"/>
              <w:rPr>
                <w:sz w:val="20"/>
                <w:szCs w:val="20"/>
                <w:color w:val="auto"/>
              </w:rPr>
            </w:pPr>
            <w:r>
              <w:rPr>
                <w:rFonts w:ascii="Arial" w:cs="Arial" w:eastAsia="Arial" w:hAnsi="Arial"/>
                <w:sz w:val="16"/>
                <w:szCs w:val="16"/>
                <w:color w:val="auto"/>
              </w:rPr>
              <w:t>Direct costs (excluding depreciation and amortization)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1,378,467</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626,244</w:t>
            </w:r>
          </w:p>
        </w:tc>
      </w:tr>
      <w:tr>
        <w:trPr>
          <w:trHeight w:val="217"/>
        </w:trPr>
        <w:tc>
          <w:tcPr>
            <w:tcW w:w="6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 expense</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195,261</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86,034</w:t>
            </w:r>
          </w:p>
        </w:tc>
      </w:tr>
      <w:tr>
        <w:trPr>
          <w:trHeight w:val="215"/>
        </w:trPr>
        <w:tc>
          <w:tcPr>
            <w:tcW w:w="64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141,405</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17,405</w:t>
            </w:r>
          </w:p>
        </w:tc>
      </w:tr>
      <w:tr>
        <w:trPr>
          <w:trHeight w:val="217"/>
        </w:trPr>
        <w:tc>
          <w:tcPr>
            <w:tcW w:w="6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Transaction and integration-related expenses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12,085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12,501</w:t>
            </w:r>
          </w:p>
        </w:tc>
      </w:tr>
      <w:tr>
        <w:trPr>
          <w:trHeight w:val="209"/>
        </w:trPr>
        <w:tc>
          <w:tcPr>
            <w:tcW w:w="64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Restructuring</w:t>
            </w:r>
          </w:p>
        </w:tc>
        <w:tc>
          <w:tcPr>
            <w:tcW w:w="1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4,207</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4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3"/>
        </w:trPr>
        <w:tc>
          <w:tcPr>
            <w:tcW w:w="64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Total costs and expenses</w:t>
            </w:r>
          </w:p>
        </w:tc>
        <w:tc>
          <w:tcPr>
            <w:tcW w:w="1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1,731,425</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742,184</w:t>
            </w:r>
          </w:p>
        </w:tc>
      </w:tr>
      <w:tr>
        <w:trPr>
          <w:trHeight w:val="243"/>
        </w:trPr>
        <w:tc>
          <w:tcPr>
            <w:tcW w:w="64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15"/>
        </w:trPr>
        <w:tc>
          <w:tcPr>
            <w:tcW w:w="648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170,339</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116,014</w:t>
            </w:r>
          </w:p>
        </w:tc>
      </w:tr>
      <w:tr>
        <w:trPr>
          <w:trHeight w:val="217"/>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2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w:t>
            </w:r>
          </w:p>
        </w:tc>
        <w:tc>
          <w:tcPr>
            <w:tcW w:w="1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(44,425)</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(2,727)</w:t>
            </w:r>
          </w:p>
        </w:tc>
      </w:tr>
      <w:tr>
        <w:trPr>
          <w:trHeight w:val="243"/>
        </w:trPr>
        <w:tc>
          <w:tcPr>
            <w:tcW w:w="64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15"/>
        </w:trPr>
        <w:tc>
          <w:tcPr>
            <w:tcW w:w="6480" w:type="dxa"/>
            <w:vAlign w:val="bottom"/>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126,041</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113,544</w:t>
            </w:r>
          </w:p>
        </w:tc>
      </w:tr>
      <w:tr>
        <w:trPr>
          <w:trHeight w:val="224"/>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(13,286)</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(16,148)</w:t>
            </w:r>
          </w:p>
        </w:tc>
      </w:tr>
      <w:tr>
        <w:trPr>
          <w:trHeight w:val="243"/>
        </w:trPr>
        <w:tc>
          <w:tcPr>
            <w:tcW w:w="64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share of earnings from equity method investments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112,755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97,396</w:t>
            </w:r>
          </w:p>
        </w:tc>
      </w:tr>
      <w:tr>
        <w:trPr>
          <w:trHeight w:val="22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of losses in equity method investments</w:t>
            </w:r>
          </w:p>
        </w:tc>
        <w:tc>
          <w:tcPr>
            <w:tcW w:w="1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r>
      <w:tr>
        <w:trPr>
          <w:trHeight w:val="237"/>
        </w:trPr>
        <w:tc>
          <w:tcPr>
            <w:tcW w:w="64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18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Group</w:t>
            </w:r>
          </w:p>
        </w:tc>
        <w:tc>
          <w:tcPr>
            <w:tcW w:w="1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111,970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97,122</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6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5"/>
        </w:trPr>
        <w:tc>
          <w:tcPr>
            <w:tcW w:w="6480" w:type="dxa"/>
            <w:vAlign w:val="bottom"/>
          </w:tcPr>
          <w:p>
            <w:pPr>
              <w:ind w:left="20"/>
              <w:spacing w:after="0"/>
              <w:rPr>
                <w:sz w:val="20"/>
                <w:szCs w:val="20"/>
                <w:color w:val="auto"/>
              </w:rPr>
            </w:pPr>
            <w:r>
              <w:rPr>
                <w:rFonts w:ascii="Arial" w:cs="Arial" w:eastAsia="Arial" w:hAnsi="Arial"/>
                <w:sz w:val="16"/>
                <w:szCs w:val="16"/>
                <w:color w:val="auto"/>
              </w:rPr>
              <w:t>Net income per Ordinary Share attributable to the Group (note 14):</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64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15"/>
        </w:trPr>
        <w:tc>
          <w:tcPr>
            <w:tcW w:w="64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Basic</w:t>
            </w:r>
          </w:p>
        </w:tc>
        <w:tc>
          <w:tcPr>
            <w:tcW w:w="1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9"/>
        </w:trPr>
        <w:tc>
          <w:tcPr>
            <w:tcW w:w="6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0"/>
        </w:trPr>
        <w:tc>
          <w:tcPr>
            <w:tcW w:w="6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(note 14):</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57"/>
        </w:trPr>
        <w:tc>
          <w:tcPr>
            <w:tcW w:w="6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40"/>
        </w:trPr>
        <w:tc>
          <w:tcPr>
            <w:tcW w:w="6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6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81,463,303</w:t>
            </w: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52,811,460</w:t>
            </w:r>
          </w:p>
        </w:tc>
      </w:tr>
      <w:tr>
        <w:trPr>
          <w:trHeight w:val="20"/>
        </w:trPr>
        <w:tc>
          <w:tcPr>
            <w:tcW w:w="6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0"/>
        </w:trPr>
        <w:tc>
          <w:tcPr>
            <w:tcW w:w="6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6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82,613,098</w:t>
            </w: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53,310,453</w:t>
            </w:r>
          </w:p>
        </w:tc>
      </w:tr>
      <w:tr>
        <w:trPr>
          <w:trHeight w:val="20"/>
        </w:trPr>
        <w:tc>
          <w:tcPr>
            <w:tcW w:w="6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line="270" w:lineRule="auto"/>
        <w:rPr>
          <w:sz w:val="20"/>
          <w:szCs w:val="20"/>
          <w:color w:val="auto"/>
        </w:rPr>
      </w:pPr>
      <w:r>
        <w:rPr>
          <w:rFonts w:ascii="Arial" w:cs="Arial" w:eastAsia="Arial" w:hAnsi="Arial"/>
          <w:sz w:val="16"/>
          <w:szCs w:val="16"/>
          <w:b w:val="1"/>
          <w:bCs w:val="1"/>
          <w:color w:val="auto"/>
        </w:rPr>
        <w:t>CONDENSED CONSOLIDATED STATEMENTS OF COMPREHENSIVE INCOME FOR THE THREE MONTHS ENDED MARCH 31, 2022 AND MARCH 31, 2021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0" w:type="dxa"/>
            <w:vAlign w:val="bottom"/>
            <w:gridSpan w:val="6"/>
            <w:shd w:val="clear" w:color="auto" w:fill="CCEEFF"/>
          </w:tcPr>
          <w:p>
            <w:pPr>
              <w:jc w:val="center"/>
              <w:ind w:right="800"/>
              <w:spacing w:after="0"/>
              <w:rPr>
                <w:sz w:val="20"/>
                <w:szCs w:val="20"/>
                <w:color w:val="auto"/>
              </w:rPr>
            </w:pPr>
            <w:r>
              <w:rPr>
                <w:rFonts w:ascii="Arial" w:cs="Arial" w:eastAsia="Arial" w:hAnsi="Arial"/>
                <w:sz w:val="16"/>
                <w:szCs w:val="16"/>
                <w:b w:val="1"/>
                <w:bCs w:val="1"/>
                <w:color w:val="auto"/>
              </w:rPr>
              <w:t>Three Months Ended</w:t>
            </w:r>
          </w:p>
        </w:tc>
      </w:tr>
      <w:tr>
        <w:trPr>
          <w:trHeight w:val="21"/>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2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March 31, 2022</w:t>
            </w:r>
          </w:p>
        </w:tc>
        <w:tc>
          <w:tcPr>
            <w:tcW w:w="420" w:type="dxa"/>
            <w:vAlign w:val="bottom"/>
          </w:tcPr>
          <w:p>
            <w:pPr>
              <w:spacing w:after="0"/>
              <w:rPr>
                <w:sz w:val="15"/>
                <w:szCs w:val="15"/>
                <w:color w:val="auto"/>
              </w:rPr>
            </w:pPr>
          </w:p>
        </w:tc>
        <w:tc>
          <w:tcPr>
            <w:tcW w:w="118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March 31, 2021</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0" w:type="dxa"/>
            <w:vAlign w:val="bottom"/>
            <w:gridSpan w:val="6"/>
            <w:shd w:val="clear" w:color="auto" w:fill="CCEEFF"/>
          </w:tcPr>
          <w:p>
            <w:pPr>
              <w:jc w:val="center"/>
              <w:ind w:right="780"/>
              <w:spacing w:after="0"/>
              <w:rPr>
                <w:sz w:val="20"/>
                <w:szCs w:val="20"/>
                <w:color w:val="auto"/>
              </w:rPr>
            </w:pPr>
            <w:r>
              <w:rPr>
                <w:rFonts w:ascii="Arial" w:cs="Arial" w:eastAsia="Arial" w:hAnsi="Arial"/>
                <w:sz w:val="16"/>
                <w:szCs w:val="16"/>
                <w:color w:val="auto"/>
              </w:rPr>
              <w:t>(in thousands)</w:t>
            </w: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2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111,970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97,122</w:t>
            </w:r>
          </w:p>
        </w:tc>
        <w:tc>
          <w:tcPr>
            <w:tcW w:w="20" w:type="dxa"/>
            <w:vAlign w:val="bottom"/>
            <w:shd w:val="clear" w:color="auto" w:fill="CCEEFF"/>
          </w:tcPr>
          <w:p>
            <w:pPr>
              <w:spacing w:after="0"/>
              <w:rPr>
                <w:sz w:val="18"/>
                <w:szCs w:val="18"/>
                <w:color w:val="auto"/>
              </w:rPr>
            </w:pPr>
          </w:p>
        </w:tc>
      </w:tr>
      <w:tr>
        <w:trPr>
          <w:trHeight w:val="270"/>
        </w:trPr>
        <w:tc>
          <w:tcPr>
            <w:tcW w:w="59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2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(35,995)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(19,151)</w:t>
            </w:r>
          </w:p>
        </w:tc>
        <w:tc>
          <w:tcPr>
            <w:tcW w:w="20" w:type="dxa"/>
            <w:vAlign w:val="bottom"/>
            <w:shd w:val="clear" w:color="auto" w:fill="CCEEFF"/>
          </w:tcPr>
          <w:p>
            <w:pPr>
              <w:spacing w:after="0"/>
              <w:rPr>
                <w:sz w:val="18"/>
                <w:szCs w:val="18"/>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Currency impact of long term funding (net of tax)</w:t>
            </w:r>
          </w:p>
        </w:tc>
        <w:tc>
          <w:tcPr>
            <w:tcW w:w="24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177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(402)</w:t>
            </w:r>
          </w:p>
        </w:tc>
        <w:tc>
          <w:tcPr>
            <w:tcW w:w="20" w:type="dxa"/>
            <w:vAlign w:val="bottom"/>
          </w:tcPr>
          <w:p>
            <w:pPr>
              <w:spacing w:after="0"/>
              <w:rPr>
                <w:sz w:val="18"/>
                <w:szCs w:val="18"/>
                <w:color w:val="auto"/>
              </w:rPr>
            </w:pPr>
          </w:p>
        </w:tc>
      </w:tr>
      <w:tr>
        <w:trPr>
          <w:trHeight w:val="216"/>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interest rate hedge</w:t>
            </w:r>
          </w:p>
        </w:tc>
        <w:tc>
          <w:tcPr>
            <w:tcW w:w="24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comprehensive income attributable to the group</w:t>
            </w:r>
          </w:p>
        </w:tc>
        <w:tc>
          <w:tcPr>
            <w:tcW w:w="2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76,152</w:t>
            </w: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77,625</w:t>
            </w:r>
          </w:p>
        </w:tc>
        <w:tc>
          <w:tcPr>
            <w:tcW w:w="20" w:type="dxa"/>
            <w:vAlign w:val="bottom"/>
            <w:tcBorders>
              <w:bottom w:val="single" w:sz="8" w:color="auto"/>
            </w:tcBorders>
          </w:tcPr>
          <w:p>
            <w:pPr>
              <w:spacing w:after="0"/>
              <w:rPr>
                <w:sz w:val="18"/>
                <w:szCs w:val="18"/>
                <w:color w:val="auto"/>
              </w:rPr>
            </w:pPr>
          </w:p>
        </w:tc>
      </w:tr>
      <w:tr>
        <w:trPr>
          <w:trHeight w:val="21"/>
        </w:trPr>
        <w:tc>
          <w:tcPr>
            <w:tcW w:w="59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Group</w:t>
            </w:r>
          </w:p>
        </w:tc>
        <w:tc>
          <w:tcPr>
            <w:tcW w:w="8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2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6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60" w:type="dxa"/>
            <w:vAlign w:val="bottom"/>
            <w:tcBorders>
              <w:bottom w:val="single" w:sz="8" w:color="auto"/>
            </w:tcBorders>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December 31, 2021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81,554,683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6,733,910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1,416,080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111,970</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84,090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7,491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7,497</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Issue of restricted share units / performance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74,769</w:t>
            </w:r>
          </w:p>
        </w:tc>
        <w:tc>
          <w:tcPr>
            <w:tcW w:w="2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0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18,840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18,840</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Share repurchase program</w:t>
            </w:r>
          </w:p>
        </w:tc>
        <w:tc>
          <w:tcPr>
            <w:tcW w:w="1000" w:type="dxa"/>
            <w:vAlign w:val="bottom"/>
          </w:tcPr>
          <w:p>
            <w:pPr>
              <w:jc w:val="right"/>
              <w:spacing w:after="0"/>
              <w:rPr>
                <w:sz w:val="20"/>
                <w:szCs w:val="20"/>
                <w:color w:val="auto"/>
              </w:rPr>
            </w:pPr>
            <w:r>
              <w:rPr>
                <w:rFonts w:ascii="Arial" w:cs="Arial" w:eastAsia="Arial" w:hAnsi="Arial"/>
                <w:sz w:val="16"/>
                <w:szCs w:val="16"/>
                <w:color w:val="auto"/>
              </w:rPr>
              <w:t>(420,530)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(99,983)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(99,983)</w:t>
            </w: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 costs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(35,818)</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(35,818)</w:t>
            </w:r>
          </w:p>
        </w:tc>
        <w:tc>
          <w:tcPr>
            <w:tcW w:w="0" w:type="dxa"/>
            <w:vAlign w:val="bottom"/>
          </w:tcPr>
          <w:p>
            <w:pPr>
              <w:spacing w:after="0"/>
              <w:rPr>
                <w:sz w:val="1"/>
                <w:szCs w:val="1"/>
                <w:color w:val="auto"/>
              </w:rPr>
            </w:pPr>
          </w:p>
        </w:tc>
      </w:tr>
      <w:tr>
        <w:trPr>
          <w:trHeight w:val="235"/>
        </w:trPr>
        <w:tc>
          <w:tcPr>
            <w:tcW w:w="3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Balance at March 31, 2022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81,293,012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6,760,238</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(126,755)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1,428,050</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8,069,317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Group</w:t>
            </w:r>
          </w:p>
        </w:tc>
        <w:tc>
          <w:tcPr>
            <w:tcW w:w="8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2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6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60" w:type="dxa"/>
            <w:vAlign w:val="bottom"/>
            <w:tcBorders>
              <w:bottom w:val="single" w:sz="8" w:color="auto"/>
            </w:tcBorders>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Balance at December 31, 2020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52,788,093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617,104</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1,850,236</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97,122</w:t>
            </w:r>
          </w:p>
        </w:tc>
        <w:tc>
          <w:tcPr>
            <w:tcW w:w="0" w:type="dxa"/>
            <w:vAlign w:val="bottom"/>
          </w:tcPr>
          <w:p>
            <w:pPr>
              <w:spacing w:after="0"/>
              <w:rPr>
                <w:sz w:val="1"/>
                <w:szCs w:val="1"/>
                <w:color w:val="auto"/>
              </w:rPr>
            </w:pPr>
          </w:p>
        </w:tc>
      </w:tr>
      <w:tr>
        <w:trPr>
          <w:trHeight w:val="162"/>
        </w:trPr>
        <w:tc>
          <w:tcPr>
            <w:tcW w:w="336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70,097</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0" w:type="dxa"/>
            <w:vAlign w:val="bottom"/>
          </w:tcPr>
          <w:p>
            <w:pPr>
              <w:spacing w:after="0"/>
              <w:rPr>
                <w:sz w:val="1"/>
                <w:szCs w:val="1"/>
                <w:color w:val="auto"/>
              </w:rPr>
            </w:pP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(19,497)</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(19,497)</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March 31, 2021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52,858,190</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623,409</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1,134</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(54,974)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1,360,017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1,934,171</w:t>
            </w: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FOR THE THREE MONTHS ENDED MARCH 31, 2022 AND MARCH 31, 2021 (UNAUDITED)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gridSpan w:val="3"/>
            <w:shd w:val="clear" w:color="auto" w:fill="CCEEFF"/>
          </w:tcPr>
          <w:p>
            <w:pPr>
              <w:jc w:val="center"/>
              <w:ind w:right="23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 2022</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10"/>
        </w:trPr>
        <w:tc>
          <w:tcPr>
            <w:tcW w:w="8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299"/>
              <w:spacing w:after="0"/>
              <w:rPr>
                <w:sz w:val="20"/>
                <w:szCs w:val="20"/>
                <w:color w:val="auto"/>
              </w:rPr>
            </w:pPr>
            <w:r>
              <w:rPr>
                <w:rFonts w:ascii="Arial" w:cs="Arial" w:eastAsia="Arial" w:hAnsi="Arial"/>
                <w:sz w:val="16"/>
                <w:szCs w:val="16"/>
                <w:b w:val="1"/>
                <w:bCs w:val="1"/>
                <w:color w:val="auto"/>
              </w:rPr>
              <w:t>(in thousands)</w:t>
            </w:r>
          </w:p>
        </w:tc>
        <w:tc>
          <w:tcPr>
            <w:tcW w:w="700" w:type="dxa"/>
            <w:vAlign w:val="bottom"/>
            <w:shd w:val="clear" w:color="auto" w:fill="CCEEFF"/>
          </w:tcPr>
          <w:p>
            <w:pPr>
              <w:spacing w:after="0"/>
              <w:rPr>
                <w:sz w:val="18"/>
                <w:szCs w:val="18"/>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111,970</w:t>
            </w: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97,122</w:t>
            </w:r>
          </w:p>
        </w:tc>
      </w:tr>
      <w:tr>
        <w:trPr>
          <w:trHeight w:val="257"/>
        </w:trPr>
        <w:tc>
          <w:tcPr>
            <w:tcW w:w="8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16"/>
        </w:trPr>
        <w:tc>
          <w:tcPr>
            <w:tcW w:w="8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141,405</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19,837</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long lived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3,574</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Reduction in carrying value of operating right-of-use assets</w:t>
            </w:r>
          </w:p>
        </w:tc>
        <w:tc>
          <w:tcPr>
            <w:tcW w:w="3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13,077</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4,683</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equity method investments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785</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Charge on interest rate hedge</w:t>
            </w:r>
          </w:p>
        </w:tc>
        <w:tc>
          <w:tcPr>
            <w:tcW w:w="3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financing costs and debt discount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5,781</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18,903</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6,394</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benefit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(34,702)</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Unrealized foreign exchange gain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(7,323)</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(1,060)</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non-cash items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15"/>
        </w:trPr>
        <w:tc>
          <w:tcPr>
            <w:tcW w:w="846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(35,461)</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52,015</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Unbilled revenue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(55,427)</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11,796</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Unearned revenue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(16,812)</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(50,079)</w:t>
            </w:r>
          </w:p>
        </w:tc>
      </w:tr>
      <w:tr>
        <w:trPr>
          <w:trHeight w:val="215"/>
        </w:trPr>
        <w:tc>
          <w:tcPr>
            <w:tcW w:w="8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net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84,041</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(27,849)</w:t>
            </w:r>
          </w:p>
        </w:tc>
      </w:tr>
      <w:tr>
        <w:trPr>
          <w:trHeight w:val="210"/>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226,916</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111,920</w:t>
            </w:r>
          </w:p>
        </w:tc>
      </w:tr>
      <w:tr>
        <w:trPr>
          <w:trHeight w:val="257"/>
        </w:trPr>
        <w:tc>
          <w:tcPr>
            <w:tcW w:w="8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Purchase of property, plant and equipment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(19,632)</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(8,704)</w:t>
            </w:r>
          </w:p>
        </w:tc>
      </w:tr>
      <w:tr>
        <w:trPr>
          <w:trHeight w:val="216"/>
        </w:trPr>
        <w:tc>
          <w:tcPr>
            <w:tcW w:w="8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Sale/ (purchase) of investments in equity - long term</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6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r>
      <w:tr>
        <w:trPr>
          <w:trHeight w:val="210"/>
        </w:trPr>
        <w:tc>
          <w:tcPr>
            <w:tcW w:w="8460" w:type="dxa"/>
            <w:vAlign w:val="bottom"/>
          </w:tcPr>
          <w:p>
            <w:pPr>
              <w:ind w:left="1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(19,536)</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(9,303)</w:t>
            </w:r>
          </w:p>
        </w:tc>
      </w:tr>
      <w:tr>
        <w:trPr>
          <w:trHeight w:val="257"/>
        </w:trPr>
        <w:tc>
          <w:tcPr>
            <w:tcW w:w="8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equity compensation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7,491</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Share issue costs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of ordinary shares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(99,983)</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Share repurchase costs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Repayment of bank credit lines and loan facilities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6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46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(392,512)</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8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2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(7,983)</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(193,115)</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102,150</w:t>
            </w:r>
          </w:p>
        </w:tc>
      </w:tr>
      <w:tr>
        <w:trPr>
          <w:trHeight w:val="22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752,213</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840,305</w:t>
            </w:r>
          </w:p>
        </w:tc>
      </w:tr>
      <w:tr>
        <w:trPr>
          <w:trHeight w:val="241"/>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559,098</w:t>
            </w:r>
          </w:p>
        </w:tc>
        <w:tc>
          <w:tcPr>
            <w:tcW w:w="6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942,455</w:t>
            </w:r>
          </w:p>
        </w:tc>
      </w:tr>
      <w:tr>
        <w:trPr>
          <w:trHeight w:val="20"/>
        </w:trPr>
        <w:tc>
          <w:tcPr>
            <w:tcW w:w="84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1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March 31, 2022</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2021 (see </w:t>
      </w:r>
      <w:r>
        <w:rPr>
          <w:rFonts w:ascii="Arial" w:cs="Arial" w:eastAsia="Arial" w:hAnsi="Arial"/>
          <w:sz w:val="16"/>
          <w:szCs w:val="16"/>
          <w:i w:val="1"/>
          <w:iCs w:val="1"/>
          <w:color w:val="auto"/>
        </w:rPr>
        <w:t>note 2 - Significant accounting policies</w:t>
      </w:r>
      <w:r>
        <w:rPr>
          <w:rFonts w:ascii="Arial" w:cs="Arial" w:eastAsia="Arial" w:hAnsi="Arial"/>
          <w:sz w:val="16"/>
          <w:szCs w:val="16"/>
          <w:color w:val="auto"/>
        </w:rPr>
        <w:t xml:space="preserve"> for impact of adoption of any new accounting standards). Operating results for the three months ended March 31, 2022 are not necessarily indicative of the results that may be expected for the fiscal period ending December 31, 2022.</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Certain prior period amounts in the consolidated financial statements and accompanying notes have been reclassified to conform to the current period’s presentation. Most notably, the Company has presented transaction and integration-related expenses as a separate line in the Condensed Consolidated Statement of Operations and reclassified certain costs incurred in the three months ended March 31, 2021 within this line. These costs consist of transaction related expenses incurred as part of the Merger. These costs amounted to $12.5 million and were previously presented in the selling, general and administrative expenses but have been reclassified to transaction and integration-related expenses to conform to the current period’s presentation.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Contracts range in duration from a number of months to several years.</w:t>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 service revenue</w:t>
      </w:r>
    </w:p>
    <w:p>
      <w:pPr>
        <w:spacing w:after="0" w:line="1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Revenue is recognized as the single performance obligation is satisfied. The progress towards completion for clinical service contracts is measured based on an input measure being total project costs incurred (inclusive of third party costs) at each reporting period as a percentage of forecasted total project costs.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Contracting services revenue</w:t>
      </w:r>
    </w:p>
    <w:p>
      <w:pPr>
        <w:spacing w:after="0" w:line="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Consulting services revenue</w:t>
      </w:r>
    </w:p>
    <w:p>
      <w:pPr>
        <w:spacing w:after="0" w:line="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We have concluded that our consulting services contracts represent a single performance obligation satisfied over time. The transaction price is determined by reference to contract or change order value. Revenue is recognized as the performance obligation is satisfied. The progress towards completion for consulting contracts is measured based on total project inputs (time) at each reporting period as a percentage of forecasted total project inputs.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i w:val="1"/>
          <w:iCs w:val="1"/>
          <w:color w:val="auto"/>
        </w:rPr>
        <w:t>Laboratory services revenue</w:t>
      </w:r>
    </w:p>
    <w:p>
      <w:pPr>
        <w:spacing w:after="0" w:line="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amounts corresponds to the value of the Company's performance and the transfer of value to the customer.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Data services revenue</w:t>
      </w:r>
    </w:p>
    <w:p>
      <w:pPr>
        <w:spacing w:after="0" w:line="1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w:t>
      </w:r>
    </w:p>
    <w:p>
      <w:pPr>
        <w:spacing w:after="0" w:line="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Incremental costs of obtaining a contract are recognized as an asset on the Condensed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allocates a share of net income to the noncontrolling interest holders based on percentage ownership.</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are amortized on a straight line basis over their estimated useful life.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3"/>
        </w:trPr>
        <w:tc>
          <w:tcPr>
            <w:tcW w:w="8140" w:type="dxa"/>
            <w:vAlign w:val="bottom"/>
          </w:tcPr>
          <w:p>
            <w:pPr>
              <w:spacing w:after="0"/>
              <w:rPr>
                <w:sz w:val="20"/>
                <w:szCs w:val="20"/>
                <w:color w:val="auto"/>
              </w:rPr>
            </w:pPr>
            <w:r>
              <w:rPr>
                <w:rFonts w:ascii="Arial" w:cs="Arial" w:eastAsia="Arial" w:hAnsi="Arial"/>
                <w:sz w:val="16"/>
                <w:szCs w:val="16"/>
                <w:b w:val="1"/>
                <w:bCs w:val="1"/>
                <w:color w:val="auto"/>
              </w:rPr>
              <w:t>3. Revenue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24"/>
        </w:trPr>
        <w:tc>
          <w:tcPr>
            <w:tcW w:w="8140" w:type="dxa"/>
            <w:vAlign w:val="bottom"/>
          </w:tcPr>
          <w:p>
            <w:pPr>
              <w:ind w:left="660"/>
              <w:spacing w:after="0"/>
              <w:rPr>
                <w:sz w:val="20"/>
                <w:szCs w:val="20"/>
                <w:color w:val="auto"/>
              </w:rPr>
            </w:pPr>
            <w:r>
              <w:rPr>
                <w:rFonts w:ascii="Arial" w:cs="Arial" w:eastAsia="Arial" w:hAnsi="Arial"/>
                <w:sz w:val="16"/>
                <w:szCs w:val="16"/>
                <w:color w:val="auto"/>
              </w:rPr>
              <w:t>Revenue disaggregated by customer profile is as follows: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0"/>
        </w:trPr>
        <w:tc>
          <w:tcPr>
            <w:tcW w:w="8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780" w:type="dxa"/>
            <w:vAlign w:val="bottom"/>
            <w:gridSpan w:val="3"/>
          </w:tcPr>
          <w:p>
            <w:pPr>
              <w:spacing w:after="0"/>
              <w:rPr>
                <w:sz w:val="9"/>
                <w:szCs w:val="9"/>
                <w:color w:val="auto"/>
              </w:rPr>
            </w:pPr>
          </w:p>
        </w:tc>
      </w:tr>
      <w:tr>
        <w:trPr>
          <w:trHeight w:val="216"/>
        </w:trPr>
        <w:tc>
          <w:tcPr>
            <w:tcW w:w="8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10"/>
        </w:trPr>
        <w:tc>
          <w:tcPr>
            <w:tcW w:w="8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8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544,625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394,194</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Clients 6-10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287,740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124,098</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11-25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362,192</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141,124</w:t>
            </w:r>
          </w:p>
        </w:tc>
      </w:tr>
      <w:tr>
        <w:trPr>
          <w:trHeight w:val="223"/>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707,207</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198,782</w:t>
            </w:r>
          </w:p>
        </w:tc>
      </w:tr>
      <w:tr>
        <w:trPr>
          <w:trHeight w:val="256"/>
        </w:trPr>
        <w:tc>
          <w:tcPr>
            <w:tcW w:w="8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15"/>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1,901,764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858,198</w:t>
            </w:r>
          </w:p>
        </w:tc>
      </w:tr>
      <w:tr>
        <w:trPr>
          <w:trHeight w:val="21"/>
        </w:trPr>
        <w:tc>
          <w:tcPr>
            <w:tcW w:w="8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from individual customers greater than 10% of consolidated revenue in the respective periods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shd w:val="clear" w:color="auto" w:fill="CCEEFF"/>
          </w:tcPr>
          <w:p>
            <w:pPr>
              <w:spacing w:after="0"/>
              <w:rPr>
                <w:sz w:val="18"/>
                <w:szCs w:val="18"/>
                <w:color w:val="auto"/>
              </w:rPr>
            </w:pPr>
          </w:p>
        </w:tc>
        <w:tc>
          <w:tcPr>
            <w:tcW w:w="2780" w:type="dxa"/>
            <w:vAlign w:val="bottom"/>
            <w:gridSpan w:val="5"/>
            <w:shd w:val="clear" w:color="auto" w:fill="CCEEFF"/>
          </w:tcPr>
          <w:p>
            <w:pPr>
              <w:ind w:left="440"/>
              <w:spacing w:after="0"/>
              <w:rPr>
                <w:sz w:val="20"/>
                <w:szCs w:val="20"/>
                <w:color w:val="auto"/>
              </w:rPr>
            </w:pPr>
            <w:r>
              <w:rPr>
                <w:rFonts w:ascii="Arial" w:cs="Arial" w:eastAsia="Arial" w:hAnsi="Arial"/>
                <w:sz w:val="16"/>
                <w:szCs w:val="16"/>
                <w:b w:val="1"/>
                <w:bCs w:val="1"/>
                <w:color w:val="auto"/>
              </w:rPr>
              <w:t>Three Months Ended</w:t>
            </w:r>
          </w:p>
        </w:tc>
      </w:tr>
      <w:tr>
        <w:trPr>
          <w:trHeight w:val="176"/>
        </w:trPr>
        <w:tc>
          <w:tcPr>
            <w:tcW w:w="8400" w:type="dxa"/>
            <w:vAlign w:val="bottom"/>
          </w:tcPr>
          <w:p>
            <w:pPr>
              <w:spacing w:after="0"/>
              <w:rPr>
                <w:sz w:val="15"/>
                <w:szCs w:val="15"/>
                <w:color w:val="auto"/>
              </w:rPr>
            </w:pPr>
          </w:p>
        </w:tc>
        <w:tc>
          <w:tcPr>
            <w:tcW w:w="1380" w:type="dxa"/>
            <w:vAlign w:val="bottom"/>
            <w:gridSpan w:val="2"/>
          </w:tcPr>
          <w:p>
            <w:pPr>
              <w:jc w:val="right"/>
              <w:ind w:right="240"/>
              <w:spacing w:after="0" w:line="175" w:lineRule="exact"/>
              <w:rPr>
                <w:sz w:val="20"/>
                <w:szCs w:val="20"/>
                <w:color w:val="auto"/>
              </w:rPr>
            </w:pPr>
            <w:r>
              <w:rPr>
                <w:rFonts w:ascii="Arial" w:cs="Arial" w:eastAsia="Arial" w:hAnsi="Arial"/>
                <w:sz w:val="16"/>
                <w:szCs w:val="16"/>
                <w:b w:val="1"/>
                <w:bCs w:val="1"/>
                <w:color w:val="auto"/>
                <w:w w:val="98"/>
              </w:rPr>
              <w:t>March 31, 2022</w:t>
            </w:r>
          </w:p>
        </w:tc>
        <w:tc>
          <w:tcPr>
            <w:tcW w:w="1400" w:type="dxa"/>
            <w:vAlign w:val="bottom"/>
            <w:gridSpan w:val="3"/>
          </w:tcPr>
          <w:p>
            <w:pPr>
              <w:ind w:left="220"/>
              <w:spacing w:after="0" w:line="175" w:lineRule="exact"/>
              <w:rPr>
                <w:sz w:val="20"/>
                <w:szCs w:val="20"/>
                <w:color w:val="auto"/>
              </w:rPr>
            </w:pPr>
            <w:r>
              <w:rPr>
                <w:rFonts w:ascii="Arial" w:cs="Arial" w:eastAsia="Arial" w:hAnsi="Arial"/>
                <w:sz w:val="16"/>
                <w:szCs w:val="16"/>
                <w:b w:val="1"/>
                <w:bCs w:val="1"/>
                <w:color w:val="auto"/>
              </w:rPr>
              <w:t>March 31, 2021</w:t>
            </w:r>
          </w:p>
        </w:tc>
      </w:tr>
      <w:tr>
        <w:trPr>
          <w:trHeight w:val="20"/>
        </w:trPr>
        <w:tc>
          <w:tcPr>
            <w:tcW w:w="840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Customer: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color w:val="auto"/>
              </w:rPr>
              <w:t>Customer A</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0" w:type="dxa"/>
            <w:vAlign w:val="bottom"/>
            <w:gridSpan w:val="3"/>
          </w:tcPr>
          <w:p>
            <w:pPr>
              <w:jc w:val="right"/>
              <w:ind w:right="20"/>
              <w:spacing w:after="0"/>
              <w:rPr>
                <w:sz w:val="20"/>
                <w:szCs w:val="20"/>
                <w:color w:val="auto"/>
              </w:rPr>
            </w:pPr>
            <w:r>
              <w:rPr>
                <w:rFonts w:ascii="Arial" w:cs="Arial" w:eastAsia="Arial" w:hAnsi="Arial"/>
                <w:sz w:val="16"/>
                <w:szCs w:val="16"/>
                <w:color w:val="auto"/>
              </w:rPr>
              <w:t>19.1 %</w:t>
            </w:r>
          </w:p>
        </w:tc>
      </w:tr>
      <w:tr>
        <w:trPr>
          <w:trHeight w:val="216"/>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Customer B</w:t>
            </w:r>
          </w:p>
        </w:tc>
        <w:tc>
          <w:tcPr>
            <w:tcW w:w="1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11.1 %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*Less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5" w:right="399" w:bottom="1440" w:gutter="0" w:footer="0" w:header="0"/>
        </w:sectPr>
      </w:pPr>
    </w:p>
    <w:bookmarkStart w:id="12" w:name="page13"/>
    <w:bookmarkEnd w:id="12"/>
    <w:p>
      <w:pPr>
        <w:ind w:left="660" w:right="1540" w:hanging="652"/>
        <w:spacing w:after="0" w:line="493" w:lineRule="auto"/>
        <w:tabs>
          <w:tab w:leader="none" w:pos="19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unbilled revenue (contract assets) and unearned revenue or payments on account (contract liabilities) </w:t>
      </w:r>
      <w:r>
        <w:rPr>
          <w:rFonts w:ascii="Arial" w:cs="Arial" w:eastAsia="Arial" w:hAnsi="Arial"/>
          <w:sz w:val="16"/>
          <w:szCs w:val="16"/>
          <w:color w:val="auto"/>
        </w:rPr>
        <w:t>Accounts receivables and unbilled revenue are as follows:</w:t>
      </w:r>
    </w:p>
    <w:tbl>
      <w:tblPr>
        <w:tblLayout w:type="fixed"/>
        <w:tblInd w:w="0" w:type="dxa"/>
        <w:tblCellMar>
          <w:top w:w="0" w:type="dxa"/>
          <w:left w:w="0" w:type="dxa"/>
          <w:bottom w:w="0" w:type="dxa"/>
          <w:right w:w="0" w:type="dxa"/>
        </w:tblCellMar>
      </w:tblPr>
      <w:tr>
        <w:trPr>
          <w:trHeight w:val="163"/>
        </w:trPr>
        <w:tc>
          <w:tcPr>
            <w:tcW w:w="59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2022</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5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tcPr>
          <w:p>
            <w:pPr>
              <w:ind w:left="140"/>
              <w:spacing w:after="0"/>
              <w:rPr>
                <w:sz w:val="20"/>
                <w:szCs w:val="20"/>
                <w:color w:val="auto"/>
              </w:rPr>
            </w:pPr>
            <w:r>
              <w:rPr>
                <w:rFonts w:ascii="Arial" w:cs="Arial" w:eastAsia="Arial" w:hAnsi="Arial"/>
                <w:sz w:val="16"/>
                <w:szCs w:val="16"/>
                <w:color w:val="auto"/>
              </w:rPr>
              <w:t>Billed services (accounts receivable)</w:t>
            </w:r>
          </w:p>
        </w:tc>
        <w:tc>
          <w:tcPr>
            <w:tcW w:w="26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1,379,131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1,349,851</w:t>
            </w:r>
          </w:p>
        </w:tc>
        <w:tc>
          <w:tcPr>
            <w:tcW w:w="0" w:type="dxa"/>
            <w:vAlign w:val="bottom"/>
          </w:tcPr>
          <w:p>
            <w:pPr>
              <w:spacing w:after="0"/>
              <w:rPr>
                <w:sz w:val="1"/>
                <w:szCs w:val="1"/>
                <w:color w:val="auto"/>
              </w:rPr>
            </w:pPr>
          </w:p>
        </w:tc>
      </w:tr>
      <w:tr>
        <w:trPr>
          <w:trHeight w:val="224"/>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Allowance for credit losses</w:t>
            </w:r>
          </w:p>
        </w:tc>
        <w:tc>
          <w:tcPr>
            <w:tcW w:w="26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(7,722)</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(7,081)</w:t>
            </w:r>
          </w:p>
        </w:tc>
        <w:tc>
          <w:tcPr>
            <w:tcW w:w="0" w:type="dxa"/>
            <w:vAlign w:val="bottom"/>
          </w:tcPr>
          <w:p>
            <w:pPr>
              <w:spacing w:after="0"/>
              <w:rPr>
                <w:sz w:val="1"/>
                <w:szCs w:val="1"/>
                <w:color w:val="auto"/>
              </w:rPr>
            </w:pPr>
          </w:p>
        </w:tc>
      </w:tr>
      <w:tr>
        <w:trPr>
          <w:trHeight w:val="215"/>
        </w:trPr>
        <w:tc>
          <w:tcPr>
            <w:tcW w:w="596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1,371,409</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1,342,770</w:t>
            </w:r>
          </w:p>
        </w:tc>
        <w:tc>
          <w:tcPr>
            <w:tcW w:w="0" w:type="dxa"/>
            <w:vAlign w:val="bottom"/>
          </w:tcPr>
          <w:p>
            <w:pPr>
              <w:spacing w:after="0"/>
              <w:rPr>
                <w:sz w:val="1"/>
                <w:szCs w:val="1"/>
                <w:color w:val="auto"/>
              </w:rPr>
            </w:pPr>
          </w:p>
        </w:tc>
      </w:tr>
      <w:tr>
        <w:trPr>
          <w:trHeight w:val="224"/>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Unbilled services (unbilled revenue)</w:t>
            </w:r>
          </w:p>
        </w:tc>
        <w:tc>
          <w:tcPr>
            <w:tcW w:w="26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674,509</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623,121</w:t>
            </w:r>
          </w:p>
        </w:tc>
        <w:tc>
          <w:tcPr>
            <w:tcW w:w="0" w:type="dxa"/>
            <w:vAlign w:val="bottom"/>
          </w:tcPr>
          <w:p>
            <w:pPr>
              <w:spacing w:after="0"/>
              <w:rPr>
                <w:sz w:val="1"/>
                <w:szCs w:val="1"/>
                <w:color w:val="auto"/>
              </w:rPr>
            </w:pPr>
          </w:p>
        </w:tc>
      </w:tr>
      <w:tr>
        <w:trPr>
          <w:trHeight w:val="215"/>
        </w:trPr>
        <w:tc>
          <w:tcPr>
            <w:tcW w:w="5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Accounts receivable and unbilled revenue, net</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2,045,918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1,965,891</w:t>
            </w:r>
          </w:p>
        </w:tc>
        <w:tc>
          <w:tcPr>
            <w:tcW w:w="0" w:type="dxa"/>
            <w:vAlign w:val="bottom"/>
          </w:tcPr>
          <w:p>
            <w:pPr>
              <w:spacing w:after="0"/>
              <w:rPr>
                <w:sz w:val="1"/>
                <w:szCs w:val="1"/>
                <w:color w:val="auto"/>
              </w:rPr>
            </w:pPr>
          </w:p>
        </w:tc>
      </w:tr>
      <w:tr>
        <w:trPr>
          <w:trHeight w:val="21"/>
        </w:trPr>
        <w:tc>
          <w:tcPr>
            <w:tcW w:w="59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3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 Change</w:t>
            </w:r>
          </w:p>
        </w:tc>
        <w:tc>
          <w:tcPr>
            <w:tcW w:w="13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Unbilled services (unbilled revenue)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674,509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623,121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51,388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Unearned revenue (payments on account)</w:t>
            </w: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(1,300,980)</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(1,323,961)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22,981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0"/>
        </w:trPr>
        <w:tc>
          <w:tcPr>
            <w:tcW w:w="4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Net balance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(626,471)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(700,840)</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74,369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Unbilled services as at March 31, 2022 increased by $51.4 million compared to December 31, 2021. Unearned revenue decreased by $23.0 million over the same period resulting in an increase of $74.4 million in the net balance of unbilled services and unearned revenue or payments on account between December 31, 2021 and March 31, 2022.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March 31, 2022 approximately $13.6 billion (March 31, 2021: $6.5 billion) of revenue is expected to be recognized in the future in respect of unsatisfied performance obligations. The Company expects to recognize revenue on approximately 49% of the unsatisfied performance obligation over the next 12 months, with the remainder recognized thereafter over the duration of the customer contracts.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20"/>
                <w:szCs w:val="20"/>
                <w:color w:val="auto"/>
              </w:rPr>
            </w:pPr>
            <w:r>
              <w:rPr>
                <w:rFonts w:ascii="Arial" w:cs="Arial" w:eastAsia="Arial" w:hAnsi="Arial"/>
                <w:sz w:val="16"/>
                <w:szCs w:val="16"/>
                <w:b w:val="1"/>
                <w:bCs w:val="1"/>
                <w:color w:val="auto"/>
              </w:rPr>
              <w:t>5. Goodwill</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 2022  December 31, 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(in thousands)</w:t>
            </w: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9,037,931</w:t>
            </w:r>
          </w:p>
        </w:tc>
        <w:tc>
          <w:tcPr>
            <w:tcW w:w="660" w:type="dxa"/>
            <w:vAlign w:val="bottom"/>
          </w:tcPr>
          <w:p>
            <w:pPr>
              <w:jc w:val="right"/>
              <w:ind w:right="50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936,257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acquisitions (Note 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Prior period acquisitions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1,462</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(11,410)</w:t>
            </w:r>
          </w:p>
        </w:tc>
        <w:tc>
          <w:tcPr>
            <w:tcW w:w="6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9,027,983</w:t>
            </w:r>
          </w:p>
        </w:tc>
        <w:tc>
          <w:tcPr>
            <w:tcW w:w="66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9,037,931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color w:val="auto"/>
              </w:rPr>
              <w:t>There are no accumulated impairment charges as of March 31, 2022 and December 31, 2021.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9"/>
        </w:trPr>
        <w:tc>
          <w:tcPr>
            <w:tcW w:w="7860" w:type="dxa"/>
            <w:vAlign w:val="bottom"/>
          </w:tcPr>
          <w:p>
            <w:pPr>
              <w:spacing w:after="0"/>
              <w:rPr>
                <w:sz w:val="20"/>
                <w:szCs w:val="20"/>
                <w:color w:val="auto"/>
              </w:rPr>
            </w:pPr>
            <w:r>
              <w:rPr>
                <w:rFonts w:ascii="Arial" w:cs="Arial" w:eastAsia="Arial" w:hAnsi="Arial"/>
                <w:sz w:val="16"/>
                <w:szCs w:val="16"/>
                <w:b w:val="1"/>
                <w:bCs w:val="1"/>
                <w:color w:val="auto"/>
              </w:rPr>
              <w:t>6. Intangible assets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860" w:type="dxa"/>
            <w:vAlign w:val="bottom"/>
          </w:tcPr>
          <w:p>
            <w:pPr>
              <w:ind w:left="660"/>
              <w:spacing w:after="0"/>
              <w:rPr>
                <w:sz w:val="20"/>
                <w:szCs w:val="20"/>
                <w:color w:val="auto"/>
              </w:rPr>
            </w:pPr>
            <w:r>
              <w:rPr>
                <w:rFonts w:ascii="Arial" w:cs="Arial" w:eastAsia="Arial" w:hAnsi="Arial"/>
                <w:sz w:val="16"/>
                <w:szCs w:val="16"/>
                <w:color w:val="auto"/>
              </w:rPr>
              <w:t>Intangible assets, net consisted of the following:</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jc w:val="right"/>
              <w:ind w:right="582"/>
              <w:spacing w:after="0" w:line="162" w:lineRule="exact"/>
              <w:rPr>
                <w:sz w:val="20"/>
                <w:szCs w:val="20"/>
                <w:color w:val="auto"/>
              </w:rPr>
            </w:pPr>
            <w:r>
              <w:rPr>
                <w:rFonts w:ascii="Arial" w:cs="Arial" w:eastAsia="Arial" w:hAnsi="Arial"/>
                <w:sz w:val="16"/>
                <w:szCs w:val="16"/>
                <w:b w:val="1"/>
                <w:bCs w:val="1"/>
                <w:color w:val="auto"/>
              </w:rPr>
              <w:t>Three Months</w:t>
            </w: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141"/>
        </w:trPr>
        <w:tc>
          <w:tcPr>
            <w:tcW w:w="7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0" w:type="dxa"/>
            <w:vAlign w:val="bottom"/>
            <w:gridSpan w:val="2"/>
            <w:vMerge w:val="restart"/>
            <w:shd w:val="clear" w:color="auto" w:fill="CCEEFF"/>
          </w:tcPr>
          <w:p>
            <w:pPr>
              <w:jc w:val="right"/>
              <w:ind w:right="582"/>
              <w:spacing w:after="0"/>
              <w:rPr>
                <w:sz w:val="20"/>
                <w:szCs w:val="20"/>
                <w:color w:val="auto"/>
              </w:rPr>
            </w:pPr>
            <w:r>
              <w:rPr>
                <w:rFonts w:ascii="Arial" w:cs="Arial" w:eastAsia="Arial" w:hAnsi="Arial"/>
                <w:sz w:val="16"/>
                <w:szCs w:val="16"/>
                <w:b w:val="1"/>
                <w:bCs w:val="1"/>
                <w:color w:val="auto"/>
              </w:rPr>
              <w:t>Ended</w:t>
            </w:r>
          </w:p>
        </w:tc>
        <w:tc>
          <w:tcPr>
            <w:tcW w:w="10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78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2000" w:type="dxa"/>
            <w:vAlign w:val="bottom"/>
            <w:tcBorders>
              <w:bottom w:val="single" w:sz="8" w:color="auto"/>
            </w:tcBorders>
            <w:gridSpan w:val="2"/>
            <w:vMerge w:val="continue"/>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March 31, 2022  December 31, 2021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(in thousands)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4,055,260</w:t>
            </w:r>
          </w:p>
        </w:tc>
        <w:tc>
          <w:tcPr>
            <w:tcW w:w="66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4,056,642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527,451</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Trade names &amp; brands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204,648</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204,685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170,456</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 assets</w:t>
            </w: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121,211</w:t>
            </w:r>
          </w:p>
        </w:tc>
        <w:tc>
          <w:tcPr>
            <w:tcW w:w="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121,507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5,079,026</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5,081,381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w:t>
            </w: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(486,439)</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(370,538)</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Net book value</w:t>
            </w: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4,592,587</w:t>
            </w:r>
          </w:p>
        </w:tc>
        <w:tc>
          <w:tcPr>
            <w:tcW w:w="66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4,710,843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identifiable intangible assets are amortized over their estimated useful lives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7. Business combinations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 Merger Completion</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On July 1, 2021 (the "Merger Date"), the Company completed the Acquisition of PRA by means of a merger whereby Indigo Merger Sub, Inc., a Delaware corporation and subsidiary of ICON, merged with and into PRA Health Sciences, Inc., the parent of the PRA Health Sciences Group. The combined Group has retained the name ICON and brought together approximately 38,000 (as at the Merger date) employees across the globe, creating one of the world’s most advanced healthcare intelligence and clinical research organizations. The Merger was accounted for as a business combination using the acquisition method of accounting in accordance with ASC Topic 805, </w:t>
      </w:r>
      <w:r>
        <w:rPr>
          <w:rFonts w:ascii="Arial" w:cs="Arial" w:eastAsia="Arial" w:hAnsi="Arial"/>
          <w:sz w:val="16"/>
          <w:szCs w:val="16"/>
          <w:i w:val="1"/>
          <w:iCs w:val="1"/>
          <w:color w:val="auto"/>
        </w:rPr>
        <w:t>Business Combinations.</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ICON plc. Under the terms of the Merger, PRA shareholders received per share $80 in cash and 0.4125 shares of ICON stock. The trading of PRA common stock on NASDAQ was suspended prior to market open on July 1, 2021.</w:t>
      </w:r>
    </w:p>
    <w:p>
      <w:pPr>
        <w:spacing w:after="0" w:line="2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the three months ended March 31, 2022, the Company incurred $12.1 million of Merger-related expenses which were accounted for separately from the business combination and expensed as incurred within the “Transaction and integration related expenses” line item of the condensed consolidated statements of operations. These costs consisted primarily of integration costs including severance arrangements, retention agreements and advisory fees. In the three months ended March 31, 2021, the Company incurred $12.5 million of Merger-related expenses. These costs consisted primarily of investment banker fees, advisory fees, legal costs, accounting fees and consulting fees.</w:t>
      </w:r>
    </w:p>
    <w:p>
      <w:pPr>
        <w:spacing w:after="0" w:line="21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purchase accounting associated with the PRA Merger remains ongoing and we continue to review the acquisition balance sheet. We expect to conclude the purchase accounting exercise by June 30,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ind w:left="660"/>
              <w:spacing w:after="0"/>
              <w:rPr>
                <w:sz w:val="20"/>
                <w:szCs w:val="20"/>
                <w:color w:val="auto"/>
              </w:rPr>
            </w:pPr>
            <w:r>
              <w:rPr>
                <w:rFonts w:ascii="Arial" w:cs="Arial" w:eastAsia="Arial" w:hAnsi="Arial"/>
                <w:sz w:val="16"/>
                <w:szCs w:val="16"/>
                <w:color w:val="auto"/>
              </w:rPr>
              <w:t>The preliminary Merger Date fair value of the consideration transferred consisted of the following:</w:t>
            </w:r>
          </w:p>
        </w:tc>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72"/>
        </w:trPr>
        <w:tc>
          <w:tcPr>
            <w:tcW w:w="8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216"/>
        </w:trPr>
        <w:tc>
          <w:tcPr>
            <w:tcW w:w="85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Fair value of cash consideration</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2200" w:type="dxa"/>
            <w:vAlign w:val="bottom"/>
          </w:tcPr>
          <w:p>
            <w:pPr>
              <w:jc w:val="right"/>
              <w:spacing w:after="0"/>
              <w:rPr>
                <w:sz w:val="20"/>
                <w:szCs w:val="20"/>
                <w:color w:val="auto"/>
              </w:rPr>
            </w:pPr>
            <w:r>
              <w:rPr>
                <w:rFonts w:ascii="Arial" w:cs="Arial" w:eastAsia="Arial" w:hAnsi="Arial"/>
                <w:sz w:val="16"/>
                <w:szCs w:val="16"/>
                <w:color w:val="auto"/>
              </w:rPr>
              <w:t>5,308,646</w:t>
            </w: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ordinary shares issued to acquiree stockholders</w:t>
            </w:r>
          </w:p>
        </w:tc>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5,658,126</w:t>
            </w: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Fair value of replacement share-based awards issued to acquiree employees</w:t>
            </w:r>
          </w:p>
        </w:tc>
        <w:tc>
          <w:tcPr>
            <w:tcW w:w="46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209,399</w:t>
            </w: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term loan obligations and accrued interest *</w:t>
            </w:r>
          </w:p>
        </w:tc>
        <w:tc>
          <w:tcPr>
            <w:tcW w:w="46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865,800</w:t>
            </w:r>
          </w:p>
        </w:tc>
      </w:tr>
      <w:tr>
        <w:trPr>
          <w:trHeight w:val="209"/>
        </w:trPr>
        <w:tc>
          <w:tcPr>
            <w:tcW w:w="858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12,041,971</w:t>
            </w:r>
          </w:p>
        </w:tc>
      </w:tr>
      <w:tr>
        <w:trPr>
          <w:trHeight w:val="21"/>
        </w:trPr>
        <w:tc>
          <w:tcPr>
            <w:tcW w:w="8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firstLine="8"/>
        <w:spacing w:after="0" w:line="286" w:lineRule="auto"/>
        <w:tabs>
          <w:tab w:leader="none" w:pos="12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represents the portion of PRA debt paid by ICON. PRA also paid $401.6 million from available cash to settle debt obligations that existed at the Merger Date.</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5" w:name="page16"/>
    <w:bookmarkEnd w:id="15"/>
    <w:p>
      <w:pPr>
        <w:ind w:right="100" w:firstLine="648"/>
        <w:spacing w:after="0" w:line="275" w:lineRule="auto"/>
        <w:rPr>
          <w:sz w:val="20"/>
          <w:szCs w:val="20"/>
          <w:color w:val="auto"/>
        </w:rPr>
      </w:pPr>
      <w:r>
        <w:rPr>
          <w:rFonts w:ascii="Arial" w:cs="Arial" w:eastAsia="Arial" w:hAnsi="Arial"/>
          <w:sz w:val="16"/>
          <w:szCs w:val="16"/>
          <w:color w:val="auto"/>
        </w:rPr>
        <w:t>The following table summarizes the preliminary allocation of the consideration transferred based on management’s estimates of Merger Date fair values of assets acquired and liabilities assumed, with the excess of the purchase price over the estimated fair values of the identifiable net assets acquired recorded as goodwill:</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July 1,</w:t>
            </w:r>
          </w:p>
        </w:tc>
      </w:tr>
      <w:tr>
        <w:trPr>
          <w:trHeight w:val="216"/>
        </w:trPr>
        <w:tc>
          <w:tcPr>
            <w:tcW w:w="65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65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259,971</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and unbilled revenue</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934,308</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125,156</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156,851</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181,708</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8,121,468</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4,886,000</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28,099</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33,928</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(50,259)</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(380,342)</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(37,355)</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(739,278)</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(148,037)</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Non-current deferred tax liabilities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(1,126,950)</w:t>
            </w:r>
          </w:p>
        </w:tc>
      </w:tr>
      <w:tr>
        <w:trPr>
          <w:trHeight w:val="216"/>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(203,297)</w:t>
            </w:r>
          </w:p>
        </w:tc>
      </w:tr>
      <w:tr>
        <w:trPr>
          <w:trHeight w:val="237"/>
        </w:trPr>
        <w:tc>
          <w:tcPr>
            <w:tcW w:w="6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3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12,041,971</w:t>
            </w:r>
          </w:p>
        </w:tc>
      </w:tr>
    </w:tbl>
    <w:p>
      <w:pPr>
        <w:spacing w:after="0" w:line="269" w:lineRule="exact"/>
        <w:rPr>
          <w:sz w:val="20"/>
          <w:szCs w:val="20"/>
          <w:color w:val="auto"/>
        </w:rPr>
      </w:pPr>
    </w:p>
    <w:p>
      <w:pPr>
        <w:ind w:right="20" w:firstLine="8"/>
        <w:spacing w:after="0" w:line="268" w:lineRule="auto"/>
        <w:tabs>
          <w:tab w:leader="none" w:pos="11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goodwill in connection with the Merger is primarily attributable to the assembled workforce of PRA and the expected synergies of the Merger. None of the goodwill recognized is expected to be deductible for income tax purposes.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preliminary estimates of the fair value of identified intangible assets and their respective useful lives as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Merger Date (in thousands, except for estimated useful lives):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Fair Value</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09"/>
        </w:trPr>
        <w:tc>
          <w:tcPr>
            <w:tcW w:w="5120" w:type="dxa"/>
            <w:vAlign w:val="bottom"/>
          </w:tcPr>
          <w:p>
            <w:pPr>
              <w:ind w:left="20"/>
              <w:spacing w:after="0"/>
              <w:rPr>
                <w:sz w:val="20"/>
                <w:szCs w:val="20"/>
                <w:color w:val="auto"/>
              </w:rPr>
            </w:pPr>
            <w:r>
              <w:rPr>
                <w:rFonts w:ascii="Arial" w:cs="Arial" w:eastAsia="Arial" w:hAnsi="Arial"/>
                <w:sz w:val="16"/>
                <w:szCs w:val="16"/>
                <w:color w:val="auto"/>
              </w:rPr>
              <w:t>Customer relationship</w:t>
            </w:r>
          </w:p>
        </w:tc>
        <w:tc>
          <w:tcPr>
            <w:tcW w:w="3040" w:type="dxa"/>
            <w:vAlign w:val="bottom"/>
          </w:tcPr>
          <w:p>
            <w:pPr>
              <w:jc w:val="right"/>
              <w:spacing w:after="0"/>
              <w:rPr>
                <w:sz w:val="20"/>
                <w:szCs w:val="20"/>
                <w:color w:val="auto"/>
              </w:rPr>
            </w:pPr>
            <w:r>
              <w:rPr>
                <w:rFonts w:ascii="Arial" w:cs="Arial" w:eastAsia="Arial" w:hAnsi="Arial"/>
                <w:sz w:val="16"/>
                <w:szCs w:val="16"/>
                <w:color w:val="auto"/>
              </w:rPr>
              <w:t>3,915,000</w:t>
            </w:r>
          </w:p>
        </w:tc>
        <w:tc>
          <w:tcPr>
            <w:tcW w:w="3060" w:type="dxa"/>
            <w:vAlign w:val="bottom"/>
          </w:tcPr>
          <w:p>
            <w:pPr>
              <w:jc w:val="right"/>
              <w:spacing w:after="0"/>
              <w:rPr>
                <w:sz w:val="20"/>
                <w:szCs w:val="20"/>
                <w:color w:val="auto"/>
              </w:rPr>
            </w:pPr>
            <w:r>
              <w:rPr>
                <w:rFonts w:ascii="Arial" w:cs="Arial" w:eastAsia="Arial" w:hAnsi="Arial"/>
                <w:sz w:val="16"/>
                <w:szCs w:val="16"/>
                <w:color w:val="auto"/>
              </w:rPr>
              <w:t>23 years</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490,000</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tcPr>
          <w:p>
            <w:pPr>
              <w:jc w:val="right"/>
              <w:spacing w:after="0"/>
              <w:rPr>
                <w:sz w:val="20"/>
                <w:szCs w:val="20"/>
                <w:color w:val="auto"/>
              </w:rPr>
            </w:pPr>
            <w:r>
              <w:rPr>
                <w:rFonts w:ascii="Arial" w:cs="Arial" w:eastAsia="Arial" w:hAnsi="Arial"/>
                <w:sz w:val="16"/>
                <w:szCs w:val="16"/>
                <w:color w:val="auto"/>
              </w:rPr>
              <w:t>202,000</w:t>
            </w:r>
          </w:p>
        </w:tc>
        <w:tc>
          <w:tcPr>
            <w:tcW w:w="306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168,000</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111,000</w:t>
            </w:r>
          </w:p>
        </w:tc>
        <w:tc>
          <w:tcPr>
            <w:tcW w:w="3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 years</w:t>
            </w:r>
          </w:p>
        </w:tc>
      </w:tr>
      <w:tr>
        <w:trPr>
          <w:trHeight w:val="235"/>
        </w:trPr>
        <w:tc>
          <w:tcPr>
            <w:tcW w:w="512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4,886,000</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Pro forma financial information</w:t>
      </w:r>
    </w:p>
    <w:p>
      <w:pPr>
        <w:spacing w:after="0" w:line="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pro forma financial information was derived from the historical financial statements of the Company and PRA and presents the combined results of operations as if the Merger had occurred on January 1, 2021. The pro forma financial information is presented for comparative purposes only and is not necessarily indicative of the results that would have actually occurred had the Merger been completed on January 1, 2021. In addition, the pro forma financial information does not give effect to any anticipated cost savings, operating efficiencies or other synergies that may result from the Merger, or any estimated costs that have been or will be incurred by the Company to integrate the assets and operations of PRA. Consequently, actual future results of the Company will differ from the pro forma financial information presented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March 31, 2022</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16"/>
        </w:trPr>
        <w:tc>
          <w:tcPr>
            <w:tcW w:w="7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84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(in thousands, except per share data)</w:t>
            </w:r>
          </w:p>
        </w:tc>
      </w:tr>
      <w:tr>
        <w:trPr>
          <w:trHeight w:val="209"/>
        </w:trPr>
        <w:tc>
          <w:tcPr>
            <w:tcW w:w="7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1,901,764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1,791,973</w:t>
            </w:r>
          </w:p>
        </w:tc>
      </w:tr>
      <w:tr>
        <w:trPr>
          <w:trHeight w:val="216"/>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111,970</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(204,650)</w:t>
            </w:r>
          </w:p>
        </w:tc>
      </w:tr>
    </w:tbl>
    <w:p>
      <w:pPr>
        <w:spacing w:after="0" w:line="35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pro forma financial information presented above for the three months ended March 31, 2021 reflect certain pro forma adjustments to reflect the financial performance of the Company had the Merger date been completed on January 1, 2021. The pro forma adjustments primarily relate to the amortization of acquired intangible assets, interest expense, amortization of deferred financing costs related to the new financing arrangements, transaction costs, share-based compensation expense related to the acceleration of share-based compensation awards and replacement share-based awards, and financing fees. The pro forma adjustments were tax effected using the tax rate relevant in the appropriate jurisdiction.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results presented above for the three months ended March 31, 2022 are as reported in the Consolidated Statement of Operations.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Equity method investments</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has invested $4.9 million to obtain a 49% interest in the voting share capital of Oncacare Limited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investments' in the Condensed Consolidated Statement of Operations.</w:t>
      </w:r>
    </w:p>
    <w:p>
      <w:pPr>
        <w:spacing w:after="0" w:line="2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majority investor has the right to sell the 51% majority voting share capital exclusively to the Company in a two and half year period commencing from January 1, 2023 and ICON also has the right to acquire the 51% majority voting share capital from August 1, 2025.</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our equity method investments at March 31, 2022:</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18"/>
                <w:szCs w:val="18"/>
                <w:color w:val="auto"/>
              </w:rPr>
            </w:pPr>
          </w:p>
        </w:tc>
        <w:tc>
          <w:tcPr>
            <w:tcW w:w="294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Ownership Percentage</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c>
          <w:tcPr>
            <w:tcW w:w="6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r>
      <w:tr>
        <w:trPr>
          <w:trHeight w:val="210"/>
        </w:trPr>
        <w:tc>
          <w:tcPr>
            <w:tcW w:w="44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March 31, 2022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09"/>
        </w:trPr>
        <w:tc>
          <w:tcPr>
            <w:tcW w:w="44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shd w:val="clear" w:color="auto" w:fill="CCEEFF"/>
          </w:tcPr>
          <w:p>
            <w:pPr>
              <w:spacing w:after="0"/>
              <w:rPr>
                <w:sz w:val="18"/>
                <w:szCs w:val="18"/>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Oncacare Limited</w:t>
            </w:r>
          </w:p>
        </w:tc>
        <w:tc>
          <w:tcPr>
            <w:tcW w:w="2940" w:type="dxa"/>
            <w:vAlign w:val="bottom"/>
          </w:tcPr>
          <w:p>
            <w:pPr>
              <w:jc w:val="right"/>
              <w:ind w:right="399"/>
              <w:spacing w:after="0"/>
              <w:rPr>
                <w:sz w:val="20"/>
                <w:szCs w:val="20"/>
                <w:color w:val="auto"/>
              </w:rPr>
            </w:pPr>
            <w:r>
              <w:rPr>
                <w:rFonts w:ascii="Arial" w:cs="Arial" w:eastAsia="Arial" w:hAnsi="Arial"/>
                <w:sz w:val="16"/>
                <w:szCs w:val="16"/>
                <w:color w:val="auto"/>
              </w:rPr>
              <w:t>49 % $</w:t>
            </w:r>
          </w:p>
        </w:tc>
        <w:tc>
          <w:tcPr>
            <w:tcW w:w="1640" w:type="dxa"/>
            <w:vAlign w:val="bottom"/>
          </w:tcPr>
          <w:p>
            <w:pPr>
              <w:jc w:val="right"/>
              <w:spacing w:after="0"/>
              <w:rPr>
                <w:sz w:val="20"/>
                <w:szCs w:val="20"/>
                <w:color w:val="auto"/>
              </w:rPr>
            </w:pPr>
            <w:r>
              <w:rPr>
                <w:rFonts w:ascii="Arial" w:cs="Arial" w:eastAsia="Arial" w:hAnsi="Arial"/>
                <w:sz w:val="16"/>
                <w:szCs w:val="16"/>
                <w:color w:val="auto"/>
              </w:rPr>
              <w:t>1,588</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2,373</w:t>
            </w:r>
          </w:p>
        </w:tc>
      </w:tr>
      <w:tr>
        <w:trPr>
          <w:trHeight w:val="271"/>
        </w:trPr>
        <w:tc>
          <w:tcPr>
            <w:tcW w:w="4400" w:type="dxa"/>
            <w:vAlign w:val="bottom"/>
            <w:tcBorders>
              <w:bottom w:val="single" w:sz="8" w:color="auto"/>
            </w:tcBorders>
            <w:shd w:val="clear" w:color="auto" w:fill="CCEEFF"/>
          </w:tcPr>
          <w:p>
            <w:pPr>
              <w:spacing w:after="0"/>
              <w:rPr>
                <w:sz w:val="23"/>
                <w:szCs w:val="23"/>
                <w:color w:val="auto"/>
              </w:rPr>
            </w:pPr>
          </w:p>
        </w:tc>
        <w:tc>
          <w:tcPr>
            <w:tcW w:w="29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r>
    </w:tbl>
    <w:p>
      <w:pPr>
        <w:spacing w:after="0" w:line="323"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6"/>
          <w:szCs w:val="16"/>
          <w:color w:val="auto"/>
        </w:rPr>
        <w:t>The Company has recorded a loss of $0.8 million representing its pro rata share of the losses in Oncacare for the three month period ended March 31, 2022. During the year ended December 31, 2021, the Company provided a loan of $10 million to Oncacare in order to fund the continued development of the business operations. The loan accrues annual interest at 1.6% and the loan is repayable on June 30, 2025. Oncacare continues to perform in line with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9. Fair value measurements</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19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21" w:lineRule="exact"/>
        <w:rPr>
          <w:rFonts w:ascii="Arial" w:cs="Arial" w:eastAsia="Arial" w:hAnsi="Arial"/>
          <w:sz w:val="16"/>
          <w:szCs w:val="16"/>
          <w:color w:val="auto"/>
        </w:rPr>
      </w:pPr>
    </w:p>
    <w:p>
      <w:pPr>
        <w:jc w:val="both"/>
        <w:ind w:left="660" w:hanging="328"/>
        <w:spacing w:after="0" w:line="25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 w:lineRule="exact"/>
        <w:rPr>
          <w:rFonts w:ascii="Arial" w:cs="Arial" w:eastAsia="Arial" w:hAnsi="Arial"/>
          <w:sz w:val="16"/>
          <w:szCs w:val="16"/>
          <w:color w:val="auto"/>
        </w:rPr>
      </w:pPr>
    </w:p>
    <w:p>
      <w:pPr>
        <w:ind w:left="660" w:hanging="328"/>
        <w:spacing w:after="0" w:line="27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19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unbilled services, contract assets, accounts payable, and unearned revenue approximate fair value due to the short maturities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Recurring Fair Value Measurements</w:t>
      </w:r>
    </w:p>
    <w:p>
      <w:pPr>
        <w:spacing w:after="0" w:line="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classifies its interests in investments in equity-long term having considered the nature of its investment, the extent of influence over operating and financial decisions and the availability of readily determinable fair values. The Company determined that the interests in funds at March 31, 2022 and December 31, 2021 meet the definition of equity securities without readily determinable fair values. The Company concluded that the interests held at March 31, 2022 and December 31, 2021 qualify for the Net Asset Value (NAV) practical expedient in ASC 820 'Fair value measurements and disclosures'. Any increases or decreases in fair value are recognized in net income in the period. These are therefore measured at Level 3 of the fair value hierarchy. The value of these investments were $26.0 million at March 31, 2022 and $22.6 million at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Certain assets and liabilities are carried on the accompanying Condensed Consolidated Balance Sheet at cost and are not re-measured to fair value on a recurring basis. These assets include finite-lived intangible assets that are tested for impairment when a triggering event occurs and goodwill and identifiable indefinite-lived intangible assets that are tested for impairment annually or when a triggering event occurs. As of March 31, 2022, assets carried on the balance sheet and not re-measured to fair value on a recurring basis totaled approximately $13,620.6 million and are identified as Level 3 assets. These assets are comprised of goodwill of $9,028.0 million and identifiable intangible assets, net of $4,592.6 million. Refer to "Note 12 - Bank credit lines and loan facilities" for additional information regarding the fair value of long-term debt balances.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10. Restructuring</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the three months ended March 31, 2022, a restructuring charge of $4.2 million was recorded in the Condensed Consolidated Statement of Operations under a restructuring plan adopted following a review of operations. The restructuring plan reflected resource rationalization across the business to improve employee utilization and an office consolidation program to optimize the Company's office footprint. The restructuring plan resulted in an impairment of ROU assets and associated unavoidable costs totaling $4.2 million, a credit of $0.2 million relating to workforce reductions and fixed asset impairment of $0.2 million.</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3900" w:type="dxa"/>
            <w:vAlign w:val="bottom"/>
            <w:tcBorders>
              <w:bottom w:val="single" w:sz="8" w:color="auto"/>
            </w:tcBorders>
            <w:gridSpan w:val="3"/>
            <w:shd w:val="clear" w:color="auto" w:fill="CCEEFF"/>
          </w:tcPr>
          <w:p>
            <w:pPr>
              <w:jc w:val="center"/>
              <w:ind w:right="49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6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March 31, 2021</w:t>
            </w:r>
          </w:p>
        </w:tc>
      </w:tr>
      <w:tr>
        <w:trPr>
          <w:trHeight w:val="209"/>
        </w:trPr>
        <w:tc>
          <w:tcPr>
            <w:tcW w:w="6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jc w:val="center"/>
              <w:ind w:right="499"/>
              <w:spacing w:after="0"/>
              <w:rPr>
                <w:sz w:val="20"/>
                <w:szCs w:val="20"/>
                <w:color w:val="auto"/>
              </w:rPr>
            </w:pPr>
            <w:r>
              <w:rPr>
                <w:rFonts w:ascii="Arial" w:cs="Arial" w:eastAsia="Arial" w:hAnsi="Arial"/>
                <w:sz w:val="16"/>
                <w:szCs w:val="16"/>
                <w:b w:val="1"/>
                <w:bCs w:val="1"/>
                <w:color w:val="auto"/>
              </w:rPr>
              <w:t>(in thousands)</w:t>
            </w:r>
          </w:p>
        </w:tc>
      </w:tr>
      <w:tr>
        <w:trPr>
          <w:trHeight w:val="22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4,207</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ind w:left="1680"/>
              <w:spacing w:after="0"/>
              <w:rPr>
                <w:sz w:val="20"/>
                <w:szCs w:val="20"/>
                <w:color w:val="auto"/>
              </w:rPr>
            </w:pPr>
            <w:r>
              <w:rPr>
                <w:rFonts w:ascii="Arial" w:cs="Arial" w:eastAsia="Arial" w:hAnsi="Arial"/>
                <w:sz w:val="16"/>
                <w:szCs w:val="16"/>
                <w:color w:val="auto"/>
              </w:rPr>
              <w:t>—</w:t>
            </w:r>
          </w:p>
        </w:tc>
      </w:tr>
      <w:tr>
        <w:trPr>
          <w:trHeight w:val="240"/>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charge</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4,207</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6"/>
                <w:szCs w:val="16"/>
                <w:color w:val="auto"/>
              </w:rPr>
              <w:t>—</w:t>
            </w: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At March 31, 2022, a total liability of $29.2 million was recorded on the Consolidated Balance Sheet relating to restructuring activities. The total liability included $24.4 million from lease and lease related liabilities of which $10.4 million is included within other liabilities and $14.0 million is included within non-current operating lease liabilities. The remaining provision of $4.8 million relates to workforce reduction and is included within other liabilities.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6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6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1560" w:type="dxa"/>
            <w:vAlign w:val="bottom"/>
            <w:shd w:val="clear" w:color="auto" w:fill="CCEEFF"/>
          </w:tcPr>
          <w:p>
            <w:pPr>
              <w:spacing w:after="0"/>
              <w:rPr>
                <w:sz w:val="18"/>
                <w:szCs w:val="18"/>
                <w:color w:val="auto"/>
              </w:rPr>
            </w:pPr>
          </w:p>
        </w:tc>
      </w:tr>
      <w:tr>
        <w:trPr>
          <w:trHeight w:val="270"/>
        </w:trPr>
        <w:tc>
          <w:tcPr>
            <w:tcW w:w="6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provision</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28,353</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10,748</w:t>
            </w:r>
          </w:p>
        </w:tc>
      </w:tr>
      <w:tr>
        <w:trPr>
          <w:trHeight w:val="215"/>
        </w:trPr>
        <w:tc>
          <w:tcPr>
            <w:tcW w:w="6740" w:type="dxa"/>
            <w:vAlign w:val="bottom"/>
          </w:tcPr>
          <w:p>
            <w:pPr>
              <w:ind w:left="20"/>
              <w:spacing w:after="0"/>
              <w:rPr>
                <w:sz w:val="20"/>
                <w:szCs w:val="20"/>
                <w:color w:val="auto"/>
              </w:rPr>
            </w:pPr>
            <w:r>
              <w:rPr>
                <w:rFonts w:ascii="Arial" w:cs="Arial" w:eastAsia="Arial" w:hAnsi="Arial"/>
                <w:sz w:val="16"/>
                <w:szCs w:val="16"/>
                <w:color w:val="auto"/>
              </w:rPr>
              <w:t>Additional provisions</w:t>
            </w:r>
          </w:p>
        </w:tc>
        <w:tc>
          <w:tcPr>
            <w:tcW w:w="3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4,153</w:t>
            </w:r>
          </w:p>
        </w:tc>
        <w:tc>
          <w:tcPr>
            <w:tcW w:w="6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26,674</w:t>
            </w:r>
          </w:p>
        </w:tc>
      </w:tr>
      <w:tr>
        <w:trPr>
          <w:trHeight w:val="217"/>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Release provision</w:t>
            </w:r>
          </w:p>
        </w:tc>
        <w:tc>
          <w:tcPr>
            <w:tcW w:w="3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(9,069)</w:t>
            </w:r>
          </w:p>
        </w:tc>
      </w:tr>
      <w:tr>
        <w:trPr>
          <w:trHeight w:val="235"/>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Ending provision</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29,224</w:t>
            </w: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28,353</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Operating leases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 costs recorded under operating leases for the three months ended March 31, 2022 and March 31, 2021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00" w:type="dxa"/>
            <w:vAlign w:val="bottom"/>
            <w:tcBorders>
              <w:bottom w:val="single" w:sz="8" w:color="auto"/>
            </w:tcBorders>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March 31, 2022</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10"/>
        </w:trPr>
        <w:tc>
          <w:tcPr>
            <w:tcW w:w="7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3"/>
            <w:shd w:val="clear" w:color="auto" w:fill="CCEEFF"/>
          </w:tcPr>
          <w:p>
            <w:pPr>
              <w:ind w:left="800"/>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790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ind w:left="800"/>
              <w:spacing w:after="0"/>
              <w:rPr>
                <w:sz w:val="20"/>
                <w:szCs w:val="20"/>
                <w:color w:val="auto"/>
              </w:rPr>
            </w:pPr>
            <w:r>
              <w:rPr>
                <w:rFonts w:ascii="Arial" w:cs="Arial" w:eastAsia="Arial" w:hAnsi="Arial"/>
                <w:sz w:val="16"/>
                <w:szCs w:val="16"/>
                <w:color w:val="auto"/>
              </w:rPr>
              <w:t>15,264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7,789</w:t>
            </w:r>
          </w:p>
        </w:tc>
      </w:tr>
      <w:tr>
        <w:trPr>
          <w:trHeight w:val="216"/>
        </w:trPr>
        <w:tc>
          <w:tcPr>
            <w:tcW w:w="7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(327)</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09"/>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14,937</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7,578</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total cost of $14.9 million incurred in the three months ended March 31, 2022 (March 31, 2021: $7.6 million), $48.0 million (March 31,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 million) is recorded within selling, general and administration costs and $0.6 million (March 31, 2021: $0.6 million) is recorded within direct costs.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2022 and March 31, 2021, costs incurred by the Group related to variable lease payments was 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minimis.</w:t>
      </w:r>
    </w:p>
    <w:p>
      <w:pPr>
        <w:spacing w:after="0" w:line="232"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Right-of-use assets obtained during the three months ended March 31, 2022, excluding early termination options, now reasonably certain to be exercised of $Nil (March 31, 2021: $4.2 million), totaled $6.8 million (March 31, 2021: $2.9 million).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March 31, 2022 were 6.92 years and 2.48%,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60" w:type="dxa"/>
            <w:vAlign w:val="bottom"/>
          </w:tcPr>
          <w:p>
            <w:pPr>
              <w:ind w:left="660"/>
              <w:spacing w:after="0"/>
              <w:rPr>
                <w:sz w:val="20"/>
                <w:szCs w:val="20"/>
                <w:color w:val="auto"/>
              </w:rPr>
            </w:pPr>
            <w:r>
              <w:rPr>
                <w:rFonts w:ascii="Arial" w:cs="Arial" w:eastAsia="Arial" w:hAnsi="Arial"/>
                <w:sz w:val="16"/>
                <w:szCs w:val="16"/>
                <w:color w:val="auto"/>
              </w:rPr>
              <w:t>Future minimum lease payments under non-cancelable leases as of March 31, 2022 were as follows:</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10"/>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216"/>
        </w:trPr>
        <w:tc>
          <w:tcPr>
            <w:tcW w:w="8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 payments</w:t>
            </w:r>
          </w:p>
        </w:tc>
      </w:tr>
      <w:tr>
        <w:trPr>
          <w:trHeight w:val="216"/>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r>
      <w:tr>
        <w:trPr>
          <w:trHeight w:val="210"/>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52,372</w:t>
            </w:r>
          </w:p>
        </w:tc>
      </w:tr>
      <w:tr>
        <w:trPr>
          <w:trHeight w:val="215"/>
        </w:trPr>
        <w:tc>
          <w:tcPr>
            <w:tcW w:w="8760" w:type="dxa"/>
            <w:vAlign w:val="bottom"/>
          </w:tcPr>
          <w:p>
            <w:pPr>
              <w:ind w:left="20"/>
              <w:spacing w:after="0"/>
              <w:rPr>
                <w:sz w:val="20"/>
                <w:szCs w:val="20"/>
                <w:color w:val="auto"/>
              </w:rPr>
            </w:pPr>
            <w:r>
              <w:rPr>
                <w:rFonts w:ascii="Arial" w:cs="Arial" w:eastAsia="Arial" w:hAnsi="Arial"/>
                <w:sz w:val="16"/>
                <w:szCs w:val="16"/>
                <w:color w:val="auto"/>
              </w:rPr>
              <w:t>Year 2</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45,344</w:t>
            </w:r>
          </w:p>
        </w:tc>
      </w:tr>
      <w:tr>
        <w:trPr>
          <w:trHeight w:val="217"/>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3</w:t>
            </w: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29,086</w:t>
            </w:r>
          </w:p>
        </w:tc>
      </w:tr>
      <w:tr>
        <w:trPr>
          <w:trHeight w:val="215"/>
        </w:trPr>
        <w:tc>
          <w:tcPr>
            <w:tcW w:w="8760" w:type="dxa"/>
            <w:vAlign w:val="bottom"/>
          </w:tcPr>
          <w:p>
            <w:pPr>
              <w:ind w:left="20"/>
              <w:spacing w:after="0"/>
              <w:rPr>
                <w:sz w:val="20"/>
                <w:szCs w:val="20"/>
                <w:color w:val="auto"/>
              </w:rPr>
            </w:pPr>
            <w:r>
              <w:rPr>
                <w:rFonts w:ascii="Arial" w:cs="Arial" w:eastAsia="Arial" w:hAnsi="Arial"/>
                <w:sz w:val="16"/>
                <w:szCs w:val="16"/>
                <w:color w:val="auto"/>
              </w:rPr>
              <w:t>Year 4</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19,925</w:t>
            </w:r>
          </w:p>
        </w:tc>
      </w:tr>
      <w:tr>
        <w:trPr>
          <w:trHeight w:val="217"/>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5</w:t>
            </w: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16,870</w:t>
            </w:r>
          </w:p>
        </w:tc>
      </w:tr>
      <w:tr>
        <w:trPr>
          <w:trHeight w:val="22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56,684</w:t>
            </w:r>
          </w:p>
        </w:tc>
      </w:tr>
      <w:tr>
        <w:trPr>
          <w:trHeight w:val="216"/>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lease payments</w:t>
            </w: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220,281</w:t>
            </w:r>
          </w:p>
        </w:tc>
      </w:tr>
      <w:tr>
        <w:trPr>
          <w:trHeight w:val="22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imputed interest</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(17,312)</w:t>
            </w:r>
          </w:p>
        </w:tc>
      </w:tr>
      <w:tr>
        <w:trPr>
          <w:trHeight w:val="240"/>
        </w:trPr>
        <w:tc>
          <w:tcPr>
            <w:tcW w:w="8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202,969</w:t>
            </w:r>
          </w:p>
        </w:tc>
      </w:tr>
      <w:tr>
        <w:trPr>
          <w:trHeight w:val="20"/>
        </w:trPr>
        <w:tc>
          <w:tcPr>
            <w:tcW w:w="8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$48.6 million have been included in other liabilities as at March 31, 2022 (March 31, 2021: $23.8 million).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Bank credit lines and loan facilities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the following debt outstanding as of March 31, 2022 and December 31, 2021:</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2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6"/>
                <w:szCs w:val="16"/>
                <w:b w:val="1"/>
                <w:bCs w:val="1"/>
                <w:color w:val="auto"/>
              </w:rPr>
              <w:t>Principal amount</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18"/>
                <w:szCs w:val="18"/>
                <w:color w:val="auto"/>
              </w:rPr>
            </w:pPr>
          </w:p>
        </w:tc>
        <w:tc>
          <w:tcPr>
            <w:tcW w:w="31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Interest rate as of Interest rate as of</w:t>
            </w:r>
          </w:p>
        </w:tc>
        <w:tc>
          <w:tcPr>
            <w:tcW w:w="280" w:type="dxa"/>
            <w:vAlign w:val="bottom"/>
          </w:tcPr>
          <w:p>
            <w:pPr>
              <w:spacing w:after="0"/>
              <w:rPr>
                <w:sz w:val="18"/>
                <w:szCs w:val="18"/>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18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March 31, 2022</w:t>
            </w:r>
          </w:p>
        </w:tc>
        <w:tc>
          <w:tcPr>
            <w:tcW w:w="1600" w:type="dxa"/>
            <w:vAlign w:val="bottom"/>
            <w:gridSpan w:val="2"/>
            <w:shd w:val="clear" w:color="auto" w:fill="CCEEFF"/>
          </w:tcPr>
          <w:p>
            <w:pPr>
              <w:jc w:val="right"/>
              <w:ind w:right="460"/>
              <w:spacing w:after="0" w:line="162" w:lineRule="exact"/>
              <w:rPr>
                <w:sz w:val="20"/>
                <w:szCs w:val="20"/>
                <w:color w:val="auto"/>
              </w:rPr>
            </w:pPr>
            <w:r>
              <w:rPr>
                <w:rFonts w:ascii="Arial" w:cs="Arial" w:eastAsia="Arial" w:hAnsi="Arial"/>
                <w:sz w:val="16"/>
                <w:szCs w:val="16"/>
                <w:b w:val="1"/>
                <w:bCs w:val="1"/>
                <w:color w:val="auto"/>
              </w:rPr>
              <w:t>December 31,</w:t>
            </w:r>
          </w:p>
        </w:tc>
        <w:tc>
          <w:tcPr>
            <w:tcW w:w="134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80" w:type="dxa"/>
            <w:vAlign w:val="bottom"/>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Maturity Date</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auto"/>
            </w:tcBorders>
            <w:vMerge w:val="continue"/>
            <w:shd w:val="clear" w:color="auto" w:fill="CCEEFF"/>
          </w:tcPr>
          <w:p>
            <w:pPr>
              <w:spacing w:after="0"/>
              <w:rPr>
                <w:sz w:val="18"/>
                <w:szCs w:val="18"/>
                <w:color w:val="auto"/>
              </w:rPr>
            </w:pPr>
          </w:p>
        </w:tc>
        <w:tc>
          <w:tcPr>
            <w:tcW w:w="180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Arial" w:cs="Arial" w:eastAsia="Arial" w:hAnsi="Arial"/>
                <w:sz w:val="16"/>
                <w:szCs w:val="16"/>
                <w:color w:val="auto"/>
              </w:rPr>
              <w:t>Credit Facilities:</w:t>
            </w: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Term Loan</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3.313 %</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2.750 % $</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4,701,213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5,001,213</w:t>
            </w:r>
          </w:p>
        </w:tc>
        <w:tc>
          <w:tcPr>
            <w:tcW w:w="12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July 2028</w:t>
            </w:r>
          </w:p>
        </w:tc>
        <w:tc>
          <w:tcPr>
            <w:tcW w:w="0" w:type="dxa"/>
            <w:vAlign w:val="bottom"/>
          </w:tcPr>
          <w:p>
            <w:pPr>
              <w:spacing w:after="0"/>
              <w:rPr>
                <w:sz w:val="1"/>
                <w:szCs w:val="1"/>
                <w:color w:val="auto"/>
              </w:rPr>
            </w:pPr>
          </w:p>
        </w:tc>
      </w:tr>
      <w:tr>
        <w:trPr>
          <w:trHeight w:val="215"/>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Senior Secured Notes</w:t>
            </w:r>
          </w:p>
        </w:tc>
        <w:tc>
          <w:tcPr>
            <w:tcW w:w="18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2.875 %</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2.875 %</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2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July 2026</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5,201,213</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5,501,213</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 of long-term debt</w:t>
            </w:r>
          </w:p>
        </w:tc>
        <w:tc>
          <w:tcPr>
            <w:tcW w:w="1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(55,150)</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(55,150)</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5,146,063</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5,446,063</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1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(59,120)</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(64,901)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long-term debt, net</w:t>
            </w:r>
          </w:p>
        </w:tc>
        <w:tc>
          <w:tcPr>
            <w:tcW w:w="18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5,086,943</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5,381,162</w:t>
            </w: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paid a $27.6 million debt discount in connection with the Senior Secured Credit Facility and Senior Secured Notes.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2022, the contractual maturities of the Company's debt obligations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maturities of long-term debt:</w:t>
            </w:r>
          </w:p>
        </w:tc>
        <w:tc>
          <w:tcPr>
            <w:tcW w:w="33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2022 (remaining)</w:t>
            </w:r>
          </w:p>
        </w:tc>
        <w:tc>
          <w:tcPr>
            <w:tcW w:w="3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41,363</w:t>
            </w: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3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2024</w:t>
            </w:r>
          </w:p>
        </w:tc>
        <w:tc>
          <w:tcPr>
            <w:tcW w:w="3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55,150</w:t>
            </w: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3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2026 and thereafter</w:t>
            </w:r>
          </w:p>
        </w:tc>
        <w:tc>
          <w:tcPr>
            <w:tcW w:w="3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4,994,400</w:t>
            </w:r>
          </w:p>
        </w:tc>
      </w:tr>
      <w:tr>
        <w:trPr>
          <w:trHeight w:val="235"/>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5,201,213</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ind w:firstLine="648"/>
        <w:spacing w:after="0" w:line="286"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LIBOR plus an applicable margin of 2.50%, in each case, with a step down of 0.25% if the first lien net leverage ratio is equal to or less than 4.00 to 1.00. On November 10, 2021, the Company achieved a net leverage ratio of less than 4 times and the margin applicable to the senior secured term loan was reduced by 0.25%. The senior secured term loan facility is subject to a LIBOR floor of 0.50%.</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LIBOR (or an alternative reference rate) plus an applicable margin of 2.00%, 1.60% or 1.25% based on ICON’s current corporate family rating assigned by S&amp;P of BB- (or lower), BB or BB+ (or higher), respectively. In addition, lenders of under the revolving loan facility are entitled to commitment fees as a percentage of the applicable margin at the time of drawing and utilization fees dependent on the proportion of the facility drawn.</w:t>
      </w:r>
    </w:p>
    <w:p>
      <w:pPr>
        <w:spacing w:after="0" w:line="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Borrowers’ (as defined in the credit agreement)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(see below), subject to other permitted liens. Our long-term debt arrangements contain customary restrictive covenants and, as of March 31, 2022, we were in compliance with our restrictive covenants in all material respects.</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These repayments resulted in an additional charge associated with previously capitalized fees of $3.2 million. On December 29, 2021, the Company repaid $500.0 million of the senior secured term loan facility. The Company is permitted to make prepayments on the senior secured term loan without penalty.</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Notes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(the "Senior Secured Notes") in a private offering (the “Offering”). The Senior Secured Notes will mature on July 15, 2026.</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estimated fair value of the Company’s debt was $5,155.3 million at March 31, 2022. The fair values of the Senior Secured Credit Facilities and Senior Secured Notes were determined based on Level 2 inputs, which are based on rates at which the debt is traded among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13.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00" w:type="dxa"/>
            <w:vAlign w:val="bottom"/>
            <w:gridSpan w:val="2"/>
          </w:tcPr>
          <w:p>
            <w:pPr>
              <w:jc w:val="right"/>
              <w:ind w:right="59"/>
              <w:spacing w:after="0"/>
              <w:rPr>
                <w:sz w:val="20"/>
                <w:szCs w:val="20"/>
                <w:color w:val="auto"/>
              </w:rPr>
            </w:pPr>
            <w:r>
              <w:rPr>
                <w:rFonts w:ascii="Arial" w:cs="Arial" w:eastAsia="Arial" w:hAnsi="Arial"/>
                <w:sz w:val="16"/>
                <w:szCs w:val="16"/>
                <w:color w:val="auto"/>
              </w:rPr>
              <w:t>Income taxes recognized during the three months ended March 31, 2022 and March 31, 2021, comprise: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2"/>
        </w:trPr>
        <w:tc>
          <w:tcPr>
            <w:tcW w:w="8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40" w:type="dxa"/>
            <w:vAlign w:val="bottom"/>
            <w:gridSpan w:val="3"/>
          </w:tcPr>
          <w:p>
            <w:pPr>
              <w:spacing w:after="0"/>
              <w:rPr>
                <w:sz w:val="23"/>
                <w:szCs w:val="23"/>
                <w:color w:val="auto"/>
              </w:rPr>
            </w:pPr>
          </w:p>
        </w:tc>
      </w:tr>
      <w:tr>
        <w:trPr>
          <w:trHeight w:val="216"/>
        </w:trPr>
        <w:tc>
          <w:tcPr>
            <w:tcW w:w="80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bottom w:val="single" w:sz="8" w:color="auto"/>
            </w:tcBorders>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09"/>
        </w:trPr>
        <w:tc>
          <w:tcPr>
            <w:tcW w:w="8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Provision for income taxes (excluding restructuring)</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14,114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16,148</w:t>
            </w:r>
          </w:p>
        </w:tc>
      </w:tr>
      <w:tr>
        <w:trPr>
          <w:trHeight w:val="224"/>
        </w:trPr>
        <w:tc>
          <w:tcPr>
            <w:tcW w:w="8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Tax impact of restructuring</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13,286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16,148</w:t>
            </w:r>
          </w:p>
        </w:tc>
      </w:tr>
      <w:tr>
        <w:trPr>
          <w:trHeight w:val="21"/>
        </w:trPr>
        <w:tc>
          <w:tcPr>
            <w:tcW w:w="8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As at March 31, 2022 the Company maintains a $220.7 million liability (December 31, 2021: $217.6 million) for unrecognized tax benefit, which is comprised of $201.7 million (December 31, 2021: $202.1 million) related to items generating unrecognized tax benefits and $19.0 million (December 31, 2021: $15.5 million) for interest and penalties related to such items. The Company recognizes interest accrued on unrecognized tax benefits as an additional income tax expense.</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audit by the major tax jurisdictions where the Company does business are the 2016 through 2021 tax years. During such audits, local tax authorities may challenge the positions taken by us in our tax returns.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Net income per ordinary share</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18"/>
                <w:szCs w:val="18"/>
                <w:color w:val="auto"/>
              </w:rPr>
            </w:pPr>
          </w:p>
        </w:tc>
        <w:tc>
          <w:tcPr>
            <w:tcW w:w="2740" w:type="dxa"/>
            <w:vAlign w:val="bottom"/>
            <w:tcBorders>
              <w:bottom w:val="single" w:sz="8" w:color="auto"/>
            </w:tcBorders>
            <w:gridSpan w:val="2"/>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March 31, 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0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for basic net income per ordinary share</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81,463,303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52,811,460</w:t>
            </w:r>
          </w:p>
        </w:tc>
      </w:tr>
      <w:tr>
        <w:trPr>
          <w:trHeight w:val="223"/>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dilutive share options and other awards outstanding under share based compensation programs</w:t>
            </w: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1,149,795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498,993</w:t>
            </w:r>
          </w:p>
        </w:tc>
      </w:tr>
      <w:tr>
        <w:trPr>
          <w:trHeight w:val="240"/>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for diluted net income per ordinary share</w:t>
            </w: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82,613,098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53,310,453</w:t>
            </w:r>
          </w:p>
        </w:tc>
      </w:tr>
      <w:tr>
        <w:trPr>
          <w:trHeight w:val="20"/>
        </w:trPr>
        <w:tc>
          <w:tcPr>
            <w:tcW w:w="85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49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Ordinary Share attributable to the Group:</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Basic</w:t>
            </w:r>
          </w:p>
        </w:tc>
        <w:tc>
          <w:tcPr>
            <w:tcW w:w="3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41"/>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810"/>
        </w:trPr>
        <w:tc>
          <w:tcPr>
            <w:tcW w:w="4980" w:type="dxa"/>
            <w:vAlign w:val="bottom"/>
          </w:tcPr>
          <w:p>
            <w:pPr>
              <w:spacing w:after="0"/>
              <w:rPr>
                <w:sz w:val="24"/>
                <w:szCs w:val="24"/>
                <w:color w:val="auto"/>
              </w:rPr>
            </w:pPr>
          </w:p>
        </w:tc>
        <w:tc>
          <w:tcPr>
            <w:tcW w:w="3500" w:type="dxa"/>
            <w:vAlign w:val="bottom"/>
          </w:tcPr>
          <w:p>
            <w:pPr>
              <w:jc w:val="right"/>
              <w:ind w:right="267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7"/>
        </w:trPr>
        <w:tc>
          <w:tcPr>
            <w:tcW w:w="49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15. Share-based awards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option activity for the three months ended March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Weighted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spacing w:after="0"/>
              <w:rPr>
                <w:sz w:val="14"/>
                <w:szCs w:val="14"/>
                <w:color w:val="auto"/>
              </w:rPr>
            </w:pPr>
          </w:p>
        </w:tc>
        <w:tc>
          <w:tcPr>
            <w:tcW w:w="3200" w:type="dxa"/>
            <w:vAlign w:val="bottom"/>
            <w:vMerge w:val="restart"/>
            <w:shd w:val="clear" w:color="auto" w:fill="CCEEFF"/>
          </w:tcPr>
          <w:p>
            <w:pPr>
              <w:ind w:left="2520"/>
              <w:spacing w:after="0"/>
              <w:rPr>
                <w:sz w:val="20"/>
                <w:szCs w:val="20"/>
                <w:color w:val="auto"/>
              </w:rPr>
            </w:pPr>
            <w:r>
              <w:rPr>
                <w:rFonts w:ascii="Arial" w:cs="Arial" w:eastAsia="Arial" w:hAnsi="Arial"/>
                <w:sz w:val="16"/>
                <w:szCs w:val="16"/>
                <w:b w:val="1"/>
                <w:bCs w:val="1"/>
                <w:color w:val="auto"/>
              </w:rPr>
              <w:t>Options</w:t>
            </w:r>
          </w:p>
        </w:tc>
        <w:tc>
          <w:tcPr>
            <w:tcW w:w="660" w:type="dxa"/>
            <w:vAlign w:val="bottom"/>
            <w:shd w:val="clear" w:color="auto" w:fill="CCEEFF"/>
          </w:tcPr>
          <w:p>
            <w:pPr>
              <w:spacing w:after="0"/>
              <w:rPr>
                <w:sz w:val="14"/>
                <w:szCs w:val="14"/>
                <w:color w:val="auto"/>
              </w:rPr>
            </w:pPr>
          </w:p>
        </w:tc>
        <w:tc>
          <w:tcPr>
            <w:tcW w:w="1720" w:type="dxa"/>
            <w:vAlign w:val="bottom"/>
            <w:vMerge w:val="continue"/>
            <w:shd w:val="clear" w:color="auto" w:fill="CCEEFF"/>
          </w:tcPr>
          <w:p>
            <w:pPr>
              <w:spacing w:after="0"/>
              <w:rPr>
                <w:sz w:val="14"/>
                <w:szCs w:val="14"/>
                <w:color w:val="auto"/>
              </w:rPr>
            </w:pP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spacing w:after="0"/>
              <w:rPr>
                <w:sz w:val="14"/>
                <w:szCs w:val="14"/>
                <w:color w:val="auto"/>
              </w:rPr>
            </w:pPr>
          </w:p>
        </w:tc>
        <w:tc>
          <w:tcPr>
            <w:tcW w:w="320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419"/>
              <w:spacing w:after="0" w:line="162" w:lineRule="exact"/>
              <w:rPr>
                <w:sz w:val="20"/>
                <w:szCs w:val="20"/>
                <w:color w:val="auto"/>
              </w:rPr>
            </w:pPr>
            <w:r>
              <w:rPr>
                <w:rFonts w:ascii="Arial" w:cs="Arial" w:eastAsia="Arial" w:hAnsi="Arial"/>
                <w:sz w:val="16"/>
                <w:szCs w:val="16"/>
                <w:b w:val="1"/>
                <w:bCs w:val="1"/>
                <w:color w:val="auto"/>
              </w:rPr>
              <w:t>Average</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spacing w:after="0"/>
              <w:rPr>
                <w:sz w:val="14"/>
                <w:szCs w:val="14"/>
                <w:color w:val="auto"/>
              </w:rPr>
            </w:pPr>
          </w:p>
        </w:tc>
        <w:tc>
          <w:tcPr>
            <w:tcW w:w="3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6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419"/>
              <w:spacing w:after="0" w:line="162" w:lineRule="exact"/>
              <w:rPr>
                <w:sz w:val="20"/>
                <w:szCs w:val="20"/>
                <w:color w:val="auto"/>
              </w:rPr>
            </w:pPr>
            <w:r>
              <w:rPr>
                <w:rFonts w:ascii="Arial" w:cs="Arial" w:eastAsia="Arial" w:hAnsi="Arial"/>
                <w:sz w:val="16"/>
                <w:szCs w:val="16"/>
                <w:b w:val="1"/>
                <w:bCs w:val="1"/>
                <w:color w:val="auto"/>
              </w:rPr>
              <w:t>Exercise</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shd w:val="clear" w:color="auto" w:fill="CCEEFF"/>
          </w:tcPr>
          <w:p>
            <w:pPr>
              <w:spacing w:after="0"/>
              <w:rPr>
                <w:sz w:val="18"/>
                <w:szCs w:val="18"/>
                <w:color w:val="auto"/>
              </w:rPr>
            </w:pPr>
          </w:p>
        </w:tc>
        <w:tc>
          <w:tcPr>
            <w:tcW w:w="3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Number of Shares</w:t>
            </w:r>
          </w:p>
        </w:tc>
        <w:tc>
          <w:tcPr>
            <w:tcW w:w="6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Price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17"/>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2021</w:t>
            </w:r>
          </w:p>
        </w:tc>
        <w:tc>
          <w:tcPr>
            <w:tcW w:w="3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1,695,460</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104.79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Granted</w:t>
            </w:r>
          </w:p>
        </w:tc>
        <w:tc>
          <w:tcPr>
            <w:tcW w:w="3200" w:type="dxa"/>
            <w:vAlign w:val="bottom"/>
          </w:tcPr>
          <w:p>
            <w:pPr>
              <w:jc w:val="right"/>
              <w:ind w:right="39"/>
              <w:spacing w:after="0"/>
              <w:rPr>
                <w:sz w:val="20"/>
                <w:szCs w:val="20"/>
                <w:color w:val="auto"/>
              </w:rPr>
            </w:pPr>
            <w:r>
              <w:rPr>
                <w:rFonts w:ascii="Arial" w:cs="Arial" w:eastAsia="Arial" w:hAnsi="Arial"/>
                <w:sz w:val="16"/>
                <w:szCs w:val="16"/>
                <w:color w:val="auto"/>
              </w:rPr>
              <w:t>96,525</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479"/>
              <w:spacing w:after="0"/>
              <w:rPr>
                <w:sz w:val="20"/>
                <w:szCs w:val="20"/>
                <w:color w:val="auto"/>
              </w:rPr>
            </w:pPr>
            <w:r>
              <w:rPr>
                <w:rFonts w:ascii="Arial" w:cs="Arial" w:eastAsia="Arial" w:hAnsi="Arial"/>
                <w:sz w:val="16"/>
                <w:szCs w:val="16"/>
                <w:color w:val="auto"/>
              </w:rPr>
              <w:t>231.68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3200" w:type="dxa"/>
            <w:vAlign w:val="bottom"/>
            <w:shd w:val="clear" w:color="auto" w:fill="CCEEFF"/>
          </w:tcPr>
          <w:p>
            <w:pPr>
              <w:ind w:left="2520"/>
              <w:spacing w:after="0"/>
              <w:rPr>
                <w:sz w:val="20"/>
                <w:szCs w:val="20"/>
                <w:color w:val="auto"/>
              </w:rPr>
            </w:pPr>
            <w:r>
              <w:rPr>
                <w:rFonts w:ascii="Arial" w:cs="Arial" w:eastAsia="Arial" w:hAnsi="Arial"/>
                <w:sz w:val="16"/>
                <w:szCs w:val="16"/>
                <w:color w:val="auto"/>
              </w:rPr>
              <w:t>(84,090)</w:t>
            </w:r>
          </w:p>
        </w:tc>
        <w:tc>
          <w:tcPr>
            <w:tcW w:w="6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190.75</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Canceled/expired</w:t>
            </w:r>
          </w:p>
        </w:tc>
        <w:tc>
          <w:tcPr>
            <w:tcW w:w="3200" w:type="dxa"/>
            <w:vAlign w:val="bottom"/>
            <w:tcBorders>
              <w:bottom w:val="single" w:sz="8" w:color="auto"/>
            </w:tcBorders>
          </w:tcPr>
          <w:p>
            <w:pPr>
              <w:ind w:left="2520"/>
              <w:spacing w:after="0"/>
              <w:rPr>
                <w:sz w:val="20"/>
                <w:szCs w:val="20"/>
                <w:color w:val="auto"/>
              </w:rPr>
            </w:pPr>
            <w:r>
              <w:rPr>
                <w:rFonts w:ascii="Arial" w:cs="Arial" w:eastAsia="Arial" w:hAnsi="Arial"/>
                <w:sz w:val="16"/>
                <w:szCs w:val="16"/>
                <w:color w:val="auto"/>
              </w:rPr>
              <w:t>(25,660)</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113.04</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March 31, 2022</w:t>
            </w:r>
          </w:p>
        </w:tc>
        <w:tc>
          <w:tcPr>
            <w:tcW w:w="3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1,682,235</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118.36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2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Exercisable at March 31, 2022</w:t>
            </w:r>
          </w:p>
        </w:tc>
        <w:tc>
          <w:tcPr>
            <w:tcW w:w="3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1,054,178</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97.57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issues ordinary shares for all options exercised. The total amount of fully vested share options which remained outstanding at March 31, 2022 was 1,054,178. Fully vested share options at March 31, 2022 have an average remaining contractual term of 4.55 years, an average exercise price of $97.57.</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fair value of options granted during the three months ended March 31, 2022 and March 31, 2021 was calculated using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Black-Scholes option pricing model. The weighted average grant date fair values and assumptions used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7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grant date fair value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68.24</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48.36</w:t>
            </w:r>
          </w:p>
        </w:tc>
      </w:tr>
      <w:tr>
        <w:trPr>
          <w:trHeight w:val="176"/>
        </w:trPr>
        <w:tc>
          <w:tcPr>
            <w:tcW w:w="20" w:type="dxa"/>
            <w:vAlign w:val="bottom"/>
          </w:tcPr>
          <w:p>
            <w:pPr>
              <w:spacing w:after="0"/>
              <w:rPr>
                <w:sz w:val="15"/>
                <w:szCs w:val="15"/>
                <w:color w:val="auto"/>
              </w:rPr>
            </w:pPr>
          </w:p>
        </w:tc>
        <w:tc>
          <w:tcPr>
            <w:tcW w:w="7980" w:type="dxa"/>
            <w:vAlign w:val="bottom"/>
            <w:gridSpan w:val="2"/>
          </w:tcPr>
          <w:p>
            <w:pPr>
              <w:spacing w:after="0" w:line="175" w:lineRule="exact"/>
              <w:rPr>
                <w:sz w:val="20"/>
                <w:szCs w:val="20"/>
                <w:color w:val="auto"/>
              </w:rPr>
            </w:pPr>
            <w:r>
              <w:rPr>
                <w:rFonts w:ascii="Arial" w:cs="Arial" w:eastAsia="Arial" w:hAnsi="Arial"/>
                <w:sz w:val="16"/>
                <w:szCs w:val="16"/>
                <w:color w:val="auto"/>
              </w:rPr>
              <w:t>Assumptions:</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0.73 %</w:t>
            </w:r>
          </w:p>
        </w:tc>
      </w:tr>
      <w:tr>
        <w:trPr>
          <w:trHeight w:val="215"/>
        </w:trPr>
        <w:tc>
          <w:tcPr>
            <w:tcW w:w="2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Expected life</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2019, 2020 and 2021 vest over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ind w:right="120" w:firstLine="648"/>
        <w:spacing w:after="0" w:line="286"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three months ended March 31,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64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160" w:type="dxa"/>
            <w:vAlign w:val="bottom"/>
            <w:shd w:val="clear" w:color="auto" w:fill="CCEEFF"/>
          </w:tcPr>
          <w:p>
            <w:pPr>
              <w:spacing w:after="0"/>
              <w:rPr>
                <w:sz w:val="24"/>
                <w:szCs w:val="24"/>
                <w:color w:val="auto"/>
              </w:rPr>
            </w:pPr>
          </w:p>
        </w:tc>
        <w:tc>
          <w:tcPr>
            <w:tcW w:w="206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PSU</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62"/>
        </w:trPr>
        <w:tc>
          <w:tcPr>
            <w:tcW w:w="3640" w:type="dxa"/>
            <w:vAlign w:val="bottom"/>
            <w:shd w:val="clear" w:color="auto" w:fill="CCEEFF"/>
          </w:tcPr>
          <w:p>
            <w:pPr>
              <w:spacing w:after="0"/>
              <w:rPr>
                <w:sz w:val="14"/>
                <w:szCs w:val="14"/>
                <w:color w:val="auto"/>
              </w:rPr>
            </w:pPr>
          </w:p>
        </w:tc>
        <w:tc>
          <w:tcPr>
            <w:tcW w:w="2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6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479"/>
              <w:spacing w:after="0" w:line="162" w:lineRule="exact"/>
              <w:rPr>
                <w:sz w:val="20"/>
                <w:szCs w:val="20"/>
                <w:color w:val="auto"/>
              </w:rPr>
            </w:pPr>
            <w:r>
              <w:rPr>
                <w:rFonts w:ascii="Arial" w:cs="Arial" w:eastAsia="Arial" w:hAnsi="Arial"/>
                <w:sz w:val="16"/>
                <w:szCs w:val="16"/>
                <w:b w:val="1"/>
                <w:bCs w:val="1"/>
                <w:color w:val="auto"/>
              </w:rPr>
              <w:t>Weighted</w:t>
            </w:r>
          </w:p>
        </w:tc>
        <w:tc>
          <w:tcPr>
            <w:tcW w:w="1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r>
      <w:tr>
        <w:trPr>
          <w:trHeight w:val="162"/>
        </w:trPr>
        <w:tc>
          <w:tcPr>
            <w:tcW w:w="3640" w:type="dxa"/>
            <w:vAlign w:val="bottom"/>
            <w:shd w:val="clear" w:color="auto" w:fill="CCEEFF"/>
          </w:tcPr>
          <w:p>
            <w:pPr>
              <w:spacing w:after="0"/>
              <w:rPr>
                <w:sz w:val="14"/>
                <w:szCs w:val="14"/>
                <w:color w:val="auto"/>
              </w:rPr>
            </w:pPr>
          </w:p>
        </w:tc>
        <w:tc>
          <w:tcPr>
            <w:tcW w:w="2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6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479"/>
              <w:spacing w:after="0" w:line="162" w:lineRule="exact"/>
              <w:rPr>
                <w:sz w:val="20"/>
                <w:szCs w:val="20"/>
                <w:color w:val="auto"/>
              </w:rPr>
            </w:pPr>
            <w:r>
              <w:rPr>
                <w:rFonts w:ascii="Arial" w:cs="Arial" w:eastAsia="Arial" w:hAnsi="Arial"/>
                <w:sz w:val="16"/>
                <w:szCs w:val="16"/>
                <w:b w:val="1"/>
                <w:bCs w:val="1"/>
                <w:color w:val="auto"/>
                <w:w w:val="99"/>
              </w:rPr>
              <w:t>Average Grant Date</w:t>
            </w:r>
          </w:p>
        </w:tc>
        <w:tc>
          <w:tcPr>
            <w:tcW w:w="1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w w:val="99"/>
              </w:rPr>
              <w:t>Average Grant Date</w:t>
            </w:r>
          </w:p>
        </w:tc>
      </w:tr>
      <w:tr>
        <w:trPr>
          <w:trHeight w:val="216"/>
        </w:trPr>
        <w:tc>
          <w:tcPr>
            <w:tcW w:w="364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Fair Value</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17"/>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2021</w:t>
            </w: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154,190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160.23</w:t>
            </w: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572,785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191.20</w:t>
            </w:r>
          </w:p>
        </w:tc>
      </w:tr>
      <w:tr>
        <w:trPr>
          <w:trHeight w:val="243"/>
        </w:trPr>
        <w:tc>
          <w:tcPr>
            <w:tcW w:w="36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Granted</w:t>
            </w: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51,949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519"/>
              <w:spacing w:after="0"/>
              <w:rPr>
                <w:sz w:val="20"/>
                <w:szCs w:val="20"/>
                <w:color w:val="auto"/>
              </w:rPr>
            </w:pPr>
            <w:r>
              <w:rPr>
                <w:rFonts w:ascii="Arial" w:cs="Arial" w:eastAsia="Arial" w:hAnsi="Arial"/>
                <w:sz w:val="16"/>
                <w:szCs w:val="16"/>
                <w:color w:val="auto"/>
              </w:rPr>
              <w:t>231.68</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26,000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231.68</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140.38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166.85</w:t>
            </w:r>
          </w:p>
        </w:tc>
      </w:tr>
      <w:tr>
        <w:trPr>
          <w:trHeight w:val="22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140.18</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200.16</w:t>
            </w:r>
          </w:p>
        </w:tc>
      </w:tr>
      <w:tr>
        <w:trPr>
          <w:trHeight w:val="243"/>
        </w:trPr>
        <w:tc>
          <w:tcPr>
            <w:tcW w:w="36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15"/>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March 31, 2022</w:t>
            </w: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163,445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186.77</w:t>
            </w: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541,826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194.19</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three months ended March 31, 2022 totaled $6.0 million (full year 2021: $5.1 million).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three months ended March 31, 2022 totaled $5.4 million (full year 2021: $83.5 million).</w:t>
      </w:r>
    </w:p>
    <w:p>
      <w:pPr>
        <w:spacing w:after="0" w:line="26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PSUs vest based on service and specified EPS targets over the periods 2020 – 2022, 2021 - 2023 and 2022 - 2024. Depending on the amount of EPS from 2020 to 2024, up to an additional 82,594 PSUs may also be granted.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Non-cash stock compensation expense for the three months ended March 31, 2022 and March 31, 2021 has been allocated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gridSpan w:val="3"/>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09"/>
        </w:trPr>
        <w:tc>
          <w:tcPr>
            <w:tcW w:w="7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jc w:val="right"/>
              <w:ind w:right="107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4,999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2,055</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13,904</w:t>
            </w: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4,339</w:t>
            </w:r>
          </w:p>
        </w:tc>
      </w:tr>
      <w:tr>
        <w:trPr>
          <w:trHeight w:val="237"/>
        </w:trPr>
        <w:tc>
          <w:tcPr>
            <w:tcW w:w="7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0"/>
        </w:trPr>
        <w:tc>
          <w:tcPr>
            <w:tcW w:w="78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18,903</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6,394</w:t>
            </w:r>
          </w:p>
        </w:tc>
      </w:tr>
      <w:tr>
        <w:trPr>
          <w:trHeight w:val="20"/>
        </w:trPr>
        <w:tc>
          <w:tcPr>
            <w:tcW w:w="7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Share capital</w:t>
      </w:r>
    </w:p>
    <w:p>
      <w:pPr>
        <w:spacing w:after="0" w:line="262" w:lineRule="exact"/>
        <w:rPr>
          <w:sz w:val="20"/>
          <w:szCs w:val="20"/>
          <w:color w:val="auto"/>
        </w:rPr>
      </w:pPr>
    </w:p>
    <w:p>
      <w:pPr>
        <w:jc w:val="both"/>
        <w:ind w:right="20" w:firstLine="194"/>
        <w:spacing w:after="0" w:line="286"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the United States securities laws, and the Company’s constitutional documents through open market share acquisitions.</w:t>
      </w:r>
    </w:p>
    <w:p>
      <w:pPr>
        <w:spacing w:after="0" w:line="19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On July 1, 2021, the Company completed its Merger with PRA. In accordance with the terms of the Merger Agreement, the Company issued 27,372,427 shares of the Company’s ordinary share capital at par value in exchange for all outstanding PRA shares of common stock.</w:t>
      </w:r>
    </w:p>
    <w:p>
      <w:pPr>
        <w:spacing w:after="0" w:line="18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February 18, 2022, the Company commenced a share buyback program which was fully complete at March 31, 2022. Under this buyback program, 420,530 ordinary shares were redeemed by the Company for total consideration of $100.0 million. The buyback program gives a broker authority to acquire the Company’s ordinary shares from time to time on the open market in accordance with agreed terms and limitations. All ordinary shares that were redeemed under the buyback program were canceled in accordance with the Constitution of the Company and the nominal value of these shares transferred to other undenominated capital reserve as required under Irish Company Law.</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17. Business Segment and Geographical Information</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2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operates as one business segment, which is the provision of outsourced development services on a global basis to the pharmaceutical, biotechnology and medical devices industries.</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ICON Ireland (Ireland Segment)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39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 The integration of entities acquired through the Merger into this global network and global transfer pricing model remains ongoing.</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 The integration of entities acquired through the Merger into the global transfer pricing model remains ongoing and these entities were not substantially part of the Group's cost plus arrangement in the period ended March 31, 2022.</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Company's areas of operation outside of Ireland include the United States, United Kingdom, Austria, Belgium, Bulgaria, Czech Republic, France, Germany, Hungary, Italy, Latvia, Poland, Portugal, Romania, Russia, Serbia, Spain, Sweden, The Netherlands, Turkey, Ukraine, Canada, Argentina, Brazil, Chile, Colombia, Mexico, Peru, China (including Hong Kong), India, Israel, Japan, Singapore, South Korea, The Philippines, Taiwan, Thailand, Australia, New Zealand, South Africa, Belarus, Bermuda, British Virgin Islands, Costa Rica, Croatia, Denmark, Egypt, Estonia, Finland, Georgia, Greece, Guatemala, Iceland, Jersey, Kenya, Lithuania, Luxembourg, Malaysia, Norway, Panama, Puerto Rico, Slovakia, Switzerland and Uruguay.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6"/>
          <w:szCs w:val="16"/>
          <w:color w:val="auto"/>
        </w:rPr>
        <w:t>The geographical distribution of the Company’s segment measures as at March 31, 2022 and December 31, 2021 and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2022 and March 31, 2021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0" w:type="dxa"/>
            <w:vAlign w:val="bottom"/>
          </w:tcPr>
          <w:p>
            <w:pPr>
              <w:spacing w:after="0"/>
              <w:rPr>
                <w:sz w:val="20"/>
                <w:szCs w:val="20"/>
                <w:color w:val="auto"/>
              </w:rPr>
            </w:pPr>
            <w:r>
              <w:rPr>
                <w:rFonts w:ascii="Arial" w:cs="Arial" w:eastAsia="Arial" w:hAnsi="Arial"/>
                <w:sz w:val="16"/>
                <w:szCs w:val="16"/>
                <w:color w:val="auto"/>
              </w:rPr>
              <w:t>a) The distribution of revenue by geographical area was as follows: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10"/>
        </w:trPr>
        <w:tc>
          <w:tcPr>
            <w:tcW w:w="8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gridSpan w:val="3"/>
          </w:tcPr>
          <w:p>
            <w:pPr>
              <w:spacing w:after="0"/>
              <w:rPr>
                <w:sz w:val="9"/>
                <w:szCs w:val="9"/>
                <w:color w:val="auto"/>
              </w:rPr>
            </w:pPr>
          </w:p>
        </w:tc>
      </w:tr>
      <w:tr>
        <w:trPr>
          <w:trHeight w:val="216"/>
        </w:trPr>
        <w:tc>
          <w:tcPr>
            <w:tcW w:w="8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tcBorders>
            <w:gridSpan w:val="3"/>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 2022</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09"/>
        </w:trPr>
        <w:tc>
          <w:tcPr>
            <w:tcW w:w="8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left="319"/>
              <w:spacing w:after="0"/>
              <w:rPr>
                <w:sz w:val="20"/>
                <w:szCs w:val="20"/>
                <w:color w:val="auto"/>
              </w:rPr>
            </w:pPr>
            <w:r>
              <w:rPr>
                <w:rFonts w:ascii="Arial" w:cs="Arial" w:eastAsia="Arial" w:hAnsi="Arial"/>
                <w:sz w:val="16"/>
                <w:szCs w:val="16"/>
                <w:b w:val="1"/>
                <w:bCs w:val="1"/>
                <w:color w:val="auto"/>
              </w:rPr>
              <w:t>(in thousands)</w:t>
            </w:r>
          </w:p>
        </w:tc>
        <w:tc>
          <w:tcPr>
            <w:tcW w:w="700" w:type="dxa"/>
            <w:vAlign w:val="bottom"/>
            <w:shd w:val="clear" w:color="auto" w:fill="CCEEFF"/>
          </w:tcPr>
          <w:p>
            <w:pPr>
              <w:spacing w:after="0"/>
              <w:rPr>
                <w:sz w:val="18"/>
                <w:szCs w:val="18"/>
                <w:color w:val="auto"/>
              </w:rPr>
            </w:pPr>
          </w:p>
        </w:tc>
      </w:tr>
      <w:tr>
        <w:trPr>
          <w:trHeight w:val="215"/>
        </w:trPr>
        <w:tc>
          <w:tcPr>
            <w:tcW w:w="8600" w:type="dxa"/>
            <w:vAlign w:val="bottom"/>
          </w:tcPr>
          <w:p>
            <w:pPr>
              <w:ind w:left="20"/>
              <w:spacing w:after="0"/>
              <w:rPr>
                <w:sz w:val="20"/>
                <w:szCs w:val="20"/>
                <w:color w:val="auto"/>
              </w:rPr>
            </w:pPr>
            <w:r>
              <w:rPr>
                <w:rFonts w:ascii="Arial" w:cs="Arial" w:eastAsia="Arial" w:hAnsi="Arial"/>
                <w:sz w:val="16"/>
                <w:szCs w:val="16"/>
                <w:color w:val="auto"/>
              </w:rPr>
              <w:t>Ireland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367,359</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308,121</w:t>
            </w:r>
          </w:p>
        </w:tc>
      </w:tr>
      <w:tr>
        <w:trPr>
          <w:trHeight w:val="217"/>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456,064</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120,354</w:t>
            </w:r>
          </w:p>
        </w:tc>
      </w:tr>
      <w:tr>
        <w:trPr>
          <w:trHeight w:val="215"/>
        </w:trPr>
        <w:tc>
          <w:tcPr>
            <w:tcW w:w="8600" w:type="dxa"/>
            <w:vAlign w:val="bottom"/>
          </w:tcPr>
          <w:p>
            <w:pPr>
              <w:ind w:left="20"/>
              <w:spacing w:after="0"/>
              <w:rPr>
                <w:sz w:val="20"/>
                <w:szCs w:val="20"/>
                <w:color w:val="auto"/>
              </w:rPr>
            </w:pPr>
            <w:r>
              <w:rPr>
                <w:rFonts w:ascii="Arial" w:cs="Arial" w:eastAsia="Arial" w:hAnsi="Arial"/>
                <w:sz w:val="16"/>
                <w:szCs w:val="16"/>
                <w:color w:val="auto"/>
              </w:rPr>
              <w:t>U.S.</w:t>
            </w:r>
          </w:p>
        </w:tc>
        <w:tc>
          <w:tcPr>
            <w:tcW w:w="3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970,629</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352,496</w:t>
            </w:r>
          </w:p>
        </w:tc>
      </w:tr>
      <w:tr>
        <w:trPr>
          <w:trHeight w:val="224"/>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107,712</w:t>
            </w: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77,227</w:t>
            </w:r>
          </w:p>
        </w:tc>
      </w:tr>
      <w:tr>
        <w:trPr>
          <w:trHeight w:val="243"/>
        </w:trPr>
        <w:tc>
          <w:tcPr>
            <w:tcW w:w="8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0"/>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1,901,764</w:t>
            </w:r>
          </w:p>
        </w:tc>
        <w:tc>
          <w:tcPr>
            <w:tcW w:w="6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858,198</w:t>
            </w:r>
          </w:p>
        </w:tc>
      </w:tr>
      <w:tr>
        <w:trPr>
          <w:trHeight w:val="20"/>
        </w:trPr>
        <w:tc>
          <w:tcPr>
            <w:tcW w:w="8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499"/>
        </w:trPr>
        <w:tc>
          <w:tcPr>
            <w:tcW w:w="8600" w:type="dxa"/>
            <w:vAlign w:val="bottom"/>
          </w:tcPr>
          <w:p>
            <w:pPr>
              <w:spacing w:after="0"/>
              <w:rPr>
                <w:sz w:val="20"/>
                <w:szCs w:val="20"/>
                <w:color w:val="auto"/>
              </w:rPr>
            </w:pPr>
            <w:r>
              <w:rPr>
                <w:rFonts w:ascii="Arial" w:cs="Arial" w:eastAsia="Arial" w:hAnsi="Arial"/>
                <w:sz w:val="16"/>
                <w:szCs w:val="16"/>
                <w:color w:val="auto"/>
              </w:rPr>
              <w:t>b) The distribution of income from operations by geographical area was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23"/>
        </w:trPr>
        <w:tc>
          <w:tcPr>
            <w:tcW w:w="8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40" w:type="dxa"/>
            <w:vAlign w:val="bottom"/>
            <w:gridSpan w:val="3"/>
          </w:tcPr>
          <w:p>
            <w:pPr>
              <w:spacing w:after="0"/>
              <w:rPr>
                <w:sz w:val="10"/>
                <w:szCs w:val="10"/>
                <w:color w:val="auto"/>
              </w:rPr>
            </w:pPr>
          </w:p>
        </w:tc>
      </w:tr>
      <w:tr>
        <w:trPr>
          <w:trHeight w:val="216"/>
        </w:trPr>
        <w:tc>
          <w:tcPr>
            <w:tcW w:w="8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tcBorders>
            <w:gridSpan w:val="3"/>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 2022</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09"/>
        </w:trPr>
        <w:tc>
          <w:tcPr>
            <w:tcW w:w="8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left="319"/>
              <w:spacing w:after="0"/>
              <w:rPr>
                <w:sz w:val="20"/>
                <w:szCs w:val="20"/>
                <w:color w:val="auto"/>
              </w:rPr>
            </w:pPr>
            <w:r>
              <w:rPr>
                <w:rFonts w:ascii="Arial" w:cs="Arial" w:eastAsia="Arial" w:hAnsi="Arial"/>
                <w:sz w:val="16"/>
                <w:szCs w:val="16"/>
                <w:b w:val="1"/>
                <w:bCs w:val="1"/>
                <w:color w:val="auto"/>
              </w:rPr>
              <w:t>(in thousands)</w:t>
            </w:r>
          </w:p>
        </w:tc>
        <w:tc>
          <w:tcPr>
            <w:tcW w:w="700" w:type="dxa"/>
            <w:vAlign w:val="bottom"/>
            <w:shd w:val="clear" w:color="auto" w:fill="CCEEFF"/>
          </w:tcPr>
          <w:p>
            <w:pPr>
              <w:spacing w:after="0"/>
              <w:rPr>
                <w:sz w:val="18"/>
                <w:szCs w:val="18"/>
                <w:color w:val="auto"/>
              </w:rPr>
            </w:pPr>
          </w:p>
        </w:tc>
      </w:tr>
      <w:tr>
        <w:trPr>
          <w:trHeight w:val="215"/>
        </w:trPr>
        <w:tc>
          <w:tcPr>
            <w:tcW w:w="8600" w:type="dxa"/>
            <w:vAlign w:val="bottom"/>
          </w:tcPr>
          <w:p>
            <w:pPr>
              <w:ind w:left="20"/>
              <w:spacing w:after="0"/>
              <w:rPr>
                <w:sz w:val="20"/>
                <w:szCs w:val="20"/>
                <w:color w:val="auto"/>
              </w:rPr>
            </w:pPr>
            <w:r>
              <w:rPr>
                <w:rFonts w:ascii="Arial" w:cs="Arial" w:eastAsia="Arial" w:hAnsi="Arial"/>
                <w:sz w:val="16"/>
                <w:szCs w:val="16"/>
                <w:color w:val="auto"/>
              </w:rPr>
              <w:t>Ireland *</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9,874</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88,912</w:t>
            </w:r>
          </w:p>
        </w:tc>
      </w:tr>
      <w:tr>
        <w:trPr>
          <w:trHeight w:val="217"/>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59,509</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7,610</w:t>
            </w:r>
          </w:p>
        </w:tc>
      </w:tr>
      <w:tr>
        <w:trPr>
          <w:trHeight w:val="215"/>
        </w:trPr>
        <w:tc>
          <w:tcPr>
            <w:tcW w:w="8600" w:type="dxa"/>
            <w:vAlign w:val="bottom"/>
          </w:tcPr>
          <w:p>
            <w:pPr>
              <w:ind w:left="20"/>
              <w:spacing w:after="0"/>
              <w:rPr>
                <w:sz w:val="20"/>
                <w:szCs w:val="20"/>
                <w:color w:val="auto"/>
              </w:rPr>
            </w:pPr>
            <w:r>
              <w:rPr>
                <w:rFonts w:ascii="Arial" w:cs="Arial" w:eastAsia="Arial" w:hAnsi="Arial"/>
                <w:sz w:val="16"/>
                <w:szCs w:val="16"/>
                <w:color w:val="auto"/>
              </w:rPr>
              <w:t>U.S.</w:t>
            </w:r>
          </w:p>
        </w:tc>
        <w:tc>
          <w:tcPr>
            <w:tcW w:w="3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60,468</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13,237</w:t>
            </w:r>
          </w:p>
        </w:tc>
      </w:tr>
      <w:tr>
        <w:trPr>
          <w:trHeight w:val="224"/>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40,488</w:t>
            </w: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6,255</w:t>
            </w:r>
          </w:p>
        </w:tc>
      </w:tr>
      <w:tr>
        <w:trPr>
          <w:trHeight w:val="243"/>
        </w:trPr>
        <w:tc>
          <w:tcPr>
            <w:tcW w:w="8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0"/>
        </w:trPr>
        <w:tc>
          <w:tcPr>
            <w:tcW w:w="8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170,339</w:t>
            </w:r>
          </w:p>
        </w:tc>
        <w:tc>
          <w:tcPr>
            <w:tcW w:w="6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116,014</w:t>
            </w:r>
          </w:p>
        </w:tc>
      </w:tr>
      <w:tr>
        <w:trPr>
          <w:trHeight w:val="20"/>
        </w:trPr>
        <w:tc>
          <w:tcPr>
            <w:tcW w:w="8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8"/>
        <w:spacing w:after="0" w:line="286" w:lineRule="auto"/>
        <w:tabs>
          <w:tab w:leader="none" w:pos="12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the full amount of the amortization charge associated with the intangible asset acquired in the Merger. These assets have been provisionally allocated to Ireland.</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c) The distribution of long-lived assets (property, plant and equipment and operating right-of-use assets), net, by geographical area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shd w:val="clear" w:color="auto" w:fill="CCEEFF"/>
          </w:tcPr>
          <w:p>
            <w:pPr>
              <w:spacing w:after="0"/>
              <w:rPr>
                <w:sz w:val="16"/>
                <w:szCs w:val="16"/>
                <w:color w:val="auto"/>
              </w:rPr>
            </w:pPr>
          </w:p>
        </w:tc>
        <w:tc>
          <w:tcPr>
            <w:tcW w:w="5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shd w:val="clear" w:color="auto" w:fill="CCEEFF"/>
          </w:tcPr>
          <w:p>
            <w:pPr>
              <w:spacing w:after="0"/>
              <w:rPr>
                <w:sz w:val="18"/>
                <w:szCs w:val="18"/>
                <w:color w:val="auto"/>
              </w:rPr>
            </w:pPr>
          </w:p>
        </w:tc>
        <w:tc>
          <w:tcPr>
            <w:tcW w:w="5060" w:type="dxa"/>
            <w:vAlign w:val="bottom"/>
            <w:tcBorders>
              <w:bottom w:val="single" w:sz="8" w:color="auto"/>
            </w:tcBorders>
            <w:gridSpan w:val="2"/>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8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4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116,680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118,253</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4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107,742</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121,174</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236,379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239,828</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4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49,040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55,312</w:t>
            </w: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4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509,841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534,567</w:t>
            </w:r>
          </w:p>
        </w:tc>
        <w:tc>
          <w:tcPr>
            <w:tcW w:w="0" w:type="dxa"/>
            <w:vAlign w:val="bottom"/>
          </w:tcPr>
          <w:p>
            <w:pPr>
              <w:spacing w:after="0"/>
              <w:rPr>
                <w:sz w:val="1"/>
                <w:szCs w:val="1"/>
                <w:color w:val="auto"/>
              </w:rPr>
            </w:pP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2021. The consolidated financial statements have been prepared in accordance with accounting principles generally accepted in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2022, we employed approximately 39,300 employees, in 138 locations in 53 countries. During the three months ended March 31, 2022 we derived approximately 51.0%, 43.3% and 5.7% of our revenue in the United States, Europe and Rest of World respectively.</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1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Our unsatisfied performance obligation comprises our assessment of contracted revenue yet to be earned from projects awarded by clients. At March 31, 2022 we had unsatisfied performance obligations of approximately $13.6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unearned revenue or payments on account (contract liabilities) </w:t>
      </w:r>
      <w:r>
        <w:rPr>
          <w:rFonts w:ascii="Arial" w:cs="Arial" w:eastAsia="Arial" w:hAnsi="Arial"/>
          <w:sz w:val="16"/>
          <w:szCs w:val="16"/>
          <w:color w:val="auto"/>
        </w:rPr>
        <w:t>for further details). We believe that our unsatisfied performance obligations as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July 1, 2021, ICON plc announced the completion of its Merger with PRA creating one of the world’s most advanced healthcare intelligence and clinical research organization. The management's discussion and analysis below reflects the operating results of the Group for the three months ended March 31, 2022 which incorporates the results of PRA and results in large variances when comparing to the period ended March 31, 2021. The results of PRA prior to July 1, 2021 are not reflected. Where applicable, management have included commentary on specific one-time charges related to the Merger in order to provide an understanding of the normal operations of the Group.</w:t>
      </w:r>
    </w:p>
    <w:p>
      <w:pPr>
        <w:spacing w:after="0" w:line="19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ind w:firstLine="648"/>
        <w:spacing w:after="0" w:line="259" w:lineRule="auto"/>
        <w:rPr>
          <w:sz w:val="20"/>
          <w:szCs w:val="20"/>
          <w:color w:val="auto"/>
        </w:rPr>
      </w:pPr>
      <w:r>
        <w:rPr>
          <w:rFonts w:ascii="Arial" w:cs="Arial" w:eastAsia="Arial" w:hAnsi="Arial"/>
          <w:sz w:val="16"/>
          <w:szCs w:val="16"/>
          <w:color w:val="auto"/>
        </w:rPr>
        <w:t>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2022</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2022</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tcBorders>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to 2022</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40" w:type="dxa"/>
            <w:vAlign w:val="bottom"/>
            <w:gridSpan w:val="3"/>
          </w:tcPr>
          <w:p>
            <w:pPr>
              <w:jc w:val="center"/>
              <w:ind w:right="380"/>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5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Costs and expenses:</w:t>
            </w:r>
          </w:p>
        </w:tc>
        <w:tc>
          <w:tcPr>
            <w:tcW w:w="2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72.5 %</w:t>
            </w:r>
          </w:p>
        </w:tc>
        <w:tc>
          <w:tcPr>
            <w:tcW w:w="1460" w:type="dxa"/>
            <w:vAlign w:val="bottom"/>
          </w:tcPr>
          <w:p>
            <w:pPr>
              <w:jc w:val="right"/>
              <w:spacing w:after="0"/>
              <w:rPr>
                <w:sz w:val="20"/>
                <w:szCs w:val="20"/>
                <w:color w:val="auto"/>
              </w:rPr>
            </w:pPr>
            <w:r>
              <w:rPr>
                <w:rFonts w:ascii="Arial" w:cs="Arial" w:eastAsia="Arial" w:hAnsi="Arial"/>
                <w:sz w:val="16"/>
                <w:szCs w:val="16"/>
                <w:color w:val="auto"/>
              </w:rPr>
              <w:t>73.0 %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120.1 %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expense</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10.3 %</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1.4 %</w:t>
            </w:r>
          </w:p>
        </w:tc>
        <w:tc>
          <w:tcPr>
            <w:tcW w:w="14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109.1 %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6.0 %</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2,351.5 %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Transaction and integration-related expenses</w:t>
            </w: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0.6 %</w:t>
            </w:r>
          </w:p>
        </w:tc>
        <w:tc>
          <w:tcPr>
            <w:tcW w:w="14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4"/>
        </w:trPr>
        <w:tc>
          <w:tcPr>
            <w:tcW w:w="20" w:type="dxa"/>
            <w:vAlign w:val="bottom"/>
            <w:tcBorders>
              <w:bottom w:val="single" w:sz="8" w:color="auto"/>
            </w:tcBorders>
            <w:shd w:val="clear" w:color="auto" w:fill="CCEEFF"/>
          </w:tcPr>
          <w:p>
            <w:pPr>
              <w:spacing w:after="0"/>
              <w:rPr>
                <w:sz w:val="19"/>
                <w:szCs w:val="19"/>
                <w:color w:val="auto"/>
              </w:rPr>
            </w:pPr>
          </w:p>
        </w:tc>
        <w:tc>
          <w:tcPr>
            <w:tcW w:w="3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Restructuring</w:t>
            </w:r>
          </w:p>
        </w:tc>
        <w:tc>
          <w:tcPr>
            <w:tcW w:w="5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0.2 %</w:t>
            </w:r>
          </w:p>
        </w:tc>
        <w:tc>
          <w:tcPr>
            <w:tcW w:w="15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auto"/>
            </w:tcBorders>
            <w:shd w:val="clear" w:color="auto" w:fill="CCEEFF"/>
          </w:tcPr>
          <w:p>
            <w:pPr>
              <w:spacing w:after="0"/>
              <w:rPr>
                <w:sz w:val="20"/>
                <w:szCs w:val="20"/>
                <w:color w:val="auto"/>
              </w:rPr>
            </w:pPr>
          </w:p>
        </w:tc>
        <w:tc>
          <w:tcPr>
            <w:tcW w:w="3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58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9.0 %</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620" w:type="dxa"/>
            <w:vAlign w:val="bottom"/>
            <w:gridSpan w:val="3"/>
          </w:tcPr>
          <w:p>
            <w:pPr>
              <w:spacing w:after="0"/>
              <w:rPr>
                <w:sz w:val="20"/>
                <w:szCs w:val="20"/>
                <w:color w:val="auto"/>
              </w:rPr>
            </w:pPr>
            <w:r>
              <w:rPr>
                <w:rFonts w:ascii="Arial" w:cs="Arial" w:eastAsia="Arial" w:hAnsi="Arial"/>
                <w:sz w:val="16"/>
                <w:szCs w:val="16"/>
                <w:color w:val="auto"/>
              </w:rPr>
              <w:t>N/M = Not Meaningful</w:t>
            </w: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6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Revenue</w:t>
            </w: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60" w:type="dxa"/>
            <w:vAlign w:val="bottom"/>
            <w:gridSpan w:val="2"/>
          </w:tcPr>
          <w:p>
            <w:pPr>
              <w:spacing w:after="0"/>
              <w:rPr>
                <w:sz w:val="8"/>
                <w:szCs w:val="8"/>
                <w:color w:val="auto"/>
              </w:rPr>
            </w:pPr>
          </w:p>
        </w:tc>
        <w:tc>
          <w:tcPr>
            <w:tcW w:w="15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6"/>
                <w:szCs w:val="16"/>
                <w:b w:val="1"/>
                <w:bCs w:val="1"/>
                <w:color w:val="auto"/>
              </w:rPr>
              <w:t>Three Months Ended</w:t>
            </w:r>
          </w:p>
        </w:tc>
        <w:tc>
          <w:tcPr>
            <w:tcW w:w="158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b w:val="1"/>
                <w:bCs w:val="1"/>
                <w:color w:val="auto"/>
                <w:w w:val="98"/>
              </w:rPr>
              <w:t>Change</w:t>
            </w: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March 31,</w:t>
            </w:r>
          </w:p>
        </w:tc>
        <w:tc>
          <w:tcPr>
            <w:tcW w:w="15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gridSpan w:val="2"/>
            <w:vMerge w:val="continue"/>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1,901,764 $</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858,198 $</w:t>
            </w:r>
          </w:p>
        </w:tc>
        <w:tc>
          <w:tcPr>
            <w:tcW w:w="1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1,043,566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for the three months ended March 31, 2022 increased by $1,043.6 million, or 121.6%, to $1,901.8 million, compared to $858.2 million for the three months ended March 31, 2021. The increase in revenue for the three months ended March 31, 2022 is due to the Merger and continued organic growth across the Company's markets.</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the three months ended March 31, 2022 we derived approximately 51.0%, 43.3% and 5.7% of our revenue in the United States, Europe and Rest of World respectively. During the three months ended March 31, 2022, $544.6 million or 28.6% of our revenues were derived from our top 5 customers. New customer accounts are continually added across the full portfolio of large pharma customers, mid-tier pharma customers and biotech customers.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ind w:firstLine="648"/>
        <w:spacing w:after="0" w:line="261" w:lineRule="auto"/>
        <w:rPr>
          <w:sz w:val="20"/>
          <w:szCs w:val="20"/>
          <w:color w:val="auto"/>
        </w:rPr>
      </w:pPr>
      <w:r>
        <w:rPr>
          <w:rFonts w:ascii="Arial" w:cs="Arial" w:eastAsia="Arial" w:hAnsi="Arial"/>
          <w:sz w:val="16"/>
          <w:szCs w:val="16"/>
          <w:color w:val="auto"/>
        </w:rPr>
        <w:t xml:space="preserve">Revenue in Ireland for the three months ended March 31, 2022 increased to $367.4 million compared to $308.1 million for the three months ended March 31, 2021. Revenue in Ireland is principally a function of the Company’s global transfer pricing model (see </w:t>
      </w:r>
      <w:r>
        <w:rPr>
          <w:rFonts w:ascii="Arial" w:cs="Arial" w:eastAsia="Arial" w:hAnsi="Arial"/>
          <w:sz w:val="16"/>
          <w:szCs w:val="16"/>
          <w:i w:val="1"/>
          <w:iCs w:val="1"/>
          <w:color w:val="auto"/>
        </w:rPr>
        <w:t>note 17 - Business segment information</w:t>
      </w:r>
      <w:r>
        <w:rPr>
          <w:rFonts w:ascii="Arial" w:cs="Arial" w:eastAsia="Arial" w:hAnsi="Arial"/>
          <w:sz w:val="16"/>
          <w:szCs w:val="16"/>
          <w:color w:val="auto"/>
        </w:rPr>
        <w:t xml:space="preserve"> for further details). Revenue in our Rest of Europe region increased to $456.1 million compared to $120.4 million for the three months ended March 31, 2021. Revenue in the Rest of World region increased to $107.7 million compared to $77.2 million for the three months ended March 31, 2021. Revenue in the U.S. region increased to $970.6 million from $352.5 million for the three months ended March 31, 2021. Revenue has increased across all regions due to the completion of the Merger on July 1, 2021.</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March 31,</w:t>
            </w: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1,378,467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626,244</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752,223</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72.5 %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73.0 %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120.1 %</w:t>
            </w:r>
          </w:p>
        </w:tc>
      </w:tr>
    </w:tbl>
    <w:p>
      <w:pPr>
        <w:spacing w:after="0" w:line="31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Direct costs for the three months ended March 31, 2022 increased by $752.2 million, or 120.1%, to $1,378.5 million compared to $626.2 million for the three months ended March 31, 2021. Direct costs consist primarily of investigator and other reimbursable costs, compensation, associated fringe benefits and share based compensation expense for project-related employees and other direct project driven costs. The increase in direct costs arose due to an increase in headcount and an increase in personnel related expenditure in the period to March 31, 2022 as a result of the Merger combined with an increase in other direct project related costs, an increase in travel related costs and an increase in third party investigator and other reimbursable costs. These were partly offset by a small decrease in laboratory costs.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March 31,</w:t>
            </w: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195,261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86,034</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109,227</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10.0 %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127.0 %</w:t>
            </w:r>
          </w:p>
        </w:tc>
      </w:tr>
    </w:tbl>
    <w:p>
      <w:pPr>
        <w:spacing w:after="0" w:line="2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Selling, general and administrative expenses for the three months ended March 31, 2022 increased by $109.2 million, or 127%, to $195.3 million, compared to $86.0 million for the three months ended March 31, 2021. Selling, general and administrative expenses comprise primarily of compensation, related fringe benefits and routine share based compensation expense for non-project-related employees, recruitment expenditure, professional service costs, advertising costs and all costs related to facilities and information systems. As a percentage of revenue, selling, general and administrative expenses increased to 10.3% compared to 10.0% for the three months ended March 31, 2021. From March 31, 2021 to March 31, 2022, the increase in selling, general and administrative expenses relates to an increase in personnel related expenditure, an increase in general overhead costs, an increase in facilities related costs, an increase in marketing fees and an increase in professional fees. These increases were partly offset by a decrease in relation to foreign exchange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March 31,</w:t>
            </w:r>
          </w:p>
        </w:tc>
        <w:tc>
          <w:tcPr>
            <w:tcW w:w="6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26,603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12,722</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13,881</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1.5 %</w:t>
            </w: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109.1 %</w:t>
            </w: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114,802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4,683</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110,119</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0.5 %</w:t>
            </w: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2,351.5 %</w:t>
            </w:r>
          </w:p>
        </w:tc>
      </w:tr>
    </w:tbl>
    <w:p>
      <w:pPr>
        <w:spacing w:after="0" w:line="3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depreciation charge reflects investment in facilities, information systems and equipment to support the Company’s continued growth. The depreciation expense for the three months ended March 31, 2022 increased by $13.9 million, or 109.1%, to $26.6 million compared to $12.7 million for the three months ended March 31, 2021. The depreciation charge, from a value perspective, has increased mainly due to the additional office footprint acquired through the Merger. As a percentage of revenue the depreciation expense was 1.4%, which decreased from 1.5% for the three months ended March 31, 2021.</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amortization expense represents the amortization of intangible assets acquired in business combinations. Amortization of intangibles for the three months ended March 31, 2022 increased by $110.1 million, or 2,351.5%, to $114.8 million compared to $4.7 million for the three months ended March 31, 2021. The increase in amortization reflects the amortization of newly acquired intangibles arising on the Merger. As a percentage of revenue, amortization expense increased to 6.0%, compared to 0.5% for the three months ended March 31, 2021.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integration-related expenses associated with the Merger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integration-related expenses</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12,085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12,501</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(416)</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1.5 %</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Facilities restructuring costs</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4,207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4,207</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 %</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the three months ended March 31, 2022, the Company incurred $16.3 million for restructuring, transaction and integration-related expenses associated with the Merger. The charge includes transaction and integration costs of $12.1 million associated with advisory costs, retention agreements with employees and ongoing integration activities.</w:t>
      </w:r>
    </w:p>
    <w:p>
      <w:pPr>
        <w:spacing w:after="0" w:line="19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Company has also undertaken a restructuring program following the announcement of the Merger to review its global office footprint, optimize its locations to best fit the requirements of the Company and reorganize its workforce to drive future growth. This program has resulted in a charge of $4.2 million in the three months ended March 31, 2022.</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expect to incur additional integration expenses associated with the Merger; however, the timing and the amount of these expenses depends on various factors such as, but not limited to, the execution of integration activities and the aggregate amount of synergies we achieve from these activities.</w:t>
      </w:r>
    </w:p>
    <w:p>
      <w:pPr>
        <w:sectPr>
          <w:pgSz w:w="11900" w:h="16838" w:orient="portrait"/>
          <w:cols w:equalWidth="0" w:num="1">
            <w:col w:w="11240"/>
          </w:cols>
          <w:pgMar w:left="320" w:top="1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March 31,</w:t>
            </w:r>
          </w:p>
        </w:tc>
        <w:tc>
          <w:tcPr>
            <w:tcW w:w="6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170,339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116,014</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54,325</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13.5 %</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46.8 %</w:t>
            </w:r>
          </w:p>
        </w:tc>
      </w:tr>
    </w:tbl>
    <w:p>
      <w:pPr>
        <w:spacing w:after="0" w:line="3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from operations for the three months ended March 31, 2022 increased by $54.3 million or 46.8% to $170.3 million compared to $116.0 million for the three months ended March 31, 2021. As a percentage of revenue, income from operations decreased to 9.0% compared to 13.5% of revenue for the three months ended March 31, 2021.</w:t>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Income from operations in Ireland decreased to $9.9 million compared to $88.9 million for the three months ended March 31, 2021. The decrease in the period ended March 31, 2022 is mainly a result of the amortization charged on the intangible assets acquired in the Merger. Income from operations in Ireland and other geographic regions are reflective of the Company’s global transfer pricing model.</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Rest of Europe region, income from operations increased to $59.5 million compared to $7.6 million for the three months ended March 31, 2021. The increase is due to the additional activity in the region as a result of the Merger. As a percentage of revenues, income from operations in the Rest of Europe region increased to 13.0% compared to 6.3% for the period ended March 31, 2021.</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U.S. region, income from operations increased by $47.2 million, to $60.5 million, compared to $13.2 million for the period ended March 31, 2021. The increase is due to the additional activity in the region as a result of the Merger. As a percentage of revenues, income from operations in the U.S. region increased to 6.2% compared to 3.8% for the period ended March 31, 2021.</w:t>
      </w:r>
    </w:p>
    <w:p>
      <w:pPr>
        <w:spacing w:after="0" w:line="1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other regions, income from operations increased by $34.2 million to $40.5 million compared to $6.3 million for the three months ended March 31, 2021. The increase is due to the additional activity in the region as a result of the Merger. As percentage of revenues, income from operations in the other regions increased to 37.6% compared to 8.1% for the period ended March 31, 2021.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9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6"/>
                <w:szCs w:val="16"/>
                <w:b w:val="1"/>
                <w:bCs w:val="1"/>
                <w:color w:val="auto"/>
              </w:rPr>
              <w:t>March 31,</w:t>
            </w:r>
          </w:p>
        </w:tc>
        <w:tc>
          <w:tcPr>
            <w:tcW w:w="7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2022</w:t>
            </w:r>
          </w:p>
        </w:tc>
        <w:tc>
          <w:tcPr>
            <w:tcW w:w="10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(130)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(44,425)</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(2,727)</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699"/>
              <w:spacing w:after="0"/>
              <w:rPr>
                <w:sz w:val="20"/>
                <w:szCs w:val="20"/>
                <w:color w:val="auto"/>
              </w:rPr>
            </w:pPr>
            <w:r>
              <w:rPr>
                <w:rFonts w:ascii="Arial" w:cs="Arial" w:eastAsia="Arial" w:hAnsi="Arial"/>
                <w:sz w:val="16"/>
                <w:szCs w:val="16"/>
                <w:color w:val="auto"/>
              </w:rPr>
              <w:t>(41,698)</w:t>
            </w:r>
          </w:p>
        </w:tc>
        <w:tc>
          <w:tcPr>
            <w:tcW w:w="1160" w:type="dxa"/>
            <w:vAlign w:val="bottom"/>
          </w:tcPr>
          <w:p>
            <w:pPr>
              <w:jc w:val="right"/>
              <w:spacing w:after="0"/>
              <w:rPr>
                <w:sz w:val="20"/>
                <w:szCs w:val="20"/>
                <w:color w:val="auto"/>
              </w:rPr>
            </w:pPr>
            <w:r>
              <w:rPr>
                <w:rFonts w:ascii="Arial" w:cs="Arial" w:eastAsia="Arial" w:hAnsi="Arial"/>
                <w:sz w:val="16"/>
                <w:szCs w:val="16"/>
                <w:color w:val="auto"/>
              </w:rPr>
              <w:t>1,529.1 %</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Interest expense for the three months ended March 31, 2022 increased to $44.4 million, compared to $2.7 million for the three months ended March 31, 2021 due to the draw down of debt facilities associated with the Merger. No amounts were drawn down on the revolving credit facilities during the period ended March 31, 2022 or the period ended March 31, 2021. Interest income for the three months ended March 31, 2022 decreased to $0.1 million, compared to $0.3 million for the three months ended March 31, 2021. This reflects reduced returns on cash and cash equivalents.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2022</w:t>
            </w:r>
          </w:p>
        </w:tc>
        <w:tc>
          <w:tcPr>
            <w:tcW w:w="1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(excl. restructuring charges)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14,114</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16,148</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Effective income tax rate (excl. restructuring charges)</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10.8 %</w:t>
            </w:r>
          </w:p>
        </w:tc>
        <w:tc>
          <w:tcPr>
            <w:tcW w:w="10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14.2 %</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13,286</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16,148</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(2,862)</w:t>
            </w: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10.5 %</w:t>
            </w:r>
          </w:p>
        </w:tc>
        <w:tc>
          <w:tcPr>
            <w:tcW w:w="10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14.2 %</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color w:val="auto"/>
        </w:rPr>
        <w:t>Provision for income taxes decreased to a $13.3 million charge ($14.1 million charge excluding restructuring charges), compared to $16.1 million for the three months ended March 31, 2021. The Company’s effective tax rate for the three months ended March 31, 2022 was 10.5% (10.8% excluding restructuring charges) compared with 14.2% for the three months ended March 31, 2021.</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effective tax rate remains principally a function of the distribution of pre-tax profits amongst the territories in which it operates and the tax treatment of costs related to the Merger.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at the time the contract is entered into, with the balance paid in installments over the contract's duration, in some cases on the achievement of certain milestones. Therefore, cash receipts do not correspond to costs incurred and revenue recognized on contracts.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(Drawn</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Net cash</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Other non-</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Effect of</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Balance March 31,</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219"/>
              <w:spacing w:after="0" w:line="162" w:lineRule="exact"/>
              <w:rPr>
                <w:sz w:val="20"/>
                <w:szCs w:val="20"/>
                <w:color w:val="auto"/>
              </w:rPr>
            </w:pPr>
            <w:r>
              <w:rPr>
                <w:rFonts w:ascii="Arial" w:cs="Arial" w:eastAsia="Arial" w:hAnsi="Arial"/>
                <w:sz w:val="16"/>
                <w:szCs w:val="16"/>
                <w:b w:val="1"/>
                <w:bCs w:val="1"/>
                <w:color w:val="auto"/>
              </w:rPr>
              <w:t>December 31,</w:t>
            </w:r>
          </w:p>
        </w:tc>
        <w:tc>
          <w:tcPr>
            <w:tcW w:w="1200" w:type="dxa"/>
            <w:vAlign w:val="bottom"/>
            <w:shd w:val="clear" w:color="auto" w:fill="CCEEFF"/>
          </w:tcPr>
          <w:p>
            <w:pPr>
              <w:jc w:val="right"/>
              <w:ind w:right="179"/>
              <w:spacing w:after="0" w:line="162" w:lineRule="exact"/>
              <w:rPr>
                <w:sz w:val="20"/>
                <w:szCs w:val="20"/>
                <w:color w:val="auto"/>
              </w:rPr>
            </w:pPr>
            <w:r>
              <w:rPr>
                <w:rFonts w:ascii="Arial" w:cs="Arial" w:eastAsia="Arial" w:hAnsi="Arial"/>
                <w:sz w:val="16"/>
                <w:szCs w:val="16"/>
                <w:b w:val="1"/>
                <w:bCs w:val="1"/>
                <w:color w:val="auto"/>
              </w:rPr>
              <w:t>down)/</w:t>
            </w:r>
          </w:p>
        </w:tc>
        <w:tc>
          <w:tcPr>
            <w:tcW w:w="122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b w:val="1"/>
                <w:bCs w:val="1"/>
                <w:color w:val="auto"/>
              </w:rPr>
              <w:t>inflow/</w:t>
            </w:r>
          </w:p>
        </w:tc>
        <w:tc>
          <w:tcPr>
            <w:tcW w:w="146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cash</w:t>
            </w:r>
          </w:p>
        </w:tc>
        <w:tc>
          <w:tcPr>
            <w:tcW w:w="118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exchange</w:t>
            </w: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repaid</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(outflow)</w:t>
            </w:r>
          </w:p>
        </w:tc>
        <w:tc>
          <w:tcPr>
            <w:tcW w:w="1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adjustments</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rates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 (in thousands)</w:t>
            </w:r>
          </w:p>
        </w:tc>
        <w:tc>
          <w:tcPr>
            <w:tcW w:w="1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752,213</w:t>
            </w: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(185,132)</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(7,983)</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559,098</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6"/>
                <w:szCs w:val="16"/>
                <w:color w:val="auto"/>
              </w:rPr>
              <w:t>Available for sale investments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1,712</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tcPr>
          <w:p>
            <w:pPr>
              <w:ind w:left="7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1,712</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Senior Secured Credit Facilities &amp; Senior</w:t>
            </w:r>
          </w:p>
        </w:tc>
        <w:tc>
          <w:tcPr>
            <w:tcW w:w="146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(5,436,312)</w:t>
            </w:r>
          </w:p>
        </w:tc>
        <w:tc>
          <w:tcPr>
            <w:tcW w:w="12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300,000</w:t>
            </w:r>
          </w:p>
        </w:tc>
        <w:tc>
          <w:tcPr>
            <w:tcW w:w="1220" w:type="dxa"/>
            <w:vAlign w:val="bottom"/>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(5,781)</w:t>
            </w:r>
          </w:p>
        </w:tc>
        <w:tc>
          <w:tcPr>
            <w:tcW w:w="11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(5,142,093)</w:t>
            </w:r>
          </w:p>
        </w:tc>
        <w:tc>
          <w:tcPr>
            <w:tcW w:w="0" w:type="dxa"/>
            <w:vAlign w:val="bottom"/>
          </w:tcPr>
          <w:p>
            <w:pPr>
              <w:spacing w:after="0"/>
              <w:rPr>
                <w:sz w:val="1"/>
                <w:szCs w:val="1"/>
                <w:color w:val="auto"/>
              </w:rPr>
            </w:pPr>
          </w:p>
        </w:tc>
      </w:tr>
      <w:tr>
        <w:trPr>
          <w:trHeight w:val="221"/>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Secured Notes</w:t>
            </w: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(4,682,387)</w:t>
            </w: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300,000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(185,132)</w:t>
            </w: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(5,781)</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(7,983)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(4,581,283)</w:t>
            </w:r>
          </w:p>
        </w:tc>
        <w:tc>
          <w:tcPr>
            <w:tcW w:w="0" w:type="dxa"/>
            <w:vAlign w:val="bottom"/>
          </w:tcPr>
          <w:p>
            <w:pPr>
              <w:spacing w:after="0"/>
              <w:rPr>
                <w:sz w:val="1"/>
                <w:szCs w:val="1"/>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Company’s cash and short term investment balances at March 31, 2022 amounted to $560.8 million compared with cash and short term investment balances of $753.9 million at December 31, 2021.</w:t>
      </w:r>
    </w:p>
    <w:p>
      <w:pPr>
        <w:spacing w:after="0" w:line="19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Facilities").The senior secured term loan facility will mature in July 2028 and the revolving loan facility will mature in July 2026. No amounts have been drawn under the revolving loan facility at March 31, 2022.</w:t>
      </w:r>
    </w:p>
    <w:p>
      <w:pPr>
        <w:spacing w:after="0" w:line="20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In addition to the Senior Secured Credit Facilities, on July 1, 2021, the Company, issued $500 million in aggregate principal amount of 2.875% senior secured notes due 2026 in a private offering. The senior secured notes will mature on July 15, 2026 and will bear interest at a rate of 2.875%.</w:t>
      </w:r>
    </w:p>
    <w:p>
      <w:pPr>
        <w:spacing w:after="0" w:line="16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These repayments resulted in an accelerated charge associated with previously capitalized fees of $3.2 million.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Cash flows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Net cash provided by operating activities was $226.9 million for the three months ended March 31, 2022 compared with cash provided by operating activities of $111.9 million for the three months ended March 31, 2021. The dollar value of working capital balances and the related number of days’ revenue outstanding (i.e. revenue outstanding as a percentage of revenue for the period, multiplied by the number of days in the period) can vary over a study or trial duration. The number of days’ revenue outstanding at March 31, 2022 was 35 days compared to 31 days at December 31, 2021 and 49 days at March 31, 2021. This reflects the timing of cash collections and individual contractual terms.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Billed and unbilled revenue also includes amounts recoverable from customers in respect of reimbursable costs.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Net cash used in investing activities was $19.5 million for the three months ended March 31, 2022 compared to net cash used in investing activities of $9.3 million for the three months ended March 31, 2021. Net cash used in investing activities during the three months ended March 31, 2022 were primarily related to cash outflows of $19.6 million for capital expenditures made mainly relating to investment in facilities and IT infrastructure.</w:t>
      </w:r>
    </w:p>
    <w:p>
      <w:pPr>
        <w:spacing w:after="0" w:line="19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Net cash used in investing activities during the three months ended March 31, 2021 was largely attributable to capital expenditure of $8.7 million which was mainly comprised of investment in facilities and IT infrastructure. In addition, $0.6 million was used for the purchase of investments in equity.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Net cash provided by financing activities during the three months ended March 31, 2022 amounted to $392.5 million compared to net cash used in financing activities of $Nil for the three months ended March 31, 2021. During the three months ended March 31, 2022, the Company repaid external financing of $300.0 million and repurchased shares to the value of $100.0 million. This was offset by $7.5 million that was received by the Company from the exercise of share options.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a result of these cash flows, cash and cash equivalents decreased by $193.1 million for the three months ended March 31, 2022 compared to an increase of $102.2 million for the three months ended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effects of inflation generally do not have a material adverse impact on our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do not expect any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Certain statements contained herein are forward looking statements.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Forward-looking statements are only as of the date they are made and we do not undertake any obligation to update publicly any forward-looking statement, either as a result of new information, future events or otherwise. Please also refer to the Form 20-F filed on March 01, 2022 for risks and uncertainties facing the Company.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277"/>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45" w:lineRule="exact"/>
        <w:rPr>
          <w:sz w:val="20"/>
          <w:szCs w:val="20"/>
          <w:color w:val="auto"/>
        </w:rPr>
      </w:pPr>
    </w:p>
    <w:p>
      <w:pPr>
        <w:ind w:left="790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62318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26" w:lineRule="exact"/>
        <w:rPr>
          <w:sz w:val="20"/>
          <w:szCs w:val="20"/>
          <w:color w:val="auto"/>
        </w:rPr>
      </w:pPr>
    </w:p>
    <w:p>
      <w:pPr>
        <w:ind w:left="680" w:right="1740" w:hanging="7869"/>
        <w:spacing w:after="0" w:line="280" w:lineRule="auto"/>
        <w:tabs>
          <w:tab w:leader="none" w:pos="660" w:val="left"/>
        </w:tabs>
        <w:rPr>
          <w:sz w:val="20"/>
          <w:szCs w:val="20"/>
          <w:color w:val="auto"/>
        </w:rPr>
      </w:pPr>
      <w:r>
        <w:rPr>
          <w:rFonts w:ascii="Arial" w:cs="Arial" w:eastAsia="Arial" w:hAnsi="Arial"/>
          <w:sz w:val="16"/>
          <w:szCs w:val="16"/>
          <w:color w:val="auto"/>
        </w:rPr>
        <w:t>Date:</w:t>
        <w:tab/>
        <w:t>April 29, 2022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sectPr>
      <w:pgSz w:w="11900" w:h="16838" w:orient="portrait"/>
      <w:cols w:equalWidth="0" w:num="1">
        <w:col w:w="11220"/>
      </w:cols>
      <w:pgMar w:left="320" w:top="113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2022-04-29T06:41:45Z</dcterms:created>
  <dcterms:modified xsi:type="dcterms:W3CDTF">2022-04-29T06:41:45Z</dcterms:modified>
</cp:coreProperties>
</file>