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April, 2017</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3440"/>
        <w:spacing w:after="0"/>
        <w:tabs>
          <w:tab w:leader="none" w:pos="7040" w:val="left"/>
        </w:tabs>
        <w:rPr>
          <w:sz w:val="20"/>
          <w:szCs w:val="20"/>
          <w:color w:val="auto"/>
        </w:rPr>
      </w:pPr>
      <w:r>
        <w:rPr>
          <w:rFonts w:ascii="Arial" w:cs="Arial" w:eastAsia="Arial" w:hAnsi="Arial"/>
          <w:sz w:val="22"/>
          <w:szCs w:val="22"/>
          <w:color w:val="auto"/>
        </w:rPr>
        <w:t>Form 20-F___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Form 40-F___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April 27, 2017 - ICON Reports First Quarter 2017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Brendan Brennan</w:t>
      </w:r>
    </w:p>
    <w:p>
      <w:pPr>
        <w:spacing w:after="0" w:line="36" w:lineRule="exact"/>
        <w:rPr>
          <w:sz w:val="20"/>
          <w:szCs w:val="20"/>
          <w:color w:val="auto"/>
        </w:rPr>
      </w:pPr>
    </w:p>
    <w:p>
      <w:pPr>
        <w:ind w:left="580" w:right="270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April 27, 2017 Brendan Brennan Chief Financial Officer</w:t>
      </w:r>
    </w:p>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Reports First Quarter 2017 Results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Record net business wins of $521 million; net book to bill of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Backlog of business grew 9.1% year on year to $4.31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Net revenue increased 7.8% to $432 million compared to the same quarter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Top customer revenue concentration reduced from 29% of revenue in Q1 2016 to 24% in Q1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Income from operations increased 12.7% to 19.8% of revenue compared to the same quarter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Earnings per share increased 15.2% to $1.29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60"/>
        <w:spacing w:after="0" w:line="256" w:lineRule="auto"/>
        <w:rPr>
          <w:sz w:val="20"/>
          <w:szCs w:val="20"/>
          <w:color w:val="auto"/>
        </w:rPr>
      </w:pPr>
      <w:r>
        <w:rPr>
          <w:rFonts w:ascii="Arial" w:cs="Arial" w:eastAsia="Arial" w:hAnsi="Arial"/>
          <w:sz w:val="22"/>
          <w:szCs w:val="22"/>
          <w:b w:val="1"/>
          <w:bCs w:val="1"/>
          <w:color w:val="auto"/>
        </w:rPr>
        <w:t>Earnings guidance increased by $0.06 to reflect Q1 share repurchases to $5.06 - $5.26. Revenue guidance reconfirmed in the range of $1.70 - $1.75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ind w:right="240"/>
        <w:spacing w:after="0" w:line="243" w:lineRule="auto"/>
        <w:rPr>
          <w:sz w:val="20"/>
          <w:szCs w:val="20"/>
          <w:color w:val="auto"/>
        </w:rPr>
      </w:pPr>
      <w:r>
        <w:rPr>
          <w:rFonts w:ascii="Arial" w:cs="Arial" w:eastAsia="Arial" w:hAnsi="Arial"/>
          <w:sz w:val="22"/>
          <w:szCs w:val="22"/>
          <w:color w:val="auto"/>
        </w:rPr>
        <w:t>DUBLIN--(BUSINESS WIRE)--April 27, 2017--</w:t>
      </w:r>
      <w:r>
        <w:rPr>
          <w:rFonts w:ascii="Arial" w:cs="Arial" w:eastAsia="Arial" w:hAnsi="Arial"/>
          <w:sz w:val="22"/>
          <w:szCs w:val="22"/>
          <w:b w:val="1"/>
          <w:bCs w:val="1"/>
          <w:color w:val="auto"/>
        </w:rPr>
        <w:t>ICON plc (NASDAQ:ICLR),</w:t>
      </w:r>
      <w:r>
        <w:rPr>
          <w:rFonts w:ascii="Arial" w:cs="Arial" w:eastAsia="Arial" w:hAnsi="Arial"/>
          <w:sz w:val="22"/>
          <w:szCs w:val="22"/>
          <w:color w:val="auto"/>
        </w:rPr>
        <w:t xml:space="preserve"> a global provider of drug development solutions and services to the pharmaceutical, biotechnology and medical device industries, today reported its financial results for the first quarter ended March 31, 2017.</w:t>
      </w:r>
    </w:p>
    <w:p>
      <w:pPr>
        <w:spacing w:after="0" w:line="183" w:lineRule="exact"/>
        <w:rPr>
          <w:sz w:val="20"/>
          <w:szCs w:val="20"/>
          <w:color w:val="auto"/>
        </w:rPr>
      </w:pPr>
    </w:p>
    <w:p>
      <w:pPr>
        <w:ind w:right="720"/>
        <w:spacing w:after="0" w:line="251" w:lineRule="auto"/>
        <w:rPr>
          <w:sz w:val="20"/>
          <w:szCs w:val="20"/>
          <w:color w:val="auto"/>
        </w:rPr>
      </w:pPr>
      <w:r>
        <w:rPr>
          <w:rFonts w:ascii="Arial" w:cs="Arial" w:eastAsia="Arial" w:hAnsi="Arial"/>
          <w:sz w:val="22"/>
          <w:szCs w:val="22"/>
          <w:color w:val="auto"/>
        </w:rPr>
        <w:t>Gross business wins in the first quarter were $580 million and cancellations in the quarter were $59 million, resulting in net business wins of $521 million, a net book to bill of 1.21.</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In the first quarter net revenue grew 7.8% year on year to $432 million from $400.5 million in the same quarter last year.</w:t>
      </w:r>
    </w:p>
    <w:p>
      <w:pPr>
        <w:spacing w:after="0" w:line="218"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Income from operations increased by 12.7% to $85.7 million, or 19.8% of revenue, compared to $76 million or 19% for the same quarter last year.</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Net income in the quarter increased by 13.4% to $71.4 million compared with $63 million in the same quarter last year.</w:t>
      </w:r>
    </w:p>
    <w:p>
      <w:pPr>
        <w:spacing w:after="0" w:line="218"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Earnings per share increased to $1.29 per share on a diluted basis, from $1.12 per share for the same quarter last year, an increase of 15.2%.</w:t>
      </w:r>
    </w:p>
    <w:p>
      <w:pPr>
        <w:spacing w:after="0" w:line="173"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Day’s sales outstanding, comprising accounts receivable and unbilled revenue less payments on account, were 47 days at March 31, 2017, compared with 50 days at the end of December 31, 2016 and 47 days at the end of March 2016.</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Cash generated from operating activities for the quarter was $159.3 million. Capital expenditure for the quarter was $8.3 million. Additionally, as part of ICON’s share buy-back program, $96 million was spent on share repurchases in quarter one, with a further $12 million to date in quarter two. As a result, at March 31, 2017, the company had net debt of $30 million, compared to net debt of $88 million at December 31, 2016 and net debt of $100 million at end of March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80"/>
        <w:spacing w:after="0" w:line="279" w:lineRule="auto"/>
        <w:rPr>
          <w:sz w:val="20"/>
          <w:szCs w:val="20"/>
          <w:color w:val="auto"/>
        </w:rPr>
      </w:pPr>
      <w:r>
        <w:rPr>
          <w:rFonts w:ascii="Arial" w:cs="Arial" w:eastAsia="Arial" w:hAnsi="Arial"/>
          <w:sz w:val="19"/>
          <w:szCs w:val="19"/>
          <w:color w:val="auto"/>
        </w:rPr>
        <w:t xml:space="preserve">CEO Dr. Steve Cutler commented, </w:t>
      </w:r>
      <w:r>
        <w:rPr>
          <w:rFonts w:ascii="Arial" w:cs="Arial" w:eastAsia="Arial" w:hAnsi="Arial"/>
          <w:sz w:val="19"/>
          <w:szCs w:val="19"/>
          <w:i w:val="1"/>
          <w:iCs w:val="1"/>
          <w:color w:val="auto"/>
        </w:rPr>
        <w:t>“I’m pleased with our results in quarter one which represent a very solid start to 2017. We</w:t>
      </w:r>
      <w:r>
        <w:rPr>
          <w:rFonts w:ascii="Arial" w:cs="Arial" w:eastAsia="Arial" w:hAnsi="Arial"/>
          <w:sz w:val="19"/>
          <w:szCs w:val="19"/>
          <w:color w:val="auto"/>
        </w:rPr>
        <w:t xml:space="preserve"> </w:t>
      </w:r>
      <w:r>
        <w:rPr>
          <w:rFonts w:ascii="Arial" w:cs="Arial" w:eastAsia="Arial" w:hAnsi="Arial"/>
          <w:sz w:val="19"/>
          <w:szCs w:val="19"/>
          <w:i w:val="1"/>
          <w:iCs w:val="1"/>
          <w:color w:val="auto"/>
        </w:rPr>
        <w:t>achieved a net book to bill of 1.21, increased revenue by 8%, grew earnings per share by 15% year on year and reduced the concentration of our top customer by 500 basis points over the same period. We have now completed over half of our current share repurchase program and as a result we are increasing our earnings guidance by $0.06 to $5.06 - $5.26, and reconfirming our revenue in the range of $1.70 - $1.75 billion. Overall, ICON is well positioned to grow organically supplemented by our M&amp;A strategy which will enable us to capitalize on the long term growth within the CRO market."</w:t>
      </w:r>
    </w:p>
    <w:p>
      <w:pPr>
        <w:spacing w:after="0" w:line="151"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 xml:space="preserve">ICON will hold its first quarter conference call today, April 27, 2017 at 9:00 EDT [14:00 Ireland &amp; UK]. This call and linked slide presentation can be accessed live from our website at </w:t>
      </w:r>
      <w:r>
        <w:rPr>
          <w:rFonts w:ascii="Arial" w:cs="Arial" w:eastAsia="Arial" w:hAnsi="Arial"/>
          <w:sz w:val="22"/>
          <w:szCs w:val="22"/>
          <w:u w:val="single" w:color="auto"/>
          <w:color w:val="auto"/>
        </w:rPr>
        <w:t>http://investor.iconplc.com</w:t>
      </w:r>
      <w:r>
        <w:rPr>
          <w:rFonts w:ascii="Arial" w:cs="Arial" w:eastAsia="Arial" w:hAnsi="Arial"/>
          <w:sz w:val="22"/>
          <w:szCs w:val="22"/>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87 locations in 38 countries and has approximately 12,300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Income Statements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(Before restructuring and other items)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2017 and March 31, 2016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3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March</w:t>
            </w:r>
          </w:p>
        </w:tc>
        <w:tc>
          <w:tcPr>
            <w:tcW w:w="1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March</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3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1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86"/>
        </w:trPr>
        <w:tc>
          <w:tcPr>
            <w:tcW w:w="636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3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6360" w:type="dxa"/>
            <w:vAlign w:val="bottom"/>
            <w:vMerge w:val="continue"/>
          </w:tcPr>
          <w:p>
            <w:pPr>
              <w:spacing w:after="0"/>
              <w:rPr>
                <w:sz w:val="14"/>
                <w:szCs w:val="14"/>
                <w:color w:val="auto"/>
              </w:rPr>
            </w:pPr>
          </w:p>
        </w:tc>
        <w:tc>
          <w:tcPr>
            <w:tcW w:w="3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tcPr>
          <w:p>
            <w:pPr>
              <w:spacing w:after="0"/>
              <w:rPr>
                <w:sz w:val="20"/>
                <w:szCs w:val="20"/>
                <w:color w:val="auto"/>
              </w:rPr>
            </w:pPr>
            <w:r>
              <w:rPr>
                <w:rFonts w:ascii="Arial" w:cs="Arial" w:eastAsia="Arial" w:hAnsi="Arial"/>
                <w:sz w:val="14"/>
                <w:szCs w:val="14"/>
                <w:color w:val="auto"/>
              </w:rPr>
              <w:t>Gross revenue</w:t>
            </w:r>
          </w:p>
        </w:tc>
        <w:tc>
          <w:tcPr>
            <w:tcW w:w="3720" w:type="dxa"/>
            <w:vAlign w:val="bottom"/>
          </w:tcPr>
          <w:p>
            <w:pPr>
              <w:jc w:val="right"/>
              <w:ind w:right="48"/>
              <w:spacing w:after="0"/>
              <w:rPr>
                <w:sz w:val="20"/>
                <w:szCs w:val="20"/>
                <w:color w:val="auto"/>
              </w:rPr>
            </w:pPr>
            <w:r>
              <w:rPr>
                <w:rFonts w:ascii="Arial" w:cs="Arial" w:eastAsia="Arial" w:hAnsi="Arial"/>
                <w:sz w:val="14"/>
                <w:szCs w:val="14"/>
                <w:color w:val="auto"/>
              </w:rPr>
              <w:t>578,066</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542,583</w:t>
            </w:r>
          </w:p>
        </w:tc>
        <w:tc>
          <w:tcPr>
            <w:tcW w:w="0" w:type="dxa"/>
            <w:vAlign w:val="bottom"/>
          </w:tcPr>
          <w:p>
            <w:pPr>
              <w:spacing w:after="0"/>
              <w:rPr>
                <w:sz w:val="1"/>
                <w:szCs w:val="1"/>
                <w:color w:val="auto"/>
              </w:rPr>
            </w:pPr>
          </w:p>
        </w:tc>
      </w:tr>
      <w:tr>
        <w:trPr>
          <w:trHeight w:val="181"/>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3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(146,112)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(142,061)</w:t>
            </w:r>
          </w:p>
        </w:tc>
        <w:tc>
          <w:tcPr>
            <w:tcW w:w="0" w:type="dxa"/>
            <w:vAlign w:val="bottom"/>
          </w:tcPr>
          <w:p>
            <w:pPr>
              <w:spacing w:after="0"/>
              <w:rPr>
                <w:sz w:val="1"/>
                <w:szCs w:val="1"/>
                <w:color w:val="auto"/>
              </w:rPr>
            </w:pPr>
          </w:p>
        </w:tc>
      </w:tr>
      <w:tr>
        <w:trPr>
          <w:trHeight w:val="346"/>
        </w:trPr>
        <w:tc>
          <w:tcPr>
            <w:tcW w:w="6360" w:type="dxa"/>
            <w:vAlign w:val="bottom"/>
          </w:tcPr>
          <w:p>
            <w:pPr>
              <w:spacing w:after="0"/>
              <w:rPr>
                <w:sz w:val="20"/>
                <w:szCs w:val="20"/>
                <w:color w:val="auto"/>
              </w:rPr>
            </w:pPr>
            <w:r>
              <w:rPr>
                <w:rFonts w:ascii="Arial" w:cs="Arial" w:eastAsia="Arial" w:hAnsi="Arial"/>
                <w:sz w:val="14"/>
                <w:szCs w:val="14"/>
                <w:b w:val="1"/>
                <w:bCs w:val="1"/>
                <w:color w:val="auto"/>
              </w:rPr>
              <w:t>Net revenue</w:t>
            </w:r>
          </w:p>
        </w:tc>
        <w:tc>
          <w:tcPr>
            <w:tcW w:w="3720" w:type="dxa"/>
            <w:vAlign w:val="bottom"/>
          </w:tcPr>
          <w:p>
            <w:pPr>
              <w:jc w:val="right"/>
              <w:ind w:right="48"/>
              <w:spacing w:after="0"/>
              <w:rPr>
                <w:sz w:val="20"/>
                <w:szCs w:val="20"/>
                <w:color w:val="auto"/>
              </w:rPr>
            </w:pPr>
            <w:r>
              <w:rPr>
                <w:rFonts w:ascii="Arial" w:cs="Arial" w:eastAsia="Arial" w:hAnsi="Arial"/>
                <w:sz w:val="14"/>
                <w:szCs w:val="14"/>
                <w:color w:val="auto"/>
              </w:rPr>
              <w:t>431,954</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400,522</w:t>
            </w:r>
          </w:p>
        </w:tc>
        <w:tc>
          <w:tcPr>
            <w:tcW w:w="0" w:type="dxa"/>
            <w:vAlign w:val="bottom"/>
          </w:tcPr>
          <w:p>
            <w:pPr>
              <w:spacing w:after="0"/>
              <w:rPr>
                <w:sz w:val="1"/>
                <w:szCs w:val="1"/>
                <w:color w:val="auto"/>
              </w:rPr>
            </w:pPr>
          </w:p>
        </w:tc>
      </w:tr>
      <w:tr>
        <w:trPr>
          <w:trHeight w:val="344"/>
        </w:trPr>
        <w:tc>
          <w:tcPr>
            <w:tcW w:w="636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3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60" w:type="dxa"/>
            <w:vAlign w:val="bottom"/>
          </w:tcPr>
          <w:p>
            <w:pPr>
              <w:spacing w:after="0"/>
              <w:rPr>
                <w:sz w:val="20"/>
                <w:szCs w:val="20"/>
                <w:color w:val="auto"/>
              </w:rPr>
            </w:pPr>
            <w:r>
              <w:rPr>
                <w:rFonts w:ascii="Arial" w:cs="Arial" w:eastAsia="Arial" w:hAnsi="Arial"/>
                <w:sz w:val="14"/>
                <w:szCs w:val="14"/>
                <w:color w:val="auto"/>
              </w:rPr>
              <w:t>Direct costs</w:t>
            </w:r>
          </w:p>
        </w:tc>
        <w:tc>
          <w:tcPr>
            <w:tcW w:w="3720" w:type="dxa"/>
            <w:vAlign w:val="bottom"/>
          </w:tcPr>
          <w:p>
            <w:pPr>
              <w:jc w:val="right"/>
              <w:ind w:right="48"/>
              <w:spacing w:after="0"/>
              <w:rPr>
                <w:sz w:val="20"/>
                <w:szCs w:val="20"/>
                <w:color w:val="auto"/>
              </w:rPr>
            </w:pPr>
            <w:r>
              <w:rPr>
                <w:rFonts w:ascii="Arial" w:cs="Arial" w:eastAsia="Arial" w:hAnsi="Arial"/>
                <w:sz w:val="14"/>
                <w:szCs w:val="14"/>
                <w:color w:val="auto"/>
              </w:rPr>
              <w:t>250,459</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228,603</w:t>
            </w:r>
          </w:p>
        </w:tc>
        <w:tc>
          <w:tcPr>
            <w:tcW w:w="0" w:type="dxa"/>
            <w:vAlign w:val="bottom"/>
          </w:tcPr>
          <w:p>
            <w:pPr>
              <w:spacing w:after="0"/>
              <w:rPr>
                <w:sz w:val="1"/>
                <w:szCs w:val="1"/>
                <w:color w:val="auto"/>
              </w:rPr>
            </w:pPr>
          </w:p>
        </w:tc>
      </w:tr>
      <w:tr>
        <w:trPr>
          <w:trHeight w:val="176"/>
        </w:trPr>
        <w:tc>
          <w:tcPr>
            <w:tcW w:w="636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3720" w:type="dxa"/>
            <w:vAlign w:val="bottom"/>
          </w:tcPr>
          <w:p>
            <w:pPr>
              <w:jc w:val="right"/>
              <w:ind w:right="48"/>
              <w:spacing w:after="0"/>
              <w:rPr>
                <w:sz w:val="20"/>
                <w:szCs w:val="20"/>
                <w:color w:val="auto"/>
              </w:rPr>
            </w:pPr>
            <w:r>
              <w:rPr>
                <w:rFonts w:ascii="Arial" w:cs="Arial" w:eastAsia="Arial" w:hAnsi="Arial"/>
                <w:sz w:val="14"/>
                <w:szCs w:val="14"/>
                <w:color w:val="auto"/>
              </w:rPr>
              <w:t>81,389</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80,789</w:t>
            </w:r>
          </w:p>
        </w:tc>
        <w:tc>
          <w:tcPr>
            <w:tcW w:w="0" w:type="dxa"/>
            <w:vAlign w:val="bottom"/>
          </w:tcPr>
          <w:p>
            <w:pPr>
              <w:spacing w:after="0"/>
              <w:rPr>
                <w:sz w:val="1"/>
                <w:szCs w:val="1"/>
                <w:color w:val="auto"/>
              </w:rPr>
            </w:pPr>
          </w:p>
        </w:tc>
      </w:tr>
      <w:tr>
        <w:trPr>
          <w:trHeight w:val="181"/>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and amortization</w:t>
            </w:r>
          </w:p>
        </w:tc>
        <w:tc>
          <w:tcPr>
            <w:tcW w:w="3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14,448</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15,120</w:t>
            </w:r>
          </w:p>
        </w:tc>
        <w:tc>
          <w:tcPr>
            <w:tcW w:w="0" w:type="dxa"/>
            <w:vAlign w:val="bottom"/>
          </w:tcPr>
          <w:p>
            <w:pPr>
              <w:spacing w:after="0"/>
              <w:rPr>
                <w:sz w:val="1"/>
                <w:szCs w:val="1"/>
                <w:color w:val="auto"/>
              </w:rPr>
            </w:pPr>
          </w:p>
        </w:tc>
      </w:tr>
      <w:tr>
        <w:trPr>
          <w:trHeight w:val="345"/>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3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346,296</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324,512</w:t>
            </w:r>
          </w:p>
        </w:tc>
        <w:tc>
          <w:tcPr>
            <w:tcW w:w="0" w:type="dxa"/>
            <w:vAlign w:val="bottom"/>
          </w:tcPr>
          <w:p>
            <w:pPr>
              <w:spacing w:after="0"/>
              <w:rPr>
                <w:sz w:val="1"/>
                <w:szCs w:val="1"/>
                <w:color w:val="auto"/>
              </w:rPr>
            </w:pPr>
          </w:p>
        </w:tc>
      </w:tr>
      <w:tr>
        <w:trPr>
          <w:trHeight w:val="346"/>
        </w:trPr>
        <w:tc>
          <w:tcPr>
            <w:tcW w:w="636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3720" w:type="dxa"/>
            <w:vAlign w:val="bottom"/>
          </w:tcPr>
          <w:p>
            <w:pPr>
              <w:jc w:val="right"/>
              <w:ind w:right="48"/>
              <w:spacing w:after="0"/>
              <w:rPr>
                <w:sz w:val="20"/>
                <w:szCs w:val="20"/>
                <w:color w:val="auto"/>
              </w:rPr>
            </w:pPr>
            <w:r>
              <w:rPr>
                <w:rFonts w:ascii="Arial" w:cs="Arial" w:eastAsia="Arial" w:hAnsi="Arial"/>
                <w:sz w:val="14"/>
                <w:szCs w:val="14"/>
                <w:color w:val="auto"/>
              </w:rPr>
              <w:t>85,658</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76,010</w:t>
            </w:r>
          </w:p>
        </w:tc>
        <w:tc>
          <w:tcPr>
            <w:tcW w:w="0" w:type="dxa"/>
            <w:vAlign w:val="bottom"/>
          </w:tcPr>
          <w:p>
            <w:pPr>
              <w:spacing w:after="0"/>
              <w:rPr>
                <w:sz w:val="1"/>
                <w:szCs w:val="1"/>
                <w:color w:val="auto"/>
              </w:rPr>
            </w:pPr>
          </w:p>
        </w:tc>
      </w:tr>
      <w:tr>
        <w:trPr>
          <w:trHeight w:val="350"/>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3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(2,624)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(2,881)</w:t>
            </w:r>
          </w:p>
        </w:tc>
        <w:tc>
          <w:tcPr>
            <w:tcW w:w="0" w:type="dxa"/>
            <w:vAlign w:val="bottom"/>
          </w:tcPr>
          <w:p>
            <w:pPr>
              <w:spacing w:after="0"/>
              <w:rPr>
                <w:sz w:val="1"/>
                <w:szCs w:val="1"/>
                <w:color w:val="auto"/>
              </w:rPr>
            </w:pPr>
          </w:p>
        </w:tc>
      </w:tr>
      <w:tr>
        <w:trPr>
          <w:trHeight w:val="346"/>
        </w:trPr>
        <w:tc>
          <w:tcPr>
            <w:tcW w:w="636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3720" w:type="dxa"/>
            <w:vAlign w:val="bottom"/>
          </w:tcPr>
          <w:p>
            <w:pPr>
              <w:jc w:val="right"/>
              <w:ind w:right="48"/>
              <w:spacing w:after="0"/>
              <w:rPr>
                <w:sz w:val="20"/>
                <w:szCs w:val="20"/>
                <w:color w:val="auto"/>
              </w:rPr>
            </w:pPr>
            <w:r>
              <w:rPr>
                <w:rFonts w:ascii="Arial" w:cs="Arial" w:eastAsia="Arial" w:hAnsi="Arial"/>
                <w:sz w:val="14"/>
                <w:szCs w:val="14"/>
                <w:color w:val="auto"/>
              </w:rPr>
              <w:t>83,034</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73,129</w:t>
            </w:r>
          </w:p>
        </w:tc>
        <w:tc>
          <w:tcPr>
            <w:tcW w:w="0" w:type="dxa"/>
            <w:vAlign w:val="bottom"/>
          </w:tcPr>
          <w:p>
            <w:pPr>
              <w:spacing w:after="0"/>
              <w:rPr>
                <w:sz w:val="1"/>
                <w:szCs w:val="1"/>
                <w:color w:val="auto"/>
              </w:rPr>
            </w:pPr>
          </w:p>
        </w:tc>
      </w:tr>
      <w:tr>
        <w:trPr>
          <w:trHeight w:val="350"/>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3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(11,625)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(10,165)</w:t>
            </w:r>
          </w:p>
        </w:tc>
        <w:tc>
          <w:tcPr>
            <w:tcW w:w="0" w:type="dxa"/>
            <w:vAlign w:val="bottom"/>
          </w:tcPr>
          <w:p>
            <w:pPr>
              <w:spacing w:after="0"/>
              <w:rPr>
                <w:sz w:val="1"/>
                <w:szCs w:val="1"/>
                <w:color w:val="auto"/>
              </w:rPr>
            </w:pPr>
          </w:p>
        </w:tc>
      </w:tr>
      <w:tr>
        <w:trPr>
          <w:trHeight w:val="345"/>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3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71,409</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62,964</w:t>
            </w:r>
          </w:p>
        </w:tc>
        <w:tc>
          <w:tcPr>
            <w:tcW w:w="0" w:type="dxa"/>
            <w:vAlign w:val="bottom"/>
          </w:tcPr>
          <w:p>
            <w:pPr>
              <w:spacing w:after="0"/>
              <w:rPr>
                <w:sz w:val="1"/>
                <w:szCs w:val="1"/>
                <w:color w:val="auto"/>
              </w:rPr>
            </w:pPr>
          </w:p>
        </w:tc>
      </w:tr>
      <w:tr>
        <w:trPr>
          <w:trHeight w:val="339"/>
        </w:trPr>
        <w:tc>
          <w:tcPr>
            <w:tcW w:w="6360" w:type="dxa"/>
            <w:vAlign w:val="bottom"/>
          </w:tcPr>
          <w:p>
            <w:pPr>
              <w:spacing w:after="0"/>
              <w:rPr>
                <w:sz w:val="20"/>
                <w:szCs w:val="20"/>
                <w:color w:val="auto"/>
              </w:rPr>
            </w:pPr>
            <w:r>
              <w:rPr>
                <w:rFonts w:ascii="Arial" w:cs="Arial" w:eastAsia="Arial" w:hAnsi="Arial"/>
                <w:sz w:val="14"/>
                <w:szCs w:val="14"/>
                <w:i w:val="1"/>
                <w:iCs w:val="1"/>
                <w:color w:val="auto"/>
              </w:rPr>
              <w:t>Net income per Ordinary Share:</w:t>
            </w:r>
          </w:p>
        </w:tc>
        <w:tc>
          <w:tcPr>
            <w:tcW w:w="3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3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345"/>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 forma Diluted</w:t>
            </w:r>
          </w:p>
        </w:tc>
        <w:tc>
          <w:tcPr>
            <w:tcW w:w="3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339"/>
        </w:trPr>
        <w:tc>
          <w:tcPr>
            <w:tcW w:w="6360" w:type="dxa"/>
            <w:vAlign w:val="bottom"/>
          </w:tcPr>
          <w:p>
            <w:pPr>
              <w:spacing w:after="0"/>
              <w:rPr>
                <w:sz w:val="20"/>
                <w:szCs w:val="20"/>
                <w:color w:val="auto"/>
              </w:rPr>
            </w:pPr>
            <w:r>
              <w:rPr>
                <w:rFonts w:ascii="Arial" w:cs="Arial" w:eastAsia="Arial" w:hAnsi="Arial"/>
                <w:sz w:val="14"/>
                <w:szCs w:val="14"/>
                <w:i w:val="1"/>
                <w:iCs w:val="1"/>
                <w:color w:val="auto"/>
              </w:rPr>
              <w:t>Weighted average number of Ordinary Shares outstanding:</w:t>
            </w:r>
          </w:p>
        </w:tc>
        <w:tc>
          <w:tcPr>
            <w:tcW w:w="3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3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54,372,931</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55,011,019</w:t>
            </w:r>
          </w:p>
        </w:tc>
        <w:tc>
          <w:tcPr>
            <w:tcW w:w="0" w:type="dxa"/>
            <w:vAlign w:val="bottom"/>
          </w:tcPr>
          <w:p>
            <w:pPr>
              <w:spacing w:after="0"/>
              <w:rPr>
                <w:sz w:val="1"/>
                <w:szCs w:val="1"/>
                <w:color w:val="auto"/>
              </w:rPr>
            </w:pPr>
          </w:p>
        </w:tc>
      </w:tr>
      <w:tr>
        <w:trPr>
          <w:trHeight w:val="345"/>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 forma Diluted</w:t>
            </w:r>
          </w:p>
        </w:tc>
        <w:tc>
          <w:tcPr>
            <w:tcW w:w="3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55,371,826</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56,242,164</w:t>
            </w:r>
          </w:p>
        </w:tc>
        <w:tc>
          <w:tcPr>
            <w:tcW w:w="0" w:type="dxa"/>
            <w:vAlign w:val="bottom"/>
          </w:tcPr>
          <w:p>
            <w:pPr>
              <w:spacing w:after="0"/>
              <w:rPr>
                <w:sz w:val="1"/>
                <w:szCs w:val="1"/>
                <w:color w:val="auto"/>
              </w:rPr>
            </w:pPr>
          </w:p>
        </w:tc>
      </w:tr>
      <w:tr>
        <w:trPr>
          <w:trHeight w:val="304"/>
        </w:trPr>
        <w:tc>
          <w:tcPr>
            <w:tcW w:w="63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360" w:type="dxa"/>
            <w:vAlign w:val="bottom"/>
            <w:tcBorders>
              <w:bottom w:val="single" w:sz="8" w:color="EEEEEE"/>
            </w:tcBorders>
          </w:tcPr>
          <w:p>
            <w:pPr>
              <w:spacing w:after="0" w:line="20" w:lineRule="exact"/>
              <w:rPr>
                <w:sz w:val="1"/>
                <w:szCs w:val="1"/>
                <w:color w:val="auto"/>
              </w:rPr>
            </w:pPr>
          </w:p>
        </w:tc>
        <w:tc>
          <w:tcPr>
            <w:tcW w:w="372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Consolidated Income Statements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 GAAP)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2017 and March 31, 2016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3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March</w:t>
            </w:r>
          </w:p>
        </w:tc>
        <w:tc>
          <w:tcPr>
            <w:tcW w:w="1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March</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3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1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86"/>
        </w:trPr>
        <w:tc>
          <w:tcPr>
            <w:tcW w:w="636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3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6360" w:type="dxa"/>
            <w:vAlign w:val="bottom"/>
            <w:vMerge w:val="continue"/>
          </w:tcPr>
          <w:p>
            <w:pPr>
              <w:spacing w:after="0"/>
              <w:rPr>
                <w:sz w:val="14"/>
                <w:szCs w:val="14"/>
                <w:color w:val="auto"/>
              </w:rPr>
            </w:pPr>
          </w:p>
        </w:tc>
        <w:tc>
          <w:tcPr>
            <w:tcW w:w="3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tcPr>
          <w:p>
            <w:pPr>
              <w:spacing w:after="0"/>
              <w:rPr>
                <w:sz w:val="20"/>
                <w:szCs w:val="20"/>
                <w:color w:val="auto"/>
              </w:rPr>
            </w:pPr>
            <w:r>
              <w:rPr>
                <w:rFonts w:ascii="Arial" w:cs="Arial" w:eastAsia="Arial" w:hAnsi="Arial"/>
                <w:sz w:val="14"/>
                <w:szCs w:val="14"/>
                <w:color w:val="auto"/>
              </w:rPr>
              <w:t>Gross revenue</w:t>
            </w:r>
          </w:p>
        </w:tc>
        <w:tc>
          <w:tcPr>
            <w:tcW w:w="3720" w:type="dxa"/>
            <w:vAlign w:val="bottom"/>
          </w:tcPr>
          <w:p>
            <w:pPr>
              <w:jc w:val="right"/>
              <w:ind w:right="48"/>
              <w:spacing w:after="0"/>
              <w:rPr>
                <w:sz w:val="20"/>
                <w:szCs w:val="20"/>
                <w:color w:val="auto"/>
              </w:rPr>
            </w:pPr>
            <w:r>
              <w:rPr>
                <w:rFonts w:ascii="Arial" w:cs="Arial" w:eastAsia="Arial" w:hAnsi="Arial"/>
                <w:sz w:val="14"/>
                <w:szCs w:val="14"/>
                <w:color w:val="auto"/>
              </w:rPr>
              <w:t>578,066</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542,583</w:t>
            </w:r>
          </w:p>
        </w:tc>
        <w:tc>
          <w:tcPr>
            <w:tcW w:w="0" w:type="dxa"/>
            <w:vAlign w:val="bottom"/>
          </w:tcPr>
          <w:p>
            <w:pPr>
              <w:spacing w:after="0"/>
              <w:rPr>
                <w:sz w:val="1"/>
                <w:szCs w:val="1"/>
                <w:color w:val="auto"/>
              </w:rPr>
            </w:pPr>
          </w:p>
        </w:tc>
      </w:tr>
      <w:tr>
        <w:trPr>
          <w:trHeight w:val="181"/>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3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(146,112)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(142,061)</w:t>
            </w:r>
          </w:p>
        </w:tc>
        <w:tc>
          <w:tcPr>
            <w:tcW w:w="0" w:type="dxa"/>
            <w:vAlign w:val="bottom"/>
          </w:tcPr>
          <w:p>
            <w:pPr>
              <w:spacing w:after="0"/>
              <w:rPr>
                <w:sz w:val="1"/>
                <w:szCs w:val="1"/>
                <w:color w:val="auto"/>
              </w:rPr>
            </w:pPr>
          </w:p>
        </w:tc>
      </w:tr>
      <w:tr>
        <w:trPr>
          <w:trHeight w:val="346"/>
        </w:trPr>
        <w:tc>
          <w:tcPr>
            <w:tcW w:w="6360" w:type="dxa"/>
            <w:vAlign w:val="bottom"/>
          </w:tcPr>
          <w:p>
            <w:pPr>
              <w:spacing w:after="0"/>
              <w:rPr>
                <w:sz w:val="20"/>
                <w:szCs w:val="20"/>
                <w:color w:val="auto"/>
              </w:rPr>
            </w:pPr>
            <w:r>
              <w:rPr>
                <w:rFonts w:ascii="Arial" w:cs="Arial" w:eastAsia="Arial" w:hAnsi="Arial"/>
                <w:sz w:val="14"/>
                <w:szCs w:val="14"/>
                <w:b w:val="1"/>
                <w:bCs w:val="1"/>
                <w:color w:val="auto"/>
              </w:rPr>
              <w:t>Net revenue</w:t>
            </w:r>
          </w:p>
        </w:tc>
        <w:tc>
          <w:tcPr>
            <w:tcW w:w="3720" w:type="dxa"/>
            <w:vAlign w:val="bottom"/>
          </w:tcPr>
          <w:p>
            <w:pPr>
              <w:jc w:val="right"/>
              <w:ind w:right="48"/>
              <w:spacing w:after="0"/>
              <w:rPr>
                <w:sz w:val="20"/>
                <w:szCs w:val="20"/>
                <w:color w:val="auto"/>
              </w:rPr>
            </w:pPr>
            <w:r>
              <w:rPr>
                <w:rFonts w:ascii="Arial" w:cs="Arial" w:eastAsia="Arial" w:hAnsi="Arial"/>
                <w:sz w:val="14"/>
                <w:szCs w:val="14"/>
                <w:color w:val="auto"/>
              </w:rPr>
              <w:t>431,954</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400,522</w:t>
            </w:r>
          </w:p>
        </w:tc>
        <w:tc>
          <w:tcPr>
            <w:tcW w:w="0" w:type="dxa"/>
            <w:vAlign w:val="bottom"/>
          </w:tcPr>
          <w:p>
            <w:pPr>
              <w:spacing w:after="0"/>
              <w:rPr>
                <w:sz w:val="1"/>
                <w:szCs w:val="1"/>
                <w:color w:val="auto"/>
              </w:rPr>
            </w:pPr>
          </w:p>
        </w:tc>
      </w:tr>
      <w:tr>
        <w:trPr>
          <w:trHeight w:val="344"/>
        </w:trPr>
        <w:tc>
          <w:tcPr>
            <w:tcW w:w="636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3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60" w:type="dxa"/>
            <w:vAlign w:val="bottom"/>
          </w:tcPr>
          <w:p>
            <w:pPr>
              <w:spacing w:after="0"/>
              <w:rPr>
                <w:sz w:val="20"/>
                <w:szCs w:val="20"/>
                <w:color w:val="auto"/>
              </w:rPr>
            </w:pPr>
            <w:r>
              <w:rPr>
                <w:rFonts w:ascii="Arial" w:cs="Arial" w:eastAsia="Arial" w:hAnsi="Arial"/>
                <w:sz w:val="14"/>
                <w:szCs w:val="14"/>
                <w:color w:val="auto"/>
              </w:rPr>
              <w:t>Direct costs</w:t>
            </w:r>
          </w:p>
        </w:tc>
        <w:tc>
          <w:tcPr>
            <w:tcW w:w="3720" w:type="dxa"/>
            <w:vAlign w:val="bottom"/>
          </w:tcPr>
          <w:p>
            <w:pPr>
              <w:jc w:val="right"/>
              <w:ind w:right="48"/>
              <w:spacing w:after="0"/>
              <w:rPr>
                <w:sz w:val="20"/>
                <w:szCs w:val="20"/>
                <w:color w:val="auto"/>
              </w:rPr>
            </w:pPr>
            <w:r>
              <w:rPr>
                <w:rFonts w:ascii="Arial" w:cs="Arial" w:eastAsia="Arial" w:hAnsi="Arial"/>
                <w:sz w:val="14"/>
                <w:szCs w:val="14"/>
                <w:color w:val="auto"/>
              </w:rPr>
              <w:t>250,459</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228,603</w:t>
            </w:r>
          </w:p>
        </w:tc>
        <w:tc>
          <w:tcPr>
            <w:tcW w:w="0" w:type="dxa"/>
            <w:vAlign w:val="bottom"/>
          </w:tcPr>
          <w:p>
            <w:pPr>
              <w:spacing w:after="0"/>
              <w:rPr>
                <w:sz w:val="1"/>
                <w:szCs w:val="1"/>
                <w:color w:val="auto"/>
              </w:rPr>
            </w:pPr>
          </w:p>
        </w:tc>
      </w:tr>
      <w:tr>
        <w:trPr>
          <w:trHeight w:val="176"/>
        </w:trPr>
        <w:tc>
          <w:tcPr>
            <w:tcW w:w="636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3720" w:type="dxa"/>
            <w:vAlign w:val="bottom"/>
          </w:tcPr>
          <w:p>
            <w:pPr>
              <w:jc w:val="right"/>
              <w:ind w:right="48"/>
              <w:spacing w:after="0"/>
              <w:rPr>
                <w:sz w:val="20"/>
                <w:szCs w:val="20"/>
                <w:color w:val="auto"/>
              </w:rPr>
            </w:pPr>
            <w:r>
              <w:rPr>
                <w:rFonts w:ascii="Arial" w:cs="Arial" w:eastAsia="Arial" w:hAnsi="Arial"/>
                <w:sz w:val="14"/>
                <w:szCs w:val="14"/>
                <w:color w:val="auto"/>
              </w:rPr>
              <w:t>81,389</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80,789</w:t>
            </w:r>
          </w:p>
        </w:tc>
        <w:tc>
          <w:tcPr>
            <w:tcW w:w="0" w:type="dxa"/>
            <w:vAlign w:val="bottom"/>
          </w:tcPr>
          <w:p>
            <w:pPr>
              <w:spacing w:after="0"/>
              <w:rPr>
                <w:sz w:val="1"/>
                <w:szCs w:val="1"/>
                <w:color w:val="auto"/>
              </w:rPr>
            </w:pPr>
          </w:p>
        </w:tc>
      </w:tr>
      <w:tr>
        <w:trPr>
          <w:trHeight w:val="176"/>
        </w:trPr>
        <w:tc>
          <w:tcPr>
            <w:tcW w:w="63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3720" w:type="dxa"/>
            <w:vAlign w:val="bottom"/>
          </w:tcPr>
          <w:p>
            <w:pPr>
              <w:jc w:val="right"/>
              <w:ind w:right="48"/>
              <w:spacing w:after="0"/>
              <w:rPr>
                <w:sz w:val="20"/>
                <w:szCs w:val="20"/>
                <w:color w:val="auto"/>
              </w:rPr>
            </w:pPr>
            <w:r>
              <w:rPr>
                <w:rFonts w:ascii="Arial" w:cs="Arial" w:eastAsia="Arial" w:hAnsi="Arial"/>
                <w:sz w:val="14"/>
                <w:szCs w:val="14"/>
                <w:color w:val="auto"/>
              </w:rPr>
              <w:t>14,448</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15,120</w:t>
            </w:r>
          </w:p>
        </w:tc>
        <w:tc>
          <w:tcPr>
            <w:tcW w:w="0" w:type="dxa"/>
            <w:vAlign w:val="bottom"/>
          </w:tcPr>
          <w:p>
            <w:pPr>
              <w:spacing w:after="0"/>
              <w:rPr>
                <w:sz w:val="1"/>
                <w:szCs w:val="1"/>
                <w:color w:val="auto"/>
              </w:rPr>
            </w:pPr>
          </w:p>
        </w:tc>
      </w:tr>
      <w:tr>
        <w:trPr>
          <w:trHeight w:val="181"/>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Restructuring and other items</w:t>
            </w:r>
          </w:p>
        </w:tc>
        <w:tc>
          <w:tcPr>
            <w:tcW w:w="3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345"/>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3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346,296</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324,512</w:t>
            </w:r>
          </w:p>
        </w:tc>
        <w:tc>
          <w:tcPr>
            <w:tcW w:w="0" w:type="dxa"/>
            <w:vAlign w:val="bottom"/>
          </w:tcPr>
          <w:p>
            <w:pPr>
              <w:spacing w:after="0"/>
              <w:rPr>
                <w:sz w:val="1"/>
                <w:szCs w:val="1"/>
                <w:color w:val="auto"/>
              </w:rPr>
            </w:pPr>
          </w:p>
        </w:tc>
      </w:tr>
      <w:tr>
        <w:trPr>
          <w:trHeight w:val="346"/>
        </w:trPr>
        <w:tc>
          <w:tcPr>
            <w:tcW w:w="636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3720" w:type="dxa"/>
            <w:vAlign w:val="bottom"/>
          </w:tcPr>
          <w:p>
            <w:pPr>
              <w:jc w:val="right"/>
              <w:ind w:right="48"/>
              <w:spacing w:after="0"/>
              <w:rPr>
                <w:sz w:val="20"/>
                <w:szCs w:val="20"/>
                <w:color w:val="auto"/>
              </w:rPr>
            </w:pPr>
            <w:r>
              <w:rPr>
                <w:rFonts w:ascii="Arial" w:cs="Arial" w:eastAsia="Arial" w:hAnsi="Arial"/>
                <w:sz w:val="14"/>
                <w:szCs w:val="14"/>
                <w:color w:val="auto"/>
              </w:rPr>
              <w:t>85,658</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76,010</w:t>
            </w:r>
          </w:p>
        </w:tc>
        <w:tc>
          <w:tcPr>
            <w:tcW w:w="0" w:type="dxa"/>
            <w:vAlign w:val="bottom"/>
          </w:tcPr>
          <w:p>
            <w:pPr>
              <w:spacing w:after="0"/>
              <w:rPr>
                <w:sz w:val="1"/>
                <w:szCs w:val="1"/>
                <w:color w:val="auto"/>
              </w:rPr>
            </w:pPr>
          </w:p>
        </w:tc>
      </w:tr>
      <w:tr>
        <w:trPr>
          <w:trHeight w:val="350"/>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3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(2,624)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(2,881)</w:t>
            </w:r>
          </w:p>
        </w:tc>
        <w:tc>
          <w:tcPr>
            <w:tcW w:w="0" w:type="dxa"/>
            <w:vAlign w:val="bottom"/>
          </w:tcPr>
          <w:p>
            <w:pPr>
              <w:spacing w:after="0"/>
              <w:rPr>
                <w:sz w:val="1"/>
                <w:szCs w:val="1"/>
                <w:color w:val="auto"/>
              </w:rPr>
            </w:pPr>
          </w:p>
        </w:tc>
      </w:tr>
      <w:tr>
        <w:trPr>
          <w:trHeight w:val="346"/>
        </w:trPr>
        <w:tc>
          <w:tcPr>
            <w:tcW w:w="636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3720" w:type="dxa"/>
            <w:vAlign w:val="bottom"/>
          </w:tcPr>
          <w:p>
            <w:pPr>
              <w:jc w:val="right"/>
              <w:ind w:right="48"/>
              <w:spacing w:after="0"/>
              <w:rPr>
                <w:sz w:val="20"/>
                <w:szCs w:val="20"/>
                <w:color w:val="auto"/>
              </w:rPr>
            </w:pPr>
            <w:r>
              <w:rPr>
                <w:rFonts w:ascii="Arial" w:cs="Arial" w:eastAsia="Arial" w:hAnsi="Arial"/>
                <w:sz w:val="14"/>
                <w:szCs w:val="14"/>
                <w:color w:val="auto"/>
              </w:rPr>
              <w:t>83,034</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73,129</w:t>
            </w:r>
          </w:p>
        </w:tc>
        <w:tc>
          <w:tcPr>
            <w:tcW w:w="0" w:type="dxa"/>
            <w:vAlign w:val="bottom"/>
          </w:tcPr>
          <w:p>
            <w:pPr>
              <w:spacing w:after="0"/>
              <w:rPr>
                <w:sz w:val="1"/>
                <w:szCs w:val="1"/>
                <w:color w:val="auto"/>
              </w:rPr>
            </w:pPr>
          </w:p>
        </w:tc>
      </w:tr>
      <w:tr>
        <w:trPr>
          <w:trHeight w:val="350"/>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3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(11,625)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(10,165)</w:t>
            </w:r>
          </w:p>
        </w:tc>
        <w:tc>
          <w:tcPr>
            <w:tcW w:w="0" w:type="dxa"/>
            <w:vAlign w:val="bottom"/>
          </w:tcPr>
          <w:p>
            <w:pPr>
              <w:spacing w:after="0"/>
              <w:rPr>
                <w:sz w:val="1"/>
                <w:szCs w:val="1"/>
                <w:color w:val="auto"/>
              </w:rPr>
            </w:pPr>
          </w:p>
        </w:tc>
      </w:tr>
      <w:tr>
        <w:trPr>
          <w:trHeight w:val="345"/>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3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71,409</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62,964</w:t>
            </w:r>
          </w:p>
        </w:tc>
        <w:tc>
          <w:tcPr>
            <w:tcW w:w="0" w:type="dxa"/>
            <w:vAlign w:val="bottom"/>
          </w:tcPr>
          <w:p>
            <w:pPr>
              <w:spacing w:after="0"/>
              <w:rPr>
                <w:sz w:val="1"/>
                <w:szCs w:val="1"/>
                <w:color w:val="auto"/>
              </w:rPr>
            </w:pPr>
          </w:p>
        </w:tc>
      </w:tr>
      <w:tr>
        <w:trPr>
          <w:trHeight w:val="339"/>
        </w:trPr>
        <w:tc>
          <w:tcPr>
            <w:tcW w:w="6360" w:type="dxa"/>
            <w:vAlign w:val="bottom"/>
          </w:tcPr>
          <w:p>
            <w:pPr>
              <w:spacing w:after="0"/>
              <w:rPr>
                <w:sz w:val="20"/>
                <w:szCs w:val="20"/>
                <w:color w:val="auto"/>
              </w:rPr>
            </w:pPr>
            <w:r>
              <w:rPr>
                <w:rFonts w:ascii="Arial" w:cs="Arial" w:eastAsia="Arial" w:hAnsi="Arial"/>
                <w:sz w:val="14"/>
                <w:szCs w:val="14"/>
                <w:i w:val="1"/>
                <w:iCs w:val="1"/>
                <w:color w:val="auto"/>
              </w:rPr>
              <w:t>Net income per Ordinary Share:</w:t>
            </w:r>
          </w:p>
        </w:tc>
        <w:tc>
          <w:tcPr>
            <w:tcW w:w="3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3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345"/>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3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339"/>
        </w:trPr>
        <w:tc>
          <w:tcPr>
            <w:tcW w:w="6360" w:type="dxa"/>
            <w:vAlign w:val="bottom"/>
          </w:tcPr>
          <w:p>
            <w:pPr>
              <w:spacing w:after="0"/>
              <w:rPr>
                <w:sz w:val="20"/>
                <w:szCs w:val="20"/>
                <w:color w:val="auto"/>
              </w:rPr>
            </w:pPr>
            <w:r>
              <w:rPr>
                <w:rFonts w:ascii="Arial" w:cs="Arial" w:eastAsia="Arial" w:hAnsi="Arial"/>
                <w:sz w:val="14"/>
                <w:szCs w:val="14"/>
                <w:i w:val="1"/>
                <w:iCs w:val="1"/>
                <w:color w:val="auto"/>
              </w:rPr>
              <w:t>Weighted average number of Ordinary Shares outstanding:</w:t>
            </w:r>
          </w:p>
        </w:tc>
        <w:tc>
          <w:tcPr>
            <w:tcW w:w="3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3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54,372,931</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55,011,019</w:t>
            </w:r>
          </w:p>
        </w:tc>
        <w:tc>
          <w:tcPr>
            <w:tcW w:w="0" w:type="dxa"/>
            <w:vAlign w:val="bottom"/>
          </w:tcPr>
          <w:p>
            <w:pPr>
              <w:spacing w:after="0"/>
              <w:rPr>
                <w:sz w:val="1"/>
                <w:szCs w:val="1"/>
                <w:color w:val="auto"/>
              </w:rPr>
            </w:pPr>
          </w:p>
        </w:tc>
      </w:tr>
      <w:tr>
        <w:trPr>
          <w:trHeight w:val="345"/>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3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55,371,826</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56,242,164</w:t>
            </w:r>
          </w:p>
        </w:tc>
        <w:tc>
          <w:tcPr>
            <w:tcW w:w="0" w:type="dxa"/>
            <w:vAlign w:val="bottom"/>
          </w:tcPr>
          <w:p>
            <w:pPr>
              <w:spacing w:after="0"/>
              <w:rPr>
                <w:sz w:val="1"/>
                <w:szCs w:val="1"/>
                <w:color w:val="auto"/>
              </w:rPr>
            </w:pPr>
          </w:p>
        </w:tc>
      </w:tr>
      <w:tr>
        <w:trPr>
          <w:trHeight w:val="304"/>
        </w:trPr>
        <w:tc>
          <w:tcPr>
            <w:tcW w:w="63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360" w:type="dxa"/>
            <w:vAlign w:val="bottom"/>
            <w:tcBorders>
              <w:bottom w:val="single" w:sz="8" w:color="EEEEEE"/>
            </w:tcBorders>
          </w:tcPr>
          <w:p>
            <w:pPr>
              <w:spacing w:after="0" w:line="20" w:lineRule="exact"/>
              <w:rPr>
                <w:sz w:val="1"/>
                <w:szCs w:val="1"/>
                <w:color w:val="auto"/>
              </w:rPr>
            </w:pPr>
          </w:p>
        </w:tc>
        <w:tc>
          <w:tcPr>
            <w:tcW w:w="372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4"/>
          <w:szCs w:val="14"/>
          <w:b w:val="1"/>
          <w:bCs w:val="1"/>
          <w:color w:val="auto"/>
        </w:rPr>
        <w:t>ICON plc</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Summary Balance Sheet Data</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March 31, 2017 and December 31, 2016</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4760" w:type="dxa"/>
            <w:vAlign w:val="bottom"/>
          </w:tcPr>
          <w:p>
            <w:pPr>
              <w:jc w:val="center"/>
              <w:ind w:left="3268"/>
              <w:spacing w:after="0"/>
              <w:rPr>
                <w:sz w:val="20"/>
                <w:szCs w:val="20"/>
                <w:color w:val="auto"/>
              </w:rPr>
            </w:pPr>
            <w:r>
              <w:rPr>
                <w:rFonts w:ascii="Arial" w:cs="Arial" w:eastAsia="Arial" w:hAnsi="Arial"/>
                <w:sz w:val="14"/>
                <w:szCs w:val="14"/>
                <w:b w:val="1"/>
                <w:bCs w:val="1"/>
                <w:color w:val="auto"/>
              </w:rPr>
              <w:t>March</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w:t>
            </w:r>
          </w:p>
        </w:tc>
      </w:tr>
      <w:tr>
        <w:trPr>
          <w:trHeight w:val="176"/>
        </w:trPr>
        <w:tc>
          <w:tcPr>
            <w:tcW w:w="5560" w:type="dxa"/>
            <w:vAlign w:val="bottom"/>
          </w:tcPr>
          <w:p>
            <w:pPr>
              <w:spacing w:after="0"/>
              <w:rPr>
                <w:sz w:val="15"/>
                <w:szCs w:val="15"/>
                <w:color w:val="auto"/>
              </w:rPr>
            </w:pPr>
          </w:p>
        </w:tc>
        <w:tc>
          <w:tcPr>
            <w:tcW w:w="4760" w:type="dxa"/>
            <w:vAlign w:val="bottom"/>
          </w:tcPr>
          <w:p>
            <w:pPr>
              <w:jc w:val="center"/>
              <w:ind w:left="3268"/>
              <w:spacing w:after="0"/>
              <w:rPr>
                <w:sz w:val="20"/>
                <w:szCs w:val="20"/>
                <w:color w:val="auto"/>
              </w:rPr>
            </w:pPr>
            <w:r>
              <w:rPr>
                <w:rFonts w:ascii="Arial" w:cs="Arial" w:eastAsia="Arial" w:hAnsi="Arial"/>
                <w:sz w:val="14"/>
                <w:szCs w:val="14"/>
                <w:b w:val="1"/>
                <w:bCs w:val="1"/>
                <w:color w:val="auto"/>
                <w:w w:val="92"/>
              </w:rPr>
              <w:t>31,</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31,</w:t>
            </w:r>
          </w:p>
        </w:tc>
      </w:tr>
      <w:tr>
        <w:trPr>
          <w:trHeight w:val="176"/>
        </w:trPr>
        <w:tc>
          <w:tcPr>
            <w:tcW w:w="5560" w:type="dxa"/>
            <w:vAlign w:val="bottom"/>
          </w:tcPr>
          <w:p>
            <w:pPr>
              <w:spacing w:after="0"/>
              <w:rPr>
                <w:sz w:val="15"/>
                <w:szCs w:val="15"/>
                <w:color w:val="auto"/>
              </w:rPr>
            </w:pPr>
          </w:p>
        </w:tc>
        <w:tc>
          <w:tcPr>
            <w:tcW w:w="4760" w:type="dxa"/>
            <w:vAlign w:val="bottom"/>
          </w:tcPr>
          <w:p>
            <w:pPr>
              <w:jc w:val="center"/>
              <w:ind w:left="3268"/>
              <w:spacing w:after="0"/>
              <w:rPr>
                <w:sz w:val="20"/>
                <w:szCs w:val="20"/>
                <w:color w:val="auto"/>
              </w:rPr>
            </w:pPr>
            <w:r>
              <w:rPr>
                <w:rFonts w:ascii="Arial" w:cs="Arial" w:eastAsia="Arial" w:hAnsi="Arial"/>
                <w:sz w:val="14"/>
                <w:szCs w:val="14"/>
                <w:b w:val="1"/>
                <w:bCs w:val="1"/>
                <w:color w:val="auto"/>
                <w:w w:val="96"/>
              </w:rPr>
              <w:t>2017</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186"/>
        </w:trPr>
        <w:tc>
          <w:tcPr>
            <w:tcW w:w="5560" w:type="dxa"/>
            <w:vAlign w:val="bottom"/>
          </w:tcPr>
          <w:p>
            <w:pPr>
              <w:spacing w:after="0"/>
              <w:rPr>
                <w:sz w:val="16"/>
                <w:szCs w:val="16"/>
                <w:color w:val="auto"/>
              </w:rPr>
            </w:pPr>
          </w:p>
        </w:tc>
        <w:tc>
          <w:tcPr>
            <w:tcW w:w="4760" w:type="dxa"/>
            <w:vAlign w:val="bottom"/>
          </w:tcPr>
          <w:p>
            <w:pPr>
              <w:jc w:val="center"/>
              <w:ind w:left="3268"/>
              <w:spacing w:after="0"/>
              <w:rPr>
                <w:sz w:val="20"/>
                <w:szCs w:val="20"/>
                <w:color w:val="auto"/>
              </w:rPr>
            </w:pPr>
            <w:r>
              <w:rPr>
                <w:rFonts w:ascii="Arial" w:cs="Arial" w:eastAsia="Arial" w:hAnsi="Arial"/>
                <w:sz w:val="14"/>
                <w:szCs w:val="14"/>
                <w:b w:val="1"/>
                <w:bCs w:val="1"/>
                <w:color w:val="auto"/>
                <w:w w:val="95"/>
              </w:rPr>
              <w:t>(Unaudited)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(Audited)</w:t>
            </w:r>
          </w:p>
        </w:tc>
      </w:tr>
      <w:tr>
        <w:trPr>
          <w:trHeight w:val="520"/>
        </w:trPr>
        <w:tc>
          <w:tcPr>
            <w:tcW w:w="556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4760" w:type="dxa"/>
            <w:vAlign w:val="bottom"/>
          </w:tcPr>
          <w:p>
            <w:pPr>
              <w:jc w:val="right"/>
              <w:ind w:right="188"/>
              <w:spacing w:after="0"/>
              <w:rPr>
                <w:sz w:val="20"/>
                <w:szCs w:val="20"/>
                <w:color w:val="auto"/>
              </w:rPr>
            </w:pPr>
            <w:r>
              <w:rPr>
                <w:rFonts w:ascii="Arial" w:cs="Arial" w:eastAsia="Arial" w:hAnsi="Arial"/>
                <w:sz w:val="14"/>
                <w:szCs w:val="14"/>
                <w:color w:val="auto"/>
              </w:rPr>
              <w:t>318,966</w:t>
            </w:r>
          </w:p>
        </w:tc>
        <w:tc>
          <w:tcPr>
            <w:tcW w:w="1040" w:type="dxa"/>
            <w:vAlign w:val="bottom"/>
          </w:tcPr>
          <w:p>
            <w:pPr>
              <w:jc w:val="right"/>
              <w:spacing w:after="0"/>
              <w:rPr>
                <w:sz w:val="20"/>
                <w:szCs w:val="20"/>
                <w:color w:val="auto"/>
              </w:rPr>
            </w:pPr>
            <w:r>
              <w:rPr>
                <w:rFonts w:ascii="Arial" w:cs="Arial" w:eastAsia="Arial" w:hAnsi="Arial"/>
                <w:sz w:val="14"/>
                <w:szCs w:val="14"/>
                <w:color w:val="auto"/>
              </w:rPr>
              <w:t>260,587</w:t>
            </w:r>
          </w:p>
        </w:tc>
      </w:tr>
      <w:tr>
        <w:trPr>
          <w:trHeight w:val="176"/>
        </w:trPr>
        <w:tc>
          <w:tcPr>
            <w:tcW w:w="5560" w:type="dxa"/>
            <w:vAlign w:val="bottom"/>
          </w:tcPr>
          <w:p>
            <w:pPr>
              <w:spacing w:after="0"/>
              <w:rPr>
                <w:sz w:val="20"/>
                <w:szCs w:val="20"/>
                <w:color w:val="auto"/>
              </w:rPr>
            </w:pPr>
            <w:r>
              <w:rPr>
                <w:rFonts w:ascii="Arial" w:cs="Arial" w:eastAsia="Arial" w:hAnsi="Arial"/>
                <w:sz w:val="14"/>
                <w:szCs w:val="14"/>
                <w:color w:val="auto"/>
              </w:rPr>
              <w:t>Debt</w:t>
            </w:r>
          </w:p>
        </w:tc>
        <w:tc>
          <w:tcPr>
            <w:tcW w:w="4760" w:type="dxa"/>
            <w:vAlign w:val="bottom"/>
          </w:tcPr>
          <w:p>
            <w:pPr>
              <w:jc w:val="right"/>
              <w:ind w:right="128"/>
              <w:spacing w:after="0"/>
              <w:rPr>
                <w:sz w:val="20"/>
                <w:szCs w:val="20"/>
                <w:color w:val="auto"/>
              </w:rPr>
            </w:pPr>
            <w:r>
              <w:rPr>
                <w:rFonts w:ascii="Arial" w:cs="Arial" w:eastAsia="Arial" w:hAnsi="Arial"/>
                <w:sz w:val="14"/>
                <w:szCs w:val="14"/>
                <w:color w:val="auto"/>
              </w:rPr>
              <w:t>(348,604)</w:t>
            </w:r>
          </w:p>
        </w:tc>
        <w:tc>
          <w:tcPr>
            <w:tcW w:w="1040" w:type="dxa"/>
            <w:vAlign w:val="bottom"/>
          </w:tcPr>
          <w:p>
            <w:pPr>
              <w:jc w:val="right"/>
              <w:spacing w:after="0"/>
              <w:rPr>
                <w:sz w:val="20"/>
                <w:szCs w:val="20"/>
                <w:color w:val="auto"/>
              </w:rPr>
            </w:pPr>
            <w:r>
              <w:rPr>
                <w:rFonts w:ascii="Arial" w:cs="Arial" w:eastAsia="Arial" w:hAnsi="Arial"/>
                <w:sz w:val="14"/>
                <w:szCs w:val="14"/>
                <w:color w:val="auto"/>
              </w:rPr>
              <w:t>(348,511)</w:t>
            </w:r>
          </w:p>
        </w:tc>
      </w:tr>
      <w:tr>
        <w:trPr>
          <w:trHeight w:val="182"/>
        </w:trPr>
        <w:tc>
          <w:tcPr>
            <w:tcW w:w="5560" w:type="dxa"/>
            <w:vAlign w:val="bottom"/>
          </w:tcPr>
          <w:p>
            <w:pPr>
              <w:spacing w:after="0"/>
              <w:rPr>
                <w:sz w:val="20"/>
                <w:szCs w:val="20"/>
                <w:color w:val="auto"/>
              </w:rPr>
            </w:pPr>
            <w:r>
              <w:rPr>
                <w:rFonts w:ascii="Arial" w:cs="Arial" w:eastAsia="Arial" w:hAnsi="Arial"/>
                <w:sz w:val="14"/>
                <w:szCs w:val="14"/>
                <w:color w:val="auto"/>
              </w:rPr>
              <w:t>Net (debt)/cash</w:t>
            </w:r>
          </w:p>
        </w:tc>
        <w:tc>
          <w:tcPr>
            <w:tcW w:w="4760" w:type="dxa"/>
            <w:vAlign w:val="bottom"/>
          </w:tcPr>
          <w:p>
            <w:pPr>
              <w:jc w:val="right"/>
              <w:ind w:right="128"/>
              <w:spacing w:after="0"/>
              <w:rPr>
                <w:sz w:val="20"/>
                <w:szCs w:val="20"/>
                <w:color w:val="auto"/>
              </w:rPr>
            </w:pPr>
            <w:r>
              <w:rPr>
                <w:rFonts w:ascii="Arial" w:cs="Arial" w:eastAsia="Arial" w:hAnsi="Arial"/>
                <w:sz w:val="14"/>
                <w:szCs w:val="14"/>
                <w:color w:val="auto"/>
              </w:rPr>
              <w:t>(29,638)</w:t>
            </w:r>
          </w:p>
        </w:tc>
        <w:tc>
          <w:tcPr>
            <w:tcW w:w="1040" w:type="dxa"/>
            <w:vAlign w:val="bottom"/>
          </w:tcPr>
          <w:p>
            <w:pPr>
              <w:jc w:val="right"/>
              <w:spacing w:after="0"/>
              <w:rPr>
                <w:sz w:val="20"/>
                <w:szCs w:val="20"/>
                <w:color w:val="auto"/>
              </w:rPr>
            </w:pPr>
            <w:r>
              <w:rPr>
                <w:rFonts w:ascii="Arial" w:cs="Arial" w:eastAsia="Arial" w:hAnsi="Arial"/>
                <w:sz w:val="14"/>
                <w:szCs w:val="14"/>
                <w:color w:val="auto"/>
              </w:rPr>
              <w:t>(87,924)</w:t>
            </w:r>
          </w:p>
        </w:tc>
      </w:tr>
      <w:tr>
        <w:trPr>
          <w:trHeight w:val="344"/>
        </w:trPr>
        <w:tc>
          <w:tcPr>
            <w:tcW w:w="5560" w:type="dxa"/>
            <w:vAlign w:val="bottom"/>
          </w:tcPr>
          <w:p>
            <w:pPr>
              <w:spacing w:after="0"/>
              <w:rPr>
                <w:sz w:val="20"/>
                <w:szCs w:val="20"/>
                <w:color w:val="auto"/>
              </w:rPr>
            </w:pPr>
            <w:r>
              <w:rPr>
                <w:rFonts w:ascii="Arial" w:cs="Arial" w:eastAsia="Arial" w:hAnsi="Arial"/>
                <w:sz w:val="14"/>
                <w:szCs w:val="14"/>
                <w:color w:val="auto"/>
              </w:rPr>
              <w:t>Accounts receivable</w:t>
            </w:r>
          </w:p>
        </w:tc>
        <w:tc>
          <w:tcPr>
            <w:tcW w:w="4760" w:type="dxa"/>
            <w:vAlign w:val="bottom"/>
          </w:tcPr>
          <w:p>
            <w:pPr>
              <w:jc w:val="right"/>
              <w:ind w:right="188"/>
              <w:spacing w:after="0"/>
              <w:rPr>
                <w:sz w:val="20"/>
                <w:szCs w:val="20"/>
                <w:color w:val="auto"/>
              </w:rPr>
            </w:pPr>
            <w:r>
              <w:rPr>
                <w:rFonts w:ascii="Arial" w:cs="Arial" w:eastAsia="Arial" w:hAnsi="Arial"/>
                <w:sz w:val="14"/>
                <w:szCs w:val="14"/>
                <w:color w:val="auto"/>
              </w:rPr>
              <w:t>340,540</w:t>
            </w:r>
          </w:p>
        </w:tc>
        <w:tc>
          <w:tcPr>
            <w:tcW w:w="1040" w:type="dxa"/>
            <w:vAlign w:val="bottom"/>
          </w:tcPr>
          <w:p>
            <w:pPr>
              <w:jc w:val="right"/>
              <w:spacing w:after="0"/>
              <w:rPr>
                <w:sz w:val="20"/>
                <w:szCs w:val="20"/>
                <w:color w:val="auto"/>
              </w:rPr>
            </w:pPr>
            <w:r>
              <w:rPr>
                <w:rFonts w:ascii="Arial" w:cs="Arial" w:eastAsia="Arial" w:hAnsi="Arial"/>
                <w:sz w:val="14"/>
                <w:szCs w:val="14"/>
                <w:color w:val="auto"/>
              </w:rPr>
              <w:t>416,229</w:t>
            </w:r>
          </w:p>
        </w:tc>
      </w:tr>
      <w:tr>
        <w:trPr>
          <w:trHeight w:val="176"/>
        </w:trPr>
        <w:tc>
          <w:tcPr>
            <w:tcW w:w="5560" w:type="dxa"/>
            <w:vAlign w:val="bottom"/>
          </w:tcPr>
          <w:p>
            <w:pPr>
              <w:spacing w:after="0"/>
              <w:rPr>
                <w:sz w:val="20"/>
                <w:szCs w:val="20"/>
                <w:color w:val="auto"/>
              </w:rPr>
            </w:pPr>
            <w:r>
              <w:rPr>
                <w:rFonts w:ascii="Arial" w:cs="Arial" w:eastAsia="Arial" w:hAnsi="Arial"/>
                <w:sz w:val="14"/>
                <w:szCs w:val="14"/>
                <w:color w:val="auto"/>
              </w:rPr>
              <w:t>Unbilled revenue</w:t>
            </w:r>
          </w:p>
        </w:tc>
        <w:tc>
          <w:tcPr>
            <w:tcW w:w="4760" w:type="dxa"/>
            <w:vAlign w:val="bottom"/>
          </w:tcPr>
          <w:p>
            <w:pPr>
              <w:jc w:val="right"/>
              <w:ind w:right="188"/>
              <w:spacing w:after="0"/>
              <w:rPr>
                <w:sz w:val="20"/>
                <w:szCs w:val="20"/>
                <w:color w:val="auto"/>
              </w:rPr>
            </w:pPr>
            <w:r>
              <w:rPr>
                <w:rFonts w:ascii="Arial" w:cs="Arial" w:eastAsia="Arial" w:hAnsi="Arial"/>
                <w:sz w:val="14"/>
                <w:szCs w:val="14"/>
                <w:color w:val="auto"/>
              </w:rPr>
              <w:t>226,152</w:t>
            </w:r>
          </w:p>
        </w:tc>
        <w:tc>
          <w:tcPr>
            <w:tcW w:w="1040" w:type="dxa"/>
            <w:vAlign w:val="bottom"/>
          </w:tcPr>
          <w:p>
            <w:pPr>
              <w:jc w:val="right"/>
              <w:spacing w:after="0"/>
              <w:rPr>
                <w:sz w:val="20"/>
                <w:szCs w:val="20"/>
                <w:color w:val="auto"/>
              </w:rPr>
            </w:pPr>
            <w:r>
              <w:rPr>
                <w:rFonts w:ascii="Arial" w:cs="Arial" w:eastAsia="Arial" w:hAnsi="Arial"/>
                <w:sz w:val="14"/>
                <w:szCs w:val="14"/>
                <w:color w:val="auto"/>
              </w:rPr>
              <w:t>192,687</w:t>
            </w:r>
          </w:p>
        </w:tc>
      </w:tr>
      <w:tr>
        <w:trPr>
          <w:trHeight w:val="176"/>
        </w:trPr>
        <w:tc>
          <w:tcPr>
            <w:tcW w:w="5560" w:type="dxa"/>
            <w:vAlign w:val="bottom"/>
          </w:tcPr>
          <w:p>
            <w:pPr>
              <w:spacing w:after="0"/>
              <w:rPr>
                <w:sz w:val="20"/>
                <w:szCs w:val="20"/>
                <w:color w:val="auto"/>
              </w:rPr>
            </w:pPr>
            <w:r>
              <w:rPr>
                <w:rFonts w:ascii="Arial" w:cs="Arial" w:eastAsia="Arial" w:hAnsi="Arial"/>
                <w:sz w:val="14"/>
                <w:szCs w:val="14"/>
                <w:color w:val="auto"/>
              </w:rPr>
              <w:t>Payments on account</w:t>
            </w:r>
          </w:p>
        </w:tc>
        <w:tc>
          <w:tcPr>
            <w:tcW w:w="4760" w:type="dxa"/>
            <w:vAlign w:val="bottom"/>
          </w:tcPr>
          <w:p>
            <w:pPr>
              <w:jc w:val="right"/>
              <w:ind w:right="128"/>
              <w:spacing w:after="0"/>
              <w:rPr>
                <w:sz w:val="20"/>
                <w:szCs w:val="20"/>
                <w:color w:val="auto"/>
              </w:rPr>
            </w:pPr>
            <w:r>
              <w:rPr>
                <w:rFonts w:ascii="Arial" w:cs="Arial" w:eastAsia="Arial" w:hAnsi="Arial"/>
                <w:sz w:val="14"/>
                <w:szCs w:val="14"/>
                <w:color w:val="auto"/>
              </w:rPr>
              <w:t>(266,704)</w:t>
            </w:r>
          </w:p>
        </w:tc>
        <w:tc>
          <w:tcPr>
            <w:tcW w:w="1040" w:type="dxa"/>
            <w:vAlign w:val="bottom"/>
          </w:tcPr>
          <w:p>
            <w:pPr>
              <w:jc w:val="right"/>
              <w:spacing w:after="0"/>
              <w:rPr>
                <w:sz w:val="20"/>
                <w:szCs w:val="20"/>
                <w:color w:val="auto"/>
              </w:rPr>
            </w:pPr>
            <w:r>
              <w:rPr>
                <w:rFonts w:ascii="Arial" w:cs="Arial" w:eastAsia="Arial" w:hAnsi="Arial"/>
                <w:sz w:val="14"/>
                <w:szCs w:val="14"/>
                <w:color w:val="auto"/>
              </w:rPr>
              <w:t>(272,757)</w:t>
            </w:r>
          </w:p>
        </w:tc>
      </w:tr>
      <w:tr>
        <w:trPr>
          <w:trHeight w:val="182"/>
        </w:trPr>
        <w:tc>
          <w:tcPr>
            <w:tcW w:w="5560" w:type="dxa"/>
            <w:vAlign w:val="bottom"/>
          </w:tcPr>
          <w:p>
            <w:pPr>
              <w:spacing w:after="0"/>
              <w:rPr>
                <w:sz w:val="20"/>
                <w:szCs w:val="20"/>
                <w:color w:val="auto"/>
              </w:rPr>
            </w:pPr>
            <w:r>
              <w:rPr>
                <w:rFonts w:ascii="Arial" w:cs="Arial" w:eastAsia="Arial" w:hAnsi="Arial"/>
                <w:sz w:val="14"/>
                <w:szCs w:val="14"/>
                <w:color w:val="auto"/>
              </w:rPr>
              <w:t>Total</w:t>
            </w:r>
          </w:p>
        </w:tc>
        <w:tc>
          <w:tcPr>
            <w:tcW w:w="4760" w:type="dxa"/>
            <w:vAlign w:val="bottom"/>
          </w:tcPr>
          <w:p>
            <w:pPr>
              <w:jc w:val="right"/>
              <w:ind w:right="188"/>
              <w:spacing w:after="0"/>
              <w:rPr>
                <w:sz w:val="20"/>
                <w:szCs w:val="20"/>
                <w:color w:val="auto"/>
              </w:rPr>
            </w:pPr>
            <w:r>
              <w:rPr>
                <w:rFonts w:ascii="Arial" w:cs="Arial" w:eastAsia="Arial" w:hAnsi="Arial"/>
                <w:sz w:val="14"/>
                <w:szCs w:val="14"/>
                <w:color w:val="auto"/>
              </w:rPr>
              <w:t>299,988</w:t>
            </w:r>
          </w:p>
        </w:tc>
        <w:tc>
          <w:tcPr>
            <w:tcW w:w="1040" w:type="dxa"/>
            <w:vAlign w:val="bottom"/>
          </w:tcPr>
          <w:p>
            <w:pPr>
              <w:jc w:val="right"/>
              <w:spacing w:after="0"/>
              <w:rPr>
                <w:sz w:val="20"/>
                <w:szCs w:val="20"/>
                <w:color w:val="auto"/>
              </w:rPr>
            </w:pPr>
            <w:r>
              <w:rPr>
                <w:rFonts w:ascii="Arial" w:cs="Arial" w:eastAsia="Arial" w:hAnsi="Arial"/>
                <w:sz w:val="14"/>
                <w:szCs w:val="14"/>
                <w:color w:val="auto"/>
              </w:rPr>
              <w:t>336,159</w:t>
            </w:r>
          </w:p>
        </w:tc>
      </w:tr>
      <w:tr>
        <w:trPr>
          <w:trHeight w:val="351"/>
        </w:trPr>
        <w:tc>
          <w:tcPr>
            <w:tcW w:w="5560" w:type="dxa"/>
            <w:vAlign w:val="bottom"/>
          </w:tcPr>
          <w:p>
            <w:pPr>
              <w:spacing w:after="0"/>
              <w:rPr>
                <w:sz w:val="20"/>
                <w:szCs w:val="20"/>
                <w:color w:val="auto"/>
              </w:rPr>
            </w:pPr>
            <w:r>
              <w:rPr>
                <w:rFonts w:ascii="Arial" w:cs="Arial" w:eastAsia="Arial" w:hAnsi="Arial"/>
                <w:sz w:val="14"/>
                <w:szCs w:val="14"/>
                <w:color w:val="auto"/>
              </w:rPr>
              <w:t>Working Capital</w:t>
            </w:r>
          </w:p>
        </w:tc>
        <w:tc>
          <w:tcPr>
            <w:tcW w:w="4760" w:type="dxa"/>
            <w:vAlign w:val="bottom"/>
          </w:tcPr>
          <w:p>
            <w:pPr>
              <w:jc w:val="right"/>
              <w:ind w:right="188"/>
              <w:spacing w:after="0"/>
              <w:rPr>
                <w:sz w:val="20"/>
                <w:szCs w:val="20"/>
                <w:color w:val="auto"/>
              </w:rPr>
            </w:pPr>
            <w:r>
              <w:rPr>
                <w:rFonts w:ascii="Arial" w:cs="Arial" w:eastAsia="Arial" w:hAnsi="Arial"/>
                <w:sz w:val="14"/>
                <w:szCs w:val="14"/>
                <w:color w:val="auto"/>
              </w:rPr>
              <w:t>466,662</w:t>
            </w:r>
          </w:p>
        </w:tc>
        <w:tc>
          <w:tcPr>
            <w:tcW w:w="1040" w:type="dxa"/>
            <w:vAlign w:val="bottom"/>
          </w:tcPr>
          <w:p>
            <w:pPr>
              <w:jc w:val="right"/>
              <w:spacing w:after="0"/>
              <w:rPr>
                <w:sz w:val="20"/>
                <w:szCs w:val="20"/>
                <w:color w:val="auto"/>
              </w:rPr>
            </w:pPr>
            <w:r>
              <w:rPr>
                <w:rFonts w:ascii="Arial" w:cs="Arial" w:eastAsia="Arial" w:hAnsi="Arial"/>
                <w:sz w:val="14"/>
                <w:szCs w:val="14"/>
                <w:color w:val="auto"/>
              </w:rPr>
              <w:t>463,552</w:t>
            </w:r>
          </w:p>
        </w:tc>
      </w:tr>
      <w:tr>
        <w:trPr>
          <w:trHeight w:val="351"/>
        </w:trPr>
        <w:tc>
          <w:tcPr>
            <w:tcW w:w="5560" w:type="dxa"/>
            <w:vAlign w:val="bottom"/>
          </w:tcPr>
          <w:p>
            <w:pPr>
              <w:spacing w:after="0"/>
              <w:rPr>
                <w:sz w:val="20"/>
                <w:szCs w:val="20"/>
                <w:color w:val="auto"/>
              </w:rPr>
            </w:pPr>
            <w:r>
              <w:rPr>
                <w:rFonts w:ascii="Arial" w:cs="Arial" w:eastAsia="Arial" w:hAnsi="Arial"/>
                <w:sz w:val="14"/>
                <w:szCs w:val="14"/>
                <w:color w:val="auto"/>
              </w:rPr>
              <w:t>Total Assets</w:t>
            </w:r>
          </w:p>
        </w:tc>
        <w:tc>
          <w:tcPr>
            <w:tcW w:w="4760" w:type="dxa"/>
            <w:vAlign w:val="bottom"/>
          </w:tcPr>
          <w:p>
            <w:pPr>
              <w:jc w:val="right"/>
              <w:ind w:right="188"/>
              <w:spacing w:after="0"/>
              <w:rPr>
                <w:sz w:val="20"/>
                <w:szCs w:val="20"/>
                <w:color w:val="auto"/>
              </w:rPr>
            </w:pPr>
            <w:r>
              <w:rPr>
                <w:rFonts w:ascii="Arial" w:cs="Arial" w:eastAsia="Arial" w:hAnsi="Arial"/>
                <w:sz w:val="14"/>
                <w:szCs w:val="14"/>
                <w:color w:val="auto"/>
              </w:rPr>
              <w:t>1,855,215</w:t>
            </w:r>
          </w:p>
        </w:tc>
        <w:tc>
          <w:tcPr>
            <w:tcW w:w="1040" w:type="dxa"/>
            <w:vAlign w:val="bottom"/>
          </w:tcPr>
          <w:p>
            <w:pPr>
              <w:jc w:val="right"/>
              <w:spacing w:after="0"/>
              <w:rPr>
                <w:sz w:val="20"/>
                <w:szCs w:val="20"/>
                <w:color w:val="auto"/>
              </w:rPr>
            </w:pPr>
            <w:r>
              <w:rPr>
                <w:rFonts w:ascii="Arial" w:cs="Arial" w:eastAsia="Arial" w:hAnsi="Arial"/>
                <w:sz w:val="14"/>
                <w:szCs w:val="14"/>
                <w:color w:val="auto"/>
              </w:rPr>
              <w:t>1,825,843</w:t>
            </w:r>
          </w:p>
        </w:tc>
      </w:tr>
      <w:tr>
        <w:trPr>
          <w:trHeight w:val="351"/>
        </w:trPr>
        <w:tc>
          <w:tcPr>
            <w:tcW w:w="5560" w:type="dxa"/>
            <w:vAlign w:val="bottom"/>
          </w:tcPr>
          <w:p>
            <w:pPr>
              <w:spacing w:after="0"/>
              <w:rPr>
                <w:sz w:val="20"/>
                <w:szCs w:val="20"/>
                <w:color w:val="auto"/>
              </w:rPr>
            </w:pPr>
            <w:r>
              <w:rPr>
                <w:rFonts w:ascii="Arial" w:cs="Arial" w:eastAsia="Arial" w:hAnsi="Arial"/>
                <w:sz w:val="14"/>
                <w:szCs w:val="14"/>
                <w:color w:val="auto"/>
              </w:rPr>
              <w:t>Shareholder's Equity</w:t>
            </w:r>
          </w:p>
        </w:tc>
        <w:tc>
          <w:tcPr>
            <w:tcW w:w="4760" w:type="dxa"/>
            <w:vAlign w:val="bottom"/>
          </w:tcPr>
          <w:p>
            <w:pPr>
              <w:jc w:val="right"/>
              <w:ind w:right="188"/>
              <w:spacing w:after="0"/>
              <w:rPr>
                <w:sz w:val="20"/>
                <w:szCs w:val="20"/>
                <w:color w:val="auto"/>
              </w:rPr>
            </w:pPr>
            <w:r>
              <w:rPr>
                <w:rFonts w:ascii="Arial" w:cs="Arial" w:eastAsia="Arial" w:hAnsi="Arial"/>
                <w:sz w:val="14"/>
                <w:szCs w:val="14"/>
                <w:color w:val="auto"/>
              </w:rPr>
              <w:t>944,509</w:t>
            </w:r>
          </w:p>
        </w:tc>
        <w:tc>
          <w:tcPr>
            <w:tcW w:w="1040" w:type="dxa"/>
            <w:vAlign w:val="bottom"/>
          </w:tcPr>
          <w:p>
            <w:pPr>
              <w:jc w:val="right"/>
              <w:spacing w:after="0"/>
              <w:rPr>
                <w:sz w:val="20"/>
                <w:szCs w:val="20"/>
                <w:color w:val="auto"/>
              </w:rPr>
            </w:pPr>
            <w:r>
              <w:rPr>
                <w:rFonts w:ascii="Arial" w:cs="Arial" w:eastAsia="Arial" w:hAnsi="Arial"/>
                <w:sz w:val="14"/>
                <w:szCs w:val="14"/>
                <w:color w:val="auto"/>
              </w:rPr>
              <w:t>945,174</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+353–1-291-2000</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Jonathan Curtain, +353–1-291-2000</w:t>
      </w:r>
    </w:p>
    <w:p>
      <w:pPr>
        <w:spacing w:after="0" w:line="230" w:lineRule="auto"/>
        <w:rPr>
          <w:sz w:val="20"/>
          <w:szCs w:val="20"/>
          <w:color w:val="auto"/>
        </w:rPr>
      </w:pPr>
      <w:r>
        <w:rPr>
          <w:rFonts w:ascii="Arial" w:cs="Arial" w:eastAsia="Arial" w:hAnsi="Arial"/>
          <w:sz w:val="22"/>
          <w:szCs w:val="22"/>
          <w:color w:val="auto"/>
        </w:rPr>
        <w:t>Vice President Corporate Finance and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http://www.iconplc.com</w:t>
      </w:r>
    </w:p>
    <w:sectPr>
      <w:pgSz w:w="11900" w:h="16838" w:orient="portrait"/>
      <w:cols w:equalWidth="0" w:num="1">
        <w:col w:w="11360"/>
      </w:cols>
      <w:pgMar w:left="240" w:top="1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2019-12-06T09:32:20Z</dcterms:created>
  <dcterms:modified xsi:type="dcterms:W3CDTF">2019-12-06T09:32:20Z</dcterms:modified>
</cp:coreProperties>
</file>