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59"/>
        <w:spacing w:after="0"/>
        <w:rPr>
          <w:sz w:val="20"/>
          <w:szCs w:val="20"/>
          <w:color w:val="auto"/>
        </w:rPr>
      </w:pPr>
      <w:r>
        <w:rPr>
          <w:rFonts w:ascii="Courier New" w:cs="Courier New" w:eastAsia="Courier New" w:hAnsi="Courier New"/>
          <w:sz w:val="16"/>
          <w:szCs w:val="16"/>
          <w:color w:val="auto"/>
        </w:rPr>
        <w:t>FORM 6-K</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Washington, D.C. 20549</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Report of Foreign Private Issuer</w:t>
      </w:r>
    </w:p>
    <w:p>
      <w:pPr>
        <w:spacing w:after="0" w:line="5"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Pursuant to Rule 13a - 16 under</w:t>
      </w:r>
    </w:p>
    <w:p>
      <w:pPr>
        <w:spacing w:after="0" w:line="5"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For the month of March, 2003</w:t>
      </w:r>
    </w:p>
    <w:p>
      <w:pPr>
        <w:spacing w:after="0" w:line="191"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ICON plc</w:t>
      </w:r>
    </w:p>
    <w:p>
      <w:pPr>
        <w:spacing w:after="0" w:line="5" w:lineRule="exact"/>
        <w:rPr>
          <w:sz w:val="24"/>
          <w:szCs w:val="24"/>
          <w:color w:val="auto"/>
        </w:rPr>
      </w:pPr>
    </w:p>
    <w:p>
      <w:pPr>
        <w:ind w:left="3000"/>
        <w:spacing w:after="0"/>
        <w:rPr>
          <w:sz w:val="20"/>
          <w:szCs w:val="20"/>
          <w:color w:val="auto"/>
        </w:rPr>
      </w:pPr>
      <w:r>
        <w:rPr>
          <w:rFonts w:ascii="Courier New" w:cs="Courier New" w:eastAsia="Courier New" w:hAnsi="Courier New"/>
          <w:sz w:val="16"/>
          <w:szCs w:val="16"/>
          <w:color w:val="auto"/>
        </w:rPr>
        <w:t>(Registrant's name)</w:t>
      </w:r>
    </w:p>
    <w:p>
      <w:pPr>
        <w:spacing w:after="0" w:line="191" w:lineRule="exact"/>
        <w:rPr>
          <w:sz w:val="24"/>
          <w:szCs w:val="24"/>
          <w:color w:val="auto"/>
        </w:rPr>
      </w:pPr>
    </w:p>
    <w:p>
      <w:pPr>
        <w:ind w:left="3580"/>
        <w:spacing w:after="0"/>
        <w:rPr>
          <w:sz w:val="20"/>
          <w:szCs w:val="20"/>
          <w:color w:val="auto"/>
        </w:rPr>
      </w:pPr>
      <w:r>
        <w:rPr>
          <w:rFonts w:ascii="Courier New" w:cs="Courier New" w:eastAsia="Courier New" w:hAnsi="Courier New"/>
          <w:sz w:val="16"/>
          <w:szCs w:val="16"/>
          <w:color w:val="auto"/>
        </w:rPr>
        <w:t>0-29714</w:t>
      </w:r>
    </w:p>
    <w:p>
      <w:pPr>
        <w:spacing w:after="0" w:line="5" w:lineRule="exact"/>
        <w:rPr>
          <w:sz w:val="24"/>
          <w:szCs w:val="24"/>
          <w:color w:val="auto"/>
        </w:rPr>
      </w:pPr>
    </w:p>
    <w:p>
      <w:pPr>
        <w:ind w:left="2720"/>
        <w:spacing w:after="0"/>
        <w:rPr>
          <w:sz w:val="20"/>
          <w:szCs w:val="20"/>
          <w:color w:val="auto"/>
        </w:rPr>
      </w:pPr>
      <w:r>
        <w:rPr>
          <w:rFonts w:ascii="Courier New" w:cs="Courier New" w:eastAsia="Courier New" w:hAnsi="Courier New"/>
          <w:sz w:val="16"/>
          <w:szCs w:val="16"/>
          <w:color w:val="auto"/>
        </w:rPr>
        <w:t>(Commission file number)</w:t>
      </w:r>
    </w:p>
    <w:p>
      <w:pPr>
        <w:spacing w:after="0" w:line="191"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South County Business Park, Leopardstown, Dublin 18, Ireland.</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91" w:lineRule="exact"/>
        <w:rPr>
          <w:sz w:val="24"/>
          <w:szCs w:val="24"/>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Indicate by check mark whether the registrant files or will file annual reports under cover Form 20-F or Form 40-F.</w:t>
      </w:r>
    </w:p>
    <w:p>
      <w:pPr>
        <w:spacing w:after="0" w:line="184" w:lineRule="exact"/>
        <w:rPr>
          <w:sz w:val="24"/>
          <w:szCs w:val="24"/>
          <w:color w:val="auto"/>
        </w:rPr>
      </w:pPr>
    </w:p>
    <w:p>
      <w:pPr>
        <w:ind w:left="880"/>
        <w:spacing w:after="0"/>
        <w:tabs>
          <w:tab w:leader="none" w:pos="1720" w:val="left"/>
          <w:tab w:leader="none" w:pos="386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No ___</w:t>
      </w:r>
    </w:p>
    <w:p>
      <w:pPr>
        <w:spacing w:after="0" w:line="191" w:lineRule="exact"/>
        <w:rPr>
          <w:sz w:val="24"/>
          <w:szCs w:val="24"/>
          <w:color w:val="auto"/>
        </w:rPr>
      </w:pPr>
    </w:p>
    <w:p>
      <w:pPr>
        <w:ind w:right="2959"/>
        <w:spacing w:after="0" w:line="248" w:lineRule="auto"/>
        <w:rPr>
          <w:sz w:val="20"/>
          <w:szCs w:val="20"/>
          <w:color w:val="auto"/>
        </w:rPr>
      </w:pPr>
      <w:r>
        <w:rPr>
          <w:rFonts w:ascii="Courier New" w:cs="Courier New" w:eastAsia="Courier New" w:hAnsi="Courier New"/>
          <w:sz w:val="16"/>
          <w:szCs w:val="16"/>
          <w:color w:val="auto"/>
        </w:rPr>
        <w:t>Indicate by check mark whether the registrant is submitting the Form 6-K in paper as permitted by Regulation S-T Rule 101(b)(1):</w:t>
      </w:r>
    </w:p>
    <w:p>
      <w:pPr>
        <w:spacing w:after="0" w:line="184" w:lineRule="exact"/>
        <w:rPr>
          <w:sz w:val="24"/>
          <w:szCs w:val="24"/>
          <w:color w:val="auto"/>
        </w:rPr>
      </w:pPr>
    </w:p>
    <w:p>
      <w:pPr>
        <w:ind w:left="880"/>
        <w:spacing w:after="0"/>
        <w:tabs>
          <w:tab w:leader="none" w:pos="1440" w:val="left"/>
          <w:tab w:leader="none" w:pos="3860" w:val="left"/>
          <w:tab w:leader="none" w:pos="424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___</w:t>
      </w:r>
      <w:r>
        <w:rPr>
          <w:sz w:val="20"/>
          <w:szCs w:val="20"/>
          <w:color w:val="auto"/>
        </w:rPr>
        <w:tab/>
      </w:r>
      <w:r>
        <w:rPr>
          <w:rFonts w:ascii="Courier New" w:cs="Courier New" w:eastAsia="Courier New" w:hAnsi="Courier New"/>
          <w:sz w:val="16"/>
          <w:szCs w:val="16"/>
          <w:color w:val="auto"/>
        </w:rPr>
        <w:t>No</w:t>
        <w:tab/>
        <w:t>X</w:t>
      </w:r>
    </w:p>
    <w:p>
      <w:pPr>
        <w:spacing w:after="0" w:line="191" w:lineRule="exact"/>
        <w:rPr>
          <w:sz w:val="24"/>
          <w:szCs w:val="24"/>
          <w:color w:val="auto"/>
        </w:rPr>
      </w:pPr>
    </w:p>
    <w:p>
      <w:pPr>
        <w:ind w:right="2959"/>
        <w:spacing w:after="0" w:line="248" w:lineRule="auto"/>
        <w:rPr>
          <w:sz w:val="20"/>
          <w:szCs w:val="20"/>
          <w:color w:val="auto"/>
        </w:rPr>
      </w:pPr>
      <w:r>
        <w:rPr>
          <w:rFonts w:ascii="Courier New" w:cs="Courier New" w:eastAsia="Courier New" w:hAnsi="Courier New"/>
          <w:sz w:val="16"/>
          <w:szCs w:val="16"/>
          <w:color w:val="auto"/>
        </w:rPr>
        <w:t>Indicate by check mark whether the registrant is submitting the Form 6-K in paper as permitted by Regulation S-T Rule 101(b)(7):</w:t>
      </w:r>
    </w:p>
    <w:p>
      <w:pPr>
        <w:spacing w:after="0" w:line="184" w:lineRule="exact"/>
        <w:rPr>
          <w:sz w:val="24"/>
          <w:szCs w:val="24"/>
          <w:color w:val="auto"/>
        </w:rPr>
      </w:pPr>
    </w:p>
    <w:p>
      <w:pPr>
        <w:ind w:left="880"/>
        <w:spacing w:after="0"/>
        <w:tabs>
          <w:tab w:leader="none" w:pos="1440" w:val="left"/>
          <w:tab w:leader="none" w:pos="3860" w:val="left"/>
          <w:tab w:leader="none" w:pos="424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___</w:t>
      </w:r>
      <w:r>
        <w:rPr>
          <w:sz w:val="20"/>
          <w:szCs w:val="20"/>
          <w:color w:val="auto"/>
        </w:rPr>
        <w:tab/>
      </w:r>
      <w:r>
        <w:rPr>
          <w:rFonts w:ascii="Courier New" w:cs="Courier New" w:eastAsia="Courier New" w:hAnsi="Courier New"/>
          <w:sz w:val="16"/>
          <w:szCs w:val="16"/>
          <w:color w:val="auto"/>
        </w:rPr>
        <w:t>No</w:t>
        <w:tab/>
        <w:t>X</w:t>
      </w:r>
    </w:p>
    <w:p>
      <w:pPr>
        <w:spacing w:after="0" w:line="191" w:lineRule="exact"/>
        <w:rPr>
          <w:sz w:val="24"/>
          <w:szCs w:val="24"/>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6" w:lineRule="exact"/>
        <w:rPr>
          <w:sz w:val="24"/>
          <w:szCs w:val="24"/>
          <w:color w:val="auto"/>
        </w:rPr>
      </w:pPr>
    </w:p>
    <w:p>
      <w:pPr>
        <w:ind w:left="880"/>
        <w:spacing w:after="0"/>
        <w:tabs>
          <w:tab w:leader="none" w:pos="1440" w:val="left"/>
          <w:tab w:leader="none" w:pos="3860" w:val="left"/>
          <w:tab w:leader="none" w:pos="424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___</w:t>
      </w:r>
      <w:r>
        <w:rPr>
          <w:sz w:val="20"/>
          <w:szCs w:val="20"/>
          <w:color w:val="auto"/>
        </w:rPr>
        <w:tab/>
      </w:r>
      <w:r>
        <w:rPr>
          <w:rFonts w:ascii="Courier New" w:cs="Courier New" w:eastAsia="Courier New" w:hAnsi="Courier New"/>
          <w:sz w:val="16"/>
          <w:szCs w:val="16"/>
          <w:color w:val="auto"/>
        </w:rPr>
        <w:t>No</w:t>
        <w:tab/>
        <w:t>X</w:t>
      </w:r>
    </w:p>
    <w:p>
      <w:pPr>
        <w:spacing w:after="0" w:line="191" w:lineRule="exact"/>
        <w:rPr>
          <w:sz w:val="24"/>
          <w:szCs w:val="24"/>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If "Yes" is marked, indicate below the file number assigned to the registrant in connection with Rule 12g3-2(b):82 N/A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Other Events.</w:t>
      </w:r>
    </w:p>
    <w:p>
      <w:pPr>
        <w:spacing w:after="0" w:line="378" w:lineRule="exact"/>
        <w:rPr>
          <w:sz w:val="24"/>
          <w:szCs w:val="24"/>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The registrant hereby incorporates by reference the press release attached hereto as Exhibit 99.1 into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27"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Financial Statements and Exhibits.</w:t>
      </w:r>
    </w:p>
    <w:p>
      <w:pPr>
        <w:spacing w:after="0" w:line="37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 The following Exhibits are filed as part of this report:</w:t>
      </w:r>
    </w:p>
    <w:p>
      <w:pPr>
        <w:sectPr>
          <w:pgSz w:w="11900" w:h="16838" w:orient="portrait"/>
          <w:cols w:equalWidth="0" w:num="1">
            <w:col w:w="10219"/>
          </w:cols>
          <w:pgMar w:left="240" w:top="862" w:right="1440" w:bottom="1440" w:gutter="0" w:footer="0" w:header="0"/>
        </w:sectPr>
      </w:pPr>
    </w:p>
    <w:p>
      <w:pPr>
        <w:spacing w:after="0" w:line="37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EXHIBIT NO.</w:t>
      </w:r>
    </w:p>
    <w:p>
      <w:pPr>
        <w:spacing w:after="0" w:line="19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w:t>
      </w:r>
    </w:p>
    <w:p>
      <w:pPr>
        <w:spacing w:after="0" w:line="200" w:lineRule="exact"/>
        <w:rPr>
          <w:sz w:val="20"/>
          <w:szCs w:val="20"/>
          <w:color w:val="auto"/>
        </w:rPr>
      </w:pPr>
    </w:p>
    <w:p>
      <w:pPr>
        <w:sectPr>
          <w:pgSz w:w="11900" w:h="16838" w:orient="portrait"/>
          <w:cols w:equalWidth="0" w:num="2">
            <w:col w:w="2180" w:space="720"/>
            <w:col w:w="7319"/>
          </w:cols>
          <w:pgMar w:left="240" w:top="86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62" w:right="1440" w:bottom="1440" w:gutter="0" w:footer="0" w:header="0"/>
          <w:type w:val="continuous"/>
        </w:sectPr>
      </w:pPr>
    </w:p>
    <w:bookmarkStart w:id="2" w:name="page3"/>
    <w:bookmarkEnd w:id="2"/>
    <w:p>
      <w:pPr>
        <w:ind w:left="3400"/>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ICON plc</w:t>
      </w:r>
    </w:p>
    <w:p>
      <w:pPr>
        <w:sectPr>
          <w:pgSz w:w="11900" w:h="16838" w:orient="portrait"/>
          <w:cols w:equalWidth="0" w:num="1">
            <w:col w:w="10219"/>
          </w:cols>
          <w:pgMar w:left="240" w:top="8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31, 2003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Sean Leech</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Sean Leech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w:t>
      </w:r>
    </w:p>
    <w:p>
      <w:pPr>
        <w:spacing w:after="0" w:line="200" w:lineRule="exact"/>
        <w:rPr>
          <w:sz w:val="20"/>
          <w:szCs w:val="20"/>
          <w:color w:val="auto"/>
        </w:rPr>
      </w:pPr>
    </w:p>
    <w:p>
      <w:pPr>
        <w:sectPr>
          <w:pgSz w:w="11900" w:h="16838" w:orient="portrait"/>
          <w:cols w:equalWidth="0" w:num="2">
            <w:col w:w="2760" w:space="720"/>
            <w:col w:w="6739"/>
          </w:cols>
          <w:pgMar w:left="240" w:top="862" w:right="1440" w:bottom="1440" w:gutter="0" w:footer="0" w:header="0"/>
          <w:type w:val="continuous"/>
        </w:sect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62" w:right="1440" w:bottom="1440" w:gutter="0" w:footer="0" w:header="0"/>
          <w:type w:val="continuous"/>
        </w:sectPr>
      </w:pPr>
    </w:p>
    <w:bookmarkStart w:id="3" w:name="page4"/>
    <w:bookmarkEnd w:id="3"/>
    <w:p>
      <w:pPr>
        <w:jc w:val="right"/>
        <w:ind w:right="2459"/>
        <w:spacing w:after="0"/>
        <w:rPr>
          <w:sz w:val="20"/>
          <w:szCs w:val="20"/>
          <w:color w:val="auto"/>
        </w:rPr>
      </w:pPr>
      <w:r>
        <w:rPr>
          <w:rFonts w:ascii="Courier New" w:cs="Courier New" w:eastAsia="Courier New" w:hAnsi="Courier New"/>
          <w:sz w:val="16"/>
          <w:szCs w:val="16"/>
          <w:color w:val="auto"/>
        </w:rPr>
        <w:t>Exhibit 99.1</w:t>
      </w:r>
    </w:p>
    <w:p>
      <w:pPr>
        <w:spacing w:after="0" w:line="5" w:lineRule="exact"/>
        <w:rPr>
          <w:sz w:val="20"/>
          <w:szCs w:val="20"/>
          <w:color w:val="auto"/>
        </w:rPr>
      </w:pPr>
    </w:p>
    <w:p>
      <w:pPr>
        <w:ind w:left="658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1" w:right="3239"/>
        <w:spacing w:after="0" w:line="248" w:lineRule="auto"/>
        <w:rPr>
          <w:sz w:val="20"/>
          <w:szCs w:val="20"/>
          <w:color w:val="auto"/>
        </w:rPr>
      </w:pPr>
      <w:r>
        <w:rPr>
          <w:rFonts w:ascii="Courier New" w:cs="Courier New" w:eastAsia="Courier New" w:hAnsi="Courier New"/>
          <w:sz w:val="16"/>
          <w:szCs w:val="16"/>
          <w:color w:val="auto"/>
        </w:rPr>
        <w:t>ICON reports strong Third Quarter FY 2003 results with a 33% increase in operating income and EPS of $0.38 (NASDAQ:ICLR)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Highlights - Third Quarter Fiscal 2003</w:t>
      </w:r>
    </w:p>
    <w:p>
      <w:pPr>
        <w:spacing w:after="0" w:line="191" w:lineRule="exact"/>
        <w:rPr>
          <w:sz w:val="20"/>
          <w:szCs w:val="20"/>
          <w:color w:val="auto"/>
        </w:rPr>
      </w:pPr>
    </w:p>
    <w:p>
      <w:pPr>
        <w:ind w:left="481" w:right="2659" w:hanging="481"/>
        <w:spacing w:after="0" w:line="248" w:lineRule="auto"/>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quarter net revenues increased 50% over the third quarter of fiscal 2002 to $59.3 million and inincreased 41% on a year-to-date basis.</w:t>
      </w:r>
    </w:p>
    <w:p>
      <w:pPr>
        <w:spacing w:after="0" w:line="184" w:lineRule="exact"/>
        <w:rPr>
          <w:rFonts w:ascii="Courier New" w:cs="Courier New" w:eastAsia="Courier New" w:hAnsi="Courier New"/>
          <w:sz w:val="16"/>
          <w:szCs w:val="16"/>
          <w:color w:val="auto"/>
        </w:rPr>
      </w:pPr>
    </w:p>
    <w:p>
      <w:pPr>
        <w:jc w:val="both"/>
        <w:ind w:left="481" w:right="2559" w:hanging="481"/>
        <w:spacing w:after="0" w:line="248" w:lineRule="auto"/>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from operations increased 33% over the third quarter of fiscal 2002 to $6.2 million and increased 35% in the nine months to February 28, 2003.</w:t>
      </w:r>
    </w:p>
    <w:p>
      <w:pPr>
        <w:spacing w:after="0" w:line="184" w:lineRule="exact"/>
        <w:rPr>
          <w:rFonts w:ascii="Courier New" w:cs="Courier New" w:eastAsia="Courier New" w:hAnsi="Courier New"/>
          <w:sz w:val="16"/>
          <w:szCs w:val="16"/>
          <w:color w:val="auto"/>
        </w:rPr>
      </w:pPr>
    </w:p>
    <w:p>
      <w:pPr>
        <w:ind w:left="481" w:right="2459" w:hanging="481"/>
        <w:spacing w:after="0" w:line="247" w:lineRule="auto"/>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Diluted earnings per share increased 31% for the third quarter to $0.38 cents compared to $0.29 cents in same quarter last year. Year-to-date diluted earnings per share were $1.07 cents compared to $0.85 cents for the comparable period last year.</w:t>
      </w:r>
    </w:p>
    <w:p>
      <w:pPr>
        <w:spacing w:after="0" w:line="185"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$63 million of net new business awarded to ICON during the quarter.</w:t>
      </w:r>
    </w:p>
    <w:p>
      <w:pPr>
        <w:spacing w:after="0" w:line="378" w:lineRule="exact"/>
        <w:rPr>
          <w:sz w:val="20"/>
          <w:szCs w:val="20"/>
          <w:color w:val="auto"/>
        </w:rPr>
      </w:pPr>
    </w:p>
    <w:p>
      <w:pPr>
        <w:ind w:left="1" w:right="2759"/>
        <w:spacing w:after="0" w:line="247" w:lineRule="auto"/>
        <w:rPr>
          <w:sz w:val="20"/>
          <w:szCs w:val="20"/>
          <w:color w:val="auto"/>
        </w:rPr>
      </w:pPr>
      <w:r>
        <w:rPr>
          <w:rFonts w:ascii="Courier New" w:cs="Courier New" w:eastAsia="Courier New" w:hAnsi="Courier New"/>
          <w:sz w:val="16"/>
          <w:szCs w:val="16"/>
          <w:color w:val="auto"/>
        </w:rPr>
        <w:t>Dublin, Ireland, March 31, 2003 - ICON plc (NASDAQ: ICLR), a global contract clinical research organisation, which has approximately 2,300 employees providing services to the pharmaceutical and biotech industries from 28 locations in 16 countries worldwide, today reported the financial results for its third quarter ended February 28, 2003.</w:t>
      </w:r>
    </w:p>
    <w:p>
      <w:pPr>
        <w:spacing w:after="0" w:line="18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Net revenues for the quarter were $59.3 million, representing a 50% increase over net revenues of $39.6 million for the same quarter last year. Excluding the impact of acquisitions revenue growth for the quarter was 35% over the same quarter last year.</w:t>
      </w:r>
    </w:p>
    <w:p>
      <w:pPr>
        <w:spacing w:after="0" w:line="186"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Income from operations was $6.2 million, which represents an increase of 33% from the $4.6 million reported for the third quarter last year. Operating margin for the quarter was 10.4% compared to 11.7% for the equivalent period last year. Net income for the quarter was $4.6 million or $0.38 cents per share, on a diluted basis, compared with $3.6 million or $0.29 cents per share for the third quarter last year.</w:t>
      </w:r>
    </w:p>
    <w:p>
      <w:pPr>
        <w:spacing w:after="0" w:line="18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In the nine months to February 28, 2003, net revenues were $159.7 million, representing a 41% increase over net revenues of $113.6 million reported for the first nine months of last year. Excluding the impact of acquisitions revenue growth was 32% for the nine months ending February 28, 2003.</w:t>
      </w:r>
    </w:p>
    <w:p>
      <w:pPr>
        <w:spacing w:after="0" w:line="186" w:lineRule="exact"/>
        <w:rPr>
          <w:sz w:val="20"/>
          <w:szCs w:val="20"/>
          <w:color w:val="auto"/>
        </w:rPr>
      </w:pPr>
    </w:p>
    <w:p>
      <w:pPr>
        <w:ind w:left="1" w:right="2659"/>
        <w:spacing w:after="0" w:line="247" w:lineRule="auto"/>
        <w:rPr>
          <w:sz w:val="20"/>
          <w:szCs w:val="20"/>
          <w:color w:val="auto"/>
        </w:rPr>
      </w:pPr>
      <w:r>
        <w:rPr>
          <w:rFonts w:ascii="Courier New" w:cs="Courier New" w:eastAsia="Courier New" w:hAnsi="Courier New"/>
          <w:sz w:val="16"/>
          <w:szCs w:val="16"/>
          <w:color w:val="auto"/>
        </w:rPr>
        <w:t>Income from operations was $17.7 million, representing an increase of 35% from the $13.1 million reported for the same period last year. Operating margin for the nine months to February 28, 2003 was 11.1%, compared to 11.6% for the equivalent period last year. Net income was $13.0 million or $1.07 cents per share, on a diluted basis compared with $10.4 million or $0.85 cents per share reported for the same period last year.</w:t>
      </w:r>
    </w:p>
    <w:p>
      <w:pPr>
        <w:spacing w:after="0" w:line="18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Days sales outstanding, comprising accounts receivable and unbilled revenue less payments on account, were 69 days at February 28, 2003 compared with 67 days at May 31, 2002. Capital expenditure in the quarter was $4.0 million and payments of $19.2 million were made in relation to acquisi-</w:t>
      </w:r>
    </w:p>
    <w:p>
      <w:pPr>
        <w:spacing w:after="0" w:line="37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0"/>
          </w:cols>
          <w:pgMar w:left="239" w:top="862" w:right="1440" w:bottom="1440" w:gutter="0" w:footer="0" w:header="0"/>
        </w:sectPr>
      </w:pPr>
    </w:p>
    <w:bookmarkStart w:id="4" w:name="page5"/>
    <w:bookmarkEnd w:id="4"/>
    <w:p>
      <w:pPr>
        <w:ind w:right="2459"/>
        <w:spacing w:after="0" w:line="247" w:lineRule="auto"/>
        <w:rPr>
          <w:sz w:val="20"/>
          <w:szCs w:val="20"/>
          <w:color w:val="auto"/>
        </w:rPr>
      </w:pPr>
      <w:r>
        <w:rPr>
          <w:rFonts w:ascii="Courier New" w:cs="Courier New" w:eastAsia="Courier New" w:hAnsi="Courier New"/>
          <w:sz w:val="16"/>
          <w:szCs w:val="16"/>
          <w:color w:val="auto"/>
        </w:rPr>
        <w:t>tions. In the nine months to February 28, 2003, capital expenditure was $11.2 million and payments of $38.8 million were made in relation to acquisitions. As a result the company's net cash was $11.4 million at February 28, 2003, compared to $43.1 million at May 31, 2002.</w:t>
      </w:r>
    </w:p>
    <w:p>
      <w:pPr>
        <w:spacing w:after="0" w:line="186"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"This has been another significant quarter in ICON's development", commented Chairman, Dr John Climax. "In January, we completed the acquisition of Medeval Group Ltd, a leading phase I clinical pharmacology facility, based in Manchester, UK. This was an important strategic step for the company. In addition our strong revenue growth continued and we were particularly pleased with the 31% growth achieved in EPS. The performance in our central laboratory business was disappointing, but we expect this to improve in the coming quarters, based on recent strong business wins. Margin performance was excellent in our clinical business, and our recent acquisitions performed well".</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The company will hold its third quarter conference call today, March 31, 2003 at 10:00 EST [16:00 GMT / 17:00 CET]. This call and linked slide presentation can be accessed live from our website at http://www.iconclinical.com. A recording will also be available on the website for 90 days following the call. In addition, a calendar of company events, including upcoming conference presentations, is available on our website, under "shareholders services". This calendar will be updated regularly.</w:t>
      </w:r>
    </w:p>
    <w:p>
      <w:pPr>
        <w:spacing w:after="0" w:line="18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91"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The financial information presented herein has been prepared in accordance with U.S. GAAP.</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Source: ICON plc</w:t>
      </w:r>
    </w:p>
    <w:p>
      <w:pPr>
        <w:spacing w:after="0" w:line="19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Contact : Investor Relations 1-888-381-7923 or Sean Leech CFO + 353 -1-216-11-00 Both at ICON.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http://www.iconclinical.com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6" w:right="1440" w:bottom="1440" w:gutter="0" w:footer="0" w:header="0"/>
        </w:sectPr>
      </w:pPr>
    </w:p>
    <w:bookmarkStart w:id="5" w:name="page6"/>
    <w:bookmarkEnd w:id="5"/>
    <w:p>
      <w:pPr>
        <w:spacing w:after="0" w:line="168"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6"/>
          <w:szCs w:val="16"/>
          <w:color w:val="auto"/>
        </w:rPr>
        <w:t>ICON plc</w:t>
      </w:r>
    </w:p>
    <w:p>
      <w:pPr>
        <w:spacing w:after="0" w:line="5"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6"/>
          <w:szCs w:val="16"/>
          <w:color w:val="auto"/>
        </w:rPr>
        <w:t>Consolidated Income Statements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00" w:type="dxa"/>
            <w:vAlign w:val="bottom"/>
          </w:tcPr>
          <w:p>
            <w:pPr>
              <w:ind w:left="3400"/>
              <w:spacing w:after="0"/>
              <w:rPr>
                <w:sz w:val="20"/>
                <w:szCs w:val="20"/>
                <w:color w:val="auto"/>
              </w:rPr>
            </w:pPr>
            <w:r>
              <w:rPr>
                <w:rFonts w:ascii="Courier New" w:cs="Courier New" w:eastAsia="Courier New" w:hAnsi="Courier New"/>
                <w:sz w:val="16"/>
                <w:szCs w:val="16"/>
                <w:color w:val="auto"/>
              </w:rPr>
              <w:t>(Unaudited)</w:t>
            </w:r>
          </w:p>
        </w:tc>
        <w:tc>
          <w:tcPr>
            <w:tcW w:w="19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73"/>
        </w:trPr>
        <w:tc>
          <w:tcPr>
            <w:tcW w:w="8420" w:type="dxa"/>
            <w:vAlign w:val="bottom"/>
            <w:gridSpan w:val="3"/>
          </w:tcPr>
          <w:p>
            <w:pPr>
              <w:jc w:val="right"/>
              <w:ind w:right="1159"/>
              <w:spacing w:after="0"/>
              <w:rPr>
                <w:sz w:val="20"/>
                <w:szCs w:val="20"/>
                <w:color w:val="auto"/>
              </w:rPr>
            </w:pPr>
            <w:r>
              <w:rPr>
                <w:rFonts w:ascii="Courier New" w:cs="Courier New" w:eastAsia="Courier New" w:hAnsi="Courier New"/>
                <w:sz w:val="16"/>
                <w:szCs w:val="16"/>
                <w:color w:val="auto"/>
              </w:rPr>
              <w:t>Three months ended and Nine Months ended February 28, 2003 and 2002</w:t>
            </w: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6"/>
        </w:trPr>
        <w:tc>
          <w:tcPr>
            <w:tcW w:w="66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(Dollars, in thousands, except share and per share data)</w:t>
            </w:r>
          </w:p>
        </w:tc>
        <w:tc>
          <w:tcPr>
            <w:tcW w:w="1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73"/>
        </w:trPr>
        <w:tc>
          <w:tcPr>
            <w:tcW w:w="4700" w:type="dxa"/>
            <w:vAlign w:val="bottom"/>
          </w:tcPr>
          <w:p>
            <w:pPr>
              <w:spacing w:after="0"/>
              <w:rPr>
                <w:sz w:val="24"/>
                <w:szCs w:val="24"/>
                <w:color w:val="auto"/>
              </w:rPr>
            </w:pPr>
          </w:p>
        </w:tc>
        <w:tc>
          <w:tcPr>
            <w:tcW w:w="3720" w:type="dxa"/>
            <w:vAlign w:val="bottom"/>
            <w:gridSpan w:val="2"/>
          </w:tcPr>
          <w:p>
            <w:pPr>
              <w:jc w:val="right"/>
              <w:ind w:right="679"/>
              <w:spacing w:after="0"/>
              <w:rPr>
                <w:sz w:val="20"/>
                <w:szCs w:val="20"/>
                <w:color w:val="auto"/>
              </w:rPr>
            </w:pPr>
            <w:r>
              <w:rPr>
                <w:rFonts w:ascii="Courier New" w:cs="Courier New" w:eastAsia="Courier New" w:hAnsi="Courier New"/>
                <w:sz w:val="16"/>
                <w:szCs w:val="16"/>
                <w:color w:val="auto"/>
              </w:rPr>
              <w:t>Three Months Ended</w:t>
            </w:r>
          </w:p>
        </w:tc>
        <w:tc>
          <w:tcPr>
            <w:tcW w:w="3100" w:type="dxa"/>
            <w:vAlign w:val="bottom"/>
            <w:gridSpan w:val="2"/>
          </w:tcPr>
          <w:p>
            <w:pPr>
              <w:jc w:val="right"/>
              <w:ind w:right="579"/>
              <w:spacing w:after="0"/>
              <w:rPr>
                <w:sz w:val="20"/>
                <w:szCs w:val="20"/>
                <w:color w:val="auto"/>
              </w:rPr>
            </w:pPr>
            <w:r>
              <w:rPr>
                <w:rFonts w:ascii="Courier New" w:cs="Courier New" w:eastAsia="Courier New" w:hAnsi="Courier New"/>
                <w:sz w:val="16"/>
                <w:szCs w:val="16"/>
                <w:color w:val="auto"/>
              </w:rPr>
              <w:t>Nine Months Ended</w:t>
            </w:r>
          </w:p>
        </w:tc>
      </w:tr>
      <w:tr>
        <w:trPr>
          <w:trHeight w:val="186"/>
        </w:trPr>
        <w:tc>
          <w:tcPr>
            <w:tcW w:w="4700" w:type="dxa"/>
            <w:vAlign w:val="bottom"/>
          </w:tcPr>
          <w:p>
            <w:pPr>
              <w:spacing w:after="0"/>
              <w:rPr>
                <w:sz w:val="16"/>
                <w:szCs w:val="16"/>
                <w:color w:val="auto"/>
              </w:rPr>
            </w:pPr>
          </w:p>
        </w:tc>
        <w:tc>
          <w:tcPr>
            <w:tcW w:w="19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February 28,</w:t>
            </w:r>
          </w:p>
        </w:tc>
        <w:tc>
          <w:tcPr>
            <w:tcW w:w="17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February 28,</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February 28,</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February 28,</w:t>
            </w:r>
          </w:p>
        </w:tc>
      </w:tr>
      <w:tr>
        <w:trPr>
          <w:trHeight w:val="186"/>
        </w:trPr>
        <w:tc>
          <w:tcPr>
            <w:tcW w:w="4700" w:type="dxa"/>
            <w:vAlign w:val="bottom"/>
          </w:tcPr>
          <w:p>
            <w:pPr>
              <w:spacing w:after="0"/>
              <w:rPr>
                <w:sz w:val="16"/>
                <w:szCs w:val="16"/>
                <w:color w:val="auto"/>
              </w:rPr>
            </w:pPr>
          </w:p>
        </w:tc>
        <w:tc>
          <w:tcPr>
            <w:tcW w:w="19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2003</w:t>
            </w:r>
          </w:p>
        </w:tc>
        <w:tc>
          <w:tcPr>
            <w:tcW w:w="17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2002</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2003</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r>
      <w:tr>
        <w:trPr>
          <w:trHeight w:val="559"/>
        </w:trPr>
        <w:tc>
          <w:tcPr>
            <w:tcW w:w="4700" w:type="dxa"/>
            <w:vAlign w:val="bottom"/>
          </w:tcPr>
          <w:p>
            <w:pPr>
              <w:spacing w:after="0"/>
              <w:rPr>
                <w:sz w:val="20"/>
                <w:szCs w:val="20"/>
                <w:color w:val="auto"/>
              </w:rPr>
            </w:pPr>
            <w:r>
              <w:rPr>
                <w:rFonts w:ascii="Courier New" w:cs="Courier New" w:eastAsia="Courier New" w:hAnsi="Courier New"/>
                <w:sz w:val="16"/>
                <w:szCs w:val="16"/>
                <w:color w:val="auto"/>
              </w:rPr>
              <w:t>Gross Revenue</w:t>
            </w:r>
          </w:p>
        </w:tc>
        <w:tc>
          <w:tcPr>
            <w:tcW w:w="19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79,205</w:t>
            </w:r>
          </w:p>
        </w:tc>
        <w:tc>
          <w:tcPr>
            <w:tcW w:w="17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53,055</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236,270</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153,356</w:t>
            </w: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Subcontractor costs</w:t>
            </w:r>
          </w:p>
        </w:tc>
        <w:tc>
          <w:tcPr>
            <w:tcW w:w="19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19,894</w:t>
            </w:r>
          </w:p>
        </w:tc>
        <w:tc>
          <w:tcPr>
            <w:tcW w:w="17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13,485</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76,565</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39,798</w:t>
            </w:r>
          </w:p>
        </w:tc>
      </w:tr>
      <w:tr>
        <w:trPr>
          <w:trHeight w:val="373"/>
        </w:trPr>
        <w:tc>
          <w:tcPr>
            <w:tcW w:w="4700" w:type="dxa"/>
            <w:vAlign w:val="bottom"/>
          </w:tcPr>
          <w:p>
            <w:pPr>
              <w:spacing w:after="0"/>
              <w:rPr>
                <w:sz w:val="24"/>
                <w:szCs w:val="24"/>
                <w:color w:val="auto"/>
              </w:rPr>
            </w:pPr>
          </w:p>
        </w:tc>
        <w:tc>
          <w:tcPr>
            <w:tcW w:w="1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spacing w:after="0"/>
              <w:rPr>
                <w:sz w:val="20"/>
                <w:szCs w:val="20"/>
                <w:color w:val="auto"/>
              </w:rPr>
            </w:pPr>
            <w:r>
              <w:rPr>
                <w:rFonts w:ascii="Courier New" w:cs="Courier New" w:eastAsia="Courier New" w:hAnsi="Courier New"/>
                <w:sz w:val="16"/>
                <w:szCs w:val="16"/>
                <w:color w:val="auto"/>
              </w:rPr>
              <w:t>Net Revenue</w:t>
            </w:r>
          </w:p>
        </w:tc>
        <w:tc>
          <w:tcPr>
            <w:tcW w:w="19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59,311</w:t>
            </w:r>
          </w:p>
        </w:tc>
        <w:tc>
          <w:tcPr>
            <w:tcW w:w="17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39,570</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159,705</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113,558</w:t>
            </w: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6"/>
        </w:trPr>
        <w:tc>
          <w:tcPr>
            <w:tcW w:w="4700" w:type="dxa"/>
            <w:vAlign w:val="bottom"/>
          </w:tcPr>
          <w:p>
            <w:pPr>
              <w:spacing w:after="0"/>
              <w:rPr>
                <w:sz w:val="20"/>
                <w:szCs w:val="20"/>
                <w:color w:val="auto"/>
              </w:rPr>
            </w:pPr>
            <w:r>
              <w:rPr>
                <w:rFonts w:ascii="Courier New" w:cs="Courier New" w:eastAsia="Courier New" w:hAnsi="Courier New"/>
                <w:sz w:val="16"/>
                <w:szCs w:val="16"/>
                <w:color w:val="auto"/>
              </w:rPr>
              <w:t>Direct costs</w:t>
            </w:r>
          </w:p>
        </w:tc>
        <w:tc>
          <w:tcPr>
            <w:tcW w:w="19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33,366</w:t>
            </w:r>
          </w:p>
        </w:tc>
        <w:tc>
          <w:tcPr>
            <w:tcW w:w="17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20,932</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87,507</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60,446</w:t>
            </w:r>
          </w:p>
        </w:tc>
      </w:tr>
      <w:tr>
        <w:trPr>
          <w:trHeight w:val="186"/>
        </w:trPr>
        <w:tc>
          <w:tcPr>
            <w:tcW w:w="470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19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17,890</w:t>
            </w:r>
          </w:p>
        </w:tc>
        <w:tc>
          <w:tcPr>
            <w:tcW w:w="17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12,462</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49,481</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35,550</w:t>
            </w:r>
          </w:p>
        </w:tc>
      </w:tr>
      <w:tr>
        <w:trPr>
          <w:trHeight w:val="186"/>
        </w:trPr>
        <w:tc>
          <w:tcPr>
            <w:tcW w:w="47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9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1,869</w:t>
            </w:r>
          </w:p>
        </w:tc>
        <w:tc>
          <w:tcPr>
            <w:tcW w:w="17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1,538</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5,017</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4,416</w:t>
            </w:r>
          </w:p>
        </w:tc>
      </w:tr>
      <w:tr>
        <w:trPr>
          <w:trHeight w:val="373"/>
        </w:trPr>
        <w:tc>
          <w:tcPr>
            <w:tcW w:w="4700" w:type="dxa"/>
            <w:vAlign w:val="bottom"/>
          </w:tcPr>
          <w:p>
            <w:pPr>
              <w:spacing w:after="0"/>
              <w:rPr>
                <w:sz w:val="24"/>
                <w:szCs w:val="24"/>
                <w:color w:val="auto"/>
              </w:rPr>
            </w:pPr>
          </w:p>
        </w:tc>
        <w:tc>
          <w:tcPr>
            <w:tcW w:w="1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spacing w:after="0"/>
              <w:rPr>
                <w:sz w:val="20"/>
                <w:szCs w:val="20"/>
                <w:color w:val="auto"/>
              </w:rPr>
            </w:pPr>
            <w:r>
              <w:rPr>
                <w:rFonts w:ascii="Courier New" w:cs="Courier New" w:eastAsia="Courier New" w:hAnsi="Courier New"/>
                <w:sz w:val="16"/>
                <w:szCs w:val="16"/>
                <w:color w:val="auto"/>
              </w:rPr>
              <w:t>Total costs and expenses</w:t>
            </w:r>
          </w:p>
        </w:tc>
        <w:tc>
          <w:tcPr>
            <w:tcW w:w="19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53,125</w:t>
            </w:r>
          </w:p>
        </w:tc>
        <w:tc>
          <w:tcPr>
            <w:tcW w:w="17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34,932</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142,005</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100,412</w:t>
            </w: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9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6,186</w:t>
            </w:r>
          </w:p>
        </w:tc>
        <w:tc>
          <w:tcPr>
            <w:tcW w:w="17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4,638</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17,700</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13,146</w:t>
            </w: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Interest income (net)</w:t>
            </w:r>
          </w:p>
        </w:tc>
        <w:tc>
          <w:tcPr>
            <w:tcW w:w="19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120</w:t>
            </w:r>
          </w:p>
        </w:tc>
        <w:tc>
          <w:tcPr>
            <w:tcW w:w="17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285</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379</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864</w:t>
            </w:r>
          </w:p>
        </w:tc>
      </w:tr>
      <w:tr>
        <w:trPr>
          <w:trHeight w:val="373"/>
        </w:trPr>
        <w:tc>
          <w:tcPr>
            <w:tcW w:w="4700" w:type="dxa"/>
            <w:vAlign w:val="bottom"/>
          </w:tcPr>
          <w:p>
            <w:pPr>
              <w:spacing w:after="0"/>
              <w:rPr>
                <w:sz w:val="24"/>
                <w:szCs w:val="24"/>
                <w:color w:val="auto"/>
              </w:rPr>
            </w:pPr>
          </w:p>
        </w:tc>
        <w:tc>
          <w:tcPr>
            <w:tcW w:w="1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spacing w:after="0"/>
              <w:rPr>
                <w:sz w:val="20"/>
                <w:szCs w:val="20"/>
                <w:color w:val="auto"/>
              </w:rPr>
            </w:pPr>
            <w:r>
              <w:rPr>
                <w:rFonts w:ascii="Courier New" w:cs="Courier New" w:eastAsia="Courier New" w:hAnsi="Courier New"/>
                <w:sz w:val="16"/>
                <w:szCs w:val="16"/>
                <w:color w:val="auto"/>
              </w:rPr>
              <w:t>Income before provision of income taxes</w:t>
            </w:r>
          </w:p>
        </w:tc>
        <w:tc>
          <w:tcPr>
            <w:tcW w:w="19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6,306</w:t>
            </w:r>
          </w:p>
        </w:tc>
        <w:tc>
          <w:tcPr>
            <w:tcW w:w="17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4,923</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18,079</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14,010</w:t>
            </w: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9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1,709</w:t>
            </w:r>
          </w:p>
        </w:tc>
        <w:tc>
          <w:tcPr>
            <w:tcW w:w="17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1,325</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5,090</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3,625</w:t>
            </w:r>
          </w:p>
        </w:tc>
      </w:tr>
      <w:tr>
        <w:trPr>
          <w:trHeight w:val="186"/>
        </w:trPr>
        <w:tc>
          <w:tcPr>
            <w:tcW w:w="4700" w:type="dxa"/>
            <w:vAlign w:val="bottom"/>
          </w:tcPr>
          <w:p>
            <w:pPr>
              <w:spacing w:after="0"/>
              <w:rPr>
                <w:sz w:val="16"/>
                <w:szCs w:val="16"/>
                <w:color w:val="auto"/>
              </w:rPr>
            </w:pPr>
          </w:p>
        </w:tc>
        <w:tc>
          <w:tcPr>
            <w:tcW w:w="1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9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4,597</w:t>
            </w:r>
          </w:p>
        </w:tc>
        <w:tc>
          <w:tcPr>
            <w:tcW w:w="17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3,598</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12,989</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10,385</w:t>
            </w:r>
          </w:p>
        </w:tc>
      </w:tr>
      <w:tr>
        <w:trPr>
          <w:trHeight w:val="186"/>
        </w:trPr>
        <w:tc>
          <w:tcPr>
            <w:tcW w:w="4700" w:type="dxa"/>
            <w:vAlign w:val="bottom"/>
          </w:tcPr>
          <w:p>
            <w:pPr>
              <w:spacing w:after="0"/>
              <w:rPr>
                <w:sz w:val="16"/>
                <w:szCs w:val="16"/>
                <w:color w:val="auto"/>
              </w:rPr>
            </w:pPr>
          </w:p>
        </w:tc>
        <w:tc>
          <w:tcPr>
            <w:tcW w:w="1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Net income per ordinary share</w:t>
            </w:r>
          </w:p>
        </w:tc>
        <w:tc>
          <w:tcPr>
            <w:tcW w:w="1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6"/>
        </w:trPr>
        <w:tc>
          <w:tcPr>
            <w:tcW w:w="470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19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$0.39</w:t>
            </w:r>
          </w:p>
        </w:tc>
        <w:tc>
          <w:tcPr>
            <w:tcW w:w="17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$0.31</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$1.10</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$0.90</w:t>
            </w:r>
          </w:p>
        </w:tc>
      </w:tr>
      <w:tr>
        <w:trPr>
          <w:trHeight w:val="186"/>
        </w:trPr>
        <w:tc>
          <w:tcPr>
            <w:tcW w:w="4700" w:type="dxa"/>
            <w:vAlign w:val="bottom"/>
          </w:tcPr>
          <w:p>
            <w:pPr>
              <w:spacing w:after="0"/>
              <w:rPr>
                <w:sz w:val="16"/>
                <w:szCs w:val="16"/>
                <w:color w:val="auto"/>
              </w:rPr>
            </w:pPr>
          </w:p>
        </w:tc>
        <w:tc>
          <w:tcPr>
            <w:tcW w:w="1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19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$0.38</w:t>
            </w:r>
          </w:p>
        </w:tc>
        <w:tc>
          <w:tcPr>
            <w:tcW w:w="17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$0.29</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$1.07</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$0.85</w:t>
            </w:r>
          </w:p>
        </w:tc>
      </w:tr>
      <w:tr>
        <w:trPr>
          <w:trHeight w:val="186"/>
        </w:trPr>
        <w:tc>
          <w:tcPr>
            <w:tcW w:w="4700" w:type="dxa"/>
            <w:vAlign w:val="bottom"/>
          </w:tcPr>
          <w:p>
            <w:pPr>
              <w:spacing w:after="0"/>
              <w:rPr>
                <w:sz w:val="16"/>
                <w:szCs w:val="16"/>
                <w:color w:val="auto"/>
              </w:rPr>
            </w:pPr>
          </w:p>
        </w:tc>
        <w:tc>
          <w:tcPr>
            <w:tcW w:w="1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Weighted average number of ordinary shares</w:t>
            </w:r>
          </w:p>
        </w:tc>
        <w:tc>
          <w:tcPr>
            <w:tcW w:w="1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6"/>
        </w:trPr>
        <w:tc>
          <w:tcPr>
            <w:tcW w:w="470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19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11,818,704</w:t>
            </w:r>
          </w:p>
        </w:tc>
        <w:tc>
          <w:tcPr>
            <w:tcW w:w="17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11,707,978</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11,804,576</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11,576,692</w:t>
            </w: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19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12,220,266</w:t>
            </w:r>
          </w:p>
        </w:tc>
        <w:tc>
          <w:tcPr>
            <w:tcW w:w="17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12,229,874</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12,169,875</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12,224,383</w:t>
            </w:r>
          </w:p>
        </w:tc>
      </w:tr>
      <w:tr>
        <w:trPr>
          <w:trHeight w:val="932"/>
        </w:trPr>
        <w:tc>
          <w:tcPr>
            <w:tcW w:w="4700" w:type="dxa"/>
            <w:vAlign w:val="bottom"/>
          </w:tcPr>
          <w:p>
            <w:pPr>
              <w:ind w:left="3780"/>
              <w:spacing w:after="0"/>
              <w:rPr>
                <w:sz w:val="20"/>
                <w:szCs w:val="20"/>
                <w:color w:val="auto"/>
              </w:rPr>
            </w:pPr>
            <w:r>
              <w:rPr>
                <w:rFonts w:ascii="Courier New" w:cs="Courier New" w:eastAsia="Courier New" w:hAnsi="Courier New"/>
                <w:sz w:val="16"/>
                <w:szCs w:val="16"/>
                <w:color w:val="auto"/>
              </w:rPr>
              <w:t>7</w:t>
            </w:r>
          </w:p>
        </w:tc>
        <w:tc>
          <w:tcPr>
            <w:tcW w:w="1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520"/>
          </w:cols>
          <w:pgMar w:left="240" w:top="1440" w:right="139" w:bottom="1440" w:gutter="0" w:footer="0" w:header="0"/>
        </w:sectPr>
      </w:pPr>
    </w:p>
    <w:bookmarkStart w:id="6" w:name="page7"/>
    <w:bookmarkEnd w:id="6"/>
    <w:p>
      <w:pPr>
        <w:jc w:val="center"/>
        <w:ind w:right="2479"/>
        <w:spacing w:after="0"/>
        <w:rPr>
          <w:sz w:val="20"/>
          <w:szCs w:val="20"/>
          <w:color w:val="auto"/>
        </w:rPr>
      </w:pPr>
      <w:r>
        <w:rPr>
          <w:rFonts w:ascii="Courier New" w:cs="Courier New" w:eastAsia="Courier New" w:hAnsi="Courier New"/>
          <w:sz w:val="16"/>
          <w:szCs w:val="16"/>
          <w:color w:val="auto"/>
        </w:rPr>
        <w:t>ICON plc</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Summary Balance Sheet Data</w:t>
      </w:r>
    </w:p>
    <w:p>
      <w:pPr>
        <w:spacing w:after="0" w:line="378"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February 28, 2003 and May 31, 2002</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(Dollars, in thousands)</w:t>
      </w:r>
    </w:p>
    <w:p>
      <w:pPr>
        <w:sectPr>
          <w:pgSz w:w="11900" w:h="16838" w:orient="portrait"/>
          <w:cols w:equalWidth="0" w:num="1">
            <w:col w:w="10219"/>
          </w:cols>
          <w:pgMar w:left="240" w:top="10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48" w:lineRule="auto"/>
        <w:rPr>
          <w:sz w:val="20"/>
          <w:szCs w:val="20"/>
          <w:color w:val="auto"/>
        </w:rPr>
      </w:pPr>
      <w:r>
        <w:rPr>
          <w:rFonts w:ascii="Courier New" w:cs="Courier New" w:eastAsia="Courier New" w:hAnsi="Courier New"/>
          <w:sz w:val="16"/>
          <w:szCs w:val="16"/>
          <w:color w:val="auto"/>
        </w:rPr>
        <w:t>Cash, short-term debt and short-term investments</w:t>
      </w:r>
    </w:p>
    <w:p>
      <w:pPr>
        <w:spacing w:after="0" w:line="184" w:lineRule="exact"/>
        <w:rPr>
          <w:sz w:val="20"/>
          <w:szCs w:val="20"/>
          <w:color w:val="auto"/>
        </w:rPr>
      </w:pPr>
    </w:p>
    <w:p>
      <w:pPr>
        <w:ind w:right="1640"/>
        <w:spacing w:after="0" w:line="247" w:lineRule="auto"/>
        <w:rPr>
          <w:sz w:val="20"/>
          <w:szCs w:val="20"/>
          <w:color w:val="auto"/>
        </w:rPr>
      </w:pPr>
      <w:r>
        <w:rPr>
          <w:rFonts w:ascii="Courier New" w:cs="Courier New" w:eastAsia="Courier New" w:hAnsi="Courier New"/>
          <w:sz w:val="16"/>
          <w:szCs w:val="16"/>
          <w:color w:val="auto"/>
        </w:rPr>
        <w:t>Accounts receivable Unbilled revenue Payments on account Total</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Working Capital</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assets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Shareholder's equity</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Source: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680" w:type="dxa"/>
        <w:tblCellMar>
          <w:top w:w="0" w:type="dxa"/>
          <w:left w:w="0" w:type="dxa"/>
          <w:bottom w:w="0" w:type="dxa"/>
          <w:right w:w="0" w:type="dxa"/>
        </w:tblCellMar>
      </w:tblPr>
      <w:tr>
        <w:trPr>
          <w:trHeight w:val="183"/>
        </w:trPr>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8"/>
              </w:rPr>
              <w:t>February 28,</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May 31,</w:t>
            </w:r>
          </w:p>
        </w:tc>
      </w:tr>
      <w:tr>
        <w:trPr>
          <w:trHeight w:val="186"/>
        </w:trPr>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r>
      <w:tr>
        <w:trPr>
          <w:trHeight w:val="373"/>
        </w:trPr>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11,359</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43,097</w:t>
            </w:r>
          </w:p>
        </w:tc>
      </w:tr>
      <w:tr>
        <w:trPr>
          <w:trHeight w:val="559"/>
        </w:trPr>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45,337</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41,306</w:t>
            </w:r>
          </w:p>
        </w:tc>
      </w:tr>
      <w:tr>
        <w:trPr>
          <w:trHeight w:val="186"/>
        </w:trPr>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53,082</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26,387</w:t>
            </w:r>
          </w:p>
        </w:tc>
      </w:tr>
      <w:tr>
        <w:trPr>
          <w:trHeight w:val="186"/>
        </w:trPr>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(37,989)</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(19,854)</w:t>
            </w:r>
          </w:p>
        </w:tc>
      </w:tr>
      <w:tr>
        <w:trPr>
          <w:trHeight w:val="186"/>
        </w:trPr>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60,430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47,839</w:t>
            </w:r>
          </w:p>
        </w:tc>
      </w:tr>
      <w:tr>
        <w:trPr>
          <w:trHeight w:val="373"/>
        </w:trPr>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50,451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72,923</w:t>
            </w:r>
          </w:p>
        </w:tc>
      </w:tr>
      <w:tr>
        <w:trPr>
          <w:trHeight w:val="373"/>
        </w:trPr>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215,044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165,794</w:t>
            </w:r>
          </w:p>
        </w:tc>
      </w:tr>
      <w:tr>
        <w:trPr>
          <w:trHeight w:val="373"/>
        </w:trPr>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126,350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107,561</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ICON plc</w:t>
      </w:r>
    </w:p>
    <w:p>
      <w:pPr>
        <w:spacing w:after="0" w:line="191"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6"/>
          <w:szCs w:val="16"/>
          <w:color w:val="auto"/>
        </w:rPr>
        <w:t>Investor Relations 1-888-381-7923 or Sean Leech CFO + 353 1 2161 100 both at ICON.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http://www.iconclinical.com</w:t>
      </w:r>
    </w:p>
    <w:p>
      <w:pPr>
        <w:spacing w:after="0" w:line="200" w:lineRule="exact"/>
        <w:rPr>
          <w:sz w:val="20"/>
          <w:szCs w:val="20"/>
          <w:color w:val="auto"/>
        </w:rPr>
      </w:pPr>
    </w:p>
    <w:p>
      <w:pPr>
        <w:sectPr>
          <w:pgSz w:w="11900" w:h="16838" w:orient="portrait"/>
          <w:cols w:equalWidth="0" w:num="2">
            <w:col w:w="3480" w:space="100"/>
            <w:col w:w="6639"/>
          </w:cols>
          <w:pgMar w:left="240" w:top="1049" w:right="1440" w:bottom="1440" w:gutter="0" w:footer="0" w:header="0"/>
          <w:type w:val="continuous"/>
        </w:sect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sectPr>
      <w:pgSz w:w="11900" w:h="16838" w:orient="portrait"/>
      <w:cols w:equalWidth="0" w:num="1">
        <w:col w:w="10219"/>
      </w:cols>
      <w:pgMar w:left="240" w:top="104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2019-12-14T19:52:33Z</dcterms:created>
  <dcterms:modified xsi:type="dcterms:W3CDTF">2019-12-14T19:52:33Z</dcterms:modified>
</cp:coreProperties>
</file>