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27, 2017 - ICON Reports Second Quarter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July 27, 2017 Brendan Brennan Chief Financial Officer</w:t>
      </w:r>
    </w:p>
    <w:p>
      <w:pPr>
        <w:sectPr>
          <w:pgSz w:w="11900" w:h="16838" w:orient="portrait"/>
          <w:cols w:equalWidth="0" w:num="1">
            <w:col w:w="11240"/>
          </w:cols>
          <w:pgMar w:left="240" w:top="12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Second Quarter 2017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80"/>
        <w:spacing w:after="0" w:line="256" w:lineRule="auto"/>
        <w:rPr>
          <w:sz w:val="20"/>
          <w:szCs w:val="20"/>
          <w:color w:val="auto"/>
        </w:rPr>
      </w:pPr>
      <w:r>
        <w:rPr>
          <w:rFonts w:ascii="Arial" w:cs="Arial" w:eastAsia="Arial" w:hAnsi="Arial"/>
          <w:sz w:val="22"/>
          <w:szCs w:val="22"/>
          <w:b w:val="1"/>
          <w:bCs w:val="1"/>
          <w:color w:val="auto"/>
        </w:rPr>
        <w:t>Record net business wins of $563 million; net book to bill of 1.31. Backlog of business grew 10% year on year to $4.44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Net revenue increased 5.0% to $431 million compared to the same quarter last year, 6.0%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Top customer revenue concentration reduced from 28% of revenue in Q2 2016 to 19.9% in Q2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00"/>
        <w:spacing w:after="0" w:line="256" w:lineRule="auto"/>
        <w:rPr>
          <w:sz w:val="20"/>
          <w:szCs w:val="20"/>
          <w:color w:val="auto"/>
        </w:rPr>
      </w:pPr>
      <w:r>
        <w:rPr>
          <w:rFonts w:ascii="Arial" w:cs="Arial" w:eastAsia="Arial" w:hAnsi="Arial"/>
          <w:sz w:val="22"/>
          <w:szCs w:val="22"/>
          <w:b w:val="1"/>
          <w:bCs w:val="1"/>
          <w:color w:val="auto"/>
        </w:rPr>
        <w:t>Income from operations, before non-recurring charges, increased 10% to 19.9% of revenue compared to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before non-recurring charges, increased 15% to $1.31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jc w:val="both"/>
        <w:ind w:left="540" w:right="20"/>
        <w:spacing w:after="0" w:line="243" w:lineRule="auto"/>
        <w:rPr>
          <w:sz w:val="20"/>
          <w:szCs w:val="20"/>
          <w:color w:val="auto"/>
        </w:rPr>
      </w:pPr>
      <w:r>
        <w:rPr>
          <w:rFonts w:ascii="Arial" w:cs="Arial" w:eastAsia="Arial" w:hAnsi="Arial"/>
          <w:sz w:val="22"/>
          <w:szCs w:val="22"/>
          <w:b w:val="1"/>
          <w:bCs w:val="1"/>
          <w:color w:val="auto"/>
        </w:rPr>
        <w:t>Guidance increased to reflect the acquisition of Mapi Group and revised tax rate for the second half of 2017. Earnings guidance increased from a range of $5.06 - $5.26 to $5.18 - $5.38. Revenue guidance increased from a range of $1.70 - $1.75 billion to $1.74 - $1.77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DUBLIN--(BUSINESS WIRE)--July 27, 2017--</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second quarter ended June 30, 2017.</w:t>
      </w:r>
    </w:p>
    <w:p>
      <w:pPr>
        <w:spacing w:after="0" w:line="18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Gross business wins in the second quarter were $649 million and cancellations in the quarter were $86 million, resulting in net business wins of $563 million, a net book to bill of 1.31.</w:t>
      </w:r>
    </w:p>
    <w:p>
      <w:pPr>
        <w:spacing w:after="0" w:line="17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In the second quarter net revenue grew 5.0% year on year to $431.0 million from $410.6 million in the same quarter last year. This represented 6.0% constant currency growth and 2.6% constant dollar organic growth year on year. Revenue outside of ICON's top customer grew 17% year over year.</w:t>
      </w:r>
    </w:p>
    <w:p>
      <w:pPr>
        <w:spacing w:after="0" w:line="186"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Income from operations, before non-recurring charges, in the quarter increased by 9.9% to $85.8 million, or 19.9% of revenue, compared to $78.0 million or 19.0% for the same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The effective tax rate in quarter 2 was 14% and the company now expects the full year 2017 effective tax rate to be 12%.</w:t>
      </w:r>
    </w:p>
    <w:p>
      <w:pPr>
        <w:spacing w:after="0" w:line="21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Net income, before non-recurring charges, in the quarter increased by 10.7% to $71.6 million compared with $64.7 million in the same quarter last year.</w:t>
      </w:r>
    </w:p>
    <w:p>
      <w:pPr>
        <w:spacing w:after="0" w:line="17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Earnings per share, before non-recurring charges, increased to $1.31 per share on a diluted basis, from $1.14 per share for the same quarter last year, an increase of 14.9%.</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53 days at June 30, 2017, compared with 47 days at the end of March 31, 2017 and 46 days at the end of June 2016.</w:t>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Cash generated from operating activities for the quarter was $9.1 million. Capital expenditure for the quarter was $6.9 million. Additionally, as part of ICON’s share buy-back program, $11.7 million was spent on share repurchases in quarter two. As a result, at June 30, 2017, the company had net debt of $34 million, compared to net debt of $30 million at March 31, 2017 and net debt of $97 million at end of June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620"/>
        <w:spacing w:after="0" w:line="241" w:lineRule="auto"/>
        <w:rPr>
          <w:sz w:val="20"/>
          <w:szCs w:val="20"/>
          <w:color w:val="auto"/>
        </w:rPr>
      </w:pPr>
      <w:r>
        <w:rPr>
          <w:rFonts w:ascii="Arial" w:cs="Arial" w:eastAsia="Arial" w:hAnsi="Arial"/>
          <w:sz w:val="22"/>
          <w:szCs w:val="22"/>
          <w:color w:val="auto"/>
        </w:rPr>
        <w:t>During the quarter the company recorded a charge of $7.8 million in relation to restructuring costs. US GAAP income from operations after these items amounted to $78.0 million or 18.1% of revenue. US GAAP net income for the quarter was $64.8 million or $1.19 per diluted share.</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CEO Dr. Steve Cutler commented, “</w:t>
      </w:r>
      <w:r>
        <w:rPr>
          <w:rFonts w:ascii="Arial" w:cs="Arial" w:eastAsia="Arial" w:hAnsi="Arial"/>
          <w:sz w:val="19"/>
          <w:szCs w:val="19"/>
          <w:i w:val="1"/>
          <w:iCs w:val="1"/>
          <w:color w:val="auto"/>
        </w:rPr>
        <w:t>During the quarter we delivered a record $563 million of new business, representing a book to</w:t>
      </w:r>
      <w:r>
        <w:rPr>
          <w:rFonts w:ascii="Arial" w:cs="Arial" w:eastAsia="Arial" w:hAnsi="Arial"/>
          <w:sz w:val="19"/>
          <w:szCs w:val="19"/>
          <w:color w:val="auto"/>
        </w:rPr>
        <w:t xml:space="preserve"> </w:t>
      </w:r>
      <w:r>
        <w:rPr>
          <w:rFonts w:ascii="Arial" w:cs="Arial" w:eastAsia="Arial" w:hAnsi="Arial"/>
          <w:sz w:val="19"/>
          <w:szCs w:val="19"/>
          <w:i w:val="1"/>
          <w:iCs w:val="1"/>
          <w:color w:val="auto"/>
        </w:rPr>
        <w:t>bill of 1.31. Supported by a strong trailing twelve month book to bill excluding our top customer of 1.42x, our backlog grew to over $4.4 billion, an increase of 10% year over year. In Quarter 2 revenues grew 5% over the same period in 2016, with our top customer concentration reducing to less than 20% from 28% last year and revenue growth excluding this customer increasing by nearly 17%. In addition, we expanded our market leading service offering in the fast growing late phase market by completing the acquisition of Mapi Group. This acquisition, along with our revised tax rate, means we are increasing both our full year EPS guidance to a range of $5.18 - $5.38 and our revenue guidance to a range of $1.740 billion - $1.770 billion.”</w:t>
      </w:r>
    </w:p>
    <w:p>
      <w:pPr>
        <w:spacing w:after="0" w:line="153"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second quarter conference call today, July 27, 2017 at 9:00 EDT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84 locations in 38 countries and has approximately 12,300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2017 and June 30, 2016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5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3"/>
                <w:szCs w:val="13"/>
                <w:color w:val="auto"/>
              </w:rPr>
            </w:pPr>
          </w:p>
        </w:tc>
        <w:tc>
          <w:tcPr>
            <w:tcW w:w="1300" w:type="dxa"/>
            <w:vAlign w:val="bottom"/>
            <w:gridSpan w:val="5"/>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5"/>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6"/>
        </w:trPr>
        <w:tc>
          <w:tcPr>
            <w:tcW w:w="66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52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Gross revenue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591,781</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589,647</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1,169,847</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1,132,230</w:t>
            </w:r>
          </w:p>
        </w:tc>
        <w:tc>
          <w:tcPr>
            <w:tcW w:w="0" w:type="dxa"/>
            <w:vAlign w:val="bottom"/>
          </w:tcPr>
          <w:p>
            <w:pPr>
              <w:spacing w:after="0"/>
              <w:rPr>
                <w:sz w:val="1"/>
                <w:szCs w:val="1"/>
                <w:color w:val="auto"/>
              </w:rPr>
            </w:pPr>
          </w:p>
        </w:tc>
      </w:tr>
      <w:tr>
        <w:trPr>
          <w:trHeight w:val="18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(160,758)</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(179,017)</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(306,870)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(321,078)</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431,023</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410,630</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862,977</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811,152</w:t>
            </w:r>
          </w:p>
        </w:tc>
        <w:tc>
          <w:tcPr>
            <w:tcW w:w="0" w:type="dxa"/>
            <w:vAlign w:val="bottom"/>
          </w:tcPr>
          <w:p>
            <w:pPr>
              <w:spacing w:after="0"/>
              <w:rPr>
                <w:sz w:val="1"/>
                <w:szCs w:val="1"/>
                <w:color w:val="auto"/>
              </w:rPr>
            </w:pPr>
          </w:p>
        </w:tc>
      </w:tr>
      <w:tr>
        <w:trPr>
          <w:trHeight w:val="344"/>
        </w:trPr>
        <w:tc>
          <w:tcPr>
            <w:tcW w:w="66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Direct costs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250,044</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237,984</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500,503</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466,587</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80,833</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80,168</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162,222</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160,957</w:t>
            </w:r>
          </w:p>
        </w:tc>
        <w:tc>
          <w:tcPr>
            <w:tcW w:w="0" w:type="dxa"/>
            <w:vAlign w:val="bottom"/>
          </w:tcPr>
          <w:p>
            <w:pPr>
              <w:spacing w:after="0"/>
              <w:rPr>
                <w:sz w:val="1"/>
                <w:szCs w:val="1"/>
                <w:color w:val="auto"/>
              </w:rPr>
            </w:pPr>
          </w:p>
        </w:tc>
      </w:tr>
      <w:tr>
        <w:trPr>
          <w:trHeight w:val="18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14,395</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14,457</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28,843</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29,577</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345,272</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332,609</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691,568</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657,121</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85,751</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78,021</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171,409</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154,031</w:t>
            </w: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(2,600)</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(2,839)</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(5,224)</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83,151</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75,182</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166,185</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148,311</w:t>
            </w: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(11,550)</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(10,525)</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(23,175)</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(20,690)</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71,601</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64,657</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143,010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127,621</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$1.33</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$1.17</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$2.64</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$1.31</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$1.14</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$2.60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53,846,544</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55,318,923</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54,109,800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55,164,971</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54,530,805</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56,580,799</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54,923,019</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56,427,516</w:t>
            </w:r>
          </w:p>
        </w:tc>
        <w:tc>
          <w:tcPr>
            <w:tcW w:w="0" w:type="dxa"/>
            <w:vAlign w:val="bottom"/>
          </w:tcPr>
          <w:p>
            <w:pPr>
              <w:spacing w:after="0"/>
              <w:rPr>
                <w:sz w:val="1"/>
                <w:szCs w:val="1"/>
                <w:color w:val="auto"/>
              </w:rPr>
            </w:pPr>
          </w:p>
        </w:tc>
      </w:tr>
      <w:tr>
        <w:trPr>
          <w:trHeight w:val="129"/>
        </w:trPr>
        <w:tc>
          <w:tcPr>
            <w:tcW w:w="6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2017 and June 30, 2016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5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3"/>
                <w:szCs w:val="13"/>
                <w:color w:val="auto"/>
              </w:rPr>
            </w:pPr>
          </w:p>
        </w:tc>
        <w:tc>
          <w:tcPr>
            <w:tcW w:w="1300" w:type="dxa"/>
            <w:vAlign w:val="bottom"/>
            <w:gridSpan w:val="5"/>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5"/>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6"/>
        </w:trPr>
        <w:tc>
          <w:tcPr>
            <w:tcW w:w="66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52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Gross revenue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591,781</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589,647</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1,169,847</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1,132,230</w:t>
            </w:r>
          </w:p>
        </w:tc>
        <w:tc>
          <w:tcPr>
            <w:tcW w:w="0" w:type="dxa"/>
            <w:vAlign w:val="bottom"/>
          </w:tcPr>
          <w:p>
            <w:pPr>
              <w:spacing w:after="0"/>
              <w:rPr>
                <w:sz w:val="1"/>
                <w:szCs w:val="1"/>
                <w:color w:val="auto"/>
              </w:rPr>
            </w:pPr>
          </w:p>
        </w:tc>
      </w:tr>
      <w:tr>
        <w:trPr>
          <w:trHeight w:val="18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(160,758)</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(179,017)</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(306,870)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(321,078)</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431,023</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410,630</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862,977</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811,152</w:t>
            </w:r>
          </w:p>
        </w:tc>
        <w:tc>
          <w:tcPr>
            <w:tcW w:w="0" w:type="dxa"/>
            <w:vAlign w:val="bottom"/>
          </w:tcPr>
          <w:p>
            <w:pPr>
              <w:spacing w:after="0"/>
              <w:rPr>
                <w:sz w:val="1"/>
                <w:szCs w:val="1"/>
                <w:color w:val="auto"/>
              </w:rPr>
            </w:pPr>
          </w:p>
        </w:tc>
      </w:tr>
      <w:tr>
        <w:trPr>
          <w:trHeight w:val="344"/>
        </w:trPr>
        <w:tc>
          <w:tcPr>
            <w:tcW w:w="66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Direct costs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250,044</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237,984</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500,503</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466,587</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80,833</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80,168</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162,222</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160,957</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14,395</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14,457</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28,843</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29,577</w:t>
            </w:r>
          </w:p>
        </w:tc>
        <w:tc>
          <w:tcPr>
            <w:tcW w:w="0" w:type="dxa"/>
            <w:vAlign w:val="bottom"/>
          </w:tcPr>
          <w:p>
            <w:pPr>
              <w:spacing w:after="0"/>
              <w:rPr>
                <w:sz w:val="1"/>
                <w:szCs w:val="1"/>
                <w:color w:val="auto"/>
              </w:rPr>
            </w:pPr>
          </w:p>
        </w:tc>
      </w:tr>
      <w:tr>
        <w:trPr>
          <w:trHeight w:val="18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costs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7,753</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4,094</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7,753</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4,094</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353,025</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336,703</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699,321</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661,215</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77,998</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73,927</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163,656</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149,937</w:t>
            </w: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(2,600)</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(2,839)</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(5,224)</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339"/>
        </w:trPr>
        <w:tc>
          <w:tcPr>
            <w:tcW w:w="66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080" w:type="dxa"/>
            <w:vAlign w:val="bottom"/>
            <w:gridSpan w:val="4"/>
          </w:tcPr>
          <w:p>
            <w:pPr>
              <w:jc w:val="right"/>
              <w:ind w:right="220"/>
              <w:spacing w:after="0"/>
              <w:rPr>
                <w:sz w:val="20"/>
                <w:szCs w:val="20"/>
                <w:color w:val="auto"/>
              </w:rPr>
            </w:pPr>
            <w:r>
              <w:rPr>
                <w:rFonts w:ascii="Arial" w:cs="Arial" w:eastAsia="Arial" w:hAnsi="Arial"/>
                <w:sz w:val="14"/>
                <w:szCs w:val="14"/>
                <w:color w:val="auto"/>
              </w:rPr>
              <w:t>75,398</w:t>
            </w:r>
          </w:p>
        </w:tc>
        <w:tc>
          <w:tcPr>
            <w:tcW w:w="1300" w:type="dxa"/>
            <w:vAlign w:val="bottom"/>
            <w:gridSpan w:val="5"/>
          </w:tcPr>
          <w:p>
            <w:pPr>
              <w:jc w:val="right"/>
              <w:ind w:right="240"/>
              <w:spacing w:after="0"/>
              <w:rPr>
                <w:sz w:val="20"/>
                <w:szCs w:val="20"/>
                <w:color w:val="auto"/>
              </w:rPr>
            </w:pPr>
            <w:r>
              <w:rPr>
                <w:rFonts w:ascii="Arial" w:cs="Arial" w:eastAsia="Arial" w:hAnsi="Arial"/>
                <w:sz w:val="14"/>
                <w:szCs w:val="14"/>
                <w:color w:val="auto"/>
              </w:rPr>
              <w:t>71,088</w:t>
            </w: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rPr>
              <w:t>158,432</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144,217</w:t>
            </w:r>
          </w:p>
        </w:tc>
        <w:tc>
          <w:tcPr>
            <w:tcW w:w="0" w:type="dxa"/>
            <w:vAlign w:val="bottom"/>
          </w:tcPr>
          <w:p>
            <w:pPr>
              <w:spacing w:after="0"/>
              <w:rPr>
                <w:sz w:val="1"/>
                <w:szCs w:val="1"/>
                <w:color w:val="auto"/>
              </w:rPr>
            </w:pPr>
          </w:p>
        </w:tc>
      </w:tr>
      <w:tr>
        <w:trPr>
          <w:trHeight w:val="18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(10,581)</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(10,014)</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(22,206)</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(20,179)</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64,817</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61,074</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136,226</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124,038</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$1.20</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$1.10</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$2.52</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$1.19</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$1.08</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$2.48</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346"/>
        </w:trPr>
        <w:tc>
          <w:tcPr>
            <w:tcW w:w="66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53,846,544</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55,318,923</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54,109,800</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55,164,971</w:t>
            </w:r>
          </w:p>
        </w:tc>
        <w:tc>
          <w:tcPr>
            <w:tcW w:w="0" w:type="dxa"/>
            <w:vAlign w:val="bottom"/>
          </w:tcPr>
          <w:p>
            <w:pPr>
              <w:spacing w:after="0"/>
              <w:rPr>
                <w:sz w:val="1"/>
                <w:szCs w:val="1"/>
                <w:color w:val="auto"/>
              </w:rPr>
            </w:pPr>
          </w:p>
        </w:tc>
      </w:tr>
      <w:tr>
        <w:trPr>
          <w:trHeight w:val="34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54,530,805</w:t>
            </w: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56,580,799</w:t>
            </w:r>
          </w:p>
        </w:tc>
        <w:tc>
          <w:tcPr>
            <w:tcW w:w="13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color w:val="auto"/>
              </w:rPr>
              <w:t>54,923,019</w:t>
            </w: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56,427,516</w:t>
            </w:r>
          </w:p>
        </w:tc>
        <w:tc>
          <w:tcPr>
            <w:tcW w:w="0" w:type="dxa"/>
            <w:vAlign w:val="bottom"/>
          </w:tcPr>
          <w:p>
            <w:pPr>
              <w:spacing w:after="0"/>
              <w:rPr>
                <w:sz w:val="1"/>
                <w:szCs w:val="1"/>
                <w:color w:val="auto"/>
              </w:rPr>
            </w:pPr>
          </w:p>
        </w:tc>
      </w:tr>
      <w:tr>
        <w:trPr>
          <w:trHeight w:val="129"/>
        </w:trPr>
        <w:tc>
          <w:tcPr>
            <w:tcW w:w="6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ind w:right="-879"/>
        <w:spacing w:after="0"/>
        <w:rPr>
          <w:sz w:val="20"/>
          <w:szCs w:val="20"/>
          <w:color w:val="auto"/>
        </w:rPr>
      </w:pPr>
      <w:r>
        <w:rPr>
          <w:rFonts w:ascii="Arial" w:cs="Arial" w:eastAsia="Arial" w:hAnsi="Arial"/>
          <w:sz w:val="14"/>
          <w:szCs w:val="14"/>
          <w:b w:val="1"/>
          <w:bCs w:val="1"/>
          <w:color w:val="auto"/>
        </w:rPr>
        <w:t>ICON plc</w:t>
      </w:r>
    </w:p>
    <w:p>
      <w:pPr>
        <w:jc w:val="center"/>
        <w:ind w:right="-87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879"/>
        <w:spacing w:after="0" w:line="222" w:lineRule="auto"/>
        <w:rPr>
          <w:sz w:val="20"/>
          <w:szCs w:val="20"/>
          <w:color w:val="auto"/>
        </w:rPr>
      </w:pPr>
      <w:r>
        <w:rPr>
          <w:rFonts w:ascii="Arial" w:cs="Arial" w:eastAsia="Arial" w:hAnsi="Arial"/>
          <w:sz w:val="14"/>
          <w:szCs w:val="14"/>
          <w:b w:val="1"/>
          <w:bCs w:val="1"/>
          <w:color w:val="auto"/>
        </w:rPr>
        <w:t>June 30, 2017 and March 31, 2017</w:t>
      </w:r>
    </w:p>
    <w:p>
      <w:pPr>
        <w:jc w:val="center"/>
        <w:ind w:right="-879"/>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4320" w:type="dxa"/>
            <w:vAlign w:val="bottom"/>
          </w:tcPr>
          <w:p>
            <w:pPr>
              <w:jc w:val="center"/>
              <w:ind w:left="1568"/>
              <w:spacing w:after="0"/>
              <w:rPr>
                <w:sz w:val="20"/>
                <w:szCs w:val="20"/>
                <w:color w:val="auto"/>
              </w:rPr>
            </w:pPr>
            <w:r>
              <w:rPr>
                <w:rFonts w:ascii="Arial" w:cs="Arial" w:eastAsia="Arial" w:hAnsi="Arial"/>
                <w:sz w:val="14"/>
                <w:szCs w:val="14"/>
                <w:b w:val="1"/>
                <w:bCs w:val="1"/>
                <w:color w:val="auto"/>
                <w:w w:val="92"/>
              </w:rPr>
              <w:t>June 30,</w:t>
            </w:r>
          </w:p>
        </w:tc>
        <w:tc>
          <w:tcPr>
            <w:tcW w:w="1700" w:type="dxa"/>
            <w:vAlign w:val="bottom"/>
          </w:tcPr>
          <w:p>
            <w:pPr>
              <w:jc w:val="center"/>
              <w:ind w:left="908"/>
              <w:spacing w:after="0"/>
              <w:rPr>
                <w:sz w:val="20"/>
                <w:szCs w:val="20"/>
                <w:color w:val="auto"/>
              </w:rPr>
            </w:pPr>
            <w:r>
              <w:rPr>
                <w:rFonts w:ascii="Arial" w:cs="Arial" w:eastAsia="Arial" w:hAnsi="Arial"/>
                <w:sz w:val="14"/>
                <w:szCs w:val="14"/>
                <w:b w:val="1"/>
                <w:bCs w:val="1"/>
                <w:color w:val="auto"/>
                <w:w w:val="99"/>
              </w:rPr>
              <w:t>March 31,</w:t>
            </w:r>
          </w:p>
        </w:tc>
      </w:tr>
      <w:tr>
        <w:trPr>
          <w:trHeight w:val="176"/>
        </w:trPr>
        <w:tc>
          <w:tcPr>
            <w:tcW w:w="4520" w:type="dxa"/>
            <w:vAlign w:val="bottom"/>
          </w:tcPr>
          <w:p>
            <w:pPr>
              <w:spacing w:after="0"/>
              <w:rPr>
                <w:sz w:val="15"/>
                <w:szCs w:val="15"/>
                <w:color w:val="auto"/>
              </w:rPr>
            </w:pPr>
          </w:p>
        </w:tc>
        <w:tc>
          <w:tcPr>
            <w:tcW w:w="4320" w:type="dxa"/>
            <w:vAlign w:val="bottom"/>
          </w:tcPr>
          <w:p>
            <w:pPr>
              <w:jc w:val="center"/>
              <w:ind w:left="1568"/>
              <w:spacing w:after="0"/>
              <w:rPr>
                <w:sz w:val="20"/>
                <w:szCs w:val="20"/>
                <w:color w:val="auto"/>
              </w:rPr>
            </w:pPr>
            <w:r>
              <w:rPr>
                <w:rFonts w:ascii="Arial" w:cs="Arial" w:eastAsia="Arial" w:hAnsi="Arial"/>
                <w:sz w:val="14"/>
                <w:szCs w:val="14"/>
                <w:b w:val="1"/>
                <w:bCs w:val="1"/>
                <w:color w:val="auto"/>
                <w:w w:val="89"/>
              </w:rPr>
              <w:t>2017</w:t>
            </w:r>
          </w:p>
        </w:tc>
        <w:tc>
          <w:tcPr>
            <w:tcW w:w="1700" w:type="dxa"/>
            <w:vAlign w:val="bottom"/>
          </w:tcPr>
          <w:p>
            <w:pPr>
              <w:jc w:val="center"/>
              <w:ind w:left="908"/>
              <w:spacing w:after="0"/>
              <w:rPr>
                <w:sz w:val="20"/>
                <w:szCs w:val="20"/>
                <w:color w:val="auto"/>
              </w:rPr>
            </w:pPr>
            <w:r>
              <w:rPr>
                <w:rFonts w:ascii="Arial" w:cs="Arial" w:eastAsia="Arial" w:hAnsi="Arial"/>
                <w:sz w:val="14"/>
                <w:szCs w:val="14"/>
                <w:b w:val="1"/>
                <w:bCs w:val="1"/>
                <w:color w:val="auto"/>
                <w:w w:val="89"/>
              </w:rPr>
              <w:t>2017</w:t>
            </w:r>
          </w:p>
        </w:tc>
      </w:tr>
      <w:tr>
        <w:trPr>
          <w:trHeight w:val="186"/>
        </w:trPr>
        <w:tc>
          <w:tcPr>
            <w:tcW w:w="4520" w:type="dxa"/>
            <w:vAlign w:val="bottom"/>
          </w:tcPr>
          <w:p>
            <w:pPr>
              <w:spacing w:after="0"/>
              <w:rPr>
                <w:sz w:val="16"/>
                <w:szCs w:val="16"/>
                <w:color w:val="auto"/>
              </w:rPr>
            </w:pPr>
          </w:p>
        </w:tc>
        <w:tc>
          <w:tcPr>
            <w:tcW w:w="4320" w:type="dxa"/>
            <w:vAlign w:val="bottom"/>
          </w:tcPr>
          <w:p>
            <w:pPr>
              <w:jc w:val="center"/>
              <w:ind w:left="1548"/>
              <w:spacing w:after="0"/>
              <w:rPr>
                <w:sz w:val="20"/>
                <w:szCs w:val="20"/>
                <w:color w:val="auto"/>
              </w:rPr>
            </w:pPr>
            <w:r>
              <w:rPr>
                <w:rFonts w:ascii="Arial" w:cs="Arial" w:eastAsia="Arial" w:hAnsi="Arial"/>
                <w:sz w:val="14"/>
                <w:szCs w:val="14"/>
                <w:b w:val="1"/>
                <w:bCs w:val="1"/>
                <w:color w:val="auto"/>
                <w:w w:val="95"/>
              </w:rPr>
              <w:t>(Unaudited)</w:t>
            </w:r>
          </w:p>
        </w:tc>
        <w:tc>
          <w:tcPr>
            <w:tcW w:w="1700" w:type="dxa"/>
            <w:vAlign w:val="bottom"/>
          </w:tcPr>
          <w:p>
            <w:pPr>
              <w:jc w:val="center"/>
              <w:ind w:left="888"/>
              <w:spacing w:after="0"/>
              <w:rPr>
                <w:sz w:val="20"/>
                <w:szCs w:val="20"/>
                <w:color w:val="auto"/>
              </w:rPr>
            </w:pPr>
            <w:r>
              <w:rPr>
                <w:rFonts w:ascii="Arial" w:cs="Arial" w:eastAsia="Arial" w:hAnsi="Arial"/>
                <w:sz w:val="14"/>
                <w:szCs w:val="14"/>
                <w:b w:val="1"/>
                <w:bCs w:val="1"/>
                <w:color w:val="auto"/>
                <w:w w:val="95"/>
              </w:rPr>
              <w:t>(Unaudited)</w:t>
            </w:r>
          </w:p>
        </w:tc>
      </w:tr>
      <w:tr>
        <w:trPr>
          <w:trHeight w:val="520"/>
        </w:trPr>
        <w:tc>
          <w:tcPr>
            <w:tcW w:w="45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4"/>
              </w:rPr>
              <w:t>314,918</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318,966</w:t>
            </w:r>
          </w:p>
        </w:tc>
      </w:tr>
      <w:tr>
        <w:trPr>
          <w:trHeight w:val="176"/>
        </w:trPr>
        <w:tc>
          <w:tcPr>
            <w:tcW w:w="4520" w:type="dxa"/>
            <w:vAlign w:val="bottom"/>
          </w:tcPr>
          <w:p>
            <w:pPr>
              <w:spacing w:after="0"/>
              <w:rPr>
                <w:sz w:val="20"/>
                <w:szCs w:val="20"/>
                <w:color w:val="auto"/>
              </w:rPr>
            </w:pPr>
            <w:r>
              <w:rPr>
                <w:rFonts w:ascii="Arial" w:cs="Arial" w:eastAsia="Arial" w:hAnsi="Arial"/>
                <w:sz w:val="14"/>
                <w:szCs w:val="14"/>
                <w:color w:val="auto"/>
              </w:rPr>
              <w:t>Debt</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3"/>
              </w:rPr>
              <w:t>(348,698)</w:t>
            </w:r>
          </w:p>
        </w:tc>
        <w:tc>
          <w:tcPr>
            <w:tcW w:w="1700" w:type="dxa"/>
            <w:vAlign w:val="bottom"/>
          </w:tcPr>
          <w:p>
            <w:pPr>
              <w:jc w:val="center"/>
              <w:ind w:left="908"/>
              <w:spacing w:after="0"/>
              <w:rPr>
                <w:sz w:val="20"/>
                <w:szCs w:val="20"/>
                <w:color w:val="auto"/>
              </w:rPr>
            </w:pPr>
            <w:r>
              <w:rPr>
                <w:rFonts w:ascii="Arial" w:cs="Arial" w:eastAsia="Arial" w:hAnsi="Arial"/>
                <w:sz w:val="14"/>
                <w:szCs w:val="14"/>
                <w:color w:val="auto"/>
                <w:w w:val="93"/>
              </w:rPr>
              <w:t>(348,604)</w:t>
            </w:r>
          </w:p>
        </w:tc>
      </w:tr>
      <w:tr>
        <w:trPr>
          <w:trHeight w:val="182"/>
        </w:trPr>
        <w:tc>
          <w:tcPr>
            <w:tcW w:w="4520" w:type="dxa"/>
            <w:vAlign w:val="bottom"/>
          </w:tcPr>
          <w:p>
            <w:pPr>
              <w:spacing w:after="0"/>
              <w:rPr>
                <w:sz w:val="20"/>
                <w:szCs w:val="20"/>
                <w:color w:val="auto"/>
              </w:rPr>
            </w:pPr>
            <w:r>
              <w:rPr>
                <w:rFonts w:ascii="Arial" w:cs="Arial" w:eastAsia="Arial" w:hAnsi="Arial"/>
                <w:sz w:val="14"/>
                <w:szCs w:val="14"/>
                <w:color w:val="auto"/>
              </w:rPr>
              <w:t>Net (debt)/cash</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1"/>
              </w:rPr>
              <w:t>(33,780)</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5"/>
              </w:rPr>
              <w:t>(29,638)</w:t>
            </w:r>
          </w:p>
        </w:tc>
      </w:tr>
      <w:tr>
        <w:trPr>
          <w:trHeight w:val="344"/>
        </w:trPr>
        <w:tc>
          <w:tcPr>
            <w:tcW w:w="4520" w:type="dxa"/>
            <w:vAlign w:val="bottom"/>
          </w:tcPr>
          <w:p>
            <w:pPr>
              <w:spacing w:after="0"/>
              <w:rPr>
                <w:sz w:val="20"/>
                <w:szCs w:val="20"/>
                <w:color w:val="auto"/>
              </w:rPr>
            </w:pPr>
            <w:r>
              <w:rPr>
                <w:rFonts w:ascii="Arial" w:cs="Arial" w:eastAsia="Arial" w:hAnsi="Arial"/>
                <w:sz w:val="14"/>
                <w:szCs w:val="14"/>
                <w:color w:val="auto"/>
              </w:rPr>
              <w:t>Accounts receivable</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4"/>
              </w:rPr>
              <w:t>359,899</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340,540</w:t>
            </w:r>
          </w:p>
        </w:tc>
      </w:tr>
      <w:tr>
        <w:trPr>
          <w:trHeight w:val="176"/>
        </w:trPr>
        <w:tc>
          <w:tcPr>
            <w:tcW w:w="4520" w:type="dxa"/>
            <w:vAlign w:val="bottom"/>
          </w:tcPr>
          <w:p>
            <w:pPr>
              <w:spacing w:after="0"/>
              <w:rPr>
                <w:sz w:val="20"/>
                <w:szCs w:val="20"/>
                <w:color w:val="auto"/>
              </w:rPr>
            </w:pPr>
            <w:r>
              <w:rPr>
                <w:rFonts w:ascii="Arial" w:cs="Arial" w:eastAsia="Arial" w:hAnsi="Arial"/>
                <w:sz w:val="14"/>
                <w:szCs w:val="14"/>
                <w:color w:val="auto"/>
              </w:rPr>
              <w:t>Unbilled revenue</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4"/>
              </w:rPr>
              <w:t>249,234</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226,152</w:t>
            </w:r>
          </w:p>
        </w:tc>
      </w:tr>
      <w:tr>
        <w:trPr>
          <w:trHeight w:val="176"/>
        </w:trPr>
        <w:tc>
          <w:tcPr>
            <w:tcW w:w="4520" w:type="dxa"/>
            <w:vAlign w:val="bottom"/>
          </w:tcPr>
          <w:p>
            <w:pPr>
              <w:spacing w:after="0"/>
              <w:rPr>
                <w:sz w:val="20"/>
                <w:szCs w:val="20"/>
                <w:color w:val="auto"/>
              </w:rPr>
            </w:pPr>
            <w:r>
              <w:rPr>
                <w:rFonts w:ascii="Arial" w:cs="Arial" w:eastAsia="Arial" w:hAnsi="Arial"/>
                <w:sz w:val="14"/>
                <w:szCs w:val="14"/>
                <w:color w:val="auto"/>
              </w:rPr>
              <w:t>Payments on account</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3"/>
              </w:rPr>
              <w:t>(261,484)</w:t>
            </w:r>
          </w:p>
        </w:tc>
        <w:tc>
          <w:tcPr>
            <w:tcW w:w="1700" w:type="dxa"/>
            <w:vAlign w:val="bottom"/>
          </w:tcPr>
          <w:p>
            <w:pPr>
              <w:jc w:val="center"/>
              <w:ind w:left="908"/>
              <w:spacing w:after="0"/>
              <w:rPr>
                <w:sz w:val="20"/>
                <w:szCs w:val="20"/>
                <w:color w:val="auto"/>
              </w:rPr>
            </w:pPr>
            <w:r>
              <w:rPr>
                <w:rFonts w:ascii="Arial" w:cs="Arial" w:eastAsia="Arial" w:hAnsi="Arial"/>
                <w:sz w:val="14"/>
                <w:szCs w:val="14"/>
                <w:color w:val="auto"/>
                <w:w w:val="93"/>
              </w:rPr>
              <w:t>(266,704)</w:t>
            </w:r>
          </w:p>
        </w:tc>
      </w:tr>
      <w:tr>
        <w:trPr>
          <w:trHeight w:val="182"/>
        </w:trPr>
        <w:tc>
          <w:tcPr>
            <w:tcW w:w="4520" w:type="dxa"/>
            <w:vAlign w:val="bottom"/>
          </w:tcPr>
          <w:p>
            <w:pPr>
              <w:spacing w:after="0"/>
              <w:rPr>
                <w:sz w:val="20"/>
                <w:szCs w:val="20"/>
                <w:color w:val="auto"/>
              </w:rPr>
            </w:pPr>
            <w:r>
              <w:rPr>
                <w:rFonts w:ascii="Arial" w:cs="Arial" w:eastAsia="Arial" w:hAnsi="Arial"/>
                <w:sz w:val="14"/>
                <w:szCs w:val="14"/>
                <w:color w:val="auto"/>
              </w:rPr>
              <w:t>Total</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4"/>
              </w:rPr>
              <w:t>347,649</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299,988</w:t>
            </w:r>
          </w:p>
        </w:tc>
      </w:tr>
      <w:tr>
        <w:trPr>
          <w:trHeight w:val="351"/>
        </w:trPr>
        <w:tc>
          <w:tcPr>
            <w:tcW w:w="4520" w:type="dxa"/>
            <w:vAlign w:val="bottom"/>
          </w:tcPr>
          <w:p>
            <w:pPr>
              <w:spacing w:after="0"/>
              <w:rPr>
                <w:sz w:val="20"/>
                <w:szCs w:val="20"/>
                <w:color w:val="auto"/>
              </w:rPr>
            </w:pPr>
            <w:r>
              <w:rPr>
                <w:rFonts w:ascii="Arial" w:cs="Arial" w:eastAsia="Arial" w:hAnsi="Arial"/>
                <w:sz w:val="14"/>
                <w:szCs w:val="14"/>
                <w:color w:val="auto"/>
              </w:rPr>
              <w:t>Working Capital</w:t>
            </w:r>
          </w:p>
        </w:tc>
        <w:tc>
          <w:tcPr>
            <w:tcW w:w="4320" w:type="dxa"/>
            <w:vAlign w:val="bottom"/>
          </w:tcPr>
          <w:p>
            <w:pPr>
              <w:jc w:val="center"/>
              <w:ind w:left="1568"/>
              <w:spacing w:after="0"/>
              <w:rPr>
                <w:sz w:val="20"/>
                <w:szCs w:val="20"/>
                <w:color w:val="auto"/>
              </w:rPr>
            </w:pPr>
            <w:r>
              <w:rPr>
                <w:rFonts w:ascii="Arial" w:cs="Arial" w:eastAsia="Arial" w:hAnsi="Arial"/>
                <w:sz w:val="14"/>
                <w:szCs w:val="14"/>
                <w:color w:val="auto"/>
                <w:w w:val="94"/>
              </w:rPr>
              <w:t>538,473</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466,662</w:t>
            </w:r>
          </w:p>
        </w:tc>
      </w:tr>
      <w:tr>
        <w:trPr>
          <w:trHeight w:val="351"/>
        </w:trPr>
        <w:tc>
          <w:tcPr>
            <w:tcW w:w="4520" w:type="dxa"/>
            <w:vAlign w:val="bottom"/>
          </w:tcPr>
          <w:p>
            <w:pPr>
              <w:spacing w:after="0"/>
              <w:rPr>
                <w:sz w:val="20"/>
                <w:szCs w:val="20"/>
                <w:color w:val="auto"/>
              </w:rPr>
            </w:pPr>
            <w:r>
              <w:rPr>
                <w:rFonts w:ascii="Arial" w:cs="Arial" w:eastAsia="Arial" w:hAnsi="Arial"/>
                <w:sz w:val="14"/>
                <w:szCs w:val="14"/>
                <w:color w:val="auto"/>
              </w:rPr>
              <w:t>Total Assets</w:t>
            </w:r>
          </w:p>
        </w:tc>
        <w:tc>
          <w:tcPr>
            <w:tcW w:w="4320" w:type="dxa"/>
            <w:vAlign w:val="bottom"/>
          </w:tcPr>
          <w:p>
            <w:pPr>
              <w:jc w:val="center"/>
              <w:ind w:left="1588"/>
              <w:spacing w:after="0"/>
              <w:rPr>
                <w:sz w:val="20"/>
                <w:szCs w:val="20"/>
                <w:color w:val="auto"/>
              </w:rPr>
            </w:pPr>
            <w:r>
              <w:rPr>
                <w:rFonts w:ascii="Arial" w:cs="Arial" w:eastAsia="Arial" w:hAnsi="Arial"/>
                <w:sz w:val="14"/>
                <w:szCs w:val="14"/>
                <w:color w:val="auto"/>
                <w:w w:val="93"/>
              </w:rPr>
              <w:t>1,904,310</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3"/>
              </w:rPr>
              <w:t>1,855,215</w:t>
            </w:r>
          </w:p>
        </w:tc>
      </w:tr>
      <w:tr>
        <w:trPr>
          <w:trHeight w:val="351"/>
        </w:trPr>
        <w:tc>
          <w:tcPr>
            <w:tcW w:w="4520" w:type="dxa"/>
            <w:vAlign w:val="bottom"/>
          </w:tcPr>
          <w:p>
            <w:pPr>
              <w:spacing w:after="0"/>
              <w:rPr>
                <w:sz w:val="20"/>
                <w:szCs w:val="20"/>
                <w:color w:val="auto"/>
              </w:rPr>
            </w:pPr>
            <w:r>
              <w:rPr>
                <w:rFonts w:ascii="Arial" w:cs="Arial" w:eastAsia="Arial" w:hAnsi="Arial"/>
                <w:sz w:val="14"/>
                <w:szCs w:val="14"/>
                <w:color w:val="auto"/>
              </w:rPr>
              <w:t>Shareholder's Equity</w:t>
            </w:r>
          </w:p>
        </w:tc>
        <w:tc>
          <w:tcPr>
            <w:tcW w:w="4320" w:type="dxa"/>
            <w:vAlign w:val="bottom"/>
          </w:tcPr>
          <w:p>
            <w:pPr>
              <w:jc w:val="center"/>
              <w:ind w:left="1588"/>
              <w:spacing w:after="0"/>
              <w:rPr>
                <w:sz w:val="20"/>
                <w:szCs w:val="20"/>
                <w:color w:val="auto"/>
              </w:rPr>
            </w:pPr>
            <w:r>
              <w:rPr>
                <w:rFonts w:ascii="Arial" w:cs="Arial" w:eastAsia="Arial" w:hAnsi="Arial"/>
                <w:sz w:val="14"/>
                <w:szCs w:val="14"/>
                <w:color w:val="auto"/>
                <w:w w:val="93"/>
              </w:rPr>
              <w:t>1,029,592</w:t>
            </w:r>
          </w:p>
        </w:tc>
        <w:tc>
          <w:tcPr>
            <w:tcW w:w="1700" w:type="dxa"/>
            <w:vAlign w:val="bottom"/>
          </w:tcPr>
          <w:p>
            <w:pPr>
              <w:jc w:val="center"/>
              <w:ind w:left="928"/>
              <w:spacing w:after="0"/>
              <w:rPr>
                <w:sz w:val="20"/>
                <w:szCs w:val="20"/>
                <w:color w:val="auto"/>
              </w:rPr>
            </w:pPr>
            <w:r>
              <w:rPr>
                <w:rFonts w:ascii="Arial" w:cs="Arial" w:eastAsia="Arial" w:hAnsi="Arial"/>
                <w:sz w:val="14"/>
                <w:szCs w:val="14"/>
                <w:color w:val="auto"/>
                <w:w w:val="90"/>
              </w:rPr>
              <w:t>944,509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1 291 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 +1-215-616-3000</w:t>
      </w:r>
    </w:p>
    <w:p>
      <w:pPr>
        <w:spacing w:after="0" w:line="230" w:lineRule="auto"/>
        <w:rPr>
          <w:sz w:val="20"/>
          <w:szCs w:val="20"/>
          <w:color w:val="auto"/>
        </w:rPr>
      </w:pPr>
      <w:r>
        <w:rPr>
          <w:rFonts w:ascii="Arial" w:cs="Arial" w:eastAsia="Arial" w:hAnsi="Arial"/>
          <w:sz w:val="22"/>
          <w:szCs w:val="22"/>
          <w:color w:val="auto"/>
        </w:rPr>
        <w:t>Vice President Corporate Finance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540"/>
      </w:cols>
      <w:pgMar w:left="240" w:top="13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2019-12-06T09:02:05Z</dcterms:created>
  <dcterms:modified xsi:type="dcterms:W3CDTF">2019-12-06T09:02:05Z</dcterms:modified>
</cp:coreProperties>
</file>