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AS FILED WITH THE SECURITIES AND EXCHANGE COMMISSION ON</w:t>
      </w:r>
    </w:p>
    <w:p>
      <w:pPr>
        <w:spacing w:after="0" w:line="5" w:lineRule="exact"/>
        <w:rPr>
          <w:sz w:val="24"/>
          <w:szCs w:val="24"/>
          <w:color w:val="auto"/>
        </w:rPr>
      </w:pPr>
    </w:p>
    <w:p>
      <w:pPr>
        <w:ind w:left="1840"/>
        <w:spacing w:after="0"/>
        <w:rPr>
          <w:sz w:val="20"/>
          <w:szCs w:val="20"/>
          <w:color w:val="auto"/>
        </w:rPr>
      </w:pPr>
      <w:r>
        <w:rPr>
          <w:rFonts w:ascii="Courier New" w:cs="Courier New" w:eastAsia="Courier New" w:hAnsi="Courier New"/>
          <w:sz w:val="16"/>
          <w:szCs w:val="16"/>
          <w:color w:val="auto"/>
        </w:rPr>
        <w:t>AUGUST 5, 2003 REGISTRATION NO. 333-102893</w:t>
      </w: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1"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AMENDMENT NO. 6 TO</w:t>
      </w:r>
    </w:p>
    <w:p>
      <w:pPr>
        <w:spacing w:after="0" w:line="378"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F-3</w:t>
      </w:r>
    </w:p>
    <w:p>
      <w:pPr>
        <w:spacing w:after="0" w:line="378"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ICON PUBLIC LIMITED COMPANY</w:t>
      </w:r>
    </w:p>
    <w:p>
      <w:pPr>
        <w:spacing w:after="0" w:line="5"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78"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IRELAND</w:t>
      </w:r>
    </w:p>
    <w:p>
      <w:pPr>
        <w:spacing w:after="0" w:line="5"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378"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NOT APPLICABLE</w:t>
      </w:r>
    </w:p>
    <w:p>
      <w:pPr>
        <w:spacing w:after="0" w:line="5"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pacing w:after="0" w:line="36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LEOPARDSTOWN, DUBLIN 18,</w:t>
      </w:r>
    </w:p>
    <w:p>
      <w:pPr>
        <w:spacing w:after="0" w:line="5"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IRELAND</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(353) 1-291-2000</w:t>
      </w:r>
    </w:p>
    <w:p>
      <w:pPr>
        <w:spacing w:after="0" w:line="5"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(Address and telephone number of Registrant's</w:t>
      </w:r>
    </w:p>
    <w:p>
      <w:pPr>
        <w:spacing w:after="0" w:line="5"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principal executive offices)</w:t>
      </w:r>
    </w:p>
    <w:p>
      <w:pPr>
        <w:spacing w:after="0" w:line="200" w:lineRule="exact"/>
        <w:rPr>
          <w:sz w:val="24"/>
          <w:szCs w:val="24"/>
          <w:color w:val="auto"/>
        </w:rPr>
      </w:pPr>
    </w:p>
    <w:p>
      <w:pPr>
        <w:spacing w:after="0" w:line="364"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CT CORPORATION SYSTEM</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111 EIGHTH AVENUE</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NEW YORK, NEW YORK 10011</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(212) 894-8581</w:t>
      </w:r>
    </w:p>
    <w:p>
      <w:pPr>
        <w:spacing w:after="0" w:line="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(Name, address and telephone number of</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agent for service)</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tbl>
      <w:tblPr>
        <w:tblLayout w:type="fixed"/>
        <w:tblInd w:w="780" w:type="dxa"/>
        <w:tblCellMar>
          <w:top w:w="0" w:type="dxa"/>
          <w:left w:w="0" w:type="dxa"/>
          <w:bottom w:w="0" w:type="dxa"/>
          <w:right w:w="0" w:type="dxa"/>
        </w:tblCellMar>
      </w:tblPr>
      <w:tr>
        <w:trPr>
          <w:trHeight w:val="183"/>
        </w:trPr>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9"/>
              </w:rPr>
              <w:t>COPIES TO:</w:t>
            </w:r>
          </w:p>
        </w:tc>
        <w:tc>
          <w:tcPr>
            <w:tcW w:w="18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59"/>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SEAN</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LEECH</w:t>
            </w:r>
          </w:p>
        </w:tc>
        <w:tc>
          <w:tcPr>
            <w:tcW w:w="39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WILLIAM M. HARTNETT, ESQ.</w:t>
            </w:r>
          </w:p>
        </w:tc>
        <w:tc>
          <w:tcPr>
            <w:tcW w:w="3140" w:type="dxa"/>
            <w:vAlign w:val="bottom"/>
            <w:gridSpan w:val="2"/>
          </w:tcPr>
          <w:p>
            <w:pPr>
              <w:jc w:val="center"/>
              <w:ind w:left="639"/>
              <w:spacing w:after="0"/>
              <w:rPr>
                <w:sz w:val="20"/>
                <w:szCs w:val="20"/>
                <w:color w:val="auto"/>
              </w:rPr>
            </w:pPr>
            <w:r>
              <w:rPr>
                <w:rFonts w:ascii="Courier New" w:cs="Courier New" w:eastAsia="Courier New" w:hAnsi="Courier New"/>
                <w:sz w:val="16"/>
                <w:szCs w:val="16"/>
                <w:color w:val="auto"/>
              </w:rPr>
              <w:t>KATHRYN A. CAMPBELL, ESQ.</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8"/>
              </w:rPr>
              <w:t>CHIEF FINANCIAL</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OFFICER ICON PLC</w:t>
            </w:r>
          </w:p>
        </w:tc>
        <w:tc>
          <w:tcPr>
            <w:tcW w:w="39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CAHILL GORDON &amp; REINDEL LLP</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SULLIVAN &amp;</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CROMWELL LLP</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SOUTH COUNTY</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BUSINESS PARK</w:t>
            </w: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80 PINE STREET</w:t>
            </w:r>
          </w:p>
        </w:tc>
        <w:tc>
          <w:tcPr>
            <w:tcW w:w="3140" w:type="dxa"/>
            <w:vAlign w:val="bottom"/>
            <w:gridSpan w:val="2"/>
          </w:tcPr>
          <w:p>
            <w:pPr>
              <w:jc w:val="center"/>
              <w:ind w:left="659"/>
              <w:spacing w:after="0"/>
              <w:rPr>
                <w:sz w:val="20"/>
                <w:szCs w:val="20"/>
                <w:color w:val="auto"/>
              </w:rPr>
            </w:pPr>
            <w:r>
              <w:rPr>
                <w:rFonts w:ascii="Courier New" w:cs="Courier New" w:eastAsia="Courier New" w:hAnsi="Courier New"/>
                <w:sz w:val="16"/>
                <w:szCs w:val="16"/>
                <w:color w:val="auto"/>
              </w:rPr>
              <w:t>1 NEW FETTER LANE</w:t>
            </w:r>
          </w:p>
        </w:tc>
      </w:tr>
      <w:tr>
        <w:trPr>
          <w:trHeight w:val="186"/>
        </w:trPr>
        <w:tc>
          <w:tcPr>
            <w:tcW w:w="3680" w:type="dxa"/>
            <w:vAlign w:val="bottom"/>
            <w:gridSpan w:val="2"/>
          </w:tcPr>
          <w:p>
            <w:pPr>
              <w:jc w:val="center"/>
              <w:ind w:right="499"/>
              <w:spacing w:after="0"/>
              <w:rPr>
                <w:sz w:val="20"/>
                <w:szCs w:val="20"/>
                <w:color w:val="auto"/>
              </w:rPr>
            </w:pPr>
            <w:r>
              <w:rPr>
                <w:rFonts w:ascii="Courier New" w:cs="Courier New" w:eastAsia="Courier New" w:hAnsi="Courier New"/>
                <w:sz w:val="16"/>
                <w:szCs w:val="16"/>
                <w:color w:val="auto"/>
              </w:rPr>
              <w:t>LEOPARDSTOWN, DUBLIN 18, IRELAND</w:t>
            </w: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NEW YORK, NEW YORK 10005</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LONDON EC4A</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1AN, ENGLAND</w:t>
            </w:r>
          </w:p>
        </w:tc>
      </w:tr>
      <w:tr>
        <w:trPr>
          <w:trHeight w:val="186"/>
        </w:trPr>
        <w:tc>
          <w:tcPr>
            <w:tcW w:w="3680" w:type="dxa"/>
            <w:vAlign w:val="bottom"/>
            <w:gridSpan w:val="2"/>
          </w:tcPr>
          <w:p>
            <w:pPr>
              <w:jc w:val="right"/>
              <w:ind w:right="1279"/>
              <w:spacing w:after="0"/>
              <w:rPr>
                <w:sz w:val="20"/>
                <w:szCs w:val="20"/>
                <w:color w:val="auto"/>
              </w:rPr>
            </w:pPr>
            <w:r>
              <w:rPr>
                <w:rFonts w:ascii="Courier New" w:cs="Courier New" w:eastAsia="Courier New" w:hAnsi="Courier New"/>
                <w:sz w:val="16"/>
                <w:szCs w:val="16"/>
                <w:color w:val="auto"/>
              </w:rPr>
              <w:t>(353) 1-291-2000</w:t>
            </w: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(212) 701-3000</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(44 20)</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7959 8900</w:t>
            </w:r>
          </w:p>
        </w:tc>
      </w:tr>
    </w:tbl>
    <w:p>
      <w:pPr>
        <w:spacing w:after="0" w:line="190" w:lineRule="exact"/>
        <w:rPr>
          <w:sz w:val="24"/>
          <w:szCs w:val="24"/>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right="3760" w:firstLine="484"/>
        <w:spacing w:after="0" w:line="248"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hereof.</w:t>
      </w:r>
    </w:p>
    <w:p>
      <w:pPr>
        <w:spacing w:after="0" w:line="184" w:lineRule="exact"/>
        <w:rPr>
          <w:sz w:val="24"/>
          <w:szCs w:val="24"/>
          <w:color w:val="auto"/>
        </w:rPr>
      </w:pPr>
    </w:p>
    <w:p>
      <w:pPr>
        <w:ind w:right="3860" w:firstLine="484"/>
        <w:spacing w:after="0" w:line="24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|_|</w:t>
      </w:r>
    </w:p>
    <w:p>
      <w:pPr>
        <w:spacing w:after="0" w:line="186" w:lineRule="exact"/>
        <w:rPr>
          <w:sz w:val="24"/>
          <w:szCs w:val="24"/>
          <w:color w:val="auto"/>
        </w:rPr>
      </w:pPr>
    </w:p>
    <w:p>
      <w:pPr>
        <w:ind w:right="3760" w:firstLine="484"/>
        <w:spacing w:after="0" w:line="24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|_|</w:t>
      </w:r>
    </w:p>
    <w:p>
      <w:pPr>
        <w:sectPr>
          <w:pgSz w:w="11900" w:h="16841" w:orient="portrait"/>
          <w:cols w:equalWidth="0" w:num="1">
            <w:col w:w="11520"/>
          </w:cols>
          <w:pgMar w:left="240" w:top="614" w:right="139" w:bottom="0" w:gutter="0" w:footer="0" w:header="0"/>
        </w:sectPr>
      </w:pPr>
    </w:p>
    <w:bookmarkStart w:id="1" w:name="page2"/>
    <w:bookmarkEnd w:id="1"/>
    <w:p>
      <w:pPr>
        <w:spacing w:after="0" w:line="47"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86"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86"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left="340"/>
        <w:spacing w:after="0" w:line="246"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w:t>
      </w:r>
    </w:p>
    <w:p>
      <w:pPr>
        <w:spacing w:after="0" w:line="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SHALL BECOME EFFECTIVE ON SUCH DATE AS THE COMMISSION, ACTING PURSUANT TO</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SECTION 8(A), MAY DETERMINE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0" w:lineRule="exact"/>
        <w:rPr>
          <w:sz w:val="20"/>
          <w:szCs w:val="20"/>
          <w:color w:val="auto"/>
        </w:rPr>
      </w:pPr>
    </w:p>
    <w:p>
      <w:pPr>
        <w:spacing w:after="0" w:line="358"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Subject to Completion. Dated August 5, 2003.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[ICON LOGO OMITTED]</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This is an offering of American Depositary Shares, or ADSs, of ICON plc. We are offering 1,500,000 ADSs. The selling shareholders identified in this prospectus are offering an additional 1,500,000 ADSs. We will not receive any of the proceeds from the sale of the ADSs being sold by the selling shareholders. Each ADS represents one ordinary share. In addition to the offering in the United States, the offering includes an offering of ADSs to investors outside the United States.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ADSs are quoted on The Nasdaq National Market under the symbol "ICLR." On August 1, 2003, the last reported sale price of our ADSs on The Nasdaq National Market was $33.94 per ADS. Our ordinary shares are listed on the Official List of the Irish Stock Exchange.</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SEE "RISK FACTORS" BEGINNING ON PAGE 7 TO READ ABOUT CERTAIN FACTORS YOU SHOULD CONSIDER BEFORE BUYING THE ADSs.</w:t>
      </w:r>
    </w:p>
    <w:p>
      <w:pPr>
        <w:spacing w:after="0" w:line="37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copy</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this document, together</w:t>
            </w:r>
          </w:p>
        </w:tc>
        <w:tc>
          <w:tcPr>
            <w:tcW w:w="3640" w:type="dxa"/>
            <w:vAlign w:val="bottom"/>
          </w:tcPr>
          <w:p>
            <w:pPr>
              <w:ind w:left="60"/>
              <w:spacing w:after="0"/>
              <w:rPr>
                <w:sz w:val="20"/>
                <w:szCs w:val="20"/>
                <w:color w:val="auto"/>
              </w:rPr>
            </w:pPr>
            <w:r>
              <w:rPr>
                <w:rFonts w:ascii="Courier New" w:cs="Courier New" w:eastAsia="Courier New" w:hAnsi="Courier New"/>
                <w:sz w:val="16"/>
                <w:szCs w:val="16"/>
                <w:color w:val="auto"/>
              </w:rPr>
              <w:t>with the consents referred to on page</w:t>
            </w:r>
          </w:p>
        </w:tc>
      </w:tr>
      <w:tr>
        <w:trPr>
          <w:trHeight w:val="186"/>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51, has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been</w:t>
            </w: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delivered to the Registrar</w:t>
            </w:r>
          </w:p>
        </w:tc>
        <w:tc>
          <w:tcPr>
            <w:tcW w:w="3640" w:type="dxa"/>
            <w:vAlign w:val="bottom"/>
          </w:tcPr>
          <w:p>
            <w:pPr>
              <w:ind w:left="60"/>
              <w:spacing w:after="0"/>
              <w:rPr>
                <w:sz w:val="20"/>
                <w:szCs w:val="20"/>
                <w:color w:val="auto"/>
              </w:rPr>
            </w:pPr>
            <w:r>
              <w:rPr>
                <w:rFonts w:ascii="Courier New" w:cs="Courier New" w:eastAsia="Courier New" w:hAnsi="Courier New"/>
                <w:sz w:val="16"/>
                <w:szCs w:val="16"/>
                <w:color w:val="auto"/>
              </w:rPr>
              <w:t>of Companies in Ireland in accordance</w:t>
            </w:r>
          </w:p>
        </w:tc>
      </w:tr>
      <w:tr>
        <w:trPr>
          <w:trHeight w:val="186"/>
        </w:trPr>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with Section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47</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the Companies Act, 1963.</w:t>
            </w:r>
          </w:p>
        </w:tc>
      </w:tr>
    </w:tbl>
    <w:p>
      <w:pPr>
        <w:spacing w:after="0" w:line="37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ectPr>
          <w:pgSz w:w="11900" w:h="16886" w:orient="portrait"/>
          <w:cols w:equalWidth="0" w:num="1">
            <w:col w:w="10219"/>
          </w:cols>
          <w:pgMar w:left="240" w:top="328" w:right="1440" w:bottom="0" w:gutter="0" w:footer="0" w:header="0"/>
        </w:sectPr>
      </w:pPr>
    </w:p>
    <w:p>
      <w:pPr>
        <w:spacing w:after="0" w:line="191" w:lineRule="exact"/>
        <w:rPr>
          <w:sz w:val="20"/>
          <w:szCs w:val="20"/>
          <w:color w:val="auto"/>
        </w:rPr>
      </w:pPr>
    </w:p>
    <w:p>
      <w:pPr>
        <w:jc w:val="center"/>
        <w:ind w:left="5720"/>
        <w:spacing w:after="0"/>
        <w:rPr>
          <w:sz w:val="20"/>
          <w:szCs w:val="20"/>
          <w:color w:val="auto"/>
        </w:rPr>
      </w:pPr>
      <w:r>
        <w:rPr>
          <w:rFonts w:ascii="Courier New" w:cs="Courier New" w:eastAsia="Courier New" w:hAnsi="Courier New"/>
          <w:sz w:val="16"/>
          <w:szCs w:val="16"/>
          <w:color w:val="auto"/>
        </w:rPr>
        <w:t>Per ADS</w:t>
      </w:r>
    </w:p>
    <w:p>
      <w:pPr>
        <w:spacing w:after="0" w:line="5" w:lineRule="exact"/>
        <w:rPr>
          <w:sz w:val="20"/>
          <w:szCs w:val="20"/>
          <w:color w:val="auto"/>
        </w:rPr>
      </w:pPr>
    </w:p>
    <w:p>
      <w:pPr>
        <w:jc w:val="center"/>
        <w:ind w:left="57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86" w:orient="portrait"/>
          <w:cols w:equalWidth="0" w:num="2">
            <w:col w:w="6580" w:space="500"/>
            <w:col w:w="3139"/>
          </w:cols>
          <w:pgMar w:left="240" w:top="32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Initial price to public ................................</w:t>
            </w:r>
          </w:p>
        </w:tc>
        <w:tc>
          <w:tcPr>
            <w:tcW w:w="8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Underwriting discount ..................................</w:t>
            </w:r>
          </w:p>
        </w:tc>
        <w:tc>
          <w:tcPr>
            <w:tcW w:w="8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Proceeds,</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before expenses, to ICON .....................</w:t>
            </w:r>
          </w:p>
        </w:tc>
        <w:tc>
          <w:tcPr>
            <w:tcW w:w="8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Proceeds,</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before expenses, to the selling shareholders .</w:t>
            </w:r>
          </w:p>
        </w:tc>
        <w:tc>
          <w:tcPr>
            <w:tcW w:w="8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To the extent that the underwriters sell more than 3,000,000 ADSs, the underwriters have the option to purchase up to an additional 450,000 ADSs from the selling shareholders at the initial price to public less the underwriting discount.</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underwriters expect to deliver the ADSs against payment in New York,</w:t>
      </w:r>
    </w:p>
    <w:p>
      <w:pPr>
        <w:spacing w:after="0" w:line="5"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New York on</w:t>
      </w:r>
      <w:r>
        <w:rPr>
          <w:sz w:val="20"/>
          <w:szCs w:val="20"/>
          <w:color w:val="auto"/>
        </w:rPr>
        <w:tab/>
      </w:r>
      <w:r>
        <w:rPr>
          <w:rFonts w:ascii="Courier New" w:cs="Courier New" w:eastAsia="Courier New" w:hAnsi="Courier New"/>
          <w:sz w:val="16"/>
          <w:szCs w:val="16"/>
          <w:color w:val="auto"/>
        </w:rPr>
        <w:t>,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WILLIAM BLAIR &amp; COMPANY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BEAR, STEARNS &amp; CO. INC.</w:t>
      </w:r>
    </w:p>
    <w:p>
      <w:pPr>
        <w:spacing w:after="0" w:line="5"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DAVY STOCKBROKERS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2003.</w:t>
      </w:r>
    </w:p>
    <w:p>
      <w:pPr>
        <w:sectPr>
          <w:pgSz w:w="11900" w:h="16838" w:orient="portrait"/>
          <w:cols w:equalWidth="0" w:num="2">
            <w:col w:w="4060" w:space="500"/>
            <w:col w:w="5659"/>
          </w:cols>
          <w:pgMar w:left="240" w:top="142" w:right="1440" w:bottom="1440" w:gutter="0" w:footer="0" w:header="0"/>
          <w:type w:val="continuous"/>
        </w:sectPr>
      </w:pPr>
    </w:p>
    <w:bookmarkStart w:id="3" w:name="page4"/>
    <w:bookmarkEnd w:id="3"/>
    <w:p>
      <w:pPr>
        <w:jc w:val="center"/>
        <w:ind w:right="2359"/>
        <w:spacing w:after="0"/>
        <w:rPr>
          <w:sz w:val="20"/>
          <w:szCs w:val="20"/>
          <w:color w:val="auto"/>
        </w:rPr>
      </w:pPr>
      <w:r>
        <w:rPr>
          <w:rFonts w:ascii="Courier New" w:cs="Courier New" w:eastAsia="Courier New" w:hAnsi="Courier New"/>
          <w:sz w:val="16"/>
          <w:szCs w:val="16"/>
          <w:color w:val="auto"/>
        </w:rPr>
        <w:t>SUMMARY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the Securities and Exchange Commission, or SEC or Commission,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Unless we tell you otherwise, all information in this prospectus assumes that the underwriters do not exercise their option to purchase additional ADSs. In this prospectus, "ICON", the "Company", "we", "us" and "our" refer to ICON plc, a public limited company organized under the laws of the Republic of Ireland, and its consolidated subsidiaries.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ICON</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Group Limited,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379"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in fiscal 2002, while our operating income and net income grew from $6.3 million and $4.3 million respectively, to $18.2 million and $14.2 million, respectively over the same period. In 2002 revenue was earned from over 270 clients, including 19 of the top 20 pharmaceutical companies, as ranked by 2001 revenues.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BUSINESS AND THIS OFFERING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Before you purchase our ADSs, you should be aware that there are various risks related to, among other things: our dependence on the continued outsourcing of research and development by the pharmaceutical and biotechnology industries; our limited number of clients; clients discontinuing use of services or cancellations or discontinuance of projects; competition with larger companies and research</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4" w:name="page5"/>
    <w:bookmarkEnd w:id="4"/>
    <w:p>
      <w:pPr>
        <w:ind w:right="2459"/>
        <w:spacing w:after="0" w:line="247" w:lineRule="auto"/>
        <w:rPr>
          <w:sz w:val="20"/>
          <w:szCs w:val="20"/>
          <w:color w:val="auto"/>
        </w:rPr>
      </w:pPr>
      <w:r>
        <w:rPr>
          <w:rFonts w:ascii="Courier New" w:cs="Courier New" w:eastAsia="Courier New" w:hAnsi="Courier New"/>
          <w:sz w:val="16"/>
          <w:szCs w:val="16"/>
          <w:color w:val="auto"/>
        </w:rPr>
        <w:t>institutions; quarterly results fluctuations; our dependence on long-term fixed-fee contracts; our ability to attract or retain qualified staff; failure to comply with regulatory authorities; exchange rate fluctuations; potential liability claims; dilution of your investment; substantial discretion for use of proceeds; fluctuations in the stock market or general economic conditions; and difficulty enforcing U.S. judgments against us.</w:t>
      </w:r>
    </w:p>
    <w:p>
      <w:pPr>
        <w:spacing w:after="0" w:line="37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18, Ireland and our telephone number is (353) 1-291-2000. Our principal offices in the United States are located at 212 Church Road, North Wales, PA 19454.</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5" w:name="page6"/>
    <w:bookmarkEnd w:id="5"/>
    <w:tbl>
      <w:tblPr>
        <w:tblLayout w:type="fixed"/>
        <w:tblInd w:w="1" w:type="dxa"/>
        <w:tblCellMar>
          <w:top w:w="0" w:type="dxa"/>
          <w:left w:w="0" w:type="dxa"/>
          <w:bottom w:w="0" w:type="dxa"/>
          <w:right w:w="0" w:type="dxa"/>
        </w:tblCellMar>
      </w:tblPr>
      <w:tr>
        <w:trPr>
          <w:trHeight w:val="183"/>
        </w:trPr>
        <w:tc>
          <w:tcPr>
            <w:tcW w:w="2960" w:type="dxa"/>
            <w:vAlign w:val="bottom"/>
          </w:tcPr>
          <w:p>
            <w:pPr>
              <w:spacing w:after="0"/>
              <w:rPr>
                <w:sz w:val="15"/>
                <w:szCs w:val="15"/>
                <w:color w:val="auto"/>
              </w:rPr>
            </w:pPr>
          </w:p>
        </w:tc>
        <w:tc>
          <w:tcPr>
            <w:tcW w:w="1600" w:type="dxa"/>
            <w:vAlign w:val="bottom"/>
          </w:tcPr>
          <w:p>
            <w:pPr>
              <w:ind w:left="340"/>
              <w:spacing w:after="0"/>
              <w:rPr>
                <w:sz w:val="20"/>
                <w:szCs w:val="20"/>
                <w:color w:val="auto"/>
              </w:rPr>
            </w:pPr>
            <w:r>
              <w:rPr>
                <w:rFonts w:ascii="Courier New" w:cs="Courier New" w:eastAsia="Courier New" w:hAnsi="Courier New"/>
                <w:sz w:val="16"/>
                <w:szCs w:val="16"/>
                <w:color w:val="auto"/>
              </w:rPr>
              <w:t>THE OFFERING</w:t>
            </w:r>
          </w:p>
        </w:tc>
        <w:tc>
          <w:tcPr>
            <w:tcW w:w="6680" w:type="dxa"/>
            <w:vAlign w:val="bottom"/>
          </w:tcPr>
          <w:p>
            <w:pPr>
              <w:spacing w:after="0"/>
              <w:rPr>
                <w:sz w:val="15"/>
                <w:szCs w:val="15"/>
                <w:color w:val="auto"/>
              </w:rPr>
            </w:pPr>
          </w:p>
        </w:tc>
      </w:tr>
      <w:tr>
        <w:trPr>
          <w:trHeight w:val="55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Offering price</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U.S.$</w:t>
            </w:r>
          </w:p>
        </w:tc>
        <w:tc>
          <w:tcPr>
            <w:tcW w:w="6680" w:type="dxa"/>
            <w:vAlign w:val="bottom"/>
          </w:tcPr>
          <w:p>
            <w:pPr>
              <w:ind w:left="100"/>
              <w:spacing w:after="0"/>
              <w:rPr>
                <w:sz w:val="20"/>
                <w:szCs w:val="20"/>
                <w:color w:val="auto"/>
              </w:rPr>
            </w:pPr>
            <w:r>
              <w:rPr>
                <w:rFonts w:ascii="Courier New" w:cs="Courier New" w:eastAsia="Courier New" w:hAnsi="Courier New"/>
                <w:sz w:val="16"/>
                <w:szCs w:val="16"/>
                <w:color w:val="auto"/>
              </w:rPr>
              <w:t>per ADS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ADSs offered by us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1,500,000 ADSs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ADSs offered by the</w:t>
            </w:r>
          </w:p>
        </w:tc>
        <w:tc>
          <w:tcPr>
            <w:tcW w:w="160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1,500,000 ADSs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Selling shareholders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Dr. Ronan Lambe and Dr. John Climax through Wineberry Limited, a company</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controlled by him.</w:t>
            </w:r>
          </w:p>
        </w:tc>
      </w:tr>
      <w:tr>
        <w:trPr>
          <w:trHeight w:val="55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Ordinary shares outstanding</w:t>
            </w:r>
          </w:p>
        </w:tc>
        <w:tc>
          <w:tcPr>
            <w:tcW w:w="160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after this offering (1)</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13,341,757</w:t>
            </w:r>
          </w:p>
        </w:tc>
        <w:tc>
          <w:tcPr>
            <w:tcW w:w="6680" w:type="dxa"/>
            <w:vAlign w:val="bottom"/>
          </w:tcPr>
          <w:p>
            <w:pPr>
              <w:spacing w:after="0"/>
              <w:rPr>
                <w:sz w:val="16"/>
                <w:szCs w:val="16"/>
                <w:color w:val="auto"/>
              </w:rPr>
            </w:pPr>
          </w:p>
        </w:tc>
      </w:tr>
      <w:tr>
        <w:trPr>
          <w:trHeight w:val="55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Ordinary shares per ADS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One. The ADSs are issued pursuant to the Deposit</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Agreement with The Bank of New York dated as of May 20, 1998.</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Option to purchase</w:t>
            </w:r>
          </w:p>
        </w:tc>
        <w:tc>
          <w:tcPr>
            <w:tcW w:w="160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additional ADSs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If the underwriters exercise the option to purchase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additional ADSs described under the heading "Underwriting", the selling</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shareholders may sell up to an additional 450,000 ADSs.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Lock-up arrangements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We have agreed with the underwriters, subject to certain</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exceptions, not to dispose of or hedge any of our ordinary shares, ADSs or</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securities convertible into or exchangeable for ordinary shares or ADSs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during the period from the date of this prospectus continuing through the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date 90 days after the date of this prospectus, except with the prior written</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consent of Goldman, Sachs &amp; Co. The selling shareholders have agreed with the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underwriters, subject to certain exceptions, not to dispose of or hedge any</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of our ordinary shares, ADSs or securities convertible into or exchangeable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for ordinary shares or ADSs during the period from the date of this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prospectus continuing through the date 180 days after the date of this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prospectus, except with the prior written consent of Goldman, Sachs &amp; Co.</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We estimate that the net proceeds to us from this offering,</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after deducting underwriting discounts and the estimated offering expenses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payable by us, will be approximately $ million. We will not receive any of</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the proceeds from the sale of ADSs by the selling shareholders. We intend to</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use the net proceeds from this offering, together with our existing cash,</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cash equivalents, short-term investments and cash generated from operations,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for general corporate purposes, including, but not limited to funding the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continued growth and development of the business, opportunistic acquisitions,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and working capital requirements.</w:t>
            </w:r>
          </w:p>
        </w:tc>
      </w:tr>
      <w:tr>
        <w:trPr>
          <w:trHeight w:val="373"/>
        </w:trPr>
        <w:tc>
          <w:tcPr>
            <w:tcW w:w="2960" w:type="dxa"/>
            <w:vAlign w:val="bottom"/>
          </w:tcPr>
          <w:p>
            <w:pPr>
              <w:spacing w:after="0"/>
              <w:rPr>
                <w:sz w:val="24"/>
                <w:szCs w:val="24"/>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Please refer to "Use of Proceeds" for further discussion of how we intend to use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the net proceeds from this offering.</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Nasdaq symbol</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ICLR</w:t>
            </w:r>
          </w:p>
        </w:tc>
        <w:tc>
          <w:tcPr>
            <w:tcW w:w="6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680" w:hanging="481"/>
        <w:spacing w:after="0" w:line="247"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 of the number of ordinary shares to be outstanding after this offering is based upon the number of ordinary shares outstanding on June 30, 2003. The number of ordinary shares to be outstanding after this offering does not include 1,185,445 ordinary shares reserved for issuance upon the exercise of stock options outstanding on June 30, 2003.</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241"/>
          </w:cols>
          <w:pgMar w:left="239" w:top="1049" w:right="419" w:bottom="1440" w:gutter="0" w:footer="0" w:header="0"/>
        </w:sectPr>
      </w:pPr>
    </w:p>
    <w:bookmarkStart w:id="6" w:name="page7"/>
    <w:bookmarkEnd w:id="6"/>
    <w:p>
      <w:pPr>
        <w:ind w:left="3000"/>
        <w:spacing w:after="0"/>
        <w:rPr>
          <w:sz w:val="20"/>
          <w:szCs w:val="20"/>
          <w:color w:val="auto"/>
        </w:rPr>
      </w:pPr>
      <w:r>
        <w:rPr>
          <w:rFonts w:ascii="Courier New" w:cs="Courier New" w:eastAsia="Courier New" w:hAnsi="Courier New"/>
          <w:sz w:val="16"/>
          <w:szCs w:val="16"/>
          <w:color w:val="auto"/>
        </w:rPr>
        <w:t>RECENT DEVELOPMENTS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RESULTS</w:t>
      </w:r>
    </w:p>
    <w:p>
      <w:pPr>
        <w:spacing w:after="0" w:line="378"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On August 1, 2003, we filed our audited financial statements for the year ended May 31, 2003 on Form 6-K.</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MAY 31, 2003 COMPARED WITH THREE MONTHS ENDED MAY 31, 2002</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revenues increased over the comparable period by $23.0 million, or 54%, from $43.0 million to $66.0 million. Excluding the impact of acquisitions, revenue growth for the quarter was 34% over the same quarter last year. Net revenues in the United States increased by $15.6 million, or 52%, from $29.7 million to $45.3 million. Net revenues in Europe/Rest of World increased by $7.4 million, or 56%, from $13.3 million to $20.7 million.</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Income from operations for the quarter increased by $2.1 million, or 43% over the comparable period, from $5.1 million to $7.2 million. Operating margin for the quarter decreased by 0.8%, from 11.8% in the comparable period to 11.0%. Operating margins for the quarter were 12.4% in our clinical segment and (2.1)% in our central laboratory segment. Net income for the quarter was $5.3 million or $0.43 cents per share, on a diluted basis, compared with $3.8 million or $0.31 cents per share for the quarter ended May 31, 2002.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2003 COMPARED TO FISCAL YEAR ENDED MAY 31, 2002</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Net revenues increased by $69.1 million, or 44% from, $156.6 million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$225.7 million. Excluding the impact of acquisitions, revenue growth was 33%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twelve months ending May 31, 2003. Net revenues in the United States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by $51.2 million, or 48%, from $107.5 million to $158.7 million.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for Europe/Rest of World increased by $17.9 million, or 37%, from $49.1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to $67.0 million.</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Income from operations increased by $6.7 million, or 37%, from $18.2 million to 24.9 million. Operating margin for the full year decreased by 0.6%, from 11.6% to 11.0%. Net income was $18.3 million or $1.50 per share on a diluted basis for fiscal 2003, compared with $14.2 million or $1.16 per share reported for fiscal 2002.</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64 days at May 31, 2003 compared with 67 days at May 31, 2002. For the quarter to May 31, 2003, cash generated from operations was $4.9 million, capital expenditure was $4.6 million and payments of $1.2 million were made in relation to acquisitions. In the twelve months to May 31, 2003, cash generated from operating activities was $21.5 million, capital expenditure was $15.8 million and payments of $40.0 million were made in relation to acquisitions. As a result the company's net cash was $11.2 million (cash and cash equivalents of $18.3 million net of bank overdrafts of $7.1 million) at May 31, 2003, compared to $43.1 million (cash and cash equivalents of $36.3 million and short term investments of $18.6 million net of bank overdrafts of $11.8 million) at May 31, 2002.</w:t>
      </w:r>
    </w:p>
    <w:p>
      <w:pPr>
        <w:spacing w:after="0" w:line="193"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We were awarded $88 million of net new business in the fourth quarter of fiscal 2003. At May 31, 2003, we had a total backlog of $352 million, of which we estimate $221 million will be earned in the next twelve months. See "Business--Backlog".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CREDIT FACILITY</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$40 million of which will be available for acquisitions, with the remaining $20 million for working capital purposes. The working capital line will replace the majority of our existing lines of credit.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July 29, 2003, we entered into a purchase agreement for the acquisition of Globomax LLC, a drug development consulting company employing approximately</w:t>
      </w:r>
    </w:p>
    <w:p>
      <w:pPr>
        <w:spacing w:after="0" w:line="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80 people, based in the US. The initial consideration will be approximately $11 million, to be paid in cash.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2" w:right="1440" w:bottom="695" w:gutter="0" w:footer="0" w:header="0"/>
        </w:sectPr>
      </w:pPr>
    </w:p>
    <w:bookmarkStart w:id="7" w:name="page8"/>
    <w:bookmarkEnd w:id="7"/>
    <w:p>
      <w:pPr>
        <w:spacing w:after="0" w:line="60" w:lineRule="exact"/>
        <w:rPr>
          <w:sz w:val="20"/>
          <w:szCs w:val="20"/>
          <w:color w:val="auto"/>
        </w:rPr>
      </w:pPr>
    </w:p>
    <w:p>
      <w:pPr>
        <w:ind w:right="3100"/>
        <w:spacing w:after="0" w:line="247" w:lineRule="auto"/>
        <w:rPr>
          <w:sz w:val="20"/>
          <w:szCs w:val="20"/>
          <w:color w:val="auto"/>
        </w:rPr>
      </w:pPr>
      <w:r>
        <w:rPr>
          <w:rFonts w:ascii="Courier New" w:cs="Courier New" w:eastAsia="Courier New" w:hAnsi="Courier New"/>
          <w:sz w:val="16"/>
          <w:szCs w:val="16"/>
          <w:color w:val="auto"/>
        </w:rPr>
        <w:t>The agreement allows for additional payments up to a maximum of $4 million to be paid over the subsequent three years contingent upon certain earnings targets being met.</w:t>
      </w:r>
    </w:p>
    <w:p>
      <w:pPr>
        <w:spacing w:after="0" w:line="372"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91" w:lineRule="exact"/>
        <w:rPr>
          <w:sz w:val="20"/>
          <w:szCs w:val="20"/>
          <w:color w:val="auto"/>
        </w:rPr>
      </w:pPr>
    </w:p>
    <w:p>
      <w:pPr>
        <w:ind w:right="3100" w:firstLine="581"/>
        <w:spacing w:after="0" w:line="246" w:lineRule="auto"/>
        <w:rPr>
          <w:sz w:val="20"/>
          <w:szCs w:val="20"/>
          <w:color w:val="auto"/>
        </w:rPr>
      </w:pPr>
      <w:r>
        <w:rPr>
          <w:rFonts w:ascii="Courier New" w:cs="Courier New" w:eastAsia="Courier New" w:hAnsi="Courier New"/>
          <w:sz w:val="16"/>
          <w:szCs w:val="16"/>
          <w:color w:val="auto"/>
        </w:rPr>
        <w:t>The consolidated financial data set forth below for the years ended May 31, 2000, 2001 and 2002 have been extracted from our audited consolidated financial statements, which have been audited by KPMG, independent chartered accountants, and which are incorporated herein by reference. The consolidated financial data for the years ended May 31, 1998 and 1999 have been extracted from our audited consolidated financial statements not included or incorporated by reference in this prospectus. The consolidated financial data for the nine-month periods ended February 28, 2002 and 2003 have been extracted from our unaudited interim condensed consolidated financial statements, which are incorporated herein by reference. The interim financial statements include all adjustments, consisting only of normal recurring adjustments, necessary for a fair presentation of our financial position and operating results for the unaudited nine-month periods ended February 28, 2002 and 2003. We have prepared our consolidated financial statements in accordance with U.S. generally accepted accounting principles. The data set forth below should be read in conjunction with, and are qualified by reference to, "Management's Discussion and Analysis of Financial Condition and Results of Operations" included elsewhere and our audited and unaudited financial statements incorporated by reference in this prospectus.</w:t>
      </w:r>
    </w:p>
    <w:p>
      <w:pPr>
        <w:spacing w:after="0" w:line="197" w:lineRule="exact"/>
        <w:rPr>
          <w:sz w:val="20"/>
          <w:szCs w:val="20"/>
          <w:color w:val="auto"/>
        </w:rPr>
      </w:pPr>
    </w:p>
    <w:p>
      <w:pPr>
        <w:ind w:right="3100" w:firstLine="581"/>
        <w:spacing w:after="0" w:line="246" w:lineRule="auto"/>
        <w:rPr>
          <w:sz w:val="20"/>
          <w:szCs w:val="20"/>
          <w:color w:val="auto"/>
        </w:rPr>
      </w:pPr>
      <w:r>
        <w:rPr>
          <w:rFonts w:ascii="Courier New" w:cs="Courier New" w:eastAsia="Courier New" w:hAnsi="Courier New"/>
          <w:sz w:val="16"/>
          <w:szCs w:val="16"/>
          <w:color w:val="auto"/>
        </w:rPr>
        <w:t>In this prospectus, references to "U.S. dollars," "U.S.$" or "$" are to the lawful currency of the United States, references to "pounds sterling," "sterling," "(pound)," "pence" or "p" are to the lawful currency of the United Kingdom, references to "Israeli Shekels" or "ILS" are to the lawful currency of Israel, and references to "euro", "(euro)" or "cent" are to the European single currency adopted by twelve members of the European Union (including the Republic of Ireland, France and Germany). ICON publishes its consolidated financial statements in U.S. dollars.</w:t>
      </w:r>
    </w:p>
    <w:p>
      <w:pPr>
        <w:spacing w:after="0" w:line="191" w:lineRule="exact"/>
        <w:rPr>
          <w:sz w:val="20"/>
          <w:szCs w:val="20"/>
          <w:color w:val="auto"/>
        </w:rPr>
      </w:pPr>
    </w:p>
    <w:p>
      <w:pPr>
        <w:ind w:right="3300" w:firstLine="581"/>
        <w:spacing w:after="0" w:line="247" w:lineRule="auto"/>
        <w:rPr>
          <w:sz w:val="20"/>
          <w:szCs w:val="20"/>
          <w:color w:val="auto"/>
        </w:rPr>
      </w:pPr>
      <w:r>
        <w:rPr>
          <w:rFonts w:ascii="Courier New" w:cs="Courier New" w:eastAsia="Courier New" w:hAnsi="Courier New"/>
          <w:sz w:val="16"/>
          <w:szCs w:val="16"/>
          <w:color w:val="auto"/>
        </w:rPr>
        <w:t>ICON prepares its consolidated financial statements on the basis of a fiscal year beginning on June 1 and ending on May 31. References to a fiscal year in this prospectus are references to the fiscal year ending on May 31 of that year. In this prospectus, financial results and operating statistics are, unless otherwise indicated, stated on the basis of such fiscal years.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YEAR ENDED MAY</w:t>
            </w: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ENDED FEBRUARY 28,</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0"/>
              </w:rPr>
              <w:t>------------------------------------------------------</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1998</w:t>
            </w:r>
          </w:p>
        </w:tc>
        <w:tc>
          <w:tcPr>
            <w:tcW w:w="10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2001</w:t>
            </w:r>
          </w:p>
        </w:tc>
        <w:tc>
          <w:tcPr>
            <w:tcW w:w="200" w:type="dxa"/>
            <w:vAlign w:val="bottom"/>
          </w:tcPr>
          <w:p>
            <w:pPr>
              <w:spacing w:after="0"/>
              <w:rPr>
                <w:sz w:val="16"/>
                <w:szCs w:val="16"/>
                <w:color w:val="auto"/>
              </w:rPr>
            </w:pP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14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2002</w:t>
            </w:r>
          </w:p>
        </w:tc>
        <w:tc>
          <w:tcPr>
            <w:tcW w:w="16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310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gridSpan w:val="9"/>
          </w:tcPr>
          <w:p>
            <w:pPr>
              <w:jc w:val="right"/>
              <w:ind w:right="399"/>
              <w:spacing w:after="0"/>
              <w:rPr>
                <w:sz w:val="20"/>
                <w:szCs w:val="20"/>
                <w:color w:val="auto"/>
              </w:rPr>
            </w:pPr>
            <w:r>
              <w:rPr>
                <w:rFonts w:ascii="Courier New" w:cs="Courier New" w:eastAsia="Courier New" w:hAnsi="Courier New"/>
                <w:sz w:val="16"/>
                <w:szCs w:val="16"/>
                <w:color w:val="auto"/>
              </w:rPr>
              <w:t>(IN THOUSANDS, EXCEPT SHARE AND PER SHARE DATA)</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9"/>
        </w:trPr>
        <w:tc>
          <w:tcPr>
            <w:tcW w:w="3100" w:type="dxa"/>
            <w:vAlign w:val="bottom"/>
          </w:tcPr>
          <w:p>
            <w:pPr>
              <w:spacing w:after="0"/>
              <w:rPr>
                <w:sz w:val="20"/>
                <w:szCs w:val="20"/>
                <w:color w:val="auto"/>
              </w:rPr>
            </w:pPr>
            <w:r>
              <w:rPr>
                <w:rFonts w:ascii="Courier New" w:cs="Courier New" w:eastAsia="Courier New" w:hAnsi="Courier New"/>
                <w:sz w:val="16"/>
                <w:szCs w:val="16"/>
                <w:color w:val="auto"/>
              </w:rPr>
              <w:t>Gross revenue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67,743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98,910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115,087</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151,832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218,842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153,356</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236,270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Subcontractor costs (1) ......</w:t>
            </w:r>
          </w:p>
        </w:tc>
        <w:tc>
          <w:tcPr>
            <w:tcW w:w="10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(22,549)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(39,003)</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(34,320)</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(35,669)</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(62,287)</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(39,798)</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(76,565)</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45,194</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59,907</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80,767</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116,163</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156,555</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113,558</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159,705</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23,697</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31,662</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42,007</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63,800</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83,371</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60,446</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87,507</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administrative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14,037</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19,200</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27,348</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36,312</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48,951</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35,550</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49,481</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Merger costs (2)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1,617</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1,196</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2,066</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3,264</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4,975</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6,020</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4,416</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5,017</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Total costs and expenses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38,930</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52,928</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74,236</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105,087</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138,342</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100,412</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142,005</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6,264</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6,979</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6,531</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11,076</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18,213</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13,146</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17,700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interest income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189</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2,631</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2,659</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2,519</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1,116</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864</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379</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before provision for</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taxes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6,453</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9,610</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9,190</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13,595</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19,329</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14,010</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18,079</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Provision for income taxes ...</w:t>
            </w:r>
          </w:p>
        </w:tc>
        <w:tc>
          <w:tcPr>
            <w:tcW w:w="10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(2,110)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(1,557)</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(3,122)</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(2,617)</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(5,129)</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(3,625)</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(5,090)</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income (3)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4,343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8,053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6,068</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10,978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14,200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10,385</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INCOME PER ORDINARY</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SHARE (4):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0.56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0.74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0.55</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0.90</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0.49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0.68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0.51</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0.85</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ORDINARY SHARES OUTSTANDING (4):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ectPr>
          <w:pgSz w:w="11900" w:h="16898" w:orient="portrait"/>
          <w:cols w:equalWidth="0" w:num="1">
            <w:col w:w="10860"/>
          </w:cols>
          <w:pgMar w:left="240" w:top="1049" w:right="7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Basic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7,788,349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10,908,409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11,050,556</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11,292,610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11,656,153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11,576,692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11,804,576</w:t>
            </w:r>
          </w:p>
        </w:tc>
      </w:tr>
      <w:tr>
        <w:trPr>
          <w:trHeight w:val="186"/>
        </w:trPr>
        <w:tc>
          <w:tcPr>
            <w:tcW w:w="2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7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  ---------- ----------</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Diluted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8,805,567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11,917,605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11,824,359</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11,943,849</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12,241,820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12,224,383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12,169,875</w:t>
            </w:r>
          </w:p>
        </w:tc>
      </w:tr>
      <w:tr>
        <w:trPr>
          <w:trHeight w:val="186"/>
        </w:trPr>
        <w:tc>
          <w:tcPr>
            <w:tcW w:w="2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745"/>
        </w:trPr>
        <w:tc>
          <w:tcPr>
            <w:tcW w:w="2520" w:type="dxa"/>
            <w:vAlign w:val="bottom"/>
          </w:tcPr>
          <w:p>
            <w:pPr>
              <w:spacing w:after="0"/>
              <w:rPr>
                <w:sz w:val="24"/>
                <w:szCs w:val="24"/>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80"/>
          </w:cols>
          <w:pgMar w:left="720" w:top="142" w:right="899" w:bottom="1440" w:gutter="0" w:footer="0" w:header="0"/>
        </w:sectPr>
      </w:pPr>
    </w:p>
    <w:bookmarkStart w:id="9" w:name="page10"/>
    <w:bookmarkEnd w:id="9"/>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AS OF</w:t>
            </w:r>
          </w:p>
        </w:tc>
      </w:tr>
      <w:tr>
        <w:trPr>
          <w:trHeight w:val="186"/>
        </w:trPr>
        <w:tc>
          <w:tcPr>
            <w:tcW w:w="2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AS OF MAY 31,</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FEBRUARY 28,</w:t>
            </w:r>
          </w:p>
        </w:tc>
      </w:tr>
      <w:tr>
        <w:trPr>
          <w:trHeight w:val="186"/>
        </w:trPr>
        <w:tc>
          <w:tcPr>
            <w:tcW w:w="2760" w:type="dxa"/>
            <w:vAlign w:val="bottom"/>
          </w:tcPr>
          <w:p>
            <w:pPr>
              <w:spacing w:after="0"/>
              <w:rPr>
                <w:sz w:val="16"/>
                <w:szCs w:val="16"/>
                <w:color w:val="auto"/>
              </w:rPr>
            </w:pPr>
          </w:p>
        </w:tc>
        <w:tc>
          <w:tcPr>
            <w:tcW w:w="2420" w:type="dxa"/>
            <w:vAlign w:val="bottom"/>
            <w:gridSpan w:val="2"/>
          </w:tcPr>
          <w:p>
            <w:pPr>
              <w:ind w:left="340"/>
              <w:spacing w:after="0"/>
              <w:rPr>
                <w:sz w:val="20"/>
                <w:szCs w:val="20"/>
                <w:color w:val="auto"/>
              </w:rPr>
            </w:pPr>
            <w:r>
              <w:rPr>
                <w:rFonts w:ascii="Courier New" w:cs="Courier New" w:eastAsia="Courier New" w:hAnsi="Courier New"/>
                <w:sz w:val="8"/>
                <w:szCs w:val="8"/>
                <w:color w:val="auto"/>
                <w:w w:val="76"/>
              </w:rPr>
              <w:t>--------------------------------------------------------</w:t>
            </w: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16"/>
                <w:szCs w:val="16"/>
                <w:color w:val="auto"/>
              </w:rPr>
            </w:pPr>
          </w:p>
        </w:tc>
        <w:tc>
          <w:tcPr>
            <w:tcW w:w="150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13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2760" w:type="dxa"/>
            <w:vAlign w:val="bottom"/>
          </w:tcPr>
          <w:p>
            <w:pPr>
              <w:spacing w:after="0"/>
              <w:rPr>
                <w:sz w:val="16"/>
                <w:szCs w:val="16"/>
                <w:color w:val="auto"/>
              </w:rPr>
            </w:pPr>
          </w:p>
        </w:tc>
        <w:tc>
          <w:tcPr>
            <w:tcW w:w="15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3"/>
        </w:trPr>
        <w:tc>
          <w:tcPr>
            <w:tcW w:w="27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3"/>
        </w:trPr>
        <w:tc>
          <w:tcPr>
            <w:tcW w:w="276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$54,384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$12,353</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$26,552</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$11,179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36,291</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$ 21,862</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(available for sale)</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35,936</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21,405</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35,941</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18,551</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57,886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56,944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57,962</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61,147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72,923</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50,451</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89,981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95,758</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100,118</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128,967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165,794</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215,044</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1,312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3,514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11,518</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11,745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10,503</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Government grants</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705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624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533</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476</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962</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1,079</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$64,074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$71,633</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$77,053</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$86,580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107,561</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$126,350</w:t>
            </w:r>
          </w:p>
        </w:tc>
      </w:tr>
    </w:tbl>
    <w:p>
      <w:pPr>
        <w:spacing w:after="0" w:line="200" w:lineRule="exact"/>
        <w:rPr>
          <w:sz w:val="20"/>
          <w:szCs w:val="20"/>
          <w:color w:val="auto"/>
        </w:rPr>
      </w:pPr>
    </w:p>
    <w:p>
      <w:pPr>
        <w:spacing w:after="0" w:line="363" w:lineRule="exact"/>
        <w:rPr>
          <w:sz w:val="20"/>
          <w:szCs w:val="20"/>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3100" w:hanging="384"/>
        <w:spacing w:after="0" w:line="248"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Subcontractor costs comprise investigator payments and certain other costs reimbursed by clients under terms specific to each of our contracts.</w:t>
      </w:r>
    </w:p>
    <w:p>
      <w:pPr>
        <w:spacing w:after="0" w:line="184" w:lineRule="exact"/>
        <w:rPr>
          <w:rFonts w:ascii="Courier New" w:cs="Courier New" w:eastAsia="Courier New" w:hAnsi="Courier New"/>
          <w:sz w:val="16"/>
          <w:szCs w:val="16"/>
          <w:color w:val="auto"/>
        </w:rPr>
      </w:pPr>
    </w:p>
    <w:p>
      <w:pPr>
        <w:ind w:left="481" w:right="3200" w:hanging="384"/>
        <w:spacing w:after="0" w:line="247"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28, 2000, one of our wholly-owned subsidiaries completed a merger with Pacific Research Associates Inc., or PRAI, a company specializing in data management, statistical analysis and medical and regulatory consulting based in Mountain View, California. The merger with PRAI was accounted for as a pooling-of-interests transaction and requires us to combine the historical results of PRAI with our historical results.</w:t>
      </w:r>
    </w:p>
    <w:p>
      <w:pPr>
        <w:spacing w:after="0" w:line="185" w:lineRule="exact"/>
        <w:rPr>
          <w:rFonts w:ascii="Courier New" w:cs="Courier New" w:eastAsia="Courier New" w:hAnsi="Courier New"/>
          <w:sz w:val="16"/>
          <w:szCs w:val="16"/>
          <w:color w:val="auto"/>
        </w:rPr>
      </w:pPr>
    </w:p>
    <w:p>
      <w:pPr>
        <w:ind w:left="481" w:right="3000" w:hanging="384"/>
        <w:spacing w:after="0" w:line="247"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2001, we adopted Statement of Financial Accounting Standards ("SFAS") No. 142. Under SFAS No. 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358" w:lineRule="exact"/>
        <w:rPr>
          <w:sz w:val="20"/>
          <w:szCs w:val="20"/>
          <w:color w:val="auto"/>
        </w:rPr>
      </w:pPr>
    </w:p>
    <w:tbl>
      <w:tblPr>
        <w:tblLayout w:type="fixed"/>
        <w:tblInd w:w="961" w:type="dxa"/>
        <w:tblCellMar>
          <w:top w:w="0" w:type="dxa"/>
          <w:left w:w="0" w:type="dxa"/>
          <w:bottom w:w="0" w:type="dxa"/>
          <w:right w:w="0" w:type="dxa"/>
        </w:tblCellMar>
      </w:tblPr>
      <w:tr>
        <w:trPr>
          <w:trHeight w:val="183"/>
        </w:trPr>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5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YEAR ENDED MAY 31,</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ENDED FEBRUARY 28,</w:t>
            </w:r>
          </w:p>
        </w:tc>
      </w:tr>
      <w:tr>
        <w:trPr>
          <w:trHeight w:val="186"/>
        </w:trPr>
        <w:tc>
          <w:tcPr>
            <w:tcW w:w="2040" w:type="dxa"/>
            <w:vAlign w:val="bottom"/>
          </w:tcPr>
          <w:p>
            <w:pPr>
              <w:spacing w:after="0"/>
              <w:rPr>
                <w:sz w:val="16"/>
                <w:szCs w:val="16"/>
                <w:color w:val="auto"/>
              </w:rPr>
            </w:pPr>
          </w:p>
        </w:tc>
        <w:tc>
          <w:tcPr>
            <w:tcW w:w="218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6"/>
              </w:rPr>
              <w:t>--------------------------------------------------------</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78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2001</w:t>
            </w:r>
          </w:p>
        </w:tc>
        <w:tc>
          <w:tcPr>
            <w:tcW w:w="380" w:type="dxa"/>
            <w:vAlign w:val="bottom"/>
          </w:tcPr>
          <w:p>
            <w:pPr>
              <w:spacing w:after="0"/>
              <w:rPr>
                <w:sz w:val="16"/>
                <w:szCs w:val="16"/>
                <w:color w:val="auto"/>
              </w:rPr>
            </w:pP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2002</w:t>
            </w:r>
          </w:p>
        </w:tc>
        <w:tc>
          <w:tcPr>
            <w:tcW w:w="10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2002</w:t>
            </w:r>
          </w:p>
        </w:tc>
        <w:tc>
          <w:tcPr>
            <w:tcW w:w="34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2003</w:t>
            </w:r>
          </w:p>
        </w:tc>
      </w:tr>
      <w:tr>
        <w:trPr>
          <w:trHeight w:val="186"/>
        </w:trPr>
        <w:tc>
          <w:tcPr>
            <w:tcW w:w="204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PER SHARE DATA)</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73"/>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Reported net</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$8,053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$6,068</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$10,978</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$10,385</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w:t>
            </w:r>
          </w:p>
        </w:tc>
        <w:tc>
          <w:tcPr>
            <w:tcW w:w="3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Adjusted net</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$8,053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$6,106</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$11,188</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$10,385</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040" w:type="dxa"/>
            <w:vAlign w:val="bottom"/>
          </w:tcPr>
          <w:p>
            <w:pPr>
              <w:spacing w:after="0"/>
              <w:rPr>
                <w:sz w:val="20"/>
                <w:szCs w:val="20"/>
                <w:color w:val="auto"/>
              </w:rPr>
            </w:pPr>
            <w:r>
              <w:rPr>
                <w:rFonts w:ascii="Courier New" w:cs="Courier New" w:eastAsia="Courier New" w:hAnsi="Courier New"/>
                <w:sz w:val="16"/>
                <w:szCs w:val="16"/>
                <w:color w:val="auto"/>
              </w:rPr>
              <w:t>Basic net income</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$ 0.56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$ 0.74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1.22</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Adjusted basic net</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income per</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$ 0.56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$ 0.74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1.22</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Diluted net income</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$ 0.49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$ 0.68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1.16</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Adjusted diluted</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net income per</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$ 0.49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$ 0.68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1.16</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481" w:right="3100" w:hanging="384"/>
        <w:spacing w:after="0" w:line="247"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ordinary share is based on the weighted average number of outstanding ordinary shares while diluted net income per share is adjusted to include potential ordinary shares from the exercise of options.</w:t>
      </w:r>
    </w:p>
    <w:p>
      <w:pPr>
        <w:sectPr>
          <w:pgSz w:w="11900" w:h="16838" w:orient="portrait"/>
          <w:cols w:equalWidth="0" w:num="1">
            <w:col w:w="10761"/>
          </w:cols>
          <w:pgMar w:left="239" w:top="1049" w:right="899" w:bottom="0" w:gutter="0" w:footer="0" w:header="0"/>
        </w:sectPr>
      </w:pPr>
    </w:p>
    <w:bookmarkStart w:id="10" w:name="page11"/>
    <w:bookmarkEnd w:id="10"/>
    <w:p>
      <w:pPr>
        <w:ind w:left="25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28" w:right="1440" w:bottom="1440" w:gutter="0" w:footer="0" w:header="0"/>
        </w:sectPr>
      </w:pPr>
    </w:p>
    <w:bookmarkStart w:id="11" w:name="page12"/>
    <w:bookmarkEnd w:id="11"/>
    <w:p>
      <w:pPr>
        <w:ind w:left="3300"/>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IF YOU PURCHASE OUR ADSs, YOU WILL TAKE ON A FINANCIAL RISK. IN DECIDING WHETHER TO INVEST, YOU SHOULD CAREFULLY CONSIDER THE FOLLOWING FACTORS, THE OTHER INFORMATION CONTAINED IN THIS PROSPECTUS AND THE ADDITIONAL INFORMATION IN OUR REPORTS AND OTHER DOCUMENTS ON FILE WITH THE SEC THAT ARE INCORPORATED HEREIN BY REFERENCE.</w:t>
      </w:r>
    </w:p>
    <w:p>
      <w:pPr>
        <w:spacing w:after="0" w:line="18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RISKS RELATED TO OUR BUSINESS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WE ARE DEPENDENT ON THE CONTINUED OUTSOURCING OF RESEARCH AND DEVELOPMENT BY THE PHARMACEUTICAL AND BIOTECHNOLOGY INDUSTRIES.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19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DEPEND ON A LIMITED NUMBER OF CLIENTS AND A LOSS OF OR SIGNIFICANT DECREASE IN BUSINESS FROM THEM COULD AFFECT OUR BUSINESS.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clients.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During the fiscal year ended May 31, 2000, we derived 68% of our net revenue from our top five clients. In fiscal 2000, 24% of our net revenue came from Pfizer, 18% from GlaxoSmithKline and 16% from Novartis. The loss of, or a significant decrease in business from, one or more of these clients could have a material adverse effect on our business.</w:t>
      </w:r>
    </w:p>
    <w:p>
      <w:pPr>
        <w:spacing w:after="0" w:line="193"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IF OUR CLIENTS DISCONTINUE USING OUR SERVICES, OR CANCEL OR DISCONTINUE PROJECTS, OUR REVENUE WILL BE ADVERSELY AFFECTED AND WE MAY NOT RECEIVE THEIR BUSINESS IN THE FUTURE OR MAY NOT BE ABLE TO ATTRACT NEW CLIENTS.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185" w:lineRule="exact"/>
        <w:rPr>
          <w:sz w:val="20"/>
          <w:szCs w:val="20"/>
          <w:color w:val="auto"/>
        </w:rPr>
      </w:pPr>
    </w:p>
    <w:p>
      <w:pPr>
        <w:ind w:left="1160" w:right="2659" w:hanging="579"/>
        <w:spacing w:after="0" w:line="248" w:lineRule="auto"/>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products being tested to satisfy safety or efficacy requirements;</w:t>
      </w:r>
    </w:p>
    <w:p>
      <w:pPr>
        <w:spacing w:after="0" w:line="18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or undesired clinical results of the product;</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decision that a particular study is no longer necessary;</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insufficient patient enrollment or investigator recruitment; or</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production problems resulting in shortages of the drug.</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2" w:name="page13"/>
    <w:bookmarkEnd w:id="12"/>
    <w:p>
      <w:pPr>
        <w:ind w:right="2459" w:firstLine="581"/>
        <w:spacing w:after="0" w:line="248" w:lineRule="auto"/>
        <w:rPr>
          <w:sz w:val="20"/>
          <w:szCs w:val="20"/>
          <w:color w:val="auto"/>
        </w:rPr>
      </w:pPr>
      <w:r>
        <w:rPr>
          <w:rFonts w:ascii="Courier New" w:cs="Courier New" w:eastAsia="Courier New" w:hAnsi="Courier New"/>
          <w:sz w:val="16"/>
          <w:szCs w:val="16"/>
          <w:color w:val="auto"/>
        </w:rPr>
        <w:t>If we lose clients, we may not be able to attract new ones, and if we lose individual projects, we may not be able to replace them.</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372"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The market for CROs is highly competitive. We primarily compete against in-house departments of pharmaceutical companies and other CROs including Covance, Inc., Ingenix Inc. (United Health), Inveresk Research Group, Inc., Kendle International Inc., MDS Inc., Omnicare, Inc., PAREXEL International Corp., Pharmaceutical Product Development, Inc., PRA Inc., and Quintiles Transnational Corporation.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378" w:lineRule="exact"/>
        <w:rPr>
          <w:sz w:val="20"/>
          <w:szCs w:val="20"/>
          <w:color w:val="auto"/>
        </w:rPr>
      </w:pPr>
    </w:p>
    <w:p>
      <w:pPr>
        <w:ind w:right="2459" w:firstLine="581"/>
        <w:spacing w:after="0" w:line="248" w:lineRule="auto"/>
        <w:rPr>
          <w:sz w:val="20"/>
          <w:szCs w:val="20"/>
          <w:color w:val="auto"/>
        </w:rPr>
      </w:pPr>
      <w:r>
        <w:rPr>
          <w:rFonts w:ascii="Courier New" w:cs="Courier New" w:eastAsia="Courier New" w:hAnsi="Courier New"/>
          <w:sz w:val="16"/>
          <w:szCs w:val="16"/>
          <w:color w:val="auto"/>
        </w:rPr>
        <w:t>Any of these factors may prevent us from getting the opportunity to bid on new projects or prevent us from being competitive in bidding on new contracts.</w:t>
      </w:r>
    </w:p>
    <w:p>
      <w:pPr>
        <w:spacing w:after="0" w:line="18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OUR QUARTERLY RESULTS ARE DEPENDENT UPON A NUMBER OF FACTORS AND CAN FLUCTUATE FROM QUARTER TO QUARTER.</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93"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WOULD LOSE MONEY IN PERFORMING THESE CONTRACTS IF THE COSTS OF PERFORMANCE EXCEED THE FIXED FEES FOR THESE PROJECTS.</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WE FAIL TO ATTRACT OR RETAIN QUALIFIED STAFF, OUR PERFORMANCE MAY SUFFER.</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3" w:name="page14"/>
    <w:bookmarkEnd w:id="13"/>
    <w:p>
      <w:pPr>
        <w:ind w:right="2559"/>
        <w:spacing w:after="0" w:line="247" w:lineRule="auto"/>
        <w:rPr>
          <w:sz w:val="20"/>
          <w:szCs w:val="20"/>
          <w:color w:val="auto"/>
        </w:rPr>
      </w:pPr>
      <w:r>
        <w:rPr>
          <w:rFonts w:ascii="Courier New" w:cs="Courier New" w:eastAsia="Courier New" w:hAnsi="Courier New"/>
          <w:sz w:val="16"/>
          <w:szCs w:val="16"/>
          <w:color w:val="auto"/>
        </w:rPr>
        <w:t>FAILURE TO COMPLY WITH THE REGULATIONS OF THE U.S. FOOD AND DRUG ADMINISTRATION AND OTHER REGULATORY AUTHORITIES COULD RESULT IN SUBSTANTIAL PENALTIES AND/OR LOSS OF BUSINESS.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85" w:lineRule="exact"/>
        <w:rPr>
          <w:sz w:val="20"/>
          <w:szCs w:val="20"/>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research;</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disqualification of data;</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denial of the right to conduct business;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criminal penalties;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enforcement actions.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OUR EXPOSURE TO EXCHANGE RATE FLUCTUATIONS COULD ADVERSELY AFFECT OUR RESULTS OF OPERATIONS.</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derived approximately 31.3% of our consolidated net revenue in 2002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 In fiscal 2002, we purchased $21.5 million of foreign exchange contracts to hedge against U.S. dollar net revenue arising in non-U.S. operations.</w:t>
      </w:r>
    </w:p>
    <w:p>
      <w:pPr>
        <w:spacing w:after="0" w:line="191"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LIABILITY CLAIMS BROUGHT AGAINST US COULD RESULT IN PAYMENT OF SUBSTANTIAL DAMAGES TO PLAINTIFFS AND DECREASE OUR PROFITABILITY.</w:t>
      </w:r>
    </w:p>
    <w:p>
      <w:pPr>
        <w:spacing w:after="0" w:line="184"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addition, we maintain approximately $10-15 million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14" w:name="page15"/>
    <w:bookmarkEnd w:id="14"/>
    <w:p>
      <w:pPr>
        <w:jc w:val="center"/>
        <w:ind w:right="2459"/>
        <w:spacing w:after="0"/>
        <w:rPr>
          <w:sz w:val="20"/>
          <w:szCs w:val="20"/>
          <w:color w:val="auto"/>
        </w:rPr>
      </w:pPr>
      <w:r>
        <w:rPr>
          <w:rFonts w:ascii="Courier New" w:cs="Courier New" w:eastAsia="Courier New" w:hAnsi="Courier New"/>
          <w:sz w:val="16"/>
          <w:szCs w:val="16"/>
          <w:color w:val="auto"/>
        </w:rPr>
        <w:t>RISKS RELATED TO THIS OFFERING</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IF YOU PURCHASE ADSS IN THIS OFFERING, YOU WILL SUFFER IMMEDIATE AND SUBSTANTIAL DILUTION OF YOUR INVESTMENT.</w:t>
      </w:r>
    </w:p>
    <w:p>
      <w:pPr>
        <w:spacing w:after="0" w:line="371"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After giving effect to the sale of ADSs in this offering, the number of our ordinary shares outstanding will be 13,341,757 and purchasers of ADSs in this offering will experience an immediate and substantial dilution in the net</w:t>
      </w:r>
    </w:p>
    <w:p>
      <w:pPr>
        <w:spacing w:after="0" w:line="2"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tangible book value per ordinary share of $ (based on the sale of the ADSs at the public offering price set forth on the cover page of this prospectus).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HAVE SUBSTANTIAL DISCRETION AS TO HOW TO USE THE PROCEEDS FROM THIS OFFERING.</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Our management has broad discretion as to how to spend the proceeds from this offering and may spend these proceeds in ways with which our shareholders may not agree. Investment of the proceeds may not yield a favorable or any return. See "Use of Proceeds".</w:t>
      </w:r>
    </w:p>
    <w:p>
      <w:pPr>
        <w:spacing w:after="0" w:line="186"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FLUCTUATIONS IN THE STOCK MARKET OR GENERAL ECONOMIC CONDITIONS COULD NEGATIVELY AFFECT THE MARKET PRICE OF OUR ADSS.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MAY BE DIFFICULT FOR INVESTORS TO ENFORCE U.S. JUDGMENTS AGAINST 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5" w:name="page16"/>
    <w:bookmarkEnd w:id="15"/>
    <w:p>
      <w:pPr>
        <w:ind w:left="164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including references to our budgeted capital expenditures, expected earn-out payments, and possible future acquisitions,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6" w:name="page17"/>
    <w:bookmarkEnd w:id="16"/>
    <w:p>
      <w:pPr>
        <w:ind w:left="3200"/>
        <w:spacing w:after="0"/>
        <w:rPr>
          <w:sz w:val="20"/>
          <w:szCs w:val="20"/>
          <w:color w:val="auto"/>
        </w:rPr>
      </w:pPr>
      <w:r>
        <w:rPr>
          <w:rFonts w:ascii="Courier New" w:cs="Courier New" w:eastAsia="Courier New" w:hAnsi="Courier New"/>
          <w:sz w:val="16"/>
          <w:szCs w:val="16"/>
          <w:color w:val="auto"/>
        </w:rPr>
        <w:t>USE OF PROCEEDS</w:t>
      </w:r>
    </w:p>
    <w:p>
      <w:pPr>
        <w:spacing w:after="0" w:line="191" w:lineRule="exact"/>
        <w:rPr>
          <w:sz w:val="20"/>
          <w:szCs w:val="20"/>
          <w:color w:val="auto"/>
        </w:rPr>
      </w:pPr>
    </w:p>
    <w:p>
      <w:pPr>
        <w:ind w:right="2959" w:firstLine="581"/>
        <w:spacing w:after="0" w:line="246" w:lineRule="auto"/>
        <w:rPr>
          <w:sz w:val="20"/>
          <w:szCs w:val="20"/>
          <w:color w:val="auto"/>
        </w:rPr>
      </w:pPr>
      <w:r>
        <w:rPr>
          <w:rFonts w:ascii="Courier New" w:cs="Courier New" w:eastAsia="Courier New" w:hAnsi="Courier New"/>
          <w:sz w:val="16"/>
          <w:szCs w:val="16"/>
          <w:color w:val="auto"/>
        </w:rPr>
        <w:t>We estimate that the net proceeds to us from this offering, after deducting underwriting discounts and commissions and the estimated offering</w:t>
      </w:r>
    </w:p>
    <w:p>
      <w:pPr>
        <w:spacing w:after="0" w:line="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expenses payable by us, will be approximately $ million. We intend to use the net proceeds from this offering received by us, together with our existing cash, cash equivalents, short-term investments and cash generated from operations, for general corporate purposes, which may include the funding of opportunistic acquisitions.</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Our management will have broad discretion to allocate the net proceeds from this offering. While we have, in the normal course of business, several potential acquisition candidates that we are considering, none have developed beyond preliminary discussions. Pending application of the net proceeds, as described above, we intend to invest the proceeds in investment-grade, short-term, interest-bearing investments with the objective of preserving capital pending its use in the manner described above.</w:t>
      </w:r>
    </w:p>
    <w:p>
      <w:pPr>
        <w:spacing w:after="0" w:line="185"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We will not receive any of the proceeds from the sale of ADSs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7" w:name="page18"/>
    <w:bookmarkEnd w:id="17"/>
    <w:p>
      <w:pPr>
        <w:ind w:left="2040"/>
        <w:spacing w:after="0"/>
        <w:rPr>
          <w:sz w:val="20"/>
          <w:szCs w:val="20"/>
          <w:color w:val="auto"/>
        </w:rPr>
      </w:pPr>
      <w:r>
        <w:rPr>
          <w:rFonts w:ascii="Courier New" w:cs="Courier New" w:eastAsia="Courier New" w:hAnsi="Courier New"/>
          <w:sz w:val="16"/>
          <w:szCs w:val="16"/>
          <w:color w:val="auto"/>
        </w:rPr>
        <w:t>PRICE RANGE OF ADSs AND DIVIDEND POLICY</w:t>
      </w:r>
    </w:p>
    <w:p>
      <w:pPr>
        <w:spacing w:after="0" w:line="378"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Our ADSs are traded on The Nasdaq National Market under the symbol "ICLR." A total of 11,841,757 ordinary shares were issued and outstanding as of June 30, 2003,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ADSs</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NASDAQ</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HIGH</w:t>
            </w:r>
          </w:p>
        </w:tc>
        <w:tc>
          <w:tcPr>
            <w:tcW w:w="1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LOW</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LAST SIX MONTHS:</w:t>
            </w: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3"/>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July,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$36.51</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$29.88</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June,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$31.82</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$25.87</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May,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$24.10</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April,</w:t>
            </w:r>
          </w:p>
        </w:tc>
        <w:tc>
          <w:tcPr>
            <w:tcW w:w="3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$25.90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March,</w:t>
            </w:r>
          </w:p>
        </w:tc>
        <w:tc>
          <w:tcPr>
            <w:tcW w:w="3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$23.50</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February,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$27.82</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$22.86</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LAST ELEVEN</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QUARTERS:</w:t>
            </w: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FISCAL 2003</w:t>
            </w:r>
          </w:p>
        </w:tc>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Fourth</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$22.35</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Second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$18.99</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First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FISCAL 2002</w:t>
            </w: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Fourth</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$34.49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$23.87</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$32.79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$25.13</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Second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$35.69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First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$26.74</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FISCAL 2001</w:t>
            </w: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Fourth</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$27.55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$18.38</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Second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$20.13</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6"/>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LAST FIVE FISCAL YEARS:</w:t>
            </w: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2002 ......................................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2001 ......................................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2000 ......................................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$11.87</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1999 ......................................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bl>
    <w:p>
      <w:pPr>
        <w:spacing w:after="0" w:line="190"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ordinary shares are also traded on the Official List of the Irish Stock Exchange; however, to date there has been limited trading activity on this exchange.</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See "Management's Discussion and Analysis of Financial Condition and Results of Operations." We paid no dividends in fiscal year 1996 through the present.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8" w:name="page19"/>
    <w:bookmarkEnd w:id="18"/>
    <w:p>
      <w:pPr>
        <w:ind w:left="3201"/>
        <w:spacing w:after="0"/>
        <w:rPr>
          <w:sz w:val="20"/>
          <w:szCs w:val="20"/>
          <w:color w:val="auto"/>
        </w:rPr>
      </w:pPr>
      <w:r>
        <w:rPr>
          <w:rFonts w:ascii="Courier New" w:cs="Courier New" w:eastAsia="Courier New" w:hAnsi="Courier New"/>
          <w:sz w:val="16"/>
          <w:szCs w:val="16"/>
          <w:color w:val="auto"/>
        </w:rPr>
        <w:t>CAPITALIZATION</w:t>
      </w:r>
    </w:p>
    <w:p>
      <w:pPr>
        <w:spacing w:after="0" w:line="378" w:lineRule="exact"/>
        <w:rPr>
          <w:sz w:val="20"/>
          <w:szCs w:val="20"/>
          <w:color w:val="auto"/>
        </w:rPr>
      </w:pPr>
    </w:p>
    <w:p>
      <w:pPr>
        <w:ind w:left="1" w:right="2959" w:firstLine="581"/>
        <w:spacing w:after="0" w:line="248" w:lineRule="auto"/>
        <w:rPr>
          <w:sz w:val="20"/>
          <w:szCs w:val="20"/>
          <w:color w:val="auto"/>
        </w:rPr>
      </w:pPr>
      <w:r>
        <w:rPr>
          <w:rFonts w:ascii="Courier New" w:cs="Courier New" w:eastAsia="Courier New" w:hAnsi="Courier New"/>
          <w:sz w:val="16"/>
          <w:szCs w:val="16"/>
          <w:color w:val="auto"/>
        </w:rPr>
        <w:t>The following table sets forth, as of May 31, 2003, our cash and cash equivalents, short-term investments, short-term debt and capitalization:</w:t>
      </w:r>
    </w:p>
    <w:p>
      <w:pPr>
        <w:spacing w:after="0" w:line="184" w:lineRule="exact"/>
        <w:rPr>
          <w:sz w:val="20"/>
          <w:szCs w:val="20"/>
          <w:color w:val="auto"/>
        </w:rPr>
      </w:pPr>
    </w:p>
    <w:p>
      <w:pPr>
        <w:ind w:left="1161" w:hanging="579"/>
        <w:spacing w:after="0"/>
        <w:tabs>
          <w:tab w:leader="none" w:pos="11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actual basis; and</w:t>
      </w:r>
    </w:p>
    <w:p>
      <w:pPr>
        <w:spacing w:after="0" w:line="191" w:lineRule="exact"/>
        <w:rPr>
          <w:rFonts w:ascii="Courier New" w:cs="Courier New" w:eastAsia="Courier New" w:hAnsi="Courier New"/>
          <w:sz w:val="16"/>
          <w:szCs w:val="16"/>
          <w:color w:val="auto"/>
        </w:rPr>
      </w:pPr>
    </w:p>
    <w:p>
      <w:pPr>
        <w:ind w:left="1" w:right="2459" w:firstLine="581"/>
        <w:spacing w:after="0" w:line="247" w:lineRule="auto"/>
        <w:tabs>
          <w:tab w:leader="none" w:pos="11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adjusted to give effect to the issuance and sale of 1,500,000 ADSs by us in this offering at an assumed offering price of $33.94 (based on the last reported sale price of our ADSs on August 1, 2003 on the Nasdaq National Market):</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AS OF</w:t>
            </w:r>
          </w:p>
        </w:tc>
        <w:tc>
          <w:tcPr>
            <w:tcW w:w="740" w:type="dxa"/>
            <w:vAlign w:val="bottom"/>
          </w:tcPr>
          <w:p>
            <w:pPr>
              <w:spacing w:after="0"/>
              <w:rPr>
                <w:sz w:val="15"/>
                <w:szCs w:val="15"/>
                <w:color w:val="auto"/>
              </w:rPr>
            </w:pP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MAY 31, 2003(2)</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ACTUAL</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ADJUSTED</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740" w:type="dxa"/>
            <w:vAlign w:val="bottom"/>
          </w:tcPr>
          <w:p>
            <w:pPr>
              <w:spacing w:after="0"/>
              <w:rPr>
                <w:sz w:val="16"/>
                <w:szCs w:val="16"/>
                <w:color w:val="auto"/>
              </w:rPr>
            </w:pP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Cash and cash equivalents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18,311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18,311</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Short-term investments (available for sale)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46,900</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short-term debt (1)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7,126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7,126</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Ordinary shares, par value (euro)0.06</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per share: 20,000,000 shares authorized;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11,841,557 fully-paid shares issued and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outstanding (actual); 13,341,557</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fully-paid shares issued and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outstanding (as adjusted)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841</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947</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Additional paid-in capital .....................</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61,164</w:t>
            </w:r>
          </w:p>
        </w:tc>
        <w:tc>
          <w:tcPr>
            <w:tcW w:w="10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107,958</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7,787</w:t>
            </w:r>
          </w:p>
        </w:tc>
        <w:tc>
          <w:tcPr>
            <w:tcW w:w="10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7,787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Merger reserve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Retained earnings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67,071</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67,071</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shareholders' equity .....................</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136,910</w:t>
            </w:r>
          </w:p>
        </w:tc>
        <w:tc>
          <w:tcPr>
            <w:tcW w:w="10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183,810</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capitalization ...........................</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$ 144,036</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$ 190,936</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2759" w:hanging="384"/>
        <w:spacing w:after="0" w:line="247" w:lineRule="auto"/>
        <w:tabs>
          <w:tab w:leader="none" w:pos="4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discussion of our indebtedness, see "Management's Discussion and Analysis of Financial Condition and Results of Operations--Liquidity and Capital Resources" and "Recent Developments--Credit facility."</w:t>
      </w:r>
    </w:p>
    <w:p>
      <w:pPr>
        <w:spacing w:after="0" w:line="185" w:lineRule="exact"/>
        <w:rPr>
          <w:rFonts w:ascii="Courier New" w:cs="Courier New" w:eastAsia="Courier New" w:hAnsi="Courier New"/>
          <w:sz w:val="16"/>
          <w:szCs w:val="16"/>
          <w:color w:val="auto"/>
        </w:rPr>
      </w:pPr>
    </w:p>
    <w:p>
      <w:pPr>
        <w:ind w:left="481" w:right="3439" w:hanging="384"/>
        <w:spacing w:after="0" w:line="248" w:lineRule="auto"/>
        <w:tabs>
          <w:tab w:leader="none" w:pos="4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material change since May 31, 2003 in the total capitalization of the Company.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19" w:name="page20"/>
    <w:bookmarkEnd w:id="19"/>
    <w:p>
      <w:pPr>
        <w:jc w:val="center"/>
        <w:ind w:right="1979"/>
        <w:spacing w:after="0"/>
        <w:rPr>
          <w:sz w:val="20"/>
          <w:szCs w:val="20"/>
          <w:color w:val="auto"/>
        </w:rPr>
      </w:pPr>
      <w:r>
        <w:rPr>
          <w:rFonts w:ascii="Courier New" w:cs="Courier New" w:eastAsia="Courier New" w:hAnsi="Courier New"/>
          <w:sz w:val="16"/>
          <w:szCs w:val="16"/>
          <w:color w:val="auto"/>
        </w:rPr>
        <w:t>DILUTION</w:t>
      </w:r>
    </w:p>
    <w:p>
      <w:pPr>
        <w:spacing w:after="0" w:line="191"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As of May 31, 2003, our net tangible book value was $91.9 million, or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$7.76 per ordinary share. Net tangible book value per ordinary share represents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total consolidated tangible assets less total consolidated liabilities, divided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the aggregate number of ordinary shares outstanding. After giving effect to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our sale of the ADSs in this offering, at an assumed public offering price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$33.94 per ADS, and after deducting estimated underwriting discounts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estimated offering expenses payable by us, our pro forma net tangible book value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of May 31, 2003, would have been approximately $138.4 million, or $10.40 per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ordinary share. This represents an immediate increase in pro forma net tangible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book value to existing stockholders of $2.64 per ordinary share and an immediate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dilution to new investors of $23.54 per ordinary share.</w:t>
      </w:r>
    </w:p>
    <w:p>
      <w:pPr>
        <w:spacing w:after="0" w:line="37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The following table illustrates this per ordinary share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1500" w:type="dxa"/>
            <w:vAlign w:val="bottom"/>
          </w:tcPr>
          <w:p>
            <w:pPr>
              <w:spacing w:after="0"/>
              <w:rPr>
                <w:sz w:val="20"/>
                <w:szCs w:val="20"/>
                <w:color w:val="auto"/>
              </w:rPr>
            </w:pPr>
            <w:r>
              <w:rPr>
                <w:rFonts w:ascii="Courier New" w:cs="Courier New" w:eastAsia="Courier New" w:hAnsi="Courier New"/>
                <w:sz w:val="16"/>
                <w:szCs w:val="16"/>
                <w:color w:val="auto"/>
              </w:rPr>
              <w:t>Public offering</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price per ADS</w:t>
            </w:r>
          </w:p>
        </w:tc>
        <w:tc>
          <w:tcPr>
            <w:tcW w:w="4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6"/>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tangible book value per</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ordinary share as of May 31, 2003 (1)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7.76</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Increase in net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tangible book</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value per ordinary share attributable</w:t>
            </w: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860" w:type="dxa"/>
            <w:vAlign w:val="bottom"/>
            <w:gridSpan w:val="2"/>
          </w:tcPr>
          <w:p>
            <w:pPr>
              <w:jc w:val="right"/>
              <w:ind w:right="1019"/>
              <w:spacing w:after="0"/>
              <w:rPr>
                <w:sz w:val="20"/>
                <w:szCs w:val="20"/>
                <w:color w:val="auto"/>
              </w:rPr>
            </w:pPr>
            <w:r>
              <w:rPr>
                <w:rFonts w:ascii="Courier New" w:cs="Courier New" w:eastAsia="Courier New" w:hAnsi="Courier New"/>
                <w:sz w:val="16"/>
                <w:szCs w:val="16"/>
                <w:color w:val="auto"/>
              </w:rPr>
              <w:t>to this offering</w:t>
            </w:r>
          </w:p>
        </w:tc>
        <w:tc>
          <w:tcPr>
            <w:tcW w:w="446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r>
      <w:tr>
        <w:trPr>
          <w:trHeight w:val="186"/>
        </w:trPr>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Pro forma net tangible book value per ordinary share after giving effect to this offering</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Dilution in net tangible book value per ordinary share to new investors (2)</w:t>
      </w:r>
    </w:p>
    <w:p>
      <w:pPr>
        <w:spacing w:after="0" w:line="200" w:lineRule="exact"/>
        <w:rPr>
          <w:sz w:val="20"/>
          <w:szCs w:val="20"/>
          <w:color w:val="auto"/>
        </w:rPr>
      </w:pPr>
    </w:p>
    <w:p>
      <w:pPr>
        <w:spacing w:after="0" w:line="36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As of May 31, 2003, there were options outstanding to purchase a</w:t>
      </w:r>
    </w:p>
    <w:p>
      <w:pPr>
        <w:spacing w:after="0" w:line="5" w:lineRule="exact"/>
        <w:rPr>
          <w:sz w:val="20"/>
          <w:szCs w:val="20"/>
          <w:color w:val="auto"/>
        </w:rPr>
      </w:pPr>
    </w:p>
    <w:p>
      <w:pPr>
        <w:ind w:left="1" w:right="2080"/>
        <w:spacing w:after="0" w:line="247" w:lineRule="auto"/>
        <w:rPr>
          <w:sz w:val="20"/>
          <w:szCs w:val="20"/>
          <w:color w:val="auto"/>
        </w:rPr>
      </w:pPr>
      <w:r>
        <w:rPr>
          <w:rFonts w:ascii="Courier New" w:cs="Courier New" w:eastAsia="Courier New" w:hAnsi="Courier New"/>
          <w:sz w:val="16"/>
          <w:szCs w:val="16"/>
          <w:color w:val="auto"/>
        </w:rPr>
        <w:t>total of 1,185,645 ordinary shares. To the extent that any of these options are exercised or shares are issued, there will be further dilution to new public investors</w:t>
      </w:r>
    </w:p>
    <w:p>
      <w:pPr>
        <w:spacing w:after="0" w:line="186"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2560" w:hanging="384"/>
        <w:spacing w:after="0" w:line="248"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as of May 31, 2003 were $45.0 million, or $3.80 per ordinary share.</w:t>
      </w:r>
    </w:p>
    <w:p>
      <w:pPr>
        <w:spacing w:after="0" w:line="370" w:lineRule="exact"/>
        <w:rPr>
          <w:rFonts w:ascii="Courier New" w:cs="Courier New" w:eastAsia="Courier New" w:hAnsi="Courier New"/>
          <w:sz w:val="16"/>
          <w:szCs w:val="16"/>
          <w:color w:val="auto"/>
        </w:rPr>
      </w:pPr>
    </w:p>
    <w:p>
      <w:pPr>
        <w:ind w:left="481" w:right="1980" w:hanging="384"/>
        <w:spacing w:after="0" w:line="247"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Dilution is determined by subtracting pro forma net tangible book value per ordinary share after giving effect to this offering from the public offering price per ADS paid by a new investor.</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 w:hanging="395"/>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33.94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hanging="395"/>
        <w:spacing w:after="0"/>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10.40</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0" w:hanging="395"/>
        <w:spacing w:after="0"/>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23.54</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9741" w:space="720"/>
            <w:col w:w="880"/>
          </w:cols>
          <w:pgMar w:left="239" w:top="676" w:right="319" w:bottom="1440" w:gutter="0" w:footer="0" w:header="0"/>
        </w:sectPr>
      </w:pPr>
    </w:p>
    <w:bookmarkStart w:id="20" w:name="page21"/>
    <w:bookmarkEnd w:id="20"/>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EXCEPT FOR HISTORICAL INFORMATION, THE DISCUSSION IN THIS PROSPECTUS CONTAINS FORWARD-LOOKING STATEMENTS, AS DEFINED IN SECTION 27A OF THE SECURITIES ACT OF 1933, AS AMENDED, AND SECTION 21E OF THE SECURITIES EXCHANGE ACT OF 1934, AS AMENDED, THAT INVOLVE RISKS AND UNCERTAINTIES. THESE FORWARD-LOOKING STATEMENTS INCLUDE, AMONG OTHERS, THOSE STATEMENTS INCLUDING THE WORDS "EXPECTS", "ANTICIPATES", "INTENDS", "BELIEVES" AND SIMILAR LANGUAGE. OUR ACTUAL RESULTS COULD DIFFER MATERIALLY FROM THOSE DISCUSSED IN THIS PROSPECTUS. FACTORS THAT COULD CAUSE OR CONTRIBUTE TO THESE DIFFERENCES INCLUDE, BUT ARE NOT LIMITED TO, THE RISKS DISCUSSED IN THE SECTION ENTITLED "RISK FACTORS" IN THIS PROSPECTUS.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w:t>
      </w:r>
    </w:p>
    <w:p>
      <w:pPr>
        <w:spacing w:after="0" w:line="6"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2.6% of our net revenue in the United States, Europe and the Rest of the World, respectively.</w:t>
      </w:r>
    </w:p>
    <w:p>
      <w:pPr>
        <w:spacing w:after="0" w:line="371"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Since January 2000, we have also expanded our operations through the acquisition of:</w:t>
      </w:r>
    </w:p>
    <w:p>
      <w:pPr>
        <w:spacing w:after="0" w:line="184" w:lineRule="exact"/>
        <w:rPr>
          <w:sz w:val="20"/>
          <w:szCs w:val="20"/>
          <w:color w:val="auto"/>
        </w:rPr>
      </w:pPr>
    </w:p>
    <w:p>
      <w:pPr>
        <w:ind w:right="29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PRAI, a San Francisco based company that specializes in data management, statistical analysis and medical and regulatory consulting, was acquired on January 28, 2000 for approximately $14.4 million;</w:t>
      </w:r>
    </w:p>
    <w:p>
      <w:pPr>
        <w:spacing w:after="0" w:line="185" w:lineRule="exact"/>
        <w:rPr>
          <w:rFonts w:ascii="Courier New" w:cs="Courier New" w:eastAsia="Courier New" w:hAnsi="Courier New"/>
          <w:sz w:val="16"/>
          <w:szCs w:val="16"/>
          <w:color w:val="auto"/>
        </w:rPr>
      </w:pPr>
    </w:p>
    <w:p>
      <w:pPr>
        <w:ind w:right="25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YRCR Limited, or YRCR, a regulatory consulting company based in the United Kingdom, was acquired on January 27, 2000 for approximately sterling 2.1 million;</w:t>
      </w:r>
    </w:p>
    <w:p>
      <w:pPr>
        <w:spacing w:after="0" w:line="185" w:lineRule="exact"/>
        <w:rPr>
          <w:rFonts w:ascii="Courier New" w:cs="Courier New" w:eastAsia="Courier New" w:hAnsi="Courier New"/>
          <w:sz w:val="16"/>
          <w:szCs w:val="16"/>
          <w:color w:val="auto"/>
        </w:rPr>
      </w:pPr>
    </w:p>
    <w:p>
      <w:pPr>
        <w:ind w:right="26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Protocole SAS, or Protocole, a clinical research organization specializing in the execution of veterinary trials based in Paris, France, was acquired on March 14, 2000 for approximately $586,000;</w:t>
      </w:r>
    </w:p>
    <w:p>
      <w:pPr>
        <w:spacing w:after="0" w:line="185" w:lineRule="exact"/>
        <w:rPr>
          <w:rFonts w:ascii="Courier New" w:cs="Courier New" w:eastAsia="Courier New" w:hAnsi="Courier New"/>
          <w:sz w:val="16"/>
          <w:szCs w:val="16"/>
          <w:color w:val="auto"/>
        </w:rPr>
      </w:pPr>
    </w:p>
    <w:p>
      <w:pPr>
        <w:ind w:right="2459" w:firstLine="581"/>
        <w:spacing w:after="0" w:line="248"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UCT (U.S.), Inc., or UCT, a central laboratory organization based in New York, New York, was acquired on June 8, 2000 for approximately $7.0 million;</w:t>
      </w:r>
    </w:p>
    <w:p>
      <w:pPr>
        <w:spacing w:after="0" w:line="184" w:lineRule="exact"/>
        <w:rPr>
          <w:rFonts w:ascii="Courier New" w:cs="Courier New" w:eastAsia="Courier New" w:hAnsi="Courier New"/>
          <w:sz w:val="16"/>
          <w:szCs w:val="16"/>
          <w:color w:val="auto"/>
        </w:rPr>
      </w:pPr>
    </w:p>
    <w:p>
      <w:pPr>
        <w:ind w:right="25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Barton &amp; Polansky Associates, Inc., or BPA, and Managed Clinical Solutions, Inc., or MCS, a clinical research organization and contract staffing business based in New York, New York, were acquired on October 9, 2002 for approximately $15.7 million of initial consideration (excluding costs of acquisition) and a further $3.7 million in an earn-out payment on December 20, 2002, as well as potential earn-out payments. See "--Contractual Obligations Table"; and</w:t>
      </w:r>
    </w:p>
    <w:p>
      <w:pPr>
        <w:spacing w:after="0" w:line="185" w:lineRule="exact"/>
        <w:rPr>
          <w:rFonts w:ascii="Courier New" w:cs="Courier New" w:eastAsia="Courier New" w:hAnsi="Courier New"/>
          <w:sz w:val="16"/>
          <w:szCs w:val="16"/>
          <w:color w:val="auto"/>
        </w:rPr>
      </w:pPr>
    </w:p>
    <w:p>
      <w:pPr>
        <w:ind w:right="26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Medeval Group Limited, or Medeval, a clinical pharmacology group provider of Phase I clinical trials and bioanalytical services based in Manchester, United Kingdom, was acquired on January 24, 2003 for approximately sterling 9.5 million (U.S. $15.5 million) of initial consideration (excluding costs of acquisition), as well as potential earn-out payments. See "--Contractual Obligations Table".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21" w:name="page22"/>
    <w:bookmarkEnd w:id="21"/>
    <w:p>
      <w:pPr>
        <w:ind w:right="2559"/>
        <w:spacing w:after="0" w:line="247" w:lineRule="auto"/>
        <w:rPr>
          <w:sz w:val="20"/>
          <w:szCs w:val="20"/>
          <w:color w:val="auto"/>
        </w:rPr>
      </w:pPr>
      <w:r>
        <w:rPr>
          <w:rFonts w:ascii="Courier New" w:cs="Courier New" w:eastAsia="Courier New" w:hAnsi="Courier New"/>
          <w:sz w:val="16"/>
          <w:szCs w:val="16"/>
          <w:color w:val="auto"/>
        </w:rPr>
        <w:t>deducted from gross revenue to arrive at net revenue. As no profit is earned on these costs, which vary from contract to contract, we view net revenue as our primary measure of revenue growth.</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eleven operations trading in U.S. dollars, four trading in euro, three in pounds sterling, and one each in Australian dollars, Singapore dollars, Japanese Yen, Israeli Shekels, Latvian Lats, Swedish Krona, South African Rands, Argentine Pesos, Indian Rupees, Russian Rubles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3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have received capital and revenue grants from Enterprise Ireland.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capital grants as deferred income, which are credited to income on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consistent with the depreciation of the relevant asset. Grants relating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expenditures are credited to income in the period in which the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 is charged. The capital grant agreements provide that in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circumstances the grants received may be refundable in full. These circumstances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sale of the related asset, liquidation of the Company or failing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comply in other respects with the grant agreements. The operating expenditure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agreements provide for repayment in the event of downsizing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calculated by reference to any reduction in employee numbers. We have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any loss contingency, having assessed as remote the likelihood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arising. Up to February 28, 2003, we have received $1,244,195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$1,551,433 under the capital grants and operating grants, respectively.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terms of the grant agreements we are restricted from distributing some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amounts by way of dividend or otherwise.</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THREE MONTHS ENDED FEBRUARY 28, 2003 COMPARED WITH THREE MONTHS ENDED FEBRUARY 28, 2002</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60" w:type="dxa"/>
            <w:vAlign w:val="bottom"/>
          </w:tcPr>
          <w:p>
            <w:pPr>
              <w:spacing w:after="0"/>
              <w:rPr>
                <w:sz w:val="15"/>
                <w:szCs w:val="15"/>
                <w:color w:val="auto"/>
              </w:rPr>
            </w:pPr>
          </w:p>
        </w:tc>
        <w:tc>
          <w:tcPr>
            <w:tcW w:w="276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THREE MONTHS ENDED</w:t>
            </w:r>
          </w:p>
        </w:tc>
        <w:tc>
          <w:tcPr>
            <w:tcW w:w="2000" w:type="dxa"/>
            <w:vAlign w:val="bottom"/>
          </w:tcPr>
          <w:p>
            <w:pPr>
              <w:spacing w:after="0"/>
              <w:rPr>
                <w:sz w:val="15"/>
                <w:szCs w:val="15"/>
                <w:color w:val="auto"/>
              </w:rPr>
            </w:pPr>
          </w:p>
        </w:tc>
      </w:tr>
      <w:tr>
        <w:trPr>
          <w:trHeight w:val="186"/>
        </w:trPr>
        <w:tc>
          <w:tcPr>
            <w:tcW w:w="426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FEBRUARY 28,</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FEBRUARY 28,</w:t>
            </w: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26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2003</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2002</w:t>
            </w:r>
          </w:p>
        </w:tc>
        <w:tc>
          <w:tcPr>
            <w:tcW w:w="200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26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27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PERCENTAGE OF NET REVENUE</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r>
      <w:tr>
        <w:trPr>
          <w:trHeight w:val="373"/>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100.0%</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49.9%</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56.3%</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52.9%</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59.4%</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30.2%</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31.5%</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43.6%</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21.5%</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10.4%</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11.7%</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33.4%</w:t>
            </w:r>
          </w:p>
        </w:tc>
      </w:tr>
    </w:tbl>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$19.7 million, or 49.9%, from $39.6 million to $59.3 million. This improvement arose through a combination of increased business from existing clients, business won from new clients and revenues from acquisitions not included in the comparative period. The additional revenues from these acquisitions (BPA, MCS and Medeval) amounted to $6.0 million for the three months ended February 28, 2003. Including the impact of acquisitions, revenues in the United States, Europe/Rest of World grew 54.4% and 39.3%, respectively. For the three months ended February 28, 2003, net revenue for our central laboratory business fell by 20.6% from $7.8 million to $6.2 million while our clinical research segment grew by 67.2% from $31.8 million to $53.1 million over the comparable period. The growth in net revenue in our clinical research segment is due to the expansion of our services to both existing and new clients, increased use of outsourcing by the pharmaceutical and biotechnology industries, an underlying increase in research and development spending and consolidation in the CRO industry. The decrease in the central laboratory revenues was due principally to a higher than normal level of project cancellations in the first quarter of fiscal 2003.</w:t>
      </w:r>
    </w:p>
    <w:p>
      <w:pPr>
        <w:spacing w:after="0" w:line="19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$12.5 million, or 59.4%, from $20.9 million to $33.4 million, primarily due to increased staff numbers needed to support increased project related activity and increased costs arising from the acquisitions amounting to $4.3 million. Direct costs, as a percentage of net revenue increased from 52.9% in the three months to February 28, 2002 to 56.3% for the quarter ended February 28, 2003 or 54.6% when the effects of acquisitions have been excluded.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$5.4 million, or 43.6%, from $12.5 million to $17.9 million. The increase in costs is due to the continued expansion of our operations and additional selling, general and administrative costs from acquisitions of $1.6 million not included in the comparative period. As a percentage of net revenue, selling, general and administrative expenses, decreased from 31.5% in the three months to February 28, 2002 to 30.2% for the quarter ended February 28, 2003, or 30.6% when the effects of acquisitions have been excluded.</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Depreciation and amortization expense increased by $0.3 million, or 21.5%, over the same quarter last year. This increase is due to the continued investment in facilities and information technology to support the growth in activity and in providing for future capacity. As a percentage of net revenue, depreciation and amortisation decreased from 3.9% of net revenues in the three months to February 28, 2002 to 3.1% for the quarter ended February 28, 2003 or 3.4% when the effects of acquisitions have been excluded.</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Income from operations increased by $1.6 million, or 33.4%, from $4.6 million to $6.2 million, including acquisitions. This improvement is due to increased levels of activity carried out across the Company together with the acquisition of BPA, MCS and Medeval. As a percentage of net revenue, including the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3" w:name="page24"/>
    <w:bookmarkEnd w:id="23"/>
    <w:p>
      <w:pPr>
        <w:ind w:right="2559"/>
        <w:spacing w:after="0" w:line="246" w:lineRule="auto"/>
        <w:rPr>
          <w:sz w:val="20"/>
          <w:szCs w:val="20"/>
          <w:color w:val="auto"/>
        </w:rPr>
      </w:pPr>
      <w:r>
        <w:rPr>
          <w:rFonts w:ascii="Courier New" w:cs="Courier New" w:eastAsia="Courier New" w:hAnsi="Courier New"/>
          <w:sz w:val="16"/>
          <w:szCs w:val="16"/>
          <w:color w:val="auto"/>
        </w:rPr>
        <w:t>effect of acquisitions, income from operations decreased from 11.7% for the three months ended February 28, 2002 to 10.4% of net revenues for the three months ended February 28, 2003. For the quarter, income from operations, as a percentage of net revenue for the central laboratory fell to (7.3%) from 22.5% in the same quarter in fiscal 2002, due principally to a higher than normal level of project cancellations in the first quarter of the current fiscal year. Operating margins for our clinical research segment increased from 9.1% in the three months ended February 28, 2002 to 12.5% for the three months ended February 28, 2003 due principally to improved staff utilization.</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three months ended February 28, 2003 was $0.1 million compared to $0.3 million for the equivalent period last year. Net cash invested decreased from $43.1 million at May 31, 2002 to $11.4 million at February 28, 2003. Lower average interest rates for the third quarter of fiscal 2003, when compared to the same period last year, together with lower amounts of cash invested contributed to the lower returns on our investments.</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 compared to 26.9%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NINE MONTHS ENDED FEBRUARY 28, 2003 COMPARED WITH NINE MONTHS ENDED FEBRUARY 28, 2002</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72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NINE MONTHS ENDED</w:t>
            </w:r>
          </w:p>
        </w:tc>
        <w:tc>
          <w:tcPr>
            <w:tcW w:w="1980" w:type="dxa"/>
            <w:vAlign w:val="bottom"/>
          </w:tcPr>
          <w:p>
            <w:pPr>
              <w:spacing w:after="0"/>
              <w:rPr>
                <w:sz w:val="15"/>
                <w:szCs w:val="15"/>
                <w:color w:val="auto"/>
              </w:rPr>
            </w:pPr>
          </w:p>
        </w:tc>
      </w:tr>
      <w:tr>
        <w:trPr>
          <w:trHeight w:val="186"/>
        </w:trPr>
        <w:tc>
          <w:tcPr>
            <w:tcW w:w="4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FEBRUARY 28,</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FEBRUARY 28,</w:t>
            </w: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120" w:type="dxa"/>
            <w:vAlign w:val="bottom"/>
          </w:tcPr>
          <w:p>
            <w:pPr>
              <w:spacing w:after="0"/>
              <w:rPr>
                <w:sz w:val="16"/>
                <w:szCs w:val="16"/>
                <w:color w:val="auto"/>
              </w:rPr>
            </w:pP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2003</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2002</w:t>
            </w:r>
          </w:p>
        </w:tc>
        <w:tc>
          <w:tcPr>
            <w:tcW w:w="1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16"/>
                <w:szCs w:val="16"/>
                <w:color w:val="auto"/>
              </w:rPr>
            </w:pPr>
          </w:p>
        </w:tc>
        <w:tc>
          <w:tcPr>
            <w:tcW w:w="27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PERCENTAGE OF NET REVENUE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100.0%</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40.6%</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54.8%</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53.2%</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44.8%</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31.3%</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39.2%</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13.6%</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11.1%</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11.6%</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34.6%</w:t>
            </w:r>
          </w:p>
        </w:tc>
      </w:tr>
    </w:tbl>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$46.1 million, or 40.6%, from $113.6 million to $159.7 million. This improvement arose through a combination of increased business from existing clients, business won from new clients and revenues from acquisitions not included in the comparative period. The additional revenues from these acquisitions (BPA, MCS &amp; Medeval) were $9.6 million for the nine months ended February 28, 2003. Of the total increase, revenues in the United States, Europe/Rest of World grew by 45.8% and 29.4%, respectively. For the nine months ended February 28, 2003 net revenue for our central laboratory segment grew from $19.2 million to $19.4 million, or 1.1% over the comparable period last year, while our clinical research segment grew from $94.4 million to $140.3 million, or 48.7% in the same period. The growth in net revenue in both our clinical research and central laboratory segments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19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$27.0 million, or 44.8%, from $60.5 million to $87.5 million, primarily due to increased staff numbers needed to support increased project related activity and increased costs arising from the acquisitions amounting to $6.4 million. Direct costs, as a percentage of net revenue increased from 53.2% in the nine months to February 28, 2002, to 54.8% for the nine months ended February 28, 2003 or 54.0% when the effect of acquisitions has been excluded.</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24" w:name="page25"/>
    <w:bookmarkEnd w:id="24"/>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$13.9 million, or 39.2%, from $35.6 million to $49.5 million. The increase in costs is due to the continued expansion of our operations and additional selling, general and administrative costs from acquisitions of $2.6 million not included in the comparative period. As a percentage of net revenue, selling, general and administrative expenses, decreased from 31.3% in the nine months to February 28, 2002, to 31.0% for the nine months ended February 28, 2003 or 31.2% when the effect of acquisitions has been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$0.6 million, or 13.6%, over the same period last year. This increase is due to the continued investment in facilities and information technology to support the growth in activity and in providing for future capacity costs from acquisitions of $0.1 million not included in the comparative period. As a percentage of net revenue, depreciation and amortization decreased from 3.9% of net revenues in the nine months to February 28, 2002 to 3.1% for the nine months ended February 28, 2003 or 3.3% when the effect of acquisitions has been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Income from operations increased by $4.6 million, or 34.6%, from $13.1 million to $17.7 million, including acquisitions. This increase is due to increased levels of activity carried out across the Company together with the acquisition of BPA, MCS &amp; Medeval. As a percentage of net revenue, including the effect of acquisitions, income from operations decreased from 11.6% for the nine months ended February 28, 2002, to 11.1% for the nine months to February 28, 2003. For the first nine months of fiscal 2003, income from operations, as a percentage of net revenue for our central laboratory segment fell to 1.3% from 14.4% in the same period in fiscal 2002 due principally to a higher than normal level of project cancellations in the first quarter of the current fiscal year. Cancellations of this nature are typical in our business and generally arise due to safety or efficacy issues relating to the trial drug, which are outside of our control. Operating margins for our clinical research segment increased from 11.0% in the nine months ended February 28, 2002 to 12.4% for the nine months ended February 28, 2003 primarily due to improved staff utilization.</w:t>
      </w:r>
    </w:p>
    <w:p>
      <w:pPr>
        <w:spacing w:after="0" w:line="19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Net interest income for the nine months ended February 28, 2003 was $0.4 million compared to $0.9 million for the equivalent period last year. Net cash invested decreased from $43.1 million at May 31, 2002 to $11.4 million at February 28, 2003, primarily due to the acquisition of BPA and MCS in October 2002 and Medeval in January 2003. Lower average interest rates for the first nine months of fiscal 2003 compared to the same period last year, combined with lower levels of net cash invested, contributed to the lower returns on our investments.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28.2% compared to 25.9%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2002 COMPARED TO FISCAL YEAR ENDED MAY 31, 2001</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4060" w:type="dxa"/>
            <w:vAlign w:val="bottom"/>
          </w:tcPr>
          <w:p>
            <w:pPr>
              <w:spacing w:after="0"/>
              <w:rPr>
                <w:sz w:val="16"/>
                <w:szCs w:val="16"/>
                <w:color w:val="auto"/>
              </w:rPr>
            </w:pP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 2001</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060" w:type="dxa"/>
            <w:vAlign w:val="bottom"/>
          </w:tcPr>
          <w:p>
            <w:pPr>
              <w:spacing w:after="0"/>
              <w:rPr>
                <w:sz w:val="16"/>
                <w:szCs w:val="16"/>
                <w:color w:val="auto"/>
              </w:rPr>
            </w:pP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6"/>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PERCENTAGE INCREASE/</w:t>
            </w:r>
          </w:p>
        </w:tc>
      </w:tr>
      <w:tr>
        <w:trPr>
          <w:trHeight w:val="186"/>
        </w:trPr>
        <w:tc>
          <w:tcPr>
            <w:tcW w:w="4060" w:type="dxa"/>
            <w:vAlign w:val="bottom"/>
          </w:tcPr>
          <w:p>
            <w:pPr>
              <w:spacing w:after="0"/>
              <w:rPr>
                <w:sz w:val="16"/>
                <w:szCs w:val="16"/>
                <w:color w:val="auto"/>
              </w:rPr>
            </w:pPr>
          </w:p>
        </w:tc>
        <w:tc>
          <w:tcPr>
            <w:tcW w:w="38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PERCENTAGE OF NET REVENUE</w:t>
            </w:r>
          </w:p>
        </w:tc>
        <w:tc>
          <w:tcPr>
            <w:tcW w:w="20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(DECREASE)</w:t>
            </w:r>
          </w:p>
        </w:tc>
      </w:tr>
      <w:tr>
        <w:trPr>
          <w:trHeight w:val="186"/>
        </w:trPr>
        <w:tc>
          <w:tcPr>
            <w:tcW w:w="406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w:t>
            </w:r>
          </w:p>
        </w:tc>
        <w:tc>
          <w:tcPr>
            <w:tcW w:w="106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43.8%</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54.9%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53.3%</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51.9%</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30.7%</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33.9%</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31.3%</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32.8%</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52.4%</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21.0%</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8.1%</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9.5%</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11.6%</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69.6%</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64.4%</w:t>
            </w:r>
          </w:p>
        </w:tc>
      </w:tr>
    </w:tbl>
    <w:p>
      <w:pPr>
        <w:spacing w:after="0" w:line="377"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Net revenue increased by $40.4 million, or 34.8%, from $116.2 million to $156.6 million. This increase arose through growth in both of our existing segments. Our central laboratory segment grew from $13.6 million to $25.9 million, or by 90.9%, while our clinical research segment grew from $102.6 million to $130.7</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5" w:name="page26"/>
    <w:bookmarkEnd w:id="25"/>
    <w:p>
      <w:pPr>
        <w:ind w:right="2459"/>
        <w:spacing w:after="0" w:line="247" w:lineRule="auto"/>
        <w:rPr>
          <w:sz w:val="20"/>
          <w:szCs w:val="20"/>
          <w:color w:val="auto"/>
        </w:rPr>
      </w:pPr>
      <w:r>
        <w:rPr>
          <w:rFonts w:ascii="Courier New" w:cs="Courier New" w:eastAsia="Courier New" w:hAnsi="Courier New"/>
          <w:sz w:val="16"/>
          <w:szCs w:val="16"/>
          <w:color w:val="auto"/>
        </w:rPr>
        <w:t>million, or 27.4% in fiscal 2002 compared to fiscal 2001. Of the total increase, revenues in the United States and Europe/Rest of the World grew by 31.3% and 43.2%, respectively.</w:t>
      </w:r>
    </w:p>
    <w:p>
      <w:pPr>
        <w:spacing w:after="0" w:line="18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$19.6 million, or 30.7%, from $63.8 million to $83.4 million, primarily due to a 33.0% increase in staff numbers which were needed to support increased project-related activity. Direct costs as a percentage of net revenue decreased from 54.9% in the twelve months to May 31, 2001 to 53.3% in the equivalent period in fiscal 2002 due to increased utilization of our staff on project-related activity.</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Selling, general and administrative expenses increased by $12.6 million, or 34.8%, from $36.3 million to $48.9 million. The increase in costs is due to the continued expansion of our operations. As a percentage of net revenue, selling, general and administrative expenses remained at 31.3% in fiscal 2002, the same level as fiscal 2001.</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$1.0 million, or 21.0%, from $5.0 million to $6.0 million. Excluding goodwill amortization of $0.2 million in fiscal 2001 (in order to be comparable to fiscal 2002, which reflects the adoption of SFAS No. 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Income from operations increased by $7.1 million, or 64.4%, from $11.1 million to $18.2 million, due principally to improved operational performance in our central laboratory segment and increased levels of activity overall. As a percentage of net revenue, income from operations increased from 9.5% for the year ended May 31, 2001 to 11.6% of net revenues for fiscal 2002. In the same period, income from operations as a percentage of net revenue in our central laboratory segment grew from -2.3% to 14.1%, while our clinical research segment income remained at 11.1% for fiscal 2002, the same level as fiscal 2001.</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Our effective tax rate for the year ended May 31, 2002 was 26.5% compared with 19.2% for the comparable period last year. The increase in the effective rate was primarily due to a change in the geographic distribution of pre-tax earnings.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2001 COMPARED TO FISCAL YEAR ENDED MAY 31, 2000</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$35.4 million, or 43.8%, from $80.8 million to $116.2 million. This increase arose through a combination of growth in our existing business and revenues from acquisitions not included in the comparative period. Revenues from acquisitions increased from $0.9 million for the year ended May 31, 2000 (comprising YRCR and Protocole) to $16.6 million for the year ended May 31, 2001 (comprising YRCR, Protocole and UCT). Excluding acquisitions, net revenue increased by 24.7% over the comparable period. Of the total increase, revenues in the United States and Europe/Rest of the World grew by 51.4% and 28.0%, respectively.</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 costs increased by $21.8 million, or 51.9%, from $42.0 million to $63.8 million, primarily due to a 42.0% increase in staff numbers which were needed to support increased project-related activity. Direct costs arising from the acquisitions amounted to $10.7 million. Excluding acquisitions, direct costs increased by 28.1%. Direct costs including acquisitions as a percentage of net revenue increased from 52.0% in the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6" w:name="page27"/>
    <w:bookmarkEnd w:id="26"/>
    <w:p>
      <w:pPr>
        <w:ind w:right="2459"/>
        <w:spacing w:after="0" w:line="247" w:lineRule="auto"/>
        <w:rPr>
          <w:sz w:val="20"/>
          <w:szCs w:val="20"/>
          <w:color w:val="auto"/>
        </w:rPr>
      </w:pPr>
      <w:r>
        <w:rPr>
          <w:rFonts w:ascii="Courier New" w:cs="Courier New" w:eastAsia="Courier New" w:hAnsi="Courier New"/>
          <w:sz w:val="16"/>
          <w:szCs w:val="16"/>
          <w:color w:val="auto"/>
        </w:rPr>
        <w:t>twelve months to May 31, 2000, to 54.9% in the equivalent period in fiscal 2001. Excluding acquisitions, direct costs were 53.3% of net revenues in the twelve months to May 31, 2001.</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$9.0 million, or 32.8%, from $27.3 million to $36.3 million. The increase in costs is due to the continued expansion of our operations and additional selling, general and administrative costs arising from the acquisitions of $4.5 million. Excluding acquisitions, selling, general and administrative expenses increased by 16.7%. As a percentage of net revenue, selling, general and administrative expenses decreased from 33.9% to 31.3% in the year ended May 31, 2001 and 32.0% when acquisitions were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$1.7 million, or 52.4%, to 4.3% of net revenues in fiscal 2001 compared to 4.0% of net revenues in fiscal 2000. This increase is due to both goodwill amortization arising on the acquisitions of YRCR, Protocole and UCT and to the continued investment in facilities and information technology to support the growth in activity and in providing for future capacity. Excluding the effect of acquisitions, depreciation and amortization was 4.4% of net revenues in the year ended May 31, 2001.</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Merger costs for the year ended May 31, 2000 were $1.6 million. These costs represented transaction-related incremental third party costs for accounting, legal and corporate finance services and capital taxation incurred in the pooling of interests transaction with PRAI.</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year ended May 31, 2001 was $2.5 million, a decrease of $0.2 million on the equivalent period last year due primarily to reduced cash on deposit and lower interest rates during the current fiscal year. Net cash invested decreased from $46.1 million at May 31, 2000, to $35.9 million at the end of May 2001.</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effective tax rate for the year ended May 31, 2001 was 19.2% compared with the pro forma tax rate of 27.8% for the comparable period last year after the impact of corporate taxes arising from the merger with PRAI has been excluded. The decline in the effective rate was due to a change in the geographic distribution of pre-tax earnings and merger costs included in the third quarter of last year, which were not tax deductible. A valuation allowance was recorded against the deferred tax asset generated from operating loss carry forwards for certain subsidiaries that are in a tax loss position.</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In the nine months ended February 28, 2002 and February 28, 2003, the aggregate amount of employee compensation, excluding stock compensation expense, paid by us and our subsidiaries amounted to $63.6 million and $96.0 million, respectively. The aggregate amount of employee compensation, excluding stock compensation expense, paid by us and our subsidiaries in the three fiscal years ended May 31, 2002 amounted to $48.9 million, $68.6 million, and $88.2 million, respectively. Investing activities primarily reflect capital expenditures for facilities, information systems enhancements, the sale and purchase of short-term investments and acquisitions.</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clinical research and development contracts are generally fixed-fee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necessarily correspond to costs incurred and revenue recognized on contracts.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27" w:name="page28"/>
    <w:bookmarkEnd w:id="27"/>
    <w:p>
      <w:pPr>
        <w:ind w:right="2459" w:firstLine="581"/>
        <w:spacing w:after="0" w:line="246" w:lineRule="auto"/>
        <w:rPr>
          <w:sz w:val="20"/>
          <w:szCs w:val="20"/>
          <w:color w:val="auto"/>
        </w:rPr>
      </w:pPr>
      <w:r>
        <w:rPr>
          <w:rFonts w:ascii="Courier New" w:cs="Courier New" w:eastAsia="Courier New" w:hAnsi="Courier New"/>
          <w:sz w:val="16"/>
          <w:szCs w:val="16"/>
          <w:color w:val="auto"/>
        </w:rPr>
        <w:t>As of February 28, 2003, our working capital was $50.5 million, compared to $72.9 million at May 31, 2002 and $61.1 million at May 31, 2001. The most significant influence on our operating cash flow is revenue outstanding, which comprises accounts receivable and unbilled revenue, less payments on account. The dollar values of these amounts and the related days sales outstanding, or DSOs, can vary due to the achievement of contractual milestones, including contract signing, and the timing of cash receipts. The number of DSOs was 69 days at February 28, 2003, 67 days at May 31, 2002 and 93 days at May 31, 2001. The decrease from May 31, 2001 to May 31, 2002 was due primarily to increased cash collections, as a result of a more stringent application of our trading terms with respect to our accounts receivable. The increase from May 31, 2002 to February 28, 2003 was due primarily to the timing of pass-through sub-contractor fees.</w:t>
      </w:r>
    </w:p>
    <w:p>
      <w:pPr>
        <w:spacing w:after="0" w:line="194"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Net cash provided by operating activities was $16.6 million in the nine months ended February 28, 2003, compared to $16.3 million in the nine months ended February 28, 2002 and $17.3 million in the year ended May 31, 2002, compared with net cash used of $1.6 million in fiscal 2001. The improvement in operating cash flow from May 31, 2001 to May 31, 2002 was due to substantial improvements in our DSOs from 93 days to 67 days over the period.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cash used in investing activities was $29.5 million in the nine months ended February 28, 2003, compared to $4.1 million provided by investing activities in the nine months ended February 28, 2002, due principally to acquisition activity in the current fiscal year. Net cash provided by investing activities was $4.8 million in the year ended May 31, 2002, compared to net cash used in investing activities of $22.6 million in the year ended May 31, 2001, due principally to acquisition activity in fiscal 2001 and proceeds from short-term investments in 2002.</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cash used in financing activities was $1.6 million in the nine months ended February 28, 2003, compared with $0.9 million provided by financing activities in the nine months ended February 28, 2002, due principally to the repayment of debt. Net cash provided by financing activities was $2.7 million in the year ended May 31, 2002, compared with $9.6 million in fiscal 2001, due mainly to higher levels of debt in fiscal 2001.</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As a result of these cash flows, cash and cash equivalents decreased by $14.4 million in the nine months ended February 28, 2003, compared to an increase of $21.5 million in the nine months ended February 28, 2002, and increased by $25.1 million in the year ended May 31, 2002, compared to a decrease of $15.4 million in the year ended May 31, 2001.</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November 17, 1998, we entered into an overdraft facility, or the A.I.B. facility, for (euro)2,539,000 (U.S.$2,731,710) with Allied Irish Banks plc, or A.I.B. This facility bears interest at an annual rate equal to A.I.B. Bank's Prime Rate plus one-quarter of a percent. The full amount of the unpaid principal and interest is due and repayable on demand. This A.I.B. facility expires on June 30, 2003; in the event that such facility is not renewed, any amounts outstanding will have to be repaid on the expiration date. As of February 28, 2003, (euro)2,056,227 (U.S.$2,212,295) of this facility was available to be drawn down.</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On July 29, 2002, we entered into an additional A.I.B. facility for sterling 50,000 (U.S.$79,006). This facility bears interest at an annual rate equal to A.I.B. Bank's Prime Rate plus two percent. The full amount of the unpaid principal and interest is due and repayable on demand. This A.I.B. facility expires on June 30, 2003; in the event that such facility is not renewed, any amounts outstanding will have to be repaid on the expiration date. As of February 28, 2003, the full amount of this facility was available to be drawn down.</w:t>
      </w:r>
    </w:p>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U.S. subsidiary ICON Clinical Research, Inc. has a $12 million secured line of credit with PNC Bank N.A, or the PNC Facility. Borrowings under the PNC Facility must be the lesser of (a) $12 million and (b) the sum of (i) 80% of ICON Clinical Research, Inc.'s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28" w:name="page29"/>
    <w:bookmarkEnd w:id="28"/>
    <w:p>
      <w:pPr>
        <w:ind w:right="3300"/>
        <w:spacing w:after="0" w:line="247" w:lineRule="auto"/>
        <w:rPr>
          <w:sz w:val="20"/>
          <w:szCs w:val="20"/>
          <w:color w:val="auto"/>
        </w:rPr>
      </w:pPr>
      <w:r>
        <w:rPr>
          <w:rFonts w:ascii="Courier New" w:cs="Courier New" w:eastAsia="Courier New" w:hAnsi="Courier New"/>
          <w:sz w:val="16"/>
          <w:szCs w:val="16"/>
          <w:color w:val="auto"/>
        </w:rPr>
        <w:t>an annual rate equal to PNC's Prime Rate less three-quarters of a percent. The full amount of the unpaid principal and interest is due and payable on demand. The PNC Facility is secured by a first priority security interest in certain assets of ICON Clinical Research, Inc. This facility expires on December 31, 2003; in the event that such facility is not renewed, any amounts outstanding will have to be repaid on the expiration date. As of February 28, 2003, $8.9 million was drawn down.</w:t>
      </w:r>
    </w:p>
    <w:p>
      <w:pPr>
        <w:spacing w:after="0" w:line="185" w:lineRule="exact"/>
        <w:rPr>
          <w:sz w:val="20"/>
          <w:szCs w:val="20"/>
          <w:color w:val="auto"/>
        </w:rPr>
      </w:pPr>
    </w:p>
    <w:p>
      <w:pPr>
        <w:ind w:right="3500" w:firstLine="581"/>
        <w:spacing w:after="0" w:line="247"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See "Recent Developments--New Credit Facility."</w:t>
      </w:r>
    </w:p>
    <w:p>
      <w:pPr>
        <w:spacing w:after="0" w:line="37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entered into an overdraft agreement with A.I.B., whereby we guarantee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overdrafts of our subsidiaries ICON Clinical Research GmbH and ICON Clinical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Israel Ltd. up to an amount (euro)112,484 (U.S.$121,022)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U.S.$250,000 (ILS 1,209,499), respectively. As of February 28, 2003, the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 facility and Israeli facility were available to be drawn down.</w:t>
      </w:r>
    </w:p>
    <w:p>
      <w:pPr>
        <w:spacing w:after="0" w:line="191" w:lineRule="exact"/>
        <w:rPr>
          <w:sz w:val="20"/>
          <w:szCs w:val="20"/>
          <w:color w:val="auto"/>
        </w:rPr>
      </w:pPr>
    </w:p>
    <w:p>
      <w:pPr>
        <w:ind w:right="3200" w:firstLine="581"/>
        <w:spacing w:after="0" w:line="247" w:lineRule="auto"/>
        <w:rPr>
          <w:sz w:val="20"/>
          <w:szCs w:val="20"/>
          <w:color w:val="auto"/>
        </w:rPr>
      </w:pPr>
      <w:r>
        <w:rPr>
          <w:rFonts w:ascii="Courier New" w:cs="Courier New" w:eastAsia="Courier New" w:hAnsi="Courier New"/>
          <w:sz w:val="16"/>
          <w:szCs w:val="16"/>
          <w:color w:val="auto"/>
        </w:rPr>
        <w:t>On October 9, 2002, we completed the acquisitions of Barton &amp; Polansky Associates, Inc. and its sister company, Managed Clinical Solutions, Inc., contract research organizations in New York, for an initial cash consideration of $15.7 million (excluding costs of acquisition) and a further $3.7 million in an earn-out payment on December 20, 2002, as well as potential earn-out payments. See "--Contractual Obligations Table".</w:t>
      </w:r>
    </w:p>
    <w:p>
      <w:pPr>
        <w:spacing w:after="0" w:line="185" w:lineRule="exact"/>
        <w:rPr>
          <w:sz w:val="20"/>
          <w:szCs w:val="20"/>
          <w:color w:val="auto"/>
        </w:rPr>
      </w:pPr>
    </w:p>
    <w:p>
      <w:pPr>
        <w:ind w:right="3100" w:firstLine="581"/>
        <w:spacing w:after="0" w:line="247" w:lineRule="auto"/>
        <w:rPr>
          <w:sz w:val="20"/>
          <w:szCs w:val="20"/>
          <w:color w:val="auto"/>
        </w:rPr>
      </w:pPr>
      <w:r>
        <w:rPr>
          <w:rFonts w:ascii="Courier New" w:cs="Courier New" w:eastAsia="Courier New" w:hAnsi="Courier New"/>
          <w:sz w:val="16"/>
          <w:szCs w:val="16"/>
          <w:color w:val="auto"/>
        </w:rPr>
        <w:t>On January 24, 2003, we completed the acquisition of Medeval Group Limited, a specialist provider of Phase I clinical trials to the pharmaceutical and biotechnology industries, for an initial cash consideration of approximately sterling 9.5 million (U.S.$15.5 million) (excluding costs of acquisition), as well as potential earn-out payments. See "--Contractual Obligations Table".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OBLIGATIONS TABLE</w:t>
      </w:r>
    </w:p>
    <w:p>
      <w:pPr>
        <w:spacing w:after="0" w:line="191" w:lineRule="exact"/>
        <w:rPr>
          <w:sz w:val="20"/>
          <w:szCs w:val="20"/>
          <w:color w:val="auto"/>
        </w:rPr>
      </w:pPr>
    </w:p>
    <w:p>
      <w:pPr>
        <w:ind w:right="3200" w:firstLine="581"/>
        <w:spacing w:after="0" w:line="248" w:lineRule="auto"/>
        <w:rPr>
          <w:sz w:val="20"/>
          <w:szCs w:val="20"/>
          <w:color w:val="auto"/>
        </w:rPr>
      </w:pPr>
      <w:r>
        <w:rPr>
          <w:rFonts w:ascii="Courier New" w:cs="Courier New" w:eastAsia="Courier New" w:hAnsi="Courier New"/>
          <w:sz w:val="16"/>
          <w:szCs w:val="16"/>
          <w:color w:val="auto"/>
        </w:rPr>
        <w:t>The following table represents our contractual obligations and commercial commitments as of February 28, 2003.</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PAYMENTS DUE BY PERIOD</w:t>
            </w:r>
          </w:p>
        </w:tc>
        <w:tc>
          <w:tcPr>
            <w:tcW w:w="1120" w:type="dxa"/>
            <w:vAlign w:val="bottom"/>
          </w:tcPr>
          <w:p>
            <w:pPr>
              <w:spacing w:after="0"/>
              <w:rPr>
                <w:sz w:val="15"/>
                <w:szCs w:val="15"/>
                <w:color w:val="auto"/>
              </w:rPr>
            </w:pPr>
          </w:p>
        </w:tc>
      </w:tr>
      <w:tr>
        <w:trPr>
          <w:trHeight w:val="186"/>
        </w:trPr>
        <w:tc>
          <w:tcPr>
            <w:tcW w:w="5580" w:type="dxa"/>
            <w:vAlign w:val="bottom"/>
          </w:tcPr>
          <w:p>
            <w:pPr>
              <w:spacing w:after="0"/>
              <w:rPr>
                <w:sz w:val="16"/>
                <w:szCs w:val="16"/>
                <w:color w:val="auto"/>
              </w:rPr>
            </w:pPr>
          </w:p>
        </w:tc>
        <w:tc>
          <w:tcPr>
            <w:tcW w:w="5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LESS THAN</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 TO 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AFTER 5</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 YEAR</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YEARS</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YEARS</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(IN THOUSANDS)</w:t>
            </w:r>
          </w:p>
        </w:tc>
        <w:tc>
          <w:tcPr>
            <w:tcW w:w="1120" w:type="dxa"/>
            <w:vAlign w:val="bottom"/>
          </w:tcPr>
          <w:p>
            <w:pPr>
              <w:spacing w:after="0"/>
              <w:rPr>
                <w:sz w:val="16"/>
                <w:szCs w:val="16"/>
                <w:color w:val="auto"/>
              </w:rPr>
            </w:pP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Operating leases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$121,579</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$ 7,359</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$50,406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Credit facilities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10,503</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10,503</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Earn-out payments committed for</w:t>
            </w: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contingent consideration (1)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13,460</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4,120</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9,340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$145,542</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$21,982</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$59,746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 This cash is payable under earn-out clauses included in acquisitions.</w:t>
      </w:r>
    </w:p>
    <w:p>
      <w:pPr>
        <w:spacing w:after="0" w:line="191" w:lineRule="exact"/>
        <w:rPr>
          <w:sz w:val="20"/>
          <w:szCs w:val="20"/>
          <w:color w:val="auto"/>
        </w:rPr>
      </w:pPr>
    </w:p>
    <w:p>
      <w:pPr>
        <w:ind w:right="3100" w:firstLine="581"/>
        <w:spacing w:after="0" w:line="246" w:lineRule="auto"/>
        <w:rPr>
          <w:sz w:val="20"/>
          <w:szCs w:val="20"/>
          <w:color w:val="auto"/>
        </w:rPr>
      </w:pPr>
      <w:r>
        <w:rPr>
          <w:rFonts w:ascii="Courier New" w:cs="Courier New" w:eastAsia="Courier New" w:hAnsi="Courier New"/>
          <w:sz w:val="16"/>
          <w:szCs w:val="16"/>
          <w:color w:val="auto"/>
        </w:rPr>
        <w:t>We expect to spend approximately $15 million in the next twelve months on further investments in information technology, the expansion of existing facilities and the addition of new offices and expect to increase this level of spending in subsequent years. In addition, in the twelve months ending February 28, 2004, we expect to pay approximately $4.1 million on earn-out payments arising from acquisitions.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will be funded from the proceeds of this offering, and we may require additional external financing, and we may also from time to time seek to obtain funds from public issues of equity or debt securities. There can be no assurance that such financing will be available on terms acceptable to us.</w:t>
      </w:r>
    </w:p>
    <w:p>
      <w:pPr>
        <w:spacing w:after="0" w:line="38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860"/>
          </w:cols>
          <w:pgMar w:left="240" w:top="862" w:right="799" w:bottom="1440" w:gutter="0" w:footer="0" w:header="0"/>
        </w:sectPr>
      </w:pPr>
    </w:p>
    <w:bookmarkStart w:id="29" w:name="page30"/>
    <w:bookmarkEnd w:id="29"/>
    <w:p>
      <w:pPr>
        <w:ind w:left="3480"/>
        <w:spacing w:after="0"/>
        <w:rPr>
          <w:sz w:val="20"/>
          <w:szCs w:val="20"/>
          <w:color w:val="auto"/>
        </w:rPr>
      </w:pPr>
      <w:r>
        <w:rPr>
          <w:rFonts w:ascii="Courier New" w:cs="Courier New" w:eastAsia="Courier New" w:hAnsi="Courier New"/>
          <w:sz w:val="16"/>
          <w:szCs w:val="16"/>
          <w:color w:val="auto"/>
        </w:rPr>
        <w:t>INFLATION</w:t>
      </w:r>
    </w:p>
    <w:p>
      <w:pPr>
        <w:spacing w:after="0" w:line="378"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We believe that the effects of inflation generally do not have a material impact on our operations or financial condition.</w:t>
      </w:r>
    </w:p>
    <w:p>
      <w:pPr>
        <w:spacing w:after="0" w:line="37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CRITICAL ACCOUNTING POLICIES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brief discussion of the accounting policies used by us, which we believe are critical in that they require estimates and judgments by management.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apply the provisions of Statement of Position No. 81-1 "Accounting for Performance of Construction-Type and Certain Production-Type Contracts" in recognizing revenue, other than fee-for-service contracts. Revenues are recognized over the period from the awarding of the customer's contract to study completion and acceptance. The percentage to completion is measured by monitoring of progress using records of actual cost incurred to date in the contract compared to the total estimated contract requirements. The percentage to completion method requires us to estimate total expected revenue, costs, profitability, duration of the contract and outputs. These estimates are reviewed periodically and, if any of these estimates change or actual results differ from expected results, then an adjustment is recorded in the period in which they become reasonably estimable.</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Goodwill arising on acquisition is capitalized. Where events and circumstances are present which indicate that the carrying value may not be recoverable, we will recognize an impairment loss. Factors we consider important which could trigger impairment include:</w:t>
      </w:r>
    </w:p>
    <w:p>
      <w:pPr>
        <w:spacing w:after="0" w:line="186" w:lineRule="exact"/>
        <w:rPr>
          <w:sz w:val="20"/>
          <w:szCs w:val="20"/>
          <w:color w:val="auto"/>
        </w:rPr>
      </w:pPr>
    </w:p>
    <w:p>
      <w:pPr>
        <w:ind w:left="1160" w:right="2959" w:hanging="579"/>
        <w:spacing w:after="0" w:line="248" w:lineRule="auto"/>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underperformance relative to expected historical or projected future operating results;</w:t>
      </w:r>
    </w:p>
    <w:p>
      <w:pPr>
        <w:spacing w:after="0" w:line="18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negative industry or economic trends;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decline in our stock price for a sustained period;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ratio of our market capitalization to net book value.</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30" w:name="page31"/>
    <w:bookmarkEnd w:id="30"/>
    <w:p>
      <w:pPr>
        <w:ind w:left="2520"/>
        <w:spacing w:after="0"/>
        <w:rPr>
          <w:sz w:val="20"/>
          <w:szCs w:val="20"/>
          <w:color w:val="auto"/>
        </w:rPr>
      </w:pPr>
      <w:r>
        <w:rPr>
          <w:rFonts w:ascii="Courier New" w:cs="Courier New" w:eastAsia="Courier New" w:hAnsi="Courier New"/>
          <w:sz w:val="16"/>
          <w:szCs w:val="16"/>
          <w:color w:val="auto"/>
        </w:rPr>
        <w:t>NEW ACCOUNTING PRONOUNCEMENTS</w:t>
      </w:r>
    </w:p>
    <w:p>
      <w:pPr>
        <w:spacing w:after="0" w:line="191"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 July 2001 the Financial Accounting Standards Board, or FASB, issued two new statements: SFAS No. 141, "Business Combinations", and SFAS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196" w:lineRule="exact"/>
        <w:rPr>
          <w:sz w:val="20"/>
          <w:szCs w:val="20"/>
          <w:color w:val="auto"/>
        </w:rPr>
      </w:pPr>
    </w:p>
    <w:p>
      <w:pPr>
        <w:jc w:val="both"/>
        <w:ind w:right="2900" w:firstLine="581"/>
        <w:spacing w:after="0" w:line="247" w:lineRule="auto"/>
        <w:rPr>
          <w:sz w:val="20"/>
          <w:szCs w:val="20"/>
          <w:color w:val="auto"/>
        </w:rPr>
      </w:pPr>
      <w:r>
        <w:rPr>
          <w:rFonts w:ascii="Courier New" w:cs="Courier New" w:eastAsia="Courier New" w:hAnsi="Courier New"/>
          <w:sz w:val="16"/>
          <w:szCs w:val="16"/>
          <w:color w:val="auto"/>
        </w:rPr>
        <w:t>The following table reconciles the prior periods' reported net income to their prospective pro forma balances adjusted to exclude goodwill amortization, which is no longer recorded under SFAS No. 142:</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ENDED MAY 31,</w:t>
            </w:r>
          </w:p>
        </w:tc>
      </w:tr>
      <w:tr>
        <w:trPr>
          <w:trHeight w:val="186"/>
        </w:trPr>
        <w:tc>
          <w:tcPr>
            <w:tcW w:w="7660" w:type="dxa"/>
            <w:vAlign w:val="bottom"/>
          </w:tcPr>
          <w:p>
            <w:pPr>
              <w:spacing w:after="0"/>
              <w:rPr>
                <w:sz w:val="16"/>
                <w:szCs w:val="16"/>
                <w:color w:val="auto"/>
              </w:rPr>
            </w:pPr>
          </w:p>
        </w:tc>
        <w:tc>
          <w:tcPr>
            <w:tcW w:w="2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w:t>
            </w:r>
          </w:p>
        </w:tc>
        <w:tc>
          <w:tcPr>
            <w:tcW w:w="18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7660" w:type="dxa"/>
            <w:vAlign w:val="bottom"/>
          </w:tcPr>
          <w:p>
            <w:pPr>
              <w:spacing w:after="0"/>
              <w:rPr>
                <w:sz w:val="16"/>
                <w:szCs w:val="16"/>
                <w:color w:val="auto"/>
              </w:rPr>
            </w:pP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16"/>
                <w:szCs w:val="16"/>
                <w:color w:val="auto"/>
              </w:rPr>
            </w:pPr>
          </w:p>
        </w:tc>
        <w:tc>
          <w:tcPr>
            <w:tcW w:w="290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 THOUSANDS,</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EXCEPT</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PER SHARE DATA)</w:t>
            </w:r>
          </w:p>
        </w:tc>
      </w:tr>
      <w:tr>
        <w:trPr>
          <w:trHeight w:val="373"/>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Reported net income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$6,068</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$10,978</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Adjusted net income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$6,106</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$11,188</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BASIC NET INCOME PER ORDINARY SHARE</w:t>
            </w: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$ 0.97</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Adjusted basic net income per share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$ 0.99</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DILUTED NET INCOME PER ORDINARY SHARE</w:t>
            </w: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$ 0.51</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$ 0.92</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Adjusted diluted net income per share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$ 0.51</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$ 0.94</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194"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560"/>
          </w:cols>
          <w:pgMar w:left="240" w:top="676" w:right="1099" w:bottom="695" w:gutter="0" w:footer="0" w:header="0"/>
        </w:sectPr>
      </w:pPr>
    </w:p>
    <w:bookmarkStart w:id="31" w:name="page32"/>
    <w:bookmarkEnd w:id="31"/>
    <w:p>
      <w:pPr>
        <w:ind w:right="2459"/>
        <w:spacing w:after="0" w:line="247" w:lineRule="auto"/>
        <w:rPr>
          <w:sz w:val="20"/>
          <w:szCs w:val="20"/>
          <w:color w:val="auto"/>
        </w:rPr>
      </w:pPr>
      <w:r>
        <w:rPr>
          <w:rFonts w:ascii="Courier New" w:cs="Courier New" w:eastAsia="Courier New" w:hAnsi="Courier New"/>
          <w:sz w:val="16"/>
          <w:szCs w:val="16"/>
          <w:color w:val="auto"/>
        </w:rPr>
        <w:t>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18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192"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32" w:name="page33"/>
    <w:bookmarkEnd w:id="32"/>
    <w:p>
      <w:pPr>
        <w:ind w:left="3480"/>
        <w:spacing w:after="0"/>
        <w:rPr>
          <w:sz w:val="20"/>
          <w:szCs w:val="20"/>
          <w:color w:val="auto"/>
        </w:rPr>
      </w:pPr>
      <w:r>
        <w:rPr>
          <w:rFonts w:ascii="Courier New" w:cs="Courier New" w:eastAsia="Courier New" w:hAnsi="Courier New"/>
          <w:sz w:val="16"/>
          <w:szCs w:val="16"/>
          <w:color w:val="auto"/>
        </w:rPr>
        <w:t>BUSINESS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THIS IS A SUMMARY OF THE MATERIAL ASPECTS OF OUR BUSINESS. FOR ADDITIONAL INFORMATION, PLEASE REFER TO OUR FORMS 20-F AND 20-F/A FOR THE FISCAL YEAR ENDED MAY 31, 2002, "ITEM 4. INFORMATION ON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37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Headquartered in Dublin, Ireland, we began operations in 1990 and have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expanded our business through internal growth and strategic acquisitions.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initial public offering, our net revenue, comprised of gross revenue 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to subcontractors, grew from $45.2 million in fiscal 1998 to $156.6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fiscal 2002, while our operating income and net income grew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 million and $4.3 million, respectively to $18.2 million and $14.2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over the same period. In 2002 revenue was earned from over 270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 including 19 of the top 20 pharmaceutical companies, as ranked by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33" w:name="page34"/>
    <w:bookmarkEnd w:id="33"/>
    <w:p>
      <w:pPr>
        <w:ind w:right="2459"/>
        <w:spacing w:after="0" w:line="246" w:lineRule="auto"/>
        <w:rPr>
          <w:sz w:val="20"/>
          <w:szCs w:val="20"/>
          <w:color w:val="auto"/>
        </w:rPr>
      </w:pPr>
      <w:r>
        <w:rPr>
          <w:rFonts w:ascii="Courier New" w:cs="Courier New" w:eastAsia="Courier New" w:hAnsi="Courier New"/>
          <w:sz w:val="16"/>
          <w:szCs w:val="16"/>
          <w:color w:val="auto"/>
        </w:rPr>
        <w:t>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TRENDS AFFECTING THE CRO INDUSTRY</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2001 was in excess of $10 billion. We believe that the following trends create further growth opportunities for global CROs, although there is no assurance that growth will materialize.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INCREASING DRUG DEVELOPMENT ACTIVITY. 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COST CONTAINMENT PRESSURES. 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INCREASING NUMBER OF LARGE LONG-TERM POST-MARKETING STUDIES. 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34" w:name="page35"/>
    <w:bookmarkEnd w:id="34"/>
    <w:p>
      <w:pPr>
        <w:ind w:right="2459" w:firstLine="581"/>
        <w:spacing w:after="0" w:line="247" w:lineRule="auto"/>
        <w:rPr>
          <w:sz w:val="20"/>
          <w:szCs w:val="20"/>
          <w:color w:val="auto"/>
        </w:rPr>
      </w:pPr>
      <w:r>
        <w:rPr>
          <w:rFonts w:ascii="Courier New" w:cs="Courier New" w:eastAsia="Courier New" w:hAnsi="Courier New"/>
          <w:sz w:val="16"/>
          <w:szCs w:val="16"/>
          <w:color w:val="auto"/>
        </w:rPr>
        <w:t>INCREASING REGULATORY DEMANDS. 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nine months ended February 28, 2003, approximately 95% of our net revenue was derived from second or subsequent projects with clients. The remaining 5% of the net revenue was derived from 73 initial projects with new clients.</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29 offices in 17 countries and intend to continue expanding into regions that have the potential to increase our client base or increase our investigator and patient populations.</w:t>
      </w:r>
    </w:p>
    <w:p>
      <w:pPr>
        <w:spacing w:after="0" w:line="37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91"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We offer a broad range of clinical research and development services to our clients on a global basis, including Phase I clinical trials, Phase II-IV clinical trials management, clinical data management, study design, biostatistical analysis, laboratory services, bioanalytical services, product development support services, pharmacovigilance services, IVRS and contract research staffing. Since inception, we have carried out multiple trials involving most major therapeutic areas, including, among others, cardiology, endocrinology, gastroenterology, hematology, immunology, infectious diseases, neurology, oncology, psychiatry, respiratory, rheumatology and urology.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large part of our continued success is due to the high quality standards we have set and delivered to our clients. Our quality goals are attained through the implementation and maintenance of an effective quality management system, which not only ensures that our business and quality objectives are achieved, but which is sufficiently dynamic to rapidly respond to changes in the clinical research and regulatory environments. Our quality management system is based on the requirements of the ISO 9001:2000 international standard and includes over 180 standard operating procedures, or SOPs, which are implemented on a global basis. In addition, our independent quality assurance division has the responsibility for assuring that the process conforms to pre-determined quality, ethical and regulatory standards.</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35" w:name="page36"/>
    <w:bookmarkEnd w:id="35"/>
    <w:p>
      <w:pPr>
        <w:ind w:right="2459" w:firstLine="581"/>
        <w:spacing w:after="0" w:line="246" w:lineRule="auto"/>
        <w:rPr>
          <w:sz w:val="20"/>
          <w:szCs w:val="20"/>
          <w:color w:val="auto"/>
        </w:rPr>
      </w:pPr>
      <w:r>
        <w:rPr>
          <w:rFonts w:ascii="Courier New" w:cs="Courier New" w:eastAsia="Courier New" w:hAnsi="Courier New"/>
          <w:sz w:val="16"/>
          <w:szCs w:val="16"/>
          <w:color w:val="auto"/>
        </w:rPr>
        <w:t>Consistent high quality performance is what we have come to stand for with our clients and one of the driving forces behind this is management's commitment to ISO 9000. In 1994, we became ISO 9002 registered and remain the only such CRO to have this standard across all offices and operational functions. In order to retain registration we must undergo several quality system audits per year. In 2002, we adopted the new standard ISO 9001:2000, which further developed the system through a stronger focus on processes, metrics and continuous improvement.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ORGANIZATIONAL STRUCTURE</w:t>
      </w:r>
    </w:p>
    <w:p>
      <w:pPr>
        <w:spacing w:after="0" w:line="191"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The following list contains all of our principal direct and indirect wholly owned subsidiaries: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540" w:type="dxa"/>
            <w:vAlign w:val="bottom"/>
          </w:tcPr>
          <w:p>
            <w:pPr>
              <w:spacing w:after="0"/>
              <w:rPr>
                <w:sz w:val="15"/>
                <w:szCs w:val="15"/>
                <w:color w:val="auto"/>
              </w:rPr>
            </w:pP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COUNTRY OF INCORPORATION</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c>
          <w:tcPr>
            <w:tcW w:w="27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S.A.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Argentina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Pty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Australia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(Canada)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Canada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SARL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Protocole SAS</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GmbH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Germany</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Israel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Israel</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ICON Japan K.K</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Republic of Ireland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Pte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Singapore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South Africa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(UK)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Medeval Group</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YRCR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Barton &amp; Polansky Associates,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ICON Laboratories,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Managed Clinical Solutions,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Pacific Research Associates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SYSTEMS</w:t>
      </w:r>
    </w:p>
    <w:p>
      <w:pPr>
        <w:spacing w:after="0" w:line="191" w:lineRule="exact"/>
        <w:rPr>
          <w:sz w:val="20"/>
          <w:szCs w:val="20"/>
          <w:color w:val="auto"/>
        </w:rPr>
      </w:pPr>
    </w:p>
    <w:p>
      <w:pPr>
        <w:jc w:val="both"/>
        <w:ind w:right="2759" w:firstLine="581"/>
        <w:spacing w:after="0" w:line="247" w:lineRule="auto"/>
        <w:rPr>
          <w:sz w:val="20"/>
          <w:szCs w:val="20"/>
          <w:color w:val="auto"/>
        </w:rPr>
      </w:pPr>
      <w:r>
        <w:rPr>
          <w:rFonts w:ascii="Courier New" w:cs="Courier New" w:eastAsia="Courier New" w:hAnsi="Courier New"/>
          <w:sz w:val="16"/>
          <w:szCs w:val="16"/>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6" w:right="1440" w:bottom="1440" w:gutter="0" w:footer="0" w:header="0"/>
        </w:sectPr>
      </w:pPr>
    </w:p>
    <w:bookmarkStart w:id="36" w:name="page37"/>
    <w:bookmarkEnd w:id="36"/>
    <w:p>
      <w:pPr>
        <w:ind w:right="2659" w:firstLine="581"/>
        <w:spacing w:after="0" w:line="247" w:lineRule="auto"/>
        <w:rPr>
          <w:sz w:val="20"/>
          <w:szCs w:val="20"/>
          <w:color w:val="auto"/>
        </w:rPr>
      </w:pPr>
      <w:r>
        <w:rPr>
          <w:rFonts w:ascii="Courier New" w:cs="Courier New" w:eastAsia="Courier New" w:hAnsi="Courier New"/>
          <w:sz w:val="16"/>
          <w:szCs w:val="16"/>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sales and marketing strategy is to focus our business development efforts on pharmaceutical and biotechnology companies whose development projects are advancing and to develop close relationships with such companies. By maintaining such relationships with our clients, we gain repeat business and achieve lateral penetration into other therapeutic divisions where applicable.</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provide clinical services to most of the major pharmaceutical and biotechnology companies worldwide. The number of companies to whom we have provided services has grown from 40 by 1998 to over 475 by 2002, including 19 of the top 20 pharmaceutical companies in the world, as ranked by 2001 revenues. This expansion has led to an increasing percentage of revenue coming from biotechnology, specialty and Japanese companies. From fiscal 2000 to fiscal 2002, this percentage grew from 24% to 37% of total revenues.</w:t>
      </w:r>
    </w:p>
    <w:p>
      <w:pPr>
        <w:spacing w:after="0" w:line="18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major projects or clients. Over the years, we have managed to reduce this concentration and for the first nine months of fiscal 2003, our top five clients comprised 51% of net revenues compared to 68% for fiscal 2000. During these periods, some clients contributed in excess of 10% of our revenues. This reflects our success in penetrating our client base. In the fiscal year ended May 31, 2000, we received 24% of our net revenue from Pfizer, 18% from GlaxoSmithKline and 16% from Novartis. During the fiscal year ended May 31, 2001, we received 19% of our net revenue from Pfizer and 15% from GlaxoSmithKline. During the fiscal year ended May 31, 2002, we received 16% of our net revenue from Astra Zeneca, 14% from Pfizer and 12% from Bristol Myers Squibb.</w:t>
      </w:r>
    </w:p>
    <w:p>
      <w:pPr>
        <w:spacing w:after="0" w:line="193"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have expanded geographically in order to pursue larger multi-national clinical trials in markets worldwide and have expanded through acquisition to offer a broader range of services. For the nine months ended February 28, 2003, we generated 71.0% of our net revenue in the United States, 26.4% in Europe and 2.6% in the Rest of the World.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ARRANGEMENTS</w:t>
      </w:r>
    </w:p>
    <w:p>
      <w:pPr>
        <w:spacing w:after="0" w:line="191" w:lineRule="exact"/>
        <w:rPr>
          <w:sz w:val="20"/>
          <w:szCs w:val="20"/>
          <w:color w:val="auto"/>
        </w:rPr>
      </w:pPr>
    </w:p>
    <w:p>
      <w:pPr>
        <w:ind w:right="2459" w:firstLine="581"/>
        <w:spacing w:after="0" w:line="248" w:lineRule="auto"/>
        <w:rPr>
          <w:sz w:val="20"/>
          <w:szCs w:val="20"/>
          <w:color w:val="auto"/>
        </w:rPr>
      </w:pPr>
      <w:r>
        <w:rPr>
          <w:rFonts w:ascii="Courier New" w:cs="Courier New" w:eastAsia="Courier New" w:hAnsi="Courier New"/>
          <w:sz w:val="16"/>
          <w:szCs w:val="16"/>
          <w:color w:val="auto"/>
        </w:rPr>
        <w:t>We are generally awarded contracts based upon our response to requests for proposals received from pharmaceutical and biotechnology companies.</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37" w:name="page38"/>
    <w:bookmarkEnd w:id="37"/>
    <w:p>
      <w:pPr>
        <w:ind w:right="2459" w:firstLine="581"/>
        <w:spacing w:after="0" w:line="246" w:lineRule="auto"/>
        <w:rPr>
          <w:sz w:val="20"/>
          <w:szCs w:val="20"/>
          <w:color w:val="auto"/>
        </w:rPr>
      </w:pPr>
      <w:r>
        <w:rPr>
          <w:rFonts w:ascii="Courier New" w:cs="Courier New" w:eastAsia="Courier New" w:hAnsi="Courier New"/>
          <w:sz w:val="16"/>
          <w:szCs w:val="16"/>
          <w:color w:val="auto"/>
        </w:rPr>
        <w:t>Most of our revenues are earned from fixed-fee contracts based on certain activity and performance specifications. Consequently, although, with certain exceptions, we typically bear the cost of overruns, we benefit if our costs are lower than anticipated. Payment terms usually provide for payments based on the achievement of certain identified milestones,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less than 10% of revenues.</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Contract terms may range from one year to several years depending on the nature of the work to be performed. In most cases, a portion of the contract fee, typically 10% to 20%, is paid at the time the study or trial is started, and often upon the signing of a letter of intent.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for investigator meetings, the cost of laboratory tests and the cost of drug packaging for a trial.</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Most of our contracts are terminable immediately by the client for cause and on 30-60 days' notice without cause. In the event of termination, we are usually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At February 28, 2003, we estimate that we had backlog to be earned in the following twelve months of $195 million, compared with approximately $130 million at February 28, 2002. We believe that our backlog as of any date is not necessarily a meaningful predictor of future results, due to the potential for cancellation or delay of the projects underlying the backlog, and we may not be able to realize this backlog as net revenue.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Covance, Inc., Ingenix Inc. (United Health), Inveresk Research Group, Inc., Kendle International Inc., MDS Inc., Omnicare, Inc., PARAXEL International Corp., Pharmaceutical Product Development, Inc., PRA Inc. and Quintiles Transnational Corporation. The trend</w:t>
      </w:r>
    </w:p>
    <w:p>
      <w:pPr>
        <w:spacing w:after="0" w:line="200" w:lineRule="exact"/>
        <w:rPr>
          <w:sz w:val="20"/>
          <w:szCs w:val="20"/>
          <w:color w:val="auto"/>
        </w:rPr>
      </w:pPr>
    </w:p>
    <w:p>
      <w:pPr>
        <w:spacing w:after="0" w:line="36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1440" w:gutter="0" w:footer="0" w:header="0"/>
        </w:sectPr>
      </w:pPr>
    </w:p>
    <w:bookmarkStart w:id="38" w:name="page39"/>
    <w:bookmarkEnd w:id="38"/>
    <w:p>
      <w:pPr>
        <w:ind w:right="2659"/>
        <w:spacing w:after="0" w:line="248" w:lineRule="auto"/>
        <w:rPr>
          <w:sz w:val="20"/>
          <w:szCs w:val="20"/>
          <w:color w:val="auto"/>
        </w:rPr>
      </w:pPr>
      <w:r>
        <w:rPr>
          <w:rFonts w:ascii="Courier New" w:cs="Courier New" w:eastAsia="Courier New" w:hAnsi="Courier New"/>
          <w:sz w:val="16"/>
          <w:szCs w:val="16"/>
          <w:color w:val="auto"/>
        </w:rPr>
        <w:t>toward CRO industry consolidation has resulted in heightened competition among the larger CROs for clients and acquisition candidates.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 OF CLINICAL TRIALS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DRUG DEVELOPMENT -- AN OVERVIEW</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185" w:lineRule="exact"/>
        <w:rPr>
          <w:sz w:val="20"/>
          <w:szCs w:val="20"/>
          <w:color w:val="auto"/>
        </w:rPr>
      </w:pPr>
    </w:p>
    <w:p>
      <w:pPr>
        <w:ind w:left="580" w:right="2559"/>
        <w:spacing w:after="0" w:line="247" w:lineRule="auto"/>
        <w:rPr>
          <w:sz w:val="20"/>
          <w:szCs w:val="20"/>
          <w:color w:val="auto"/>
        </w:rPr>
      </w:pPr>
      <w:r>
        <w:rPr>
          <w:rFonts w:ascii="Courier New" w:cs="Courier New" w:eastAsia="Courier New" w:hAnsi="Courier New"/>
          <w:sz w:val="16"/>
          <w:szCs w:val="16"/>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6" w:right="1440" w:bottom="1440" w:gutter="0" w:footer="0" w:header="0"/>
        </w:sectPr>
      </w:pPr>
    </w:p>
    <w:bookmarkStart w:id="39" w:name="page40"/>
    <w:bookmarkEnd w:id="39"/>
    <w:p>
      <w:pPr>
        <w:ind w:left="580" w:right="2559"/>
        <w:spacing w:after="0" w:line="248" w:lineRule="auto"/>
        <w:rPr>
          <w:sz w:val="20"/>
          <w:szCs w:val="20"/>
          <w:color w:val="auto"/>
        </w:rPr>
      </w:pPr>
      <w:r>
        <w:rPr>
          <w:rFonts w:ascii="Courier New" w:cs="Courier New" w:eastAsia="Courier New" w:hAnsi="Courier New"/>
          <w:sz w:val="16"/>
          <w:szCs w:val="16"/>
          <w:color w:val="auto"/>
        </w:rPr>
        <w:t>will file for an Investigational New Drug Application, or IND, upon which the FDA may grant permission to begin human trials.</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CLINICAL TRIALS (3.5 TO 6 YEARS)</w:t>
      </w:r>
    </w:p>
    <w:p>
      <w:pPr>
        <w:spacing w:after="0" w:line="191" w:lineRule="exact"/>
        <w:rPr>
          <w:sz w:val="20"/>
          <w:szCs w:val="20"/>
          <w:color w:val="auto"/>
        </w:rPr>
      </w:pPr>
    </w:p>
    <w:p>
      <w:pPr>
        <w:ind w:left="1160" w:right="2559"/>
        <w:spacing w:after="0" w:line="247" w:lineRule="auto"/>
        <w:rPr>
          <w:sz w:val="20"/>
          <w:szCs w:val="20"/>
          <w:color w:val="auto"/>
        </w:rPr>
      </w:pPr>
      <w:r>
        <w:rPr>
          <w:rFonts w:ascii="Courier New" w:cs="Courier New" w:eastAsia="Courier New" w:hAnsi="Courier New"/>
          <w:sz w:val="16"/>
          <w:szCs w:val="16"/>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185" w:lineRule="exact"/>
        <w:rPr>
          <w:sz w:val="20"/>
          <w:szCs w:val="20"/>
          <w:color w:val="auto"/>
        </w:rPr>
      </w:pPr>
    </w:p>
    <w:p>
      <w:pPr>
        <w:ind w:left="1160" w:right="2459"/>
        <w:spacing w:after="0" w:line="247" w:lineRule="auto"/>
        <w:rPr>
          <w:sz w:val="20"/>
          <w:szCs w:val="20"/>
          <w:color w:val="auto"/>
        </w:rPr>
      </w:pPr>
      <w:r>
        <w:rPr>
          <w:rFonts w:ascii="Courier New" w:cs="Courier New" w:eastAsia="Courier New" w:hAnsi="Courier New"/>
          <w:sz w:val="16"/>
          <w:szCs w:val="16"/>
          <w:color w:val="auto"/>
        </w:rPr>
        <w:t>PHASE II (1 TO 2 YEARS). Basic efficacy (effectiveness) and dose-range testing in 100 to 200 patients to help determine the best effective dose, confirm that the drug works as expected, and provide additional safety data.</w:t>
      </w:r>
    </w:p>
    <w:p>
      <w:pPr>
        <w:spacing w:after="0" w:line="186" w:lineRule="exact"/>
        <w:rPr>
          <w:sz w:val="20"/>
          <w:szCs w:val="20"/>
          <w:color w:val="auto"/>
        </w:rPr>
      </w:pPr>
    </w:p>
    <w:p>
      <w:pPr>
        <w:ind w:left="1160" w:right="2459"/>
        <w:spacing w:after="0" w:line="247" w:lineRule="auto"/>
        <w:rPr>
          <w:sz w:val="20"/>
          <w:szCs w:val="20"/>
          <w:color w:val="auto"/>
        </w:rPr>
      </w:pPr>
      <w:r>
        <w:rPr>
          <w:rFonts w:ascii="Courier New" w:cs="Courier New" w:eastAsia="Courier New" w:hAnsi="Courier New"/>
          <w:sz w:val="16"/>
          <w:szCs w:val="16"/>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185"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191" w:lineRule="exact"/>
        <w:rPr>
          <w:sz w:val="20"/>
          <w:szCs w:val="20"/>
          <w:color w:val="auto"/>
        </w:rPr>
      </w:pPr>
    </w:p>
    <w:p>
      <w:pPr>
        <w:jc w:val="both"/>
        <w:ind w:left="580" w:right="2559"/>
        <w:spacing w:after="0" w:line="247" w:lineRule="auto"/>
        <w:rPr>
          <w:sz w:val="20"/>
          <w:szCs w:val="20"/>
          <w:color w:val="auto"/>
        </w:rPr>
      </w:pPr>
      <w:r>
        <w:rPr>
          <w:rFonts w:ascii="Courier New" w:cs="Courier New" w:eastAsia="Courier New" w:hAnsi="Courier New"/>
          <w:sz w:val="16"/>
          <w:szCs w:val="16"/>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186"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186" w:lineRule="exact"/>
        <w:rPr>
          <w:sz w:val="20"/>
          <w:szCs w:val="20"/>
          <w:color w:val="auto"/>
        </w:rPr>
      </w:pPr>
    </w:p>
    <w:p>
      <w:pPr>
        <w:ind w:left="580" w:right="2559"/>
        <w:spacing w:after="0" w:line="246" w:lineRule="auto"/>
        <w:rPr>
          <w:sz w:val="20"/>
          <w:szCs w:val="20"/>
          <w:color w:val="auto"/>
        </w:rPr>
      </w:pPr>
      <w:r>
        <w:rPr>
          <w:rFonts w:ascii="Courier New" w:cs="Courier New" w:eastAsia="Courier New" w:hAnsi="Courier New"/>
          <w:sz w:val="16"/>
          <w:szCs w:val="16"/>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AND INSURANCE</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6" w:right="1440" w:bottom="1440" w:gutter="0" w:footer="0" w:header="0"/>
        </w:sectPr>
      </w:pPr>
    </w:p>
    <w:bookmarkStart w:id="40" w:name="page41"/>
    <w:bookmarkEnd w:id="40"/>
    <w:p>
      <w:pPr>
        <w:ind w:right="2459"/>
        <w:spacing w:after="0" w:line="247" w:lineRule="auto"/>
        <w:rPr>
          <w:sz w:val="20"/>
          <w:szCs w:val="20"/>
          <w:color w:val="auto"/>
        </w:rPr>
      </w:pPr>
      <w:r>
        <w:rPr>
          <w:rFonts w:ascii="Courier New" w:cs="Courier New" w:eastAsia="Courier New" w:hAnsi="Courier New"/>
          <w:sz w:val="16"/>
          <w:szCs w:val="16"/>
          <w:color w:val="auto"/>
        </w:rPr>
        <w:t>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it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lease all but one of our facilities under operating leases.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entered into a lease for an additional office facility of approximately 25,000 square feet in the same business park.</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also maintain U.S. offices in Chicago, Illinois; Philadelphia, Pennsylvania; Nashville, Tennessee; Irvine, San Bruno and Mountain View, California; Houston, Texas; Wilmington, Delaware; Farmingdale and New York, New York; and Raleigh, North Carolina. Our European subsidiaries maintain offices in Frankfurt, Germany; Paris, France; Amsterdam, The Netherlands; Southampton, Marlow and Manchester, United Kingdom; Tel Aviv, Israel; Stockholm, Sweden; Moscow, Russia and Riga, Latvia. Our Rest of World offices are located in Tokyo, Japan; Sydney, Australia; Bangalore, India; Buenos Aires, Argentina; Johannesburg, South Africa; Montreal, Canada and Singapore.</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From time to time, we may be involved in litigation incidental to the conduct of our business. To date, we have not been a party to any material legal proceedings.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6" w:right="1440" w:bottom="1440" w:gutter="0" w:footer="0" w:header="0"/>
        </w:sectPr>
      </w:pPr>
    </w:p>
    <w:bookmarkStart w:id="41" w:name="page42"/>
    <w:bookmarkEnd w:id="41"/>
    <w:p>
      <w:pPr>
        <w:jc w:val="center"/>
        <w:ind w:right="2459"/>
        <w:spacing w:after="0"/>
        <w:rPr>
          <w:sz w:val="20"/>
          <w:szCs w:val="20"/>
          <w:color w:val="auto"/>
        </w:rPr>
      </w:pPr>
      <w:r>
        <w:rPr>
          <w:rFonts w:ascii="Courier New" w:cs="Courier New" w:eastAsia="Courier New" w:hAnsi="Courier New"/>
          <w:sz w:val="16"/>
          <w:szCs w:val="16"/>
          <w:color w:val="auto"/>
        </w:rPr>
        <w:t>MANAGEMENT</w:t>
      </w:r>
    </w:p>
    <w:p>
      <w:pPr>
        <w:spacing w:after="0" w:line="191"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The following table and accompanying biographies set forth certain information concerning each of our officers, directors and other key employees. We are currently considering candidates to nominate as an additional independent director.</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7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AGE</w:t>
            </w:r>
          </w:p>
        </w:tc>
        <w:tc>
          <w:tcPr>
            <w:tcW w:w="1560" w:type="dxa"/>
            <w:vAlign w:val="bottom"/>
          </w:tcPr>
          <w:p>
            <w:pPr>
              <w:spacing w:after="0"/>
              <w:rPr>
                <w:sz w:val="15"/>
                <w:szCs w:val="15"/>
                <w:color w:val="auto"/>
              </w:rPr>
            </w:pP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POSITION</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47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John Climax(1)(2)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50</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Chairman of the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Board</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Peter Gray(1)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48</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Executive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Director</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Sean Leech(1)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Financial</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and Secretary</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62</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Thomas Lynch(2)(3)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Edward Roberts(2)(3)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68</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Lee Jones(2)(3)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Allan Morgan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48</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Chief Medical Officer, Director ICON</w:t>
            </w:r>
          </w:p>
        </w:tc>
      </w:tr>
      <w:tr>
        <w:trPr>
          <w:trHeight w:val="186"/>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Clinical Research (UK) Limited</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William Taaffe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54</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Executive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and President,</w:t>
            </w:r>
          </w:p>
        </w:tc>
      </w:tr>
      <w:tr>
        <w:trPr>
          <w:trHeight w:val="186"/>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ICON Clinical Research - U.S.</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Thomas Frey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Operating</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Europe</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Edward Caffrey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49</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President of ICON Laboratories</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John Hubbard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Operating</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ICON Clinical</w:t>
            </w:r>
          </w:p>
        </w:tc>
      </w:tr>
      <w:tr>
        <w:trPr>
          <w:trHeight w:val="186"/>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Research - U.S.</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Josephine Coyle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46</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Vice President for Corporate Quality Assurance</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of the Company</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Compensation Committee</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Audit Committee</w:t>
      </w:r>
    </w:p>
    <w:p>
      <w:pPr>
        <w:spacing w:after="0" w:line="191" w:lineRule="exact"/>
        <w:rPr>
          <w:sz w:val="20"/>
          <w:szCs w:val="20"/>
          <w:color w:val="auto"/>
        </w:rPr>
      </w:pPr>
    </w:p>
    <w:p>
      <w:pPr>
        <w:ind w:left="1" w:right="2559" w:firstLine="581"/>
        <w:spacing w:after="0" w:line="246" w:lineRule="auto"/>
        <w:rPr>
          <w:sz w:val="20"/>
          <w:szCs w:val="20"/>
          <w:color w:val="auto"/>
        </w:rPr>
      </w:pPr>
      <w:r>
        <w:rPr>
          <w:rFonts w:ascii="Courier New" w:cs="Courier New" w:eastAsia="Courier New" w:hAnsi="Courier New"/>
          <w:sz w:val="16"/>
          <w:szCs w:val="16"/>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191" w:lineRule="exact"/>
        <w:rPr>
          <w:sz w:val="20"/>
          <w:szCs w:val="20"/>
          <w:color w:val="auto"/>
        </w:rPr>
      </w:pPr>
    </w:p>
    <w:p>
      <w:pPr>
        <w:ind w:left="1" w:right="2459" w:firstLine="581"/>
        <w:spacing w:after="0" w:line="246" w:lineRule="auto"/>
        <w:rPr>
          <w:sz w:val="20"/>
          <w:szCs w:val="20"/>
          <w:color w:val="auto"/>
        </w:rPr>
      </w:pPr>
      <w:r>
        <w:rPr>
          <w:rFonts w:ascii="Courier New" w:cs="Courier New" w:eastAsia="Courier New" w:hAnsi="Courier New"/>
          <w:sz w:val="16"/>
          <w:szCs w:val="16"/>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191" w:lineRule="exact"/>
        <w:rPr>
          <w:sz w:val="20"/>
          <w:szCs w:val="20"/>
          <w:color w:val="auto"/>
        </w:rPr>
      </w:pPr>
    </w:p>
    <w:p>
      <w:pPr>
        <w:ind w:left="1" w:right="2659" w:firstLine="581"/>
        <w:spacing w:after="0" w:line="247" w:lineRule="auto"/>
        <w:rPr>
          <w:sz w:val="20"/>
          <w:szCs w:val="20"/>
          <w:color w:val="auto"/>
        </w:rPr>
      </w:pPr>
      <w:r>
        <w:rPr>
          <w:rFonts w:ascii="Courier New" w:cs="Courier New" w:eastAsia="Courier New" w:hAnsi="Courier New"/>
          <w:sz w:val="16"/>
          <w:szCs w:val="16"/>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185"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0"/>
          </w:cols>
          <w:pgMar w:left="239" w:top="490" w:right="1440" w:bottom="1440" w:gutter="0" w:footer="0" w:header="0"/>
        </w:sectPr>
      </w:pPr>
    </w:p>
    <w:bookmarkStart w:id="42" w:name="page43"/>
    <w:bookmarkEnd w:id="42"/>
    <w:p>
      <w:pPr>
        <w:ind w:right="2459" w:firstLine="581"/>
        <w:spacing w:after="0" w:line="247" w:lineRule="auto"/>
        <w:rPr>
          <w:sz w:val="20"/>
          <w:szCs w:val="20"/>
          <w:color w:val="auto"/>
        </w:rPr>
      </w:pPr>
      <w:r>
        <w:rPr>
          <w:rFonts w:ascii="Courier New" w:cs="Courier New" w:eastAsia="Courier New" w:hAnsi="Courier New"/>
          <w:sz w:val="16"/>
          <w:szCs w:val="16"/>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has been a partner in Global Health Care Partners since June 1998, and also serves as Chairman of Biopartners and Chairman of the Advisory Board of Merz &amp; Co. GmbH.</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LEE JONES has served as an outside director of the Company since June 1,</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DR. THOMAS FREY has served as Chief Operating Officer for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37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EDWARD CAFFREY has served as President of ICON Laboratories since June 2000. Mr. Caffrey has over 21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37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DR. JOHN W. HUBBARD has served as Chief Operating Officer of ICON Clinical Research - U.S. since October 1999. Dr. Hubbard has more than 18 years of experience in pharmaceutical research and development. From July 1997 until joining ICON, he held the position of Senior Vice President of Clinical Research Operations at Clinical Studies, a division of Innovative Clinical Solutions, Ltd. Dr. Hubbard received a Ph.D. in Cardiovascular Physiology from the University of Tennessee and a B.S. in Psychology/Biology from the University of Santa Clara.</w:t>
      </w:r>
    </w:p>
    <w:p>
      <w:pPr>
        <w:spacing w:after="0" w:line="191"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EMPLOYEES</w:t>
      </w:r>
    </w:p>
    <w:p>
      <w:pPr>
        <w:spacing w:after="0" w:line="378"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As of May 31, 2003, we had 2,280 employees worldwide. There were 2,051 employees working in our clinical research segment and 229 employees in our central laboratory segment. Globally, there were 1,369 employees in the United States, 823 employees in Europe (of which 291 employees are in Ireland) and 88 employees in the Rest of the World.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SHARE OPTION SCHEMES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9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 options can be granted after January 17, 2013.</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6" w:right="1440" w:bottom="1440" w:gutter="0" w:footer="0" w:header="0"/>
        </w:sectPr>
      </w:pPr>
    </w:p>
    <w:bookmarkStart w:id="44" w:name="page45"/>
    <w:bookmarkEnd w:id="44"/>
    <w:p>
      <w:pPr>
        <w:ind w:left="2901"/>
        <w:spacing w:after="0"/>
        <w:rPr>
          <w:sz w:val="20"/>
          <w:szCs w:val="20"/>
          <w:color w:val="auto"/>
        </w:rPr>
      </w:pPr>
      <w:r>
        <w:rPr>
          <w:rFonts w:ascii="Courier New" w:cs="Courier New" w:eastAsia="Courier New" w:hAnsi="Courier New"/>
          <w:sz w:val="16"/>
          <w:szCs w:val="16"/>
          <w:color w:val="auto"/>
        </w:rPr>
        <w:t>SELLING SHAREHOLDERS</w:t>
      </w:r>
    </w:p>
    <w:p>
      <w:pPr>
        <w:spacing w:after="0" w:line="378" w:lineRule="exact"/>
        <w:rPr>
          <w:sz w:val="20"/>
          <w:szCs w:val="20"/>
          <w:color w:val="auto"/>
        </w:rPr>
      </w:pPr>
    </w:p>
    <w:p>
      <w:pPr>
        <w:ind w:left="1" w:right="3680" w:firstLine="581"/>
        <w:spacing w:after="0" w:line="247"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our ordinary shares as of June 30, 2003 by the selling shareholders in this offering.</w:t>
      </w:r>
    </w:p>
    <w:p>
      <w:pPr>
        <w:sectPr>
          <w:pgSz w:w="11900" w:h="16838" w:orient="portrait"/>
          <w:cols w:equalWidth="0" w:num="1">
            <w:col w:w="11241"/>
          </w:cols>
          <w:pgMar w:left="239" w:top="67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1" w:right="240"/>
        <w:spacing w:after="0" w:line="247" w:lineRule="auto"/>
        <w:rPr>
          <w:sz w:val="20"/>
          <w:szCs w:val="20"/>
          <w:color w:val="auto"/>
        </w:rPr>
      </w:pPr>
      <w:r>
        <w:rPr>
          <w:rFonts w:ascii="Courier New" w:cs="Courier New" w:eastAsia="Courier New" w:hAnsi="Courier New"/>
          <w:sz w:val="16"/>
          <w:szCs w:val="16"/>
          <w:color w:val="auto"/>
        </w:rPr>
        <w:t>NAME AND ADDRESS OF SELLING SHAREHOLDER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OWNED</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PRIOR TO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THIS OFFERING(1)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BEING</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SOLD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OFFERING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OWNED AFTER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THIS OFFERING(1)</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(ASSUMING NO</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EXERCISE OF THE</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UNDERWRITERS'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OPTION TO PURCHASE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ADSS)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SHARES BENEFICIALLY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OWNED AFTER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OFFERING(1) (ASSUMING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EXERCISE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OPTION</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TO PURCHASE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ADSS)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0"/>
        <w:spacing w:after="0"/>
        <w:tabs>
          <w:tab w:leader="none" w:pos="14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ind w:left="100"/>
        <w:spacing w:after="0"/>
        <w:tabs>
          <w:tab w:leader="none" w:pos="1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5">
            <w:col w:w="2381" w:space="720"/>
            <w:col w:w="1840" w:space="480"/>
            <w:col w:w="1260" w:space="200"/>
            <w:col w:w="1840" w:space="380"/>
            <w:col w:w="2140"/>
          </w:cols>
          <w:pgMar w:left="239" w:top="676"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Dr. Ronan Lambe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2,408,720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1,408,720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1,183,720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8.9%</w:t>
      </w:r>
    </w:p>
    <w:p>
      <w:pPr>
        <w:spacing w:after="0" w:line="16" w:lineRule="exact"/>
        <w:rPr>
          <w:sz w:val="20"/>
          <w:szCs w:val="20"/>
          <w:color w:val="auto"/>
        </w:rPr>
      </w:pPr>
    </w:p>
    <w:p>
      <w:pPr>
        <w:sectPr>
          <w:pgSz w:w="11900" w:h="16838" w:orient="portrait"/>
          <w:cols w:equalWidth="0" w:num="8">
            <w:col w:w="2801" w:space="300"/>
            <w:col w:w="880" w:space="580"/>
            <w:col w:w="480" w:space="580"/>
            <w:col w:w="880" w:space="380"/>
            <w:col w:w="880" w:space="580"/>
            <w:col w:w="480" w:space="380"/>
            <w:col w:w="880" w:space="680"/>
            <w:col w:w="480"/>
          </w:cols>
          <w:pgMar w:left="239" w:top="676"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South County Business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Park, Leopardstown,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Dublin 18, Ireland</w:t>
      </w:r>
    </w:p>
    <w:p>
      <w:pPr>
        <w:sectPr>
          <w:pgSz w:w="11900" w:h="16838" w:orient="portrait"/>
          <w:cols w:equalWidth="0" w:num="1">
            <w:col w:w="11241"/>
          </w:cols>
          <w:pgMar w:left="239" w:top="676" w:right="419" w:bottom="1440" w:gutter="0" w:footer="0" w:header="0"/>
          <w:type w:val="continuous"/>
        </w:sectPr>
      </w:pP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Dr. John Climax(2)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2,639,120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2,139,120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1,914,120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14.3%</w:t>
      </w:r>
    </w:p>
    <w:p>
      <w:pPr>
        <w:spacing w:after="0" w:line="5" w:lineRule="exact"/>
        <w:rPr>
          <w:sz w:val="20"/>
          <w:szCs w:val="20"/>
          <w:color w:val="auto"/>
        </w:rPr>
      </w:pPr>
    </w:p>
    <w:p>
      <w:pPr>
        <w:sectPr>
          <w:pgSz w:w="11900" w:h="16838" w:orient="portrait"/>
          <w:cols w:equalWidth="0" w:num="8">
            <w:col w:w="2801" w:space="300"/>
            <w:col w:w="880" w:space="580"/>
            <w:col w:w="480" w:space="680"/>
            <w:col w:w="680" w:space="480"/>
            <w:col w:w="880" w:space="580"/>
            <w:col w:w="480" w:space="380"/>
            <w:col w:w="880" w:space="580"/>
            <w:col w:w="580"/>
          </w:cols>
          <w:pgMar w:left="239" w:top="676"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South County Business</w:t>
      </w:r>
    </w:p>
    <w:p>
      <w:pPr>
        <w:sectPr>
          <w:pgSz w:w="11900" w:h="16838" w:orient="portrait"/>
          <w:cols w:equalWidth="0" w:num="1">
            <w:col w:w="11241"/>
          </w:cols>
          <w:pgMar w:left="239" w:top="676" w:right="419" w:bottom="1440" w:gutter="0" w:footer="0" w:header="0"/>
          <w:type w:val="continuous"/>
        </w:sectPr>
      </w:pP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Park, Leopardstown,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Dublin 18, Ireland</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480" w:hanging="481"/>
        <w:spacing w:after="0" w:line="247"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185" w:lineRule="exact"/>
        <w:rPr>
          <w:rFonts w:ascii="Courier New" w:cs="Courier New" w:eastAsia="Courier New" w:hAnsi="Courier New"/>
          <w:sz w:val="16"/>
          <w:szCs w:val="16"/>
          <w:color w:val="auto"/>
        </w:rPr>
      </w:pPr>
    </w:p>
    <w:p>
      <w:pPr>
        <w:ind w:left="481" w:right="3880" w:hanging="481"/>
        <w:spacing w:after="0" w:line="247"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Climax is selling his shares through Wineberry Limited, a company controlled by him. The total number of shares beneficially owned by Dr. Climax is comprised of 1,523,080 warrants and 40 ordinary shares beneficially held by Dr. Climax and 1,115,000 ADSs held by Wineberry Limited.</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1241"/>
          </w:cols>
          <w:pgMar w:left="239" w:top="676" w:right="419" w:bottom="1440" w:gutter="0" w:footer="0" w:header="0"/>
          <w:type w:val="continuous"/>
        </w:sectPr>
      </w:pPr>
    </w:p>
    <w:bookmarkStart w:id="45" w:name="page46"/>
    <w:bookmarkEnd w:id="45"/>
    <w:p>
      <w:pPr>
        <w:ind w:left="2520"/>
        <w:spacing w:after="0"/>
        <w:rPr>
          <w:sz w:val="20"/>
          <w:szCs w:val="20"/>
          <w:color w:val="auto"/>
        </w:rPr>
      </w:pPr>
      <w:r>
        <w:rPr>
          <w:rFonts w:ascii="Courier New" w:cs="Courier New" w:eastAsia="Courier New" w:hAnsi="Courier New"/>
          <w:sz w:val="16"/>
          <w:szCs w:val="16"/>
          <w:color w:val="auto"/>
        </w:rPr>
        <w:t>U.S. TAXATION CONSIDERATIONS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w:t>
      </w:r>
    </w:p>
    <w:p>
      <w:pPr>
        <w:spacing w:after="0" w:line="19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As discussed in the opinion, the U.S. federal income tax consequences of the ownership and disposition of ordinary shares or ADSs purchased in this offering will depend to a significant extent on ICON's actual income and assets, the manner in which ICON manages and conducts its business and the composition of ICON's stock ownership,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or other tax consequences. Accordingly, prospective investors are urged to consult their own tax advisors to determine the specific tax consequences of the ownership and disposition of ordinary shares or ADSs to them, including any U.S. federal, state, local or other tax consequences of (and any tax return filing or other reporting requirements relating to) the ownership and disposition of ordinary shares or ADSs purchased in this offering.</w:t>
      </w:r>
    </w:p>
    <w:p>
      <w:pPr>
        <w:spacing w:after="0" w:line="197"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For purposes of the following opinion, the term "U.S. Holder" means a beneficial owner of ordinary shares or ADSs that is, for U.S. federal income tax purposes, a U.S. citizen or resident, a corporation created or organized in or under the laws of the United States or any political subdivision thereof, an estate the income of which is includable in gross income for U.S. income tax purposes regardless of its source, or a trust if:</w:t>
      </w:r>
    </w:p>
    <w:p>
      <w:pPr>
        <w:spacing w:after="0" w:line="185" w:lineRule="exact"/>
        <w:rPr>
          <w:sz w:val="20"/>
          <w:szCs w:val="20"/>
          <w:color w:val="auto"/>
        </w:rPr>
      </w:pPr>
    </w:p>
    <w:p>
      <w:pPr>
        <w:ind w:left="1160" w:right="2559" w:hanging="579"/>
        <w:spacing w:after="0" w:line="247" w:lineRule="auto"/>
        <w:tabs>
          <w:tab w:leader="none" w:pos="11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U.S. court is able to exercise primary supervision over the administration of the trust and one or more U.S. fiduciaries have the authority to control all substantial decisions of the trust; or</w:t>
      </w:r>
    </w:p>
    <w:p>
      <w:pPr>
        <w:spacing w:after="0" w:line="185" w:lineRule="exact"/>
        <w:rPr>
          <w:rFonts w:ascii="Courier New" w:cs="Courier New" w:eastAsia="Courier New" w:hAnsi="Courier New"/>
          <w:sz w:val="16"/>
          <w:szCs w:val="16"/>
          <w:color w:val="auto"/>
        </w:rPr>
      </w:pPr>
    </w:p>
    <w:p>
      <w:pPr>
        <w:ind w:left="1160" w:right="3039" w:hanging="579"/>
        <w:spacing w:after="0" w:line="248" w:lineRule="auto"/>
        <w:tabs>
          <w:tab w:leader="none" w:pos="11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valid election in effect under applicable U.S. Treasury Regulations to be treated as a U.S. person.</w:t>
      </w:r>
    </w:p>
    <w:p>
      <w:pPr>
        <w:spacing w:after="0" w:line="184"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For U.S. federal income tax purposes, U.S. Holders of ADSs are treated as the owners of the underlying ordinary shares.</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Cahill Gordon Reindel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6"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basis in such share or ADS and thereafter as a capital gain. Dividends paid by ICON plc, if any, generally will not qualify for the dividends-received deduction otherwise generally available to corporate shareholders.</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U.S. foreign tax credits. However, a U.S. Holder entitled to benefits under the Ireland-U.S. Income Tax Treaty may elect to treat any of ICON plc's dividends as foreign source income for foreign tax credit limitation purposes if the dividend income is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PASSIVE FOREIGN INVESTMENT COMPANY ("PFIC")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If the representations made by ICON's management regarding the current and former nature and amount of its income and assets and the manner in which it has managed and conducted its business are accurate (without regard to any knowledge or belief qualifiers expressed by management), ICON plc was not a PFIC for its taxable year ended May 31, 2002.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May 31, 2004 or in the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A U.S. Holder owning shares in a PFIC generally may be able to avoid or mitigate these</w:t>
      </w:r>
    </w:p>
    <w:p>
      <w:pPr>
        <w:spacing w:after="0" w:line="3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6" w:right="1440" w:bottom="1440" w:gutter="0" w:footer="0" w:header="0"/>
        </w:sectPr>
      </w:pPr>
    </w:p>
    <w:bookmarkStart w:id="47" w:name="page48"/>
    <w:bookmarkEnd w:id="47"/>
    <w:p>
      <w:pPr>
        <w:ind w:right="2659"/>
        <w:spacing w:after="0" w:line="247" w:lineRule="auto"/>
        <w:rPr>
          <w:sz w:val="20"/>
          <w:szCs w:val="20"/>
          <w:color w:val="auto"/>
        </w:rPr>
      </w:pPr>
      <w:r>
        <w:rPr>
          <w:rFonts w:ascii="Courier New" w:cs="Courier New" w:eastAsia="Courier New" w:hAnsi="Courier New"/>
          <w:sz w:val="16"/>
          <w:szCs w:val="16"/>
          <w:color w:val="auto"/>
        </w:rPr>
        <w:t>adverse tax consequences by making a timely "qualified electing fund" or "mark-to-market" election. U.S. Holders should consult with their tax advisors as to the effect of these rules.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HOLDING COMPANY ("PHC")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corporation that is neither a PFIC, discussed above, nor a "foreign personal holding company," discussed below, generally is a PHC if (i) more than 50% of its stock (measured by value) is owned, directly or indirectly (applying certain attribution rules), by five or fewer individuals or entities treated as individuals (without regard to their citizenship or residence) (the "PHC stockholder test") and (ii) it receives 60% or more of its gross income, as specifically adjusted, from certain "passive" sources, such as interest, royalties and dividends. For purposes of this gross income test, a foreign corporation generally only includes gross income derived from U.S. sources or gross income that is effectively connected with a U.S. trade or business. A corporation that is a PHC is subject to U.S. federal income tax on its "undistributed personal holding company income" - which in the case of a foreign corporation, essentially is its after-tax, after-dividends ordinary income that is U.S.-sourced or effectively connected with a U.S. trade or business.</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subsidiaries is currently a PHC because it appears unlikely that five or fewer individuals (or entities treated as individuals) have owned in the aggregate (directly or indirectly) more than 47% of the ICON plc shares at any time during the current taxable year (and because the ownership is expected to become less concentrated as a result of this offering).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subsidiaries are not currently PHCs, there can be no assurance that neither ICON plc nor one or more of its subsidiaries will become a PHC in the future.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PERSONAL HOLDING COMPANY ("FPHC")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foreign corporation generally will be classified as an FPHC if (i) five or fewer individuals who are U.S. citizens or residents directly or indirectly (applying certain attribution rules) own more than 50% of the corporation's stock (measured either by voting power or value) (the "FPHC stockholder test") and (ii) the corporation receives at least 60% of its gross income (regardless of source), as specifically adjusted, from certain passive sources (the "income test"). After a corporation becomes an FPHC, the income test percentage for each subsequent taxable year is reduced to 50%.</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general, if ICON plc or any of its foreign subsidiaries were classified as an FPHC, the "undistributed foreign personal holding company income" of such entity - essentially its worldwide after-tax, after-dividends income - would be imputed to all of the U.S. shareholders of ICON plc who were deemed to hold ICON plc's stock on the last day of its taxable year on which the FPHC stockholder test was met, regardless of the size of their respective stockholdings. Such income would be taxable to such persons as a dividend, even if no cash dividend were actually paid.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foreign subsidiaries is currently an FPHC because it appears unlikely that ICON plc currently violates the FPHC stockholder test.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foreign subsidiaries are not currently FPHCs, there can be no assurance that neither ICON plc nor one or more of its subsidiaries will become an FPHC in the future.</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6"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BACKUP WITHHOLDING TAX AND INFORMATION REPORTING</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 U.S. Holder of ordinary shares or ADSs may be subject to information reporting requirements and backup withholding tax for amounts paid with respect to dividends on the ordinary shares or ADSs, or the proceeds of sale of the ordinary shares or ADSs, unless the holder:</w:t>
      </w:r>
    </w:p>
    <w:p>
      <w:pPr>
        <w:spacing w:after="0" w:line="186" w:lineRule="exact"/>
        <w:rPr>
          <w:sz w:val="20"/>
          <w:szCs w:val="20"/>
          <w:color w:val="auto"/>
        </w:rPr>
      </w:pPr>
    </w:p>
    <w:p>
      <w:pPr>
        <w:ind w:left="1160" w:right="2759" w:hanging="579"/>
        <w:spacing w:after="0" w:line="248"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corporation or comes within certain other exempt categories, and when required, demonstrates this fact; or</w:t>
      </w:r>
    </w:p>
    <w:p>
      <w:pPr>
        <w:spacing w:after="0" w:line="184" w:lineRule="exact"/>
        <w:rPr>
          <w:rFonts w:ascii="Courier New" w:cs="Courier New" w:eastAsia="Courier New" w:hAnsi="Courier New"/>
          <w:sz w:val="16"/>
          <w:szCs w:val="16"/>
          <w:color w:val="auto"/>
        </w:rPr>
      </w:pPr>
    </w:p>
    <w:p>
      <w:pPr>
        <w:ind w:left="1160" w:right="2759" w:hanging="579"/>
        <w:spacing w:after="0" w:line="247"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a correct taxpayer identification number, or T.I.N., certifies that he, she or it is not subject to backup withholding and otherwise complies with applicable requirements of the backup withholding rules.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 U.S. Holder of ordinary shares or ADSs who does not provide a correct T.I.N. may be subject to penalties imposed by the U.S. Internal Revenue Service. Any amount withheld under backup withholding rules generally will be creditable against the U.S. Holder's U.S. federal income tax liability.</w:t>
      </w:r>
    </w:p>
    <w:p>
      <w:pPr>
        <w:spacing w:after="0" w:line="18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IRISH TAXATION CONSIDERATIONS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Set forth below is the opinion of KPMG, Tax Advisors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KPMG that: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9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Non-Irish resident corporate shareholders that:</w:t>
      </w:r>
    </w:p>
    <w:p>
      <w:pPr>
        <w:spacing w:after="0" w:line="191" w:lineRule="exact"/>
        <w:rPr>
          <w:sz w:val="20"/>
          <w:szCs w:val="20"/>
          <w:color w:val="auto"/>
        </w:rPr>
      </w:pPr>
    </w:p>
    <w:p>
      <w:pPr>
        <w:ind w:left="1160" w:hanging="579"/>
        <w:spacing w:after="0"/>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ultimately controlled by residents of a Relevant Territory;</w:t>
      </w:r>
    </w:p>
    <w:p>
      <w:pPr>
        <w:spacing w:after="0" w:line="191"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resident in a Relevant Territory and are not controlled by Irish residents;</w:t>
      </w:r>
    </w:p>
    <w:p>
      <w:pPr>
        <w:spacing w:after="0" w:line="184" w:lineRule="exact"/>
        <w:rPr>
          <w:rFonts w:ascii="Courier New" w:cs="Courier New" w:eastAsia="Courier New" w:hAnsi="Courier New"/>
          <w:sz w:val="16"/>
          <w:szCs w:val="16"/>
          <w:color w:val="auto"/>
        </w:rPr>
      </w:pPr>
    </w:p>
    <w:p>
      <w:pPr>
        <w:ind w:left="1160" w:right="2459" w:hanging="579"/>
        <w:spacing w:after="0" w:line="247"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principal class of their shares, or shares of a 75% parent, substantially and regularly traded on one or more recognized stock exchanges in a Relevant Territory or Territories; or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6" w:right="1440" w:bottom="1440" w:gutter="0" w:footer="0" w:header="0"/>
        </w:sectPr>
      </w:pPr>
    </w:p>
    <w:bookmarkStart w:id="49" w:name="page50"/>
    <w:bookmarkEnd w:id="49"/>
    <w:p>
      <w:pPr>
        <w:ind w:left="1160" w:right="2459" w:hanging="579"/>
        <w:spacing w:after="0" w:line="247" w:lineRule="auto"/>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wholly owned by two or more companies, each of whose principal class of shares is substantially and regularly traded on one or more recognized stock exchanges in a Relevant Territory or Territories;</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will be exempt from withholding tax on the production of the appropriate certificates and declarations.</w:t>
      </w:r>
    </w:p>
    <w:p>
      <w:pPr>
        <w:spacing w:after="0" w:line="184"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U.S. Holders (as defined in the opinion included elsewhere in "U.S. Taxation Considerations" provided by Cahill Gordon &amp; Reindel LLP) of ordinary shares (as opposed to ADSs; see below) should note, however, that these documentation requirements may be burdensome. As described below, these documentation requirements do not apply in the case of ADSs.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86" w:lineRule="exact"/>
        <w:rPr>
          <w:sz w:val="20"/>
          <w:szCs w:val="20"/>
          <w:color w:val="auto"/>
        </w:rPr>
      </w:pPr>
    </w:p>
    <w:p>
      <w:pPr>
        <w:ind w:left="1160" w:right="2759" w:hanging="579"/>
        <w:spacing w:after="0" w:line="247" w:lineRule="auto"/>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has been authorized by the Irish Revenue Commissioners as a qualifying intermediary and such authorization has not expired or been revoked; and either</w:t>
      </w:r>
    </w:p>
    <w:p>
      <w:pPr>
        <w:spacing w:after="0" w:line="185"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bank's ADS register shows that the beneficial owner has a U.S. address on the register; or</w:t>
      </w:r>
    </w:p>
    <w:p>
      <w:pPr>
        <w:spacing w:after="0" w:line="184" w:lineRule="exact"/>
        <w:rPr>
          <w:rFonts w:ascii="Courier New" w:cs="Courier New" w:eastAsia="Courier New" w:hAnsi="Courier New"/>
          <w:sz w:val="16"/>
          <w:szCs w:val="16"/>
          <w:color w:val="auto"/>
        </w:rPr>
      </w:pPr>
    </w:p>
    <w:p>
      <w:pPr>
        <w:ind w:left="1160" w:right="2659" w:hanging="579"/>
        <w:spacing w:after="0" w:line="247" w:lineRule="auto"/>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However, a U.S. Holder will not have an Irish income tax liability on dividends from the company if the U.S. Holder is neither resident nor ordinarily resident in the Republic of Ireland and the U.S. Holder is:</w:t>
      </w:r>
    </w:p>
    <w:p>
      <w:pPr>
        <w:spacing w:after="0" w:line="186" w:lineRule="exact"/>
        <w:rPr>
          <w:sz w:val="20"/>
          <w:szCs w:val="20"/>
          <w:color w:val="auto"/>
        </w:rPr>
      </w:pPr>
    </w:p>
    <w:p>
      <w:pPr>
        <w:ind w:left="1160" w:hanging="579"/>
        <w:spacing w:after="0"/>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resident in the U.S. (or several other countries);</w:t>
      </w:r>
    </w:p>
    <w:p>
      <w:pPr>
        <w:spacing w:after="0" w:line="191"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ultimately controlled by persons resident in the U.S. (or several other countries);</w:t>
      </w:r>
    </w:p>
    <w:p>
      <w:pPr>
        <w:spacing w:after="0" w:line="184" w:lineRule="exact"/>
        <w:rPr>
          <w:rFonts w:ascii="Courier New" w:cs="Courier New" w:eastAsia="Courier New" w:hAnsi="Courier New"/>
          <w:sz w:val="16"/>
          <w:szCs w:val="16"/>
          <w:color w:val="auto"/>
        </w:rPr>
      </w:pPr>
    </w:p>
    <w:p>
      <w:pPr>
        <w:ind w:left="1160" w:right="2459" w:hanging="579"/>
        <w:spacing w:after="0" w:line="247"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85" w:lineRule="exact"/>
        <w:rPr>
          <w:rFonts w:ascii="Courier New" w:cs="Courier New" w:eastAsia="Courier New" w:hAnsi="Courier New"/>
          <w:sz w:val="16"/>
          <w:szCs w:val="16"/>
          <w:color w:val="auto"/>
        </w:rPr>
      </w:pPr>
    </w:p>
    <w:p>
      <w:pPr>
        <w:ind w:left="1160" w:right="2559" w:hanging="579"/>
        <w:spacing w:after="0" w:line="247"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resident in another EU member state or in a country with which Ireland has concluded a double taxation treaty, which is not controlled directly or indirectly by Irish residents; or</w:t>
      </w:r>
    </w:p>
    <w:p>
      <w:pPr>
        <w:spacing w:after="0" w:line="185" w:lineRule="exact"/>
        <w:rPr>
          <w:rFonts w:ascii="Courier New" w:cs="Courier New" w:eastAsia="Courier New" w:hAnsi="Courier New"/>
          <w:sz w:val="16"/>
          <w:szCs w:val="16"/>
          <w:color w:val="auto"/>
        </w:rPr>
      </w:pPr>
    </w:p>
    <w:p>
      <w:pPr>
        <w:ind w:left="1160" w:right="2559" w:hanging="579"/>
        <w:spacing w:after="0" w:line="247"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U.S. Holders that do not fulfill the documentation requirements or otherwise do not qualify for the withholding tax exemption may be able to claim treaty benefits under the treaty. U.S. Holders that are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6" w:right="1440" w:bottom="1440" w:gutter="0" w:footer="0" w:header="0"/>
        </w:sectPr>
      </w:pPr>
    </w:p>
    <w:bookmarkStart w:id="50" w:name="page51"/>
    <w:bookmarkEnd w:id="50"/>
    <w:p>
      <w:pPr>
        <w:ind w:right="2559"/>
        <w:spacing w:after="0" w:line="248" w:lineRule="auto"/>
        <w:rPr>
          <w:sz w:val="20"/>
          <w:szCs w:val="20"/>
          <w:color w:val="auto"/>
        </w:rPr>
      </w:pPr>
      <w:r>
        <w:rPr>
          <w:rFonts w:ascii="Courier New" w:cs="Courier New" w:eastAsia="Courier New" w:hAnsi="Courier New"/>
          <w:sz w:val="16"/>
          <w:szCs w:val="16"/>
          <w:color w:val="auto"/>
        </w:rPr>
        <w:t>entitled to benefits under the treaty will be able to claim a partial refund of the 20% withholding tax from the Irish Revenue Commissioners.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193" w:lineRule="exact"/>
        <w:rPr>
          <w:sz w:val="20"/>
          <w:szCs w:val="20"/>
          <w:color w:val="auto"/>
        </w:rPr>
      </w:pPr>
    </w:p>
    <w:p>
      <w:pPr>
        <w:ind w:left="1160" w:hanging="579"/>
        <w:spacing w:after="0"/>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to be Irish resident after December 4, 2002;</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the shares when they cease to be resident;</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resume their Irish residence within five years;</w:t>
      </w:r>
    </w:p>
    <w:p>
      <w:pPr>
        <w:spacing w:after="0" w:line="191" w:lineRule="exact"/>
        <w:rPr>
          <w:rFonts w:ascii="Courier New" w:cs="Courier New" w:eastAsia="Courier New" w:hAnsi="Courier New"/>
          <w:sz w:val="16"/>
          <w:szCs w:val="16"/>
          <w:color w:val="auto"/>
        </w:rPr>
      </w:pPr>
    </w:p>
    <w:p>
      <w:pPr>
        <w:ind w:left="1160" w:right="3539" w:hanging="579"/>
        <w:spacing w:after="0" w:line="248"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 interest in a company during this temporary non-residence; and</w:t>
      </w:r>
    </w:p>
    <w:p>
      <w:pPr>
        <w:spacing w:after="0" w:line="184" w:lineRule="exact"/>
        <w:rPr>
          <w:rFonts w:ascii="Courier New" w:cs="Courier New" w:eastAsia="Courier New" w:hAnsi="Courier New"/>
          <w:sz w:val="16"/>
          <w:szCs w:val="16"/>
          <w:color w:val="auto"/>
        </w:rPr>
      </w:pPr>
    </w:p>
    <w:p>
      <w:pPr>
        <w:ind w:left="1160" w:right="3039" w:hanging="579"/>
        <w:spacing w:after="0" w:line="248"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disposed of represents 5% or greater of the share capital of the company or is worth at least (euro)500,000.</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DUTY-ORDINARY SHARES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Transfers of ordinary shares between associated companies (broadly, compares with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(euro)12.70 (the nominal rate) will apply.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DUTY-ADSS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6" w:right="1440" w:bottom="1440" w:gutter="0" w:footer="0" w:header="0"/>
        </w:sectPr>
      </w:pPr>
    </w:p>
    <w:bookmarkStart w:id="51" w:name="page52"/>
    <w:bookmarkEnd w:id="51"/>
    <w:p>
      <w:pPr>
        <w:ind w:right="2459"/>
        <w:spacing w:after="0" w:line="247" w:lineRule="auto"/>
        <w:rPr>
          <w:sz w:val="20"/>
          <w:szCs w:val="20"/>
          <w:color w:val="auto"/>
        </w:rPr>
      </w:pPr>
      <w:r>
        <w:rPr>
          <w:rFonts w:ascii="Courier New" w:cs="Courier New" w:eastAsia="Courier New" w:hAnsi="Courier New"/>
          <w:sz w:val="16"/>
          <w:szCs w:val="16"/>
          <w:color w:val="auto"/>
        </w:rPr>
        <w:t>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(euro)12.70 applies.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Transfers of ADSs are exempt from Irish stamp duty as long as the ADSs are dealt in on the Nasdaq National Market or any recognized stock exchange in the United States or Canada.</w:t>
      </w:r>
    </w:p>
    <w:p>
      <w:pPr>
        <w:spacing w:after="0" w:line="186"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ACQUISITIONS TAX</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6" w:right="1440" w:bottom="1440" w:gutter="0" w:footer="0" w:header="0"/>
        </w:sectPr>
      </w:pPr>
    </w:p>
    <w:bookmarkStart w:id="52" w:name="page53"/>
    <w:bookmarkEnd w:id="52"/>
    <w:p>
      <w:pPr>
        <w:ind w:left="3300"/>
        <w:spacing w:after="0"/>
        <w:rPr>
          <w:sz w:val="20"/>
          <w:szCs w:val="20"/>
          <w:color w:val="auto"/>
        </w:rPr>
      </w:pPr>
      <w:r>
        <w:rPr>
          <w:rFonts w:ascii="Courier New" w:cs="Courier New" w:eastAsia="Courier New" w:hAnsi="Courier New"/>
          <w:sz w:val="16"/>
          <w:szCs w:val="16"/>
          <w:color w:val="auto"/>
        </w:rPr>
        <w:t>UNDERWRITING</w:t>
      </w:r>
    </w:p>
    <w:p>
      <w:pPr>
        <w:spacing w:after="0" w:line="191" w:lineRule="exact"/>
        <w:rPr>
          <w:sz w:val="20"/>
          <w:szCs w:val="20"/>
          <w:color w:val="auto"/>
        </w:rPr>
      </w:pPr>
    </w:p>
    <w:p>
      <w:pPr>
        <w:ind w:right="180" w:firstLine="581"/>
        <w:spacing w:after="0" w:line="247" w:lineRule="auto"/>
        <w:rPr>
          <w:sz w:val="20"/>
          <w:szCs w:val="20"/>
          <w:color w:val="auto"/>
        </w:rPr>
      </w:pPr>
      <w:r>
        <w:rPr>
          <w:rFonts w:ascii="Courier New" w:cs="Courier New" w:eastAsia="Courier New" w:hAnsi="Courier New"/>
          <w:sz w:val="16"/>
          <w:szCs w:val="16"/>
          <w:color w:val="auto"/>
        </w:rPr>
        <w:t>We, the selling shareholders and the underwriters for this offering named below have entered into an underwriting agreement with respect to the ADSs being offered. Subject to certain conditions, each underwriter has severally agreed to purchase the number of ADSs indicated in the following table.</w:t>
      </w:r>
    </w:p>
    <w:p>
      <w:pPr>
        <w:spacing w:after="0" w:line="186" w:lineRule="exact"/>
        <w:rPr>
          <w:sz w:val="20"/>
          <w:szCs w:val="20"/>
          <w:color w:val="auto"/>
        </w:rPr>
      </w:pPr>
    </w:p>
    <w:p>
      <w:pPr>
        <w:ind w:left="3300"/>
        <w:spacing w:after="0"/>
        <w:tabs>
          <w:tab w:leader="none" w:pos="6080" w:val="left"/>
        </w:tabs>
        <w:rPr>
          <w:sz w:val="20"/>
          <w:szCs w:val="20"/>
          <w:color w:val="auto"/>
        </w:rPr>
      </w:pPr>
      <w:r>
        <w:rPr>
          <w:rFonts w:ascii="Courier New" w:cs="Courier New" w:eastAsia="Courier New" w:hAnsi="Courier New"/>
          <w:sz w:val="16"/>
          <w:szCs w:val="16"/>
          <w:color w:val="auto"/>
        </w:rPr>
        <w:t>Underwriters</w:t>
      </w:r>
      <w:r>
        <w:rPr>
          <w:sz w:val="20"/>
          <w:szCs w:val="20"/>
          <w:color w:val="auto"/>
        </w:rPr>
        <w:tab/>
      </w:r>
      <w:r>
        <w:rPr>
          <w:rFonts w:ascii="Courier New" w:cs="Courier New" w:eastAsia="Courier New" w:hAnsi="Courier New"/>
          <w:sz w:val="16"/>
          <w:szCs w:val="16"/>
          <w:color w:val="auto"/>
        </w:rPr>
        <w:t>Number of ADSs</w:t>
      </w:r>
    </w:p>
    <w:p>
      <w:pPr>
        <w:spacing w:after="0" w:line="5" w:lineRule="exact"/>
        <w:rPr>
          <w:sz w:val="20"/>
          <w:szCs w:val="20"/>
          <w:color w:val="auto"/>
        </w:rPr>
      </w:pPr>
    </w:p>
    <w:p>
      <w:pPr>
        <w:ind w:left="3300"/>
        <w:spacing w:after="0"/>
        <w:tabs>
          <w:tab w:leader="none" w:pos="6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Goldman, Sachs &amp; Co.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William Blair &amp; Company, L.L.C.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Bear, Stearns &amp; Co. Inc.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J&amp;E Davy (trading as Davy Stockbrokers) ..............</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spacing w:after="0"/>
        <w:tabs>
          <w:tab w:leader="none" w:pos="628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3,000,000</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both"/>
        <w:ind w:right="380" w:firstLine="581"/>
        <w:spacing w:after="0" w:line="247" w:lineRule="auto"/>
        <w:rPr>
          <w:sz w:val="20"/>
          <w:szCs w:val="20"/>
          <w:color w:val="auto"/>
        </w:rPr>
      </w:pPr>
      <w:r>
        <w:rPr>
          <w:rFonts w:ascii="Courier New" w:cs="Courier New" w:eastAsia="Courier New" w:hAnsi="Courier New"/>
          <w:sz w:val="16"/>
          <w:szCs w:val="16"/>
          <w:color w:val="auto"/>
        </w:rPr>
        <w:t>The underwriters are committed to take and pay for all of the ADSs being offered, if any are taken, other than the ADSs covered by the option described below unless and until the option is exercised.</w:t>
      </w:r>
    </w:p>
    <w:p>
      <w:pPr>
        <w:spacing w:after="0" w:line="186" w:lineRule="exact"/>
        <w:rPr>
          <w:sz w:val="20"/>
          <w:szCs w:val="20"/>
          <w:color w:val="auto"/>
        </w:rPr>
      </w:pPr>
    </w:p>
    <w:p>
      <w:pPr>
        <w:ind w:right="280" w:firstLine="581"/>
        <w:spacing w:after="0" w:line="247" w:lineRule="auto"/>
        <w:rPr>
          <w:sz w:val="20"/>
          <w:szCs w:val="20"/>
          <w:color w:val="auto"/>
        </w:rPr>
      </w:pPr>
      <w:r>
        <w:rPr>
          <w:rFonts w:ascii="Courier New" w:cs="Courier New" w:eastAsia="Courier New" w:hAnsi="Courier New"/>
          <w:sz w:val="16"/>
          <w:szCs w:val="16"/>
          <w:color w:val="auto"/>
        </w:rPr>
        <w:t>If the underwriters sell more ADSs than the total number set forth in the table above, the underwriters have an option to buy up to an additional 450,000 ADSs from the selling shareholders to cover such sales. They may exercise that option for 30 days. If any ADSs are purchased pursuant to this option, the underwriters will severally purchase ADSs in approximately the same proportion as set forth in the table above.</w:t>
      </w:r>
    </w:p>
    <w:p>
      <w:pPr>
        <w:spacing w:after="0" w:line="185" w:lineRule="exact"/>
        <w:rPr>
          <w:sz w:val="20"/>
          <w:szCs w:val="20"/>
          <w:color w:val="auto"/>
        </w:rPr>
      </w:pPr>
    </w:p>
    <w:p>
      <w:pPr>
        <w:ind w:right="180" w:firstLine="581"/>
        <w:spacing w:after="0" w:line="247" w:lineRule="auto"/>
        <w:rPr>
          <w:sz w:val="20"/>
          <w:szCs w:val="20"/>
          <w:color w:val="auto"/>
        </w:rPr>
      </w:pPr>
      <w:r>
        <w:rPr>
          <w:rFonts w:ascii="Courier New" w:cs="Courier New" w:eastAsia="Courier New" w:hAnsi="Courier New"/>
          <w:sz w:val="16"/>
          <w:szCs w:val="16"/>
          <w:color w:val="auto"/>
        </w:rPr>
        <w:t>The following table shows the per ADS and total underwriting discounts and commissions to be paid to the underwriters by us and the selling shareholders. Such amounts are shown assuming both no exercise and full exercise of the underwriters' option to purchase an additional 450,000 ADSs.</w:t>
      </w:r>
    </w:p>
    <w:p>
      <w:pPr>
        <w:spacing w:after="0" w:line="200" w:lineRule="exact"/>
        <w:rPr>
          <w:sz w:val="20"/>
          <w:szCs w:val="20"/>
          <w:color w:val="auto"/>
        </w:rPr>
      </w:pPr>
    </w:p>
    <w:p>
      <w:pPr>
        <w:spacing w:after="0" w:line="358" w:lineRule="exact"/>
        <w:rPr>
          <w:sz w:val="20"/>
          <w:szCs w:val="20"/>
          <w:color w:val="auto"/>
        </w:rPr>
      </w:pPr>
    </w:p>
    <w:p>
      <w:pPr>
        <w:jc w:val="right"/>
        <w:spacing w:after="0"/>
        <w:tabs>
          <w:tab w:leader="none" w:pos="1040" w:val="left"/>
        </w:tabs>
        <w:rPr>
          <w:sz w:val="20"/>
          <w:szCs w:val="20"/>
          <w:color w:val="auto"/>
        </w:rPr>
      </w:pPr>
      <w:r>
        <w:rPr>
          <w:rFonts w:ascii="Courier New" w:cs="Courier New" w:eastAsia="Courier New" w:hAnsi="Courier New"/>
          <w:sz w:val="16"/>
          <w:szCs w:val="16"/>
          <w:color w:val="auto"/>
        </w:rPr>
        <w:t>Paid by the Company and the Selling Shareholders</w:t>
      </w:r>
      <w:r>
        <w:rPr>
          <w:sz w:val="20"/>
          <w:szCs w:val="20"/>
          <w:color w:val="auto"/>
        </w:rPr>
        <w:tab/>
      </w:r>
      <w:r>
        <w:rPr>
          <w:rFonts w:ascii="Courier New" w:cs="Courier New" w:eastAsia="Courier New" w:hAnsi="Courier New"/>
          <w:sz w:val="16"/>
          <w:szCs w:val="16"/>
          <w:color w:val="auto"/>
        </w:rPr>
        <w:t>No Exercise</w:t>
      </w:r>
    </w:p>
    <w:p>
      <w:pPr>
        <w:spacing w:after="0" w:line="5" w:lineRule="exact"/>
        <w:rPr>
          <w:sz w:val="20"/>
          <w:szCs w:val="20"/>
          <w:color w:val="auto"/>
        </w:rPr>
      </w:pPr>
    </w:p>
    <w:p>
      <w:pPr>
        <w:ind w:left="960"/>
        <w:spacing w:after="0"/>
        <w:tabs>
          <w:tab w:leader="none" w:pos="6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tabs>
          <w:tab w:leader="none" w:pos="6860" w:val="left"/>
        </w:tabs>
        <w:rPr>
          <w:sz w:val="20"/>
          <w:szCs w:val="20"/>
          <w:color w:val="auto"/>
        </w:rPr>
      </w:pPr>
      <w:r>
        <w:rPr>
          <w:rFonts w:ascii="Courier New" w:cs="Courier New" w:eastAsia="Courier New" w:hAnsi="Courier New"/>
          <w:sz w:val="16"/>
          <w:szCs w:val="16"/>
          <w:color w:val="auto"/>
        </w:rPr>
        <w:t>Per ADS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tabs>
          <w:tab w:leader="none" w:pos="686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ind w:right="180" w:firstLine="581"/>
        <w:spacing w:after="0" w:line="246" w:lineRule="auto"/>
        <w:rPr>
          <w:sz w:val="20"/>
          <w:szCs w:val="20"/>
          <w:color w:val="auto"/>
        </w:rPr>
      </w:pPr>
      <w:r>
        <w:rPr>
          <w:rFonts w:ascii="Courier New" w:cs="Courier New" w:eastAsia="Courier New" w:hAnsi="Courier New"/>
          <w:sz w:val="16"/>
          <w:szCs w:val="16"/>
          <w:color w:val="auto"/>
        </w:rPr>
        <w:t>ADSs sold by the underwriters to the public will initially be offered at the initial price to public set forth on the cover of this prospectus. Any ADSs sold by the underwriters to securities dealers may be sold at a discount of $ per ADS from the initial price to public. Any such securities dealers may resell any ADSs purchased from the underwriters to certain other brokers or dealers at a discount of up to $ per ADS from the initial price to public. If all the ADSs are not sold at the initial price to public, the underwriters may change this offering price and the other selling terms.</w:t>
      </w:r>
    </w:p>
    <w:p>
      <w:pPr>
        <w:spacing w:after="0" w:line="191" w:lineRule="exact"/>
        <w:rPr>
          <w:sz w:val="20"/>
          <w:szCs w:val="20"/>
          <w:color w:val="auto"/>
        </w:rPr>
      </w:pPr>
    </w:p>
    <w:p>
      <w:pPr>
        <w:ind w:right="480" w:firstLine="581"/>
        <w:spacing w:after="0" w:line="248" w:lineRule="auto"/>
        <w:rPr>
          <w:sz w:val="20"/>
          <w:szCs w:val="20"/>
          <w:color w:val="auto"/>
        </w:rPr>
      </w:pPr>
      <w:r>
        <w:rPr>
          <w:rFonts w:ascii="Courier New" w:cs="Courier New" w:eastAsia="Courier New" w:hAnsi="Courier New"/>
          <w:sz w:val="16"/>
          <w:szCs w:val="16"/>
          <w:color w:val="auto"/>
        </w:rPr>
        <w:t>J&amp;E Davy (trading as Davy Stockbrokers) has advised us that it will not offer or sell the ADSs in the United States or to U.S. persons.</w:t>
      </w:r>
    </w:p>
    <w:p>
      <w:pPr>
        <w:spacing w:after="0" w:line="371" w:lineRule="exact"/>
        <w:rPr>
          <w:sz w:val="20"/>
          <w:szCs w:val="20"/>
          <w:color w:val="auto"/>
        </w:rPr>
      </w:pPr>
    </w:p>
    <w:p>
      <w:pPr>
        <w:ind w:right="180" w:firstLine="581"/>
        <w:spacing w:after="0" w:line="246" w:lineRule="auto"/>
        <w:rPr>
          <w:sz w:val="20"/>
          <w:szCs w:val="20"/>
          <w:color w:val="auto"/>
        </w:rPr>
      </w:pPr>
      <w:r>
        <w:rPr>
          <w:rFonts w:ascii="Courier New" w:cs="Courier New" w:eastAsia="Courier New" w:hAnsi="Courier New"/>
          <w:sz w:val="16"/>
          <w:szCs w:val="16"/>
          <w:color w:val="auto"/>
        </w:rPr>
        <w:t>We, and our executive officers and directors,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their ordinary shares, ADSs or securities convertible into or exchangeable for ordinary shares or ADSs during the period from the date of this prospectus continuing through a date that is 180 days from the date of this prospectus, except with the prior consent of Goldman, Sachs &amp; Co. This agreement does not apply to any existing employee benefit plans.</w:t>
      </w:r>
    </w:p>
    <w:p>
      <w:pPr>
        <w:spacing w:after="0" w:line="379" w:lineRule="exact"/>
        <w:rPr>
          <w:sz w:val="20"/>
          <w:szCs w:val="20"/>
          <w:color w:val="auto"/>
        </w:rPr>
      </w:pPr>
    </w:p>
    <w:p>
      <w:pPr>
        <w:ind w:right="180" w:firstLine="581"/>
        <w:spacing w:after="0" w:line="247" w:lineRule="auto"/>
        <w:rPr>
          <w:sz w:val="20"/>
          <w:szCs w:val="20"/>
          <w:color w:val="auto"/>
        </w:rPr>
      </w:pPr>
      <w:r>
        <w:rPr>
          <w:rFonts w:ascii="Courier New" w:cs="Courier New" w:eastAsia="Courier New" w:hAnsi="Courier New"/>
          <w:sz w:val="16"/>
          <w:szCs w:val="16"/>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"Covered" short sales are sales made in an amount not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6"/>
          <w:szCs w:val="16"/>
          <w:color w:val="auto"/>
        </w:rPr>
        <w:t>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940" w:space="480"/>
            <w:col w:w="1799"/>
          </w:cols>
          <w:pgMar w:left="240" w:top="676" w:right="1440" w:bottom="1068" w:gutter="0" w:footer="0" w:header="0"/>
        </w:sectPr>
      </w:pPr>
    </w:p>
    <w:bookmarkStart w:id="53" w:name="page54"/>
    <w:bookmarkEnd w:id="53"/>
    <w:p>
      <w:pPr>
        <w:ind w:right="2459"/>
        <w:spacing w:after="0" w:line="246" w:lineRule="auto"/>
        <w:rPr>
          <w:sz w:val="20"/>
          <w:szCs w:val="20"/>
          <w:color w:val="auto"/>
        </w:rPr>
      </w:pPr>
      <w:r>
        <w:rPr>
          <w:rFonts w:ascii="Courier New" w:cs="Courier New" w:eastAsia="Courier New" w:hAnsi="Courier New"/>
          <w:sz w:val="16"/>
          <w:szCs w:val="16"/>
          <w:color w:val="auto"/>
        </w:rPr>
        <w:t>greater than the underwriters' option to purchase additional ADSs from the selling shareholders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their option to purchase additional ADSs from the selling shareholders.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the offering.</w:t>
      </w:r>
    </w:p>
    <w:p>
      <w:pPr>
        <w:spacing w:after="0" w:line="19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underwriters may also impose a penalty bid. This occurs when a particular underwriter repays to the underwriters a portion of the underwriting discount received by it because the lead manager has repurchased ADSs sold by or for the account of such underwriter in stabilizing or short covering transactions.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Purchases to cover a short position and stabilizing transactions may have the effect of preventing or retarding a decline in the market price of ADSs, and together with the imposition of the penalty bid, may stabilize, maintain or otherwise affect the market price of the ADSs. As a result, the price of the ADSs may be higher than the price that otherwise might exist in the open market. If these activities are commenced, they may be discontinued at any time. These transactions may be effected on the Nasdaq NMS, in the over-the-counter market or otherwise.</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underwriters have represented and agreed that:</w:t>
      </w:r>
    </w:p>
    <w:p>
      <w:pPr>
        <w:spacing w:after="0" w:line="191" w:lineRule="exact"/>
        <w:rPr>
          <w:sz w:val="20"/>
          <w:szCs w:val="20"/>
          <w:color w:val="auto"/>
        </w:rPr>
      </w:pPr>
    </w:p>
    <w:p>
      <w:pPr>
        <w:ind w:left="1160" w:right="2459" w:hanging="579"/>
        <w:spacing w:after="0" w:line="247" w:lineRule="auto"/>
        <w:tabs>
          <w:tab w:leader="none" w:pos="11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will not offer or sell any ordinary shares or ADSs in Ireland except to persons in the conduct of their trades, professions or occupations or in other circumstances which are exempted from application of the European Communities (Transferable Securities and Stock Exchange) Regulations, 1992; and</w:t>
      </w:r>
    </w:p>
    <w:p>
      <w:pPr>
        <w:spacing w:after="0" w:line="185" w:lineRule="exact"/>
        <w:rPr>
          <w:rFonts w:ascii="Courier New" w:cs="Courier New" w:eastAsia="Courier New" w:hAnsi="Courier New"/>
          <w:sz w:val="16"/>
          <w:szCs w:val="16"/>
          <w:color w:val="auto"/>
        </w:rPr>
      </w:pPr>
    </w:p>
    <w:p>
      <w:pPr>
        <w:ind w:left="1160" w:right="2659" w:hanging="579"/>
        <w:spacing w:after="0" w:line="247" w:lineRule="auto"/>
        <w:tabs>
          <w:tab w:leader="none" w:pos="11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complied with and shall comply with all applicable provisions of the Investment Intermediaries Act, 1995 (as amended) with respect to anything done by them in relation to the ordinary shares or ADSs in, from or otherwise involving Ireland.</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has represented, warranted and agreed that: (i) it has not offered or sold and, prior to the expiry of a period of six months from the Closing Date, will not offer or sell any ADSs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or FSMA) received by it in connection with the issue or sale of any ADSs in circumstances in which section 21(1) of the FSMA does not apply to the issuer; and (iii) it has complied and will comply with all applicable provisions of the FSMA with respect to anything done by it in relation to the ADSs in, from or otherwise involving the United Kingdom.</w:t>
      </w:r>
    </w:p>
    <w:p>
      <w:pPr>
        <w:spacing w:after="0" w:line="19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ADSs may not be offered, sold, transferred or delivered in or from The Netherlands, as part of their initial distribution or as part of any re-offering, and neither this prospectus nor any other document in respect of the offering may be distributed or circulated in The Netherlands, other than to individuals or legal entities which include, but are not limited to, banks, brokers, dealers, institutional investors and</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6" w:right="1440" w:bottom="1440" w:gutter="0" w:footer="0" w:header="0"/>
        </w:sectPr>
      </w:pPr>
    </w:p>
    <w:bookmarkStart w:id="54" w:name="page55"/>
    <w:bookmarkEnd w:id="54"/>
    <w:p>
      <w:pPr>
        <w:ind w:right="3239"/>
        <w:spacing w:after="0" w:line="248" w:lineRule="auto"/>
        <w:rPr>
          <w:sz w:val="20"/>
          <w:szCs w:val="20"/>
          <w:color w:val="auto"/>
        </w:rPr>
      </w:pPr>
      <w:r>
        <w:rPr>
          <w:rFonts w:ascii="Courier New" w:cs="Courier New" w:eastAsia="Courier New" w:hAnsi="Courier New"/>
          <w:sz w:val="16"/>
          <w:szCs w:val="16"/>
          <w:color w:val="auto"/>
        </w:rPr>
        <w:t>undertakings with a treasury department, who or which trade or invest in securities in the conduct of a business or profession.</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offering ADSs has acknowledged and agreed that (i) it has not offered or sold and will not offer or sell in Hong Kong, by means of any document, any ADSs other than to persons whose ordinary business it is to buy or sell shares or debentures, whether as principal or agent, or in circumstances which do not constitute an offer to the public within the meaning of the Companies Ordinance (Cap. 32) of Hong Kong and (ii) it has not issued or had in its possession for the purpose of issue and will not issue or have in its possession for the purpose of the issue any invitation or advertisement relating to the ADSs in Hong Kong (except if permitted to do so by the securities laws of Hong Kong) other than with respect to ADSs intended to be disposed of to persons outside Hong Kong or to be disposed of only to persons whose business involves the acquisition, disposal or holding of securities, whether as principal or as agent.</w:t>
      </w:r>
    </w:p>
    <w:p>
      <w:pPr>
        <w:spacing w:after="0" w:line="194"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No prospectus has been registered in Singapore in relation to the ADSs. Accordingly, the ADSs may not be offered or sold, nor may any document or other material in connection with the ADSs be distributed, either directly or indirectly, (i) to persons in Singapore other than under circumstances in which such offer or sale does not constitute an offer or sale of the ADSs to the public in Singapore or (ii) to the public or any member of the public in Singapore other than pursuant to, and in accordance with the conditions of, an exemption invoked under Division 5A of Part IV of the Companies Act, Chapter 50 of Singapore and to persons to whom the ADSs may be offered or sold under such exemption.</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has acknowledged and agreed that the ADSs have not been registered under the Securities and Exchange Law of Japan and are not being offered or sold and may not be offered or sold, directly or indirectly, in Japan or to or for the account of any resident of Japan, except (i) pursuant to an exemption from the registration requirements of the Securities and Exchange Law of Japan and (ii) in compliance with any other applicable requirements of Japanese law. As part of the offering, the underwriters may offer ADSs in Japan to a list of 49 offerees in accordance with the above provisions.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No action has been or will be taken in any jurisdiction other than the United States or the Republic of Ireland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19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 prospectus in electronic format will be made available on the website maintained by the lead manager of this offering and may also be made available on websites maintained by other underwriters. The underwriters may agree to allocate a number of ADSs to underwriters for sale to their online brokerage account holders. Internet distributions will be allocated by the lead manager to underwriters that may make Internet distributions on the same basis as other allocations.</w:t>
      </w:r>
    </w:p>
    <w:p>
      <w:pPr>
        <w:spacing w:after="0" w:line="185"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We estimate that our share of the total expenses of this offering, excluding underwriting discounts and commissions, will be approximately $1.2 million.</w:t>
      </w:r>
    </w:p>
    <w:p>
      <w:pPr>
        <w:spacing w:after="0" w:line="186" w:lineRule="exact"/>
        <w:rPr>
          <w:sz w:val="20"/>
          <w:szCs w:val="20"/>
          <w:color w:val="auto"/>
        </w:rPr>
      </w:pPr>
    </w:p>
    <w:p>
      <w:pPr>
        <w:ind w:right="3039" w:firstLine="581"/>
        <w:spacing w:after="0" w:line="247" w:lineRule="auto"/>
        <w:rPr>
          <w:sz w:val="20"/>
          <w:szCs w:val="20"/>
          <w:color w:val="auto"/>
        </w:rPr>
      </w:pPr>
      <w:r>
        <w:rPr>
          <w:rFonts w:ascii="Courier New" w:cs="Courier New" w:eastAsia="Courier New" w:hAnsi="Courier New"/>
          <w:sz w:val="16"/>
          <w:szCs w:val="16"/>
          <w:color w:val="auto"/>
        </w:rPr>
        <w:t>We and the selling shareholders have agreed to indemnify the several underwriters against certain liabilities, including liabilities under the Securities Act of 1933.</w:t>
      </w:r>
    </w:p>
    <w:p>
      <w:pPr>
        <w:spacing w:after="0" w:line="186"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6" w:right="1440" w:bottom="1440" w:gutter="0" w:footer="0" w:header="0"/>
        </w:sectPr>
      </w:pPr>
    </w:p>
    <w:bookmarkStart w:id="55" w:name="page56"/>
    <w:bookmarkEnd w:id="55"/>
    <w:p>
      <w:pPr>
        <w:ind w:right="2459" w:firstLine="581"/>
        <w:spacing w:after="0" w:line="247" w:lineRule="auto"/>
        <w:rPr>
          <w:sz w:val="20"/>
          <w:szCs w:val="20"/>
          <w:color w:val="auto"/>
        </w:rPr>
      </w:pPr>
      <w:r>
        <w:rPr>
          <w:rFonts w:ascii="Courier New" w:cs="Courier New" w:eastAsia="Courier New" w:hAnsi="Courier New"/>
          <w:sz w:val="16"/>
          <w:szCs w:val="16"/>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addresses of the underwriters are as follows: Goldman, Sachs &amp; Co., 85 Broad Street, New York, New York 10004; William Blair &amp; Company, L.L.C., 222 West Adams Street, Chicago, Illinois 60606; Bear, Stearns &amp; Co. Inc., 383 Madison Avenue, New York, New York 10179 and J&amp;E Davy (trading as Davy Stockbrokers), Davy House, 49 Dawson Street, Dublin 2, Ireland.</w:t>
      </w:r>
    </w:p>
    <w:p>
      <w:pPr>
        <w:spacing w:after="0" w:line="18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EXCHANGE CONTROLS AND OTHER LIMITATIONS AFFECTING SECURITY HOLDERS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Iraq, the Federal Republic of Yugoslavia, Serbia, Zimbabwe, the Taliban of Afghanistan, Osama bin Laden and Al-Qaeda, and countries that harbour certain terrorist groups, without the prior permission of the Central Bank of Ireland.</w:t>
      </w:r>
    </w:p>
    <w:p>
      <w:pPr>
        <w:spacing w:after="0" w:line="194"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Angola, the Federal Republic of Yugoslavia, Serbia, Iraq,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193"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VALIDITY OF THE ADSS AND ORDINARY SHARES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validity of the ADSs offered hereby and certain matters of U.S. and New York law with respect to this offering will be passed upon for us by Cahill Gordon &amp; Reindel LLP, 80 Pine Street, New York, New York. The validity of the ordinary shares will be passed upon by A&amp;L Goodbody, solicitors, IFSC, Dublin 1, Ireland. The validity of the ADSs offered hereby will be passed upon for the underwriters by Sullivan &amp; Cromwell LLP, counsel for the underwriters. Cahill Gordon &amp; Reindel LLP and Sullivan &amp; Cromwell LLP may rely upon A&amp;L Goodbody with respect to certain matters governed by Irish law.</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EXPERTS</w:t>
      </w:r>
    </w:p>
    <w:p>
      <w:pPr>
        <w:spacing w:after="0" w:line="378"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consolidated financial statements of ICON plc as of May 31, 2003 and 2002 and for each of the years in the three-year period ended May 31, 2003, have been incorporated by reference herein in reliance upon the report of KPMG, independent chartered accountants, incorporated by reference herein, and upon the authority of said firm as experts in accounting and auditing.</w:t>
      </w:r>
    </w:p>
    <w:p>
      <w:pPr>
        <w:spacing w:after="0" w:line="372" w:lineRule="exact"/>
        <w:rPr>
          <w:sz w:val="20"/>
          <w:szCs w:val="20"/>
          <w:color w:val="auto"/>
        </w:rPr>
      </w:pPr>
    </w:p>
    <w:p>
      <w:pPr>
        <w:jc w:val="both"/>
        <w:ind w:right="2959" w:firstLine="581"/>
        <w:spacing w:after="0" w:line="247" w:lineRule="auto"/>
        <w:rPr>
          <w:sz w:val="20"/>
          <w:szCs w:val="20"/>
          <w:color w:val="auto"/>
        </w:rPr>
      </w:pPr>
      <w:r>
        <w:rPr>
          <w:rFonts w:ascii="Courier New" w:cs="Courier New" w:eastAsia="Courier New" w:hAnsi="Courier New"/>
          <w:sz w:val="16"/>
          <w:szCs w:val="16"/>
          <w:color w:val="auto"/>
        </w:rPr>
        <w:t>KPMG and A&amp;L Goodbody have given and have not withdrawn their written consent to the references in this prospectus to their names in the form and context in which they appear.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6" w:right="1440" w:bottom="1440" w:gutter="0" w:footer="0" w:header="0"/>
        </w:sectPr>
      </w:pPr>
    </w:p>
    <w:bookmarkStart w:id="56" w:name="page57"/>
    <w:bookmarkEnd w:id="56"/>
    <w:p>
      <w:pPr>
        <w:ind w:left="2140"/>
        <w:spacing w:after="0"/>
        <w:rPr>
          <w:sz w:val="20"/>
          <w:szCs w:val="20"/>
          <w:color w:val="auto"/>
        </w:rPr>
      </w:pPr>
      <w:r>
        <w:rPr>
          <w:rFonts w:ascii="Courier New" w:cs="Courier New" w:eastAsia="Courier New" w:hAnsi="Courier New"/>
          <w:sz w:val="16"/>
          <w:szCs w:val="16"/>
          <w:color w:val="auto"/>
        </w:rPr>
        <w:t>EXPENSES OF ISSUANCE AND DISTRIBUTION</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The following table sets forth the estimated expenses in connection with the issuance and distribution of the shares, which will be borne by the Company and the selling shareholders proportionately to the ADSs being offered unless otherwise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Securities and Exchange Commission registration fee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9,055</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National Association of Securities Dealers, Inc. filing fee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30,500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Nasdaq National Market fees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Legal fees and expenses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475,000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Accounting fees and expenses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Printing expenses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Transfer and Registrar fee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Miscellaneous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350,000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Subtotal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1,557,055</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Capital duty (Company only)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431,550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1,988,605</w:t>
            </w:r>
          </w:p>
        </w:tc>
      </w:tr>
    </w:tbl>
    <w:p>
      <w:pPr>
        <w:spacing w:after="0" w:line="190"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ENFORCEABILITY OF CIVIL LIABILITIES PROVISIONS OF FEDERAL</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SECURITIES LAWS AGAINST FOREIGN PERSONS; SHAREHOLDER RIGHTS UNDER IRISH LAW</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199"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Except for decisions to be made by the shareholders, all matters relating to the management and control of an Irish company are generally delegated to its board of directors pursuant to the company's constitutional documents. ICON's constitutional documents contain standard provisions delegating control to the Board of Directors. In certain situations, specific authority is delegated to officers, auditors and examiners.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6"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SHAREHOLDER RIGHTS UNDER IRISH LAW</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review minutes of shareholder meetings, but are not entitled to review board or other corporate minutes.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186" w:lineRule="exact"/>
        <w:rPr>
          <w:sz w:val="20"/>
          <w:szCs w:val="20"/>
          <w:color w:val="auto"/>
        </w:rPr>
      </w:pPr>
    </w:p>
    <w:p>
      <w:pPr>
        <w:ind w:right="3239" w:firstLine="581"/>
        <w:spacing w:after="0" w:line="248" w:lineRule="auto"/>
        <w:rPr>
          <w:sz w:val="20"/>
          <w:szCs w:val="20"/>
          <w:color w:val="auto"/>
        </w:rPr>
      </w:pPr>
      <w:r>
        <w:rPr>
          <w:rFonts w:ascii="Courier New" w:cs="Courier New" w:eastAsia="Courier New" w:hAnsi="Courier New"/>
          <w:sz w:val="16"/>
          <w:szCs w:val="16"/>
          <w:color w:val="auto"/>
        </w:rPr>
        <w:t>Under Irish law, shareholders holding 10% or more of the Company's outstanding voting shares may call a shareholder meeting.</w:t>
      </w:r>
    </w:p>
    <w:p>
      <w:pPr>
        <w:spacing w:after="0" w:line="184"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185" w:lineRule="exact"/>
        <w:rPr>
          <w:sz w:val="20"/>
          <w:szCs w:val="20"/>
          <w:color w:val="auto"/>
        </w:rPr>
      </w:pPr>
    </w:p>
    <w:p>
      <w:pPr>
        <w:jc w:val="both"/>
        <w:ind w:right="2459" w:firstLine="581"/>
        <w:spacing w:after="0" w:line="246" w:lineRule="auto"/>
        <w:rPr>
          <w:sz w:val="20"/>
          <w:szCs w:val="20"/>
          <w:color w:val="auto"/>
        </w:rPr>
      </w:pPr>
      <w:r>
        <w:rPr>
          <w:rFonts w:ascii="Courier New" w:cs="Courier New" w:eastAsia="Courier New" w:hAnsi="Courier New"/>
          <w:sz w:val="16"/>
          <w:szCs w:val="16"/>
          <w:color w:val="auto"/>
        </w:rPr>
        <w:t>All matters relating to the management and control of an Irish company are generally delegated to its board of directors under the company's constitutional documents, except for those actions which require a vote of the shareholders.</w:t>
      </w:r>
    </w:p>
    <w:p>
      <w:pPr>
        <w:spacing w:after="0" w:line="2" w:lineRule="exact"/>
        <w:rPr>
          <w:sz w:val="20"/>
          <w:szCs w:val="20"/>
          <w:color w:val="auto"/>
        </w:rPr>
      </w:pPr>
    </w:p>
    <w:p>
      <w:pPr>
        <w:ind w:right="3439"/>
        <w:spacing w:after="0" w:line="248" w:lineRule="auto"/>
        <w:rPr>
          <w:sz w:val="20"/>
          <w:szCs w:val="20"/>
          <w:color w:val="auto"/>
        </w:rPr>
      </w:pPr>
      <w:r>
        <w:rPr>
          <w:rFonts w:ascii="Courier New" w:cs="Courier New" w:eastAsia="Courier New" w:hAnsi="Courier New"/>
          <w:sz w:val="16"/>
          <w:szCs w:val="16"/>
          <w:color w:val="auto"/>
        </w:rPr>
        <w:t>ICON's constitutional documents contain standard provisions delegating management and control to its board of directors.</w:t>
      </w:r>
    </w:p>
    <w:p>
      <w:pPr>
        <w:spacing w:after="0" w:line="18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ADDITIONAL INFORMATION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file annual and special reports and other information with the Securities and Exchange Commission (the "Commission"). You may read and copy any of our reports, statements or other information at the Commission's Public Reference Room at 450 Fifth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6" w:right="1440" w:bottom="1440" w:gutter="0" w:footer="0" w:header="0"/>
        </w:sectPr>
      </w:pPr>
    </w:p>
    <w:bookmarkStart w:id="58" w:name="page59"/>
    <w:bookmarkEnd w:id="58"/>
    <w:p>
      <w:pPr>
        <w:jc w:val="center"/>
        <w:ind w:right="2359"/>
        <w:spacing w:after="0"/>
        <w:rPr>
          <w:sz w:val="20"/>
          <w:szCs w:val="20"/>
          <w:color w:val="auto"/>
        </w:rPr>
      </w:pPr>
      <w:r>
        <w:rPr>
          <w:rFonts w:ascii="Courier New" w:cs="Courier New" w:eastAsia="Courier New" w:hAnsi="Courier New"/>
          <w:sz w:val="16"/>
          <w:szCs w:val="16"/>
          <w:color w:val="auto"/>
        </w:rPr>
        <w:t>INCORPORATION OF DOCUMENTS BY REFERENCE</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This prospectus incorporates by reference the following documents that we previously filed with the Commission and any future filings made with the Commission under Sections 13(a), 13(c) or 15(d) of the Exchange Act until we sell all the ADSs offered by this prospectus. These documents contain important information about our finances and us.</w:t>
      </w:r>
    </w:p>
    <w:p>
      <w:pPr>
        <w:spacing w:after="0" w:line="185" w:lineRule="exact"/>
        <w:rPr>
          <w:sz w:val="20"/>
          <w:szCs w:val="20"/>
          <w:color w:val="auto"/>
        </w:rPr>
      </w:pPr>
    </w:p>
    <w:p>
      <w:pPr>
        <w:ind w:left="1160" w:right="28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 for the fiscal year ended May 31, 2002.</w:t>
      </w:r>
    </w:p>
    <w:p>
      <w:pPr>
        <w:spacing w:after="0" w:line="184"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20-F/A for the fiscal year ended May 31, 2002.</w:t>
      </w:r>
    </w:p>
    <w:p>
      <w:pPr>
        <w:spacing w:after="0" w:line="184"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6-K filed with the Commission on August 1, 2003.</w:t>
      </w:r>
    </w:p>
    <w:p>
      <w:pPr>
        <w:spacing w:after="0" w:line="184"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6-K filed with the Commission on July 21, 2003.</w:t>
      </w:r>
    </w:p>
    <w:p>
      <w:pPr>
        <w:spacing w:after="0" w:line="370"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6-K for the periods ended February 28, 2003 and August 31, 2002.</w:t>
      </w:r>
    </w:p>
    <w:p>
      <w:pPr>
        <w:spacing w:after="0" w:line="184" w:lineRule="exact"/>
        <w:rPr>
          <w:rFonts w:ascii="Courier New" w:cs="Courier New" w:eastAsia="Courier New" w:hAnsi="Courier New"/>
          <w:sz w:val="16"/>
          <w:szCs w:val="16"/>
          <w:color w:val="auto"/>
        </w:rPr>
      </w:pPr>
    </w:p>
    <w:p>
      <w:pPr>
        <w:ind w:left="1160" w:right="27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Form 6-K/A for the period ended November 30, 2002, filed with the Commission on March 11, 2003.</w:t>
      </w:r>
    </w:p>
    <w:p>
      <w:pPr>
        <w:spacing w:after="0" w:line="184"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ordinary shares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1160" w:right="29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6-K/A filed with the Commission on March 7, 2003.</w:t>
      </w:r>
    </w:p>
    <w:p>
      <w:pPr>
        <w:spacing w:after="0" w:line="184" w:lineRule="exact"/>
        <w:rPr>
          <w:rFonts w:ascii="Courier New" w:cs="Courier New" w:eastAsia="Courier New" w:hAnsi="Courier New"/>
          <w:sz w:val="16"/>
          <w:szCs w:val="16"/>
          <w:color w:val="auto"/>
        </w:rPr>
      </w:pPr>
    </w:p>
    <w:p>
      <w:pPr>
        <w:ind w:left="1160" w:right="25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Memorandum and Articles of Association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1160" w:right="2559" w:hanging="579"/>
        <w:spacing w:after="0" w:line="247"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Registration Rights Agreement, dated as of December 12, 1997, contained on Form 6-K, filed with the Commission on January 31, 2003.</w:t>
      </w:r>
    </w:p>
    <w:p>
      <w:pPr>
        <w:spacing w:after="0" w:line="372"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our principal executive offices at this address: ICON plc, Attention: Sean Leech, Chief Financial Officer, South County Business Park, Leopardstown, Dublin 18, Ireland, (353) 1-291-2000.</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6"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tcPr>
          <w:p>
            <w:pPr>
              <w:jc w:val="right"/>
              <w:ind w:right="249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r>
      <w:tr>
        <w:trPr>
          <w:trHeight w:val="559"/>
        </w:trPr>
        <w:tc>
          <w:tcPr>
            <w:tcW w:w="7320" w:type="dxa"/>
            <w:vAlign w:val="bottom"/>
          </w:tcPr>
          <w:p>
            <w:pPr>
              <w:jc w:val="right"/>
              <w:ind w:right="2499"/>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24"/>
                <w:szCs w:val="24"/>
                <w:color w:val="auto"/>
              </w:rPr>
            </w:pPr>
          </w:p>
        </w:tc>
      </w:tr>
      <w:tr>
        <w:trPr>
          <w:trHeight w:val="559"/>
        </w:trPr>
        <w:tc>
          <w:tcPr>
            <w:tcW w:w="7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7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Summary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The Offering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Recent Developments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Summary Historical Consolidated</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Financial Data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Risk Factors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Disclosure Regarding Forward-Looking</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Statements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Price Range of ADSs and Dividend</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Policy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Capitalization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Dilution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of Financial Condition and Results of</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Operations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Business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Management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U.S.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Irish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Underwriting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Exchange Controls and Other Limitations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Affecting Security 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Validity of the ADSs and Ordinary Shares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Experts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Expenses of Issuance and Distribution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Enforceability of Civil Liabilities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Provisions of Federal Securities Laws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Against Foreign Persons; Shareholder</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Rights Under Irish Law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Additional Information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Incorporation of Documents by Reference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[LOGO] ICON</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76" w:right="1440" w:bottom="0" w:gutter="0" w:footer="0" w:header="0"/>
        </w:sectPr>
      </w:pPr>
    </w:p>
    <w:bookmarkStart w:id="60" w:name="page61"/>
    <w:bookmarkEnd w:id="60"/>
    <w:p>
      <w:pPr>
        <w:ind w:left="2900"/>
        <w:spacing w:after="0"/>
        <w:rPr>
          <w:sz w:val="20"/>
          <w:szCs w:val="20"/>
          <w:color w:val="auto"/>
        </w:rPr>
      </w:pPr>
      <w:r>
        <w:rPr>
          <w:rFonts w:ascii="Courier New" w:cs="Courier New" w:eastAsia="Courier New" w:hAnsi="Courier New"/>
          <w:sz w:val="16"/>
          <w:szCs w:val="16"/>
          <w:color w:val="auto"/>
        </w:rPr>
        <w:t>GOLDMAN, SACHS &amp; CO.</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WILLIAM BLAIR &amp; COMPANY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BEAR, STEARNS &amp; CO. INC.</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DAVY STOCKBROKERS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73" w:right="1440" w:bottom="1440" w:gutter="0" w:footer="0" w:header="0"/>
        </w:sectPr>
      </w:pPr>
    </w:p>
    <w:bookmarkStart w:id="61" w:name="page62"/>
    <w:bookmarkEnd w:id="61"/>
    <w:p>
      <w:pPr>
        <w:jc w:val="center"/>
        <w:ind w:right="2359"/>
        <w:spacing w:after="0"/>
        <w:rPr>
          <w:sz w:val="20"/>
          <w:szCs w:val="20"/>
          <w:color w:val="auto"/>
        </w:rPr>
      </w:pPr>
      <w:r>
        <w:rPr>
          <w:rFonts w:ascii="Courier New" w:cs="Courier New" w:eastAsia="Courier New" w:hAnsi="Courier New"/>
          <w:sz w:val="16"/>
          <w:szCs w:val="16"/>
          <w:color w:val="auto"/>
        </w:rPr>
        <w:t>PART II</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INFORMATION NOT REQUIRED IN THE PROSPECTUS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8.INDEMNIFICATION OF DIRECTORS AND OFFICERS.</w:t>
      </w:r>
    </w:p>
    <w:p>
      <w:pPr>
        <w:spacing w:after="0" w:line="191"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86"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Paragraph 139 of the Articles of Association of ICON provides as follows:</w:t>
      </w:r>
    </w:p>
    <w:p>
      <w:pPr>
        <w:spacing w:after="0" w:line="191" w:lineRule="exact"/>
        <w:rPr>
          <w:sz w:val="20"/>
          <w:szCs w:val="20"/>
          <w:color w:val="auto"/>
        </w:rPr>
      </w:pPr>
    </w:p>
    <w:p>
      <w:pPr>
        <w:ind w:left="1741" w:right="2459" w:firstLine="581"/>
        <w:spacing w:after="0" w:line="246" w:lineRule="auto"/>
        <w:rPr>
          <w:sz w:val="20"/>
          <w:szCs w:val="20"/>
          <w:color w:val="auto"/>
        </w:rPr>
      </w:pPr>
      <w:r>
        <w:rPr>
          <w:rFonts w:ascii="Courier New" w:cs="Courier New" w:eastAsia="Courier New" w:hAnsi="Courier New"/>
          <w:sz w:val="16"/>
          <w:szCs w:val="16"/>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95" w:lineRule="exact"/>
        <w:rPr>
          <w:sz w:val="20"/>
          <w:szCs w:val="20"/>
          <w:color w:val="auto"/>
        </w:rPr>
      </w:pPr>
    </w:p>
    <w:p>
      <w:pPr>
        <w:ind w:left="1741" w:right="2459" w:firstLine="581"/>
        <w:spacing w:after="0" w:line="247" w:lineRule="auto"/>
        <w:rPr>
          <w:sz w:val="20"/>
          <w:szCs w:val="20"/>
          <w:color w:val="auto"/>
        </w:rPr>
      </w:pPr>
      <w:r>
        <w:rPr>
          <w:rFonts w:ascii="Courier New" w:cs="Courier New" w:eastAsia="Courier New" w:hAnsi="Courier New"/>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185" w:lineRule="exact"/>
        <w:rPr>
          <w:sz w:val="20"/>
          <w:szCs w:val="20"/>
          <w:color w:val="auto"/>
        </w:rPr>
      </w:pPr>
    </w:p>
    <w:p>
      <w:pPr>
        <w:ind w:left="1" w:right="2459" w:firstLine="581"/>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9.EXHIBITS.</w:t>
      </w:r>
    </w:p>
    <w:p>
      <w:pPr>
        <w:spacing w:after="0" w:line="191" w:lineRule="exact"/>
        <w:rPr>
          <w:sz w:val="20"/>
          <w:szCs w:val="20"/>
          <w:color w:val="auto"/>
        </w:rPr>
      </w:pPr>
    </w:p>
    <w:p>
      <w:pPr>
        <w:ind w:left="381" w:right="2959" w:hanging="381"/>
        <w:spacing w:after="0" w:line="248" w:lineRule="auto"/>
        <w:tabs>
          <w:tab w:leader="none" w:pos="3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are filed herewith, or incorporated by reference herein:</w:t>
      </w:r>
    </w:p>
    <w:p>
      <w:pPr>
        <w:sectPr>
          <w:pgSz w:w="11900" w:h="16838" w:orient="portrait"/>
          <w:cols w:equalWidth="0" w:num="1">
            <w:col w:w="10220"/>
          </w:cols>
          <w:pgMar w:left="239" w:top="676" w:right="1440" w:bottom="1440" w:gutter="0" w:footer="0" w:header="0"/>
        </w:sectPr>
      </w:pP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Underwriting Agreement</w:t>
      </w:r>
    </w:p>
    <w:p>
      <w:pPr>
        <w:spacing w:after="0" w:line="191" w:lineRule="exact"/>
        <w:rPr>
          <w:sz w:val="20"/>
          <w:szCs w:val="20"/>
          <w:color w:val="auto"/>
        </w:rPr>
      </w:pPr>
    </w:p>
    <w:p>
      <w:pPr>
        <w:sectPr>
          <w:pgSz w:w="11900" w:h="16838" w:orient="portrait"/>
          <w:cols w:equalWidth="0" w:num="2">
            <w:col w:w="881" w:space="48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br w:type="column"/>
      </w:r>
    </w:p>
    <w:p>
      <w:pPr>
        <w:ind w:right="2559"/>
        <w:spacing w:after="0" w:line="247" w:lineRule="auto"/>
        <w:rPr>
          <w:sz w:val="20"/>
          <w:szCs w:val="20"/>
          <w:color w:val="auto"/>
        </w:rPr>
      </w:pPr>
      <w:r>
        <w:rPr>
          <w:rFonts w:ascii="Courier New" w:cs="Courier New" w:eastAsia="Courier New" w:hAnsi="Courier New"/>
          <w:sz w:val="16"/>
          <w:szCs w:val="16"/>
          <w:color w:val="auto"/>
        </w:rPr>
        <w:t>Deposit Agreement, dated as of May 20, 1998, between the Company, The Bank of New York and the holders from time to time of the Company's ADRs</w:t>
      </w:r>
    </w:p>
    <w:p>
      <w:pPr>
        <w:spacing w:after="0" w:line="186"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Ordinary Share certificate.</w:t>
      </w:r>
    </w:p>
    <w:p>
      <w:pPr>
        <w:spacing w:after="0" w:line="191"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ADR certificate (included in Exhibit 4.1).</w:t>
      </w:r>
    </w:p>
    <w:p>
      <w:pPr>
        <w:spacing w:after="0" w:line="191"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Registration Rights Agreement, dated as of December 12, 1997.</w:t>
      </w:r>
    </w:p>
    <w:p>
      <w:pPr>
        <w:spacing w:after="0" w:line="200"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spacing w:after="0" w:line="364" w:lineRule="exact"/>
        <w:rPr>
          <w:sz w:val="20"/>
          <w:szCs w:val="20"/>
          <w:color w:val="auto"/>
        </w:rPr>
      </w:pPr>
    </w:p>
    <w:p>
      <w:pPr>
        <w:ind w:left="3681"/>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0"/>
          </w:cols>
          <w:pgMar w:left="239" w:top="676" w:right="1440" w:bottom="1440" w:gutter="0" w:footer="0" w:header="0"/>
          <w:type w:val="continuous"/>
        </w:sectPr>
      </w:pPr>
    </w:p>
    <w:bookmarkStart w:id="62" w:name="page63"/>
    <w:bookmarkEnd w:id="62"/>
    <w:tbl>
      <w:tblPr>
        <w:tblLayout w:type="fixed"/>
        <w:tblInd w:w="1" w:type="dxa"/>
        <w:tblCellMar>
          <w:top w:w="0" w:type="dxa"/>
          <w:left w:w="0" w:type="dxa"/>
          <w:bottom w:w="0" w:type="dxa"/>
          <w:right w:w="0" w:type="dxa"/>
        </w:tblCellMar>
      </w:tblPr>
      <w:tr>
        <w:trPr>
          <w:trHeight w:val="183"/>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540" w:type="dxa"/>
            <w:vAlign w:val="bottom"/>
          </w:tcPr>
          <w:p>
            <w:pPr>
              <w:spacing w:after="0"/>
              <w:rPr>
                <w:sz w:val="15"/>
                <w:szCs w:val="15"/>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5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matters and the validity of the ordinary shares.</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 Reindel LLP as to the validity of the</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deposit agreement.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 Reindel LLP as to certain matters of</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U.S. 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Chartered Accountants for the Company.</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 Reindel LLP (included in Exhibit 8.1).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Tax Advisors (included in Exhibit 8.2).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 Reindel LLP (included in Exhibit 5.2).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Power of Attorney (included on a signature page).</w:t>
            </w:r>
          </w:p>
        </w:tc>
      </w:tr>
    </w:tbl>
    <w:p>
      <w:pPr>
        <w:spacing w:after="0" w:line="190" w:lineRule="exact"/>
        <w:rPr>
          <w:sz w:val="20"/>
          <w:szCs w:val="20"/>
          <w:color w:val="auto"/>
        </w:rPr>
      </w:pPr>
    </w:p>
    <w:p>
      <w:pPr>
        <w:ind w:left="1361" w:right="2559" w:hanging="1361"/>
        <w:spacing w:after="0" w:line="247" w:lineRule="auto"/>
        <w:tabs>
          <w:tab w:leader="none" w:pos="13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186" w:lineRule="exact"/>
        <w:rPr>
          <w:sz w:val="20"/>
          <w:szCs w:val="20"/>
          <w:color w:val="auto"/>
        </w:rPr>
      </w:pPr>
    </w:p>
    <w:p>
      <w:pPr>
        <w:ind w:left="1361" w:hanging="1361"/>
        <w:spacing w:after="0"/>
        <w:tabs>
          <w:tab w:leader="none" w:pos="13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previously.</w:t>
      </w:r>
    </w:p>
    <w:p>
      <w:pPr>
        <w:spacing w:after="0" w:line="378"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ITEM 10.</w:t>
        <w:tab/>
        <w:t>UNDERTAKINGS.</w:t>
      </w:r>
    </w:p>
    <w:p>
      <w:pPr>
        <w:spacing w:after="0" w:line="191" w:lineRule="exact"/>
        <w:rPr>
          <w:sz w:val="20"/>
          <w:szCs w:val="20"/>
          <w:color w:val="auto"/>
        </w:rPr>
      </w:pPr>
    </w:p>
    <w:p>
      <w:pPr>
        <w:ind w:left="581" w:hanging="581"/>
        <w:spacing w:after="0"/>
        <w:tabs>
          <w:tab w:leader="none" w:pos="5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1" w:lineRule="exact"/>
        <w:rPr>
          <w:rFonts w:ascii="Courier New" w:cs="Courier New" w:eastAsia="Courier New" w:hAnsi="Courier New"/>
          <w:sz w:val="16"/>
          <w:szCs w:val="16"/>
          <w:color w:val="auto"/>
        </w:rPr>
      </w:pPr>
    </w:p>
    <w:p>
      <w:pPr>
        <w:ind w:left="1161" w:right="2459" w:hanging="579"/>
        <w:spacing w:after="0" w:line="247" w:lineRule="auto"/>
        <w:tabs>
          <w:tab w:leader="none" w:pos="11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(the "Securities Act"), each such post-effective amendment shall be deemed to be a new registration statement relating to the securities offered therein, and this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1161" w:right="2459" w:hanging="579"/>
        <w:spacing w:after="0" w:line="246" w:lineRule="auto"/>
        <w:tabs>
          <w:tab w:leader="none" w:pos="11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each filing of the registrant's annual report pursuant to Section 13(a) or Section 15(d) of the Securities Exchange Act of 1934, as amended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191" w:lineRule="exact"/>
        <w:rPr>
          <w:rFonts w:ascii="Courier New" w:cs="Courier New" w:eastAsia="Courier New" w:hAnsi="Courier New"/>
          <w:sz w:val="16"/>
          <w:szCs w:val="16"/>
          <w:color w:val="auto"/>
        </w:rPr>
      </w:pPr>
    </w:p>
    <w:p>
      <w:pPr>
        <w:ind w:left="1161" w:right="2459" w:hanging="579"/>
        <w:spacing w:after="0" w:line="246" w:lineRule="auto"/>
        <w:tabs>
          <w:tab w:leader="none" w:pos="11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14e-3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379"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0"/>
          </w:cols>
          <w:pgMar w:left="239" w:top="862" w:right="1440" w:bottom="1440" w:gutter="0" w:footer="0" w:header="0"/>
        </w:sectPr>
      </w:pPr>
    </w:p>
    <w:bookmarkStart w:id="63" w:name="page64"/>
    <w:bookmarkEnd w:id="63"/>
    <w:p>
      <w:pPr>
        <w:ind w:left="1160" w:right="2459" w:hanging="579"/>
        <w:spacing w:after="0" w:line="247" w:lineRule="auto"/>
        <w:tabs>
          <w:tab w:leader="none" w:pos="11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76" w:right="1440" w:bottom="1440" w:gutter="0" w:footer="0" w:header="0"/>
        </w:sectPr>
      </w:pPr>
    </w:p>
    <w:bookmarkStart w:id="64" w:name="page65"/>
    <w:bookmarkEnd w:id="64"/>
    <w:p>
      <w:pPr>
        <w:ind w:left="3401"/>
        <w:spacing w:after="0"/>
        <w:rPr>
          <w:sz w:val="20"/>
          <w:szCs w:val="20"/>
          <w:color w:val="auto"/>
        </w:rPr>
      </w:pPr>
      <w:r>
        <w:rPr>
          <w:rFonts w:ascii="Courier New" w:cs="Courier New" w:eastAsia="Courier New" w:hAnsi="Courier New"/>
          <w:sz w:val="16"/>
          <w:szCs w:val="16"/>
          <w:color w:val="auto"/>
        </w:rPr>
        <w:t>SIGNATURES</w:t>
      </w:r>
    </w:p>
    <w:p>
      <w:pPr>
        <w:spacing w:after="0" w:line="378"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the 5th day of August, 2003.</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361"/>
        <w:spacing w:after="0"/>
        <w:rPr>
          <w:sz w:val="20"/>
          <w:szCs w:val="20"/>
          <w:color w:val="auto"/>
        </w:rPr>
      </w:pPr>
      <w:r>
        <w:rPr>
          <w:rFonts w:ascii="Courier New" w:cs="Courier New" w:eastAsia="Courier New" w:hAnsi="Courier New"/>
          <w:sz w:val="16"/>
          <w:szCs w:val="16"/>
          <w:color w:val="auto"/>
        </w:rPr>
        <w:t>ICON PLC</w:t>
      </w:r>
    </w:p>
    <w:p>
      <w:pPr>
        <w:spacing w:after="0" w:line="37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By: /s/ Sean Leech</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Sean Leech</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right="3239" w:firstLine="581"/>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their respective capacities on the 5th day of August, 2003.</w:t>
      </w:r>
    </w:p>
    <w:p>
      <w:pPr>
        <w:sectPr>
          <w:pgSz w:w="11900" w:h="16838" w:orient="portrait"/>
          <w:cols w:equalWidth="0" w:num="1">
            <w:col w:w="10220"/>
          </w:cols>
          <w:pgMar w:left="239" w:top="6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CAPACITY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841" w:space="720"/>
            <w:col w:w="5659"/>
          </w:cols>
          <w:pgMar w:left="239" w:top="676" w:right="1440" w:bottom="1440" w:gutter="0" w:footer="0" w:header="0"/>
          <w:type w:val="continuous"/>
        </w:sectPr>
      </w:pPr>
    </w:p>
    <w:p>
      <w:pPr>
        <w:ind w:left="20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Director</w:t>
      </w:r>
    </w:p>
    <w:p>
      <w:pPr>
        <w:spacing w:after="0" w:line="5" w:lineRule="exact"/>
        <w:rPr>
          <w:sz w:val="20"/>
          <w:szCs w:val="20"/>
          <w:color w:val="auto"/>
        </w:rPr>
      </w:pPr>
    </w:p>
    <w:p>
      <w:pPr>
        <w:sectPr>
          <w:pgSz w:w="11900" w:h="16838" w:orient="portrait"/>
          <w:cols w:equalWidth="0" w:num="2">
            <w:col w:w="2181" w:space="720"/>
            <w:col w:w="7319"/>
          </w:cols>
          <w:pgMar w:left="239" w:top="676" w:right="1440" w:bottom="1440" w:gutter="0" w:footer="0" w:header="0"/>
          <w:type w:val="continuous"/>
        </w:sectPr>
      </w:pPr>
    </w:p>
    <w:p>
      <w:pPr>
        <w:ind w:left="201" w:hanging="201"/>
        <w:spacing w:after="0"/>
        <w:tabs>
          <w:tab w:leader="none" w:pos="20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John Climax</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Chief Executive Officer, Director</w:t>
      </w:r>
    </w:p>
    <w:p>
      <w:pPr>
        <w:spacing w:after="0" w:line="5" w:lineRule="exact"/>
        <w:rPr>
          <w:sz w:val="20"/>
          <w:szCs w:val="20"/>
          <w:color w:val="auto"/>
        </w:rPr>
      </w:pPr>
    </w:p>
    <w:p>
      <w:pPr>
        <w:ind w:left="201" w:hanging="201"/>
        <w:spacing w:after="0"/>
        <w:tabs>
          <w:tab w:leader="none" w:pos="20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Peter Gray</w:t>
      </w:r>
    </w:p>
    <w:p>
      <w:pPr>
        <w:spacing w:after="0" w:line="191" w:lineRule="exact"/>
        <w:rPr>
          <w:sz w:val="20"/>
          <w:szCs w:val="20"/>
          <w:color w:val="auto"/>
        </w:rPr>
      </w:pPr>
    </w:p>
    <w:p>
      <w:pPr>
        <w:ind w:left="1"/>
        <w:spacing w:after="0"/>
        <w:tabs>
          <w:tab w:leader="none" w:pos="2880" w:val="left"/>
        </w:tabs>
        <w:rPr>
          <w:sz w:val="20"/>
          <w:szCs w:val="20"/>
          <w:color w:val="auto"/>
        </w:rPr>
      </w:pPr>
      <w:r>
        <w:rPr>
          <w:rFonts w:ascii="Courier New" w:cs="Courier New" w:eastAsia="Courier New" w:hAnsi="Courier New"/>
          <w:sz w:val="16"/>
          <w:szCs w:val="16"/>
          <w:color w:val="auto"/>
        </w:rPr>
        <w:t>/s/ Sean Leech</w:t>
      </w:r>
      <w:r>
        <w:rPr>
          <w:sz w:val="20"/>
          <w:szCs w:val="20"/>
          <w:color w:val="auto"/>
        </w:rPr>
        <w:tab/>
      </w:r>
      <w:r>
        <w:rPr>
          <w:rFonts w:ascii="Courier New" w:cs="Courier New" w:eastAsia="Courier New" w:hAnsi="Courier New"/>
          <w:sz w:val="16"/>
          <w:szCs w:val="16"/>
          <w:color w:val="auto"/>
        </w:rPr>
        <w:t>Chief Financial Officer, Chief Accounting Officer</w:t>
      </w:r>
    </w:p>
    <w:p>
      <w:pPr>
        <w:spacing w:after="0" w:line="5" w:lineRule="exact"/>
        <w:rPr>
          <w:sz w:val="20"/>
          <w:szCs w:val="20"/>
          <w:color w:val="auto"/>
        </w:rPr>
      </w:pPr>
    </w:p>
    <w:p>
      <w:pPr>
        <w:ind w:left="201" w:hanging="201"/>
        <w:spacing w:after="0"/>
        <w:tabs>
          <w:tab w:leader="none" w:pos="20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Sean Leech</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Ronan Lambe</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Thomas Lynch</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Roberts</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Lee Jones</w:t>
      </w:r>
    </w:p>
    <w:p>
      <w:pPr>
        <w:spacing w:after="0" w:line="191" w:lineRule="exact"/>
        <w:rPr>
          <w:sz w:val="20"/>
          <w:szCs w:val="20"/>
          <w:color w:val="auto"/>
        </w:rPr>
      </w:pPr>
    </w:p>
    <w:p>
      <w:pPr>
        <w:ind w:left="1"/>
        <w:spacing w:after="0"/>
        <w:tabs>
          <w:tab w:leader="none" w:pos="2880" w:val="left"/>
        </w:tabs>
        <w:rPr>
          <w:sz w:val="20"/>
          <w:szCs w:val="20"/>
          <w:color w:val="auto"/>
        </w:rPr>
      </w:pPr>
      <w:r>
        <w:rPr>
          <w:rFonts w:ascii="Courier New" w:cs="Courier New" w:eastAsia="Courier New" w:hAnsi="Courier New"/>
          <w:sz w:val="16"/>
          <w:szCs w:val="16"/>
          <w:color w:val="auto"/>
        </w:rPr>
        <w:t>/s/ William Taaffe</w:t>
      </w:r>
      <w:r>
        <w:rPr>
          <w:sz w:val="20"/>
          <w:szCs w:val="20"/>
          <w:color w:val="auto"/>
        </w:rPr>
        <w:tab/>
      </w:r>
      <w:r>
        <w:rPr>
          <w:rFonts w:ascii="Courier New" w:cs="Courier New" w:eastAsia="Courier New" w:hAnsi="Courier New"/>
          <w:sz w:val="16"/>
          <w:szCs w:val="16"/>
          <w:color w:val="auto"/>
        </w:rPr>
        <w:t>Authorized Representative in the United States</w:t>
      </w:r>
    </w:p>
    <w:p>
      <w:pPr>
        <w:spacing w:after="0" w:line="5" w:lineRule="exact"/>
        <w:rPr>
          <w:sz w:val="20"/>
          <w:szCs w:val="20"/>
          <w:color w:val="auto"/>
        </w:rPr>
      </w:pPr>
    </w:p>
    <w:p>
      <w:pPr>
        <w:ind w:left="201" w:hanging="201"/>
        <w:spacing w:after="0"/>
        <w:tabs>
          <w:tab w:leader="none" w:pos="2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Taaffe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Signed by Sean Leech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0"/>
          </w:cols>
          <w:pgMar w:left="239" w:top="676" w:right="1440" w:bottom="1440" w:gutter="0" w:footer="0" w:header="0"/>
          <w:type w:val="continuous"/>
        </w:sectPr>
      </w:pPr>
    </w:p>
    <w:bookmarkStart w:id="65" w:name="page66"/>
    <w:bookmarkEnd w:id="65"/>
    <w:tbl>
      <w:tblPr>
        <w:tblLayout w:type="fixed"/>
        <w:tblInd w:w="1"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6540" w:type="dxa"/>
            <w:vAlign w:val="bottom"/>
          </w:tcPr>
          <w:p>
            <w:pPr>
              <w:ind w:left="2080"/>
              <w:spacing w:after="0"/>
              <w:rPr>
                <w:sz w:val="20"/>
                <w:szCs w:val="20"/>
                <w:color w:val="auto"/>
              </w:rPr>
            </w:pPr>
            <w:r>
              <w:rPr>
                <w:rFonts w:ascii="Courier New" w:cs="Courier New" w:eastAsia="Courier New" w:hAnsi="Courier New"/>
                <w:sz w:val="16"/>
                <w:szCs w:val="16"/>
                <w:color w:val="auto"/>
              </w:rPr>
              <w:t>EXHIBIT INDEX</w:t>
            </w:r>
          </w:p>
        </w:tc>
      </w:tr>
      <w:tr>
        <w:trPr>
          <w:trHeight w:val="559"/>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540" w:type="dxa"/>
            <w:vAlign w:val="bottom"/>
          </w:tcPr>
          <w:p>
            <w:pPr>
              <w:spacing w:after="0"/>
              <w:rPr>
                <w:sz w:val="24"/>
                <w:szCs w:val="24"/>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5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Form of Underwriting Agreement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Deposit Agreement, dated as of May 20, 1998, between the Company,</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The Bank of New York and the holders from time to time of the</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Company's ADRs</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Form of Ordinary Share certificate.</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Form of ADR certificate (included in Exhibit 4.1).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Registration Rights Agreement, dated as of December 12, 1997.</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matters.</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 Reindel LLP as to the validity of the</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Deposit Agreement.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&amp;Reindel LLP as to certain matters of</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U.S. 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Chartered Accountants for the Company.</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&amp;Reindel LLP (included in Exhibit 8.1).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Tax Advisors (included in Exhibit 8.2).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 Reindel LLP (included in Exhibit 5.2).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Power of Attorney (included on a signature page).</w:t>
            </w:r>
          </w:p>
        </w:tc>
      </w:tr>
    </w:tbl>
    <w:p>
      <w:pPr>
        <w:spacing w:after="0" w:line="190" w:lineRule="exact"/>
        <w:rPr>
          <w:sz w:val="20"/>
          <w:szCs w:val="20"/>
          <w:color w:val="auto"/>
        </w:rPr>
      </w:pPr>
    </w:p>
    <w:p>
      <w:pPr>
        <w:ind w:left="1361" w:right="2559" w:hanging="1361"/>
        <w:spacing w:after="0" w:line="247" w:lineRule="auto"/>
        <w:tabs>
          <w:tab w:leader="none" w:pos="13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186" w:lineRule="exact"/>
        <w:rPr>
          <w:sz w:val="20"/>
          <w:szCs w:val="20"/>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Filed previously.</w:t>
      </w:r>
    </w:p>
    <w:p>
      <w:pPr>
        <w:sectPr>
          <w:pgSz w:w="11900" w:h="16838" w:orient="portrait"/>
          <w:cols w:equalWidth="0" w:num="1">
            <w:col w:w="10220"/>
          </w:cols>
          <w:pgMar w:left="239" w:top="676" w:right="1440" w:bottom="1440" w:gutter="0" w:footer="0" w:header="0"/>
        </w:sectPr>
      </w:pPr>
    </w:p>
    <w:bookmarkStart w:id="66" w:name="page67"/>
    <w:bookmarkEnd w:id="66"/>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[LOGO] KPMG</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59"/>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CHARTERED ACCOUNTANTS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3"/>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5 George's Dock</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Telephone</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1 410 1000</w:t>
            </w:r>
          </w:p>
        </w:tc>
      </w:tr>
      <w:tr>
        <w:trPr>
          <w:trHeight w:val="186"/>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IFSC</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Fax</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1 412 1470</w:t>
            </w:r>
          </w:p>
        </w:tc>
      </w:tr>
      <w:tr>
        <w:trPr>
          <w:trHeight w:val="186"/>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Dublin 1</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Internet</w:t>
            </w:r>
          </w:p>
        </w:tc>
        <w:tc>
          <w:tcPr>
            <w:tcW w:w="15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www.kpmg.ie</w:t>
            </w:r>
          </w:p>
        </w:tc>
      </w:tr>
    </w:tbl>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Ireland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AND CONFIDENTIAL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p1c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consent to the use of our report dated July 25, 2003, with respect to the consolidated balance sheet of ICON plc as of May 31, 2002 and 2003, and our report dated July 26, 2002, with respect to the consolidated balance sheets of ICON plc as of May 31, 2001 and 2002, and each of the related consolidated statements of operations, shareholders' equity and comprehensive income and cash flows for each of the years in the three-year period ended May 31, 2002 and May 31, 2003, incorporated herein by reference and to the reference to our firm under the heading "Experts" in Amendment No. 5 to Form F-3 (Registration number 333-102893).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Chartered Accountants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Ireland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Member Firm of</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KPMG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[LOGO] KPMG</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59"/>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CHARTERED ACCOUNTANTS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3"/>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5 George's Dock</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Telephone</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1 410 1000</w:t>
            </w:r>
          </w:p>
        </w:tc>
      </w:tr>
      <w:tr>
        <w:trPr>
          <w:trHeight w:val="186"/>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IFSC</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Fax</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1 412 1470</w:t>
            </w:r>
          </w:p>
        </w:tc>
      </w:tr>
      <w:tr>
        <w:trPr>
          <w:trHeight w:val="186"/>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Dublin 1</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Internet</w:t>
            </w:r>
          </w:p>
        </w:tc>
        <w:tc>
          <w:tcPr>
            <w:tcW w:w="15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www.kpmg.ie</w:t>
            </w:r>
          </w:p>
        </w:tc>
      </w:tr>
    </w:tbl>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Ireland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AND CONFIDENTIAL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p1c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consent to the use of our report dated July 25, 2003, with respect to the consolidated balance sheet of ICON plc as of May 31, 2002 and 2003, and our report dated July 26, 2002, with respect to the consolidated balance sheets of ICON plc as of May 31, 2001 and 2002, and each of the related consolidated statements of operations, shareholders' equity and comprehensive income and cash flows for each of the years in the three-year period ended May 31, 2002 and May</w:t>
      </w:r>
    </w:p>
    <w:p>
      <w:pPr>
        <w:sectPr>
          <w:pgSz w:w="11900" w:h="16903" w:orient="portrait"/>
          <w:cols w:equalWidth="0" w:num="1">
            <w:col w:w="10219"/>
          </w:cols>
          <w:pgMar w:left="240" w:top="142" w:right="1440" w:bottom="0" w:gutter="0" w:footer="0" w:header="0"/>
        </w:sectPr>
      </w:pPr>
    </w:p>
    <w:bookmarkStart w:id="67" w:name="page68"/>
    <w:bookmarkEnd w:id="67"/>
    <w:p>
      <w:pPr>
        <w:ind w:right="2559"/>
        <w:spacing w:after="0" w:line="247" w:lineRule="auto"/>
        <w:rPr>
          <w:sz w:val="20"/>
          <w:szCs w:val="20"/>
          <w:color w:val="auto"/>
        </w:rPr>
      </w:pPr>
      <w:r>
        <w:rPr>
          <w:rFonts w:ascii="Courier New" w:cs="Courier New" w:eastAsia="Courier New" w:hAnsi="Courier New"/>
          <w:sz w:val="16"/>
          <w:szCs w:val="16"/>
          <w:color w:val="auto"/>
        </w:rPr>
        <w:t>31, 2003, incorporated herein by reference and to the reference to our firm under the heading "Experts" in Amendment No. 6 to Form F-3 (Registration number 333-102893).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Chartered Accountants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Ireland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5,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Member Firm of</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KPMG International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lvl w:ilvl="1">
      <w:lvlJc w:val="left"/>
      <w:lvlText w:val="(%2)"/>
      <w:numFmt w:val="decimal"/>
      <w:start w:val="1"/>
    </w:lvl>
  </w:abstractNum>
  <w:abstractNum w:abstractNumId="2">
    <w:nsid w:val="62BBD95A"/>
    <w:multiLevelType w:val="hybridMultilevel"/>
    <w:lvl w:ilvl="0">
      <w:lvlJc w:val="left"/>
      <w:lvlText w:val="(%1)"/>
      <w:numFmt w:val="decimal"/>
      <w:start w:val="4"/>
    </w:lvl>
  </w:abstractNum>
  <w:abstractNum w:abstractNumId="3">
    <w:nsid w:val="436C6125"/>
    <w:multiLevelType w:val="hybridMultilevel"/>
    <w:lvl w:ilvl="0">
      <w:lvlJc w:val="left"/>
      <w:lvlText w:val="o"/>
      <w:numFmt w:val="bullet"/>
      <w:start w:val="1"/>
    </w:lvl>
  </w:abstractNum>
  <w:abstractNum w:abstractNumId="4">
    <w:nsid w:val="628C895D"/>
    <w:multiLevelType w:val="hybridMultilevel"/>
    <w:lvl w:ilvl="0">
      <w:lvlJc w:val="left"/>
      <w:lvlText w:val="o"/>
      <w:numFmt w:val="bullet"/>
      <w:start w:val="1"/>
    </w:lvl>
  </w:abstractNum>
  <w:abstractNum w:abstractNumId="5">
    <w:nsid w:val="333AB105"/>
    <w:multiLevelType w:val="hybridMultilevel"/>
    <w:lvl w:ilvl="0">
      <w:lvlJc w:val="left"/>
      <w:lvlText w:val="o"/>
      <w:numFmt w:val="bullet"/>
      <w:start w:val="1"/>
    </w:lvl>
  </w:abstractNum>
  <w:abstractNum w:abstractNumId="6">
    <w:nsid w:val="721DA317"/>
    <w:multiLevelType w:val="hybridMultilevel"/>
    <w:lvl w:ilvl="0">
      <w:lvlJc w:val="left"/>
      <w:lvlText w:val="-"/>
      <w:numFmt w:val="bullet"/>
      <w:start w:val="1"/>
    </w:lvl>
    <w:lvl w:ilvl="1">
      <w:lvlJc w:val="left"/>
      <w:lvlText w:val="(%2)"/>
      <w:numFmt w:val="decimal"/>
      <w:start w:val="1"/>
    </w:lvl>
  </w:abstractNum>
  <w:abstractNum w:abstractNumId="7">
    <w:nsid w:val="2443A858"/>
    <w:multiLevelType w:val="hybridMultilevel"/>
    <w:lvl w:ilvl="0">
      <w:lvlJc w:val="left"/>
      <w:lvlText w:val="-"/>
      <w:numFmt w:val="bullet"/>
      <w:start w:val="1"/>
    </w:lvl>
    <w:lvl w:ilvl="1">
      <w:lvlJc w:val="left"/>
      <w:lvlText w:val="(%2)"/>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o"/>
      <w:numFmt w:val="bullet"/>
      <w:start w:val="1"/>
    </w:lvl>
  </w:abstractNum>
  <w:abstractNum w:abstractNumId="11">
    <w:nsid w:val="8EDBDAB"/>
    <w:multiLevelType w:val="hybridMultilevel"/>
    <w:lvl w:ilvl="0">
      <w:lvlJc w:val="left"/>
      <w:lvlText w:val="o"/>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o"/>
      <w:numFmt w:val="bullet"/>
      <w:start w:val="1"/>
    </w:lvl>
  </w:abstractNum>
  <w:abstractNum w:abstractNumId="15">
    <w:nsid w:val="189A769B"/>
    <w:multiLevelType w:val="hybridMultilevel"/>
    <w:lvl w:ilvl="0">
      <w:lvlJc w:val="left"/>
      <w:lvlText w:val="o"/>
      <w:numFmt w:val="bullet"/>
      <w:start w:val="1"/>
    </w:lvl>
  </w:abstractNum>
  <w:abstractNum w:abstractNumId="16">
    <w:nsid w:val="54E49EB4"/>
    <w:multiLevelType w:val="hybridMultilevel"/>
    <w:lvl w:ilvl="0">
      <w:lvlJc w:val="left"/>
      <w:lvlText w:val="o"/>
      <w:numFmt w:val="bullet"/>
      <w:start w:val="1"/>
    </w:lvl>
  </w:abstractNum>
  <w:abstractNum w:abstractNumId="17">
    <w:nsid w:val="71F32454"/>
    <w:multiLevelType w:val="hybridMultilevel"/>
    <w:lvl w:ilvl="0">
      <w:lvlJc w:val="left"/>
      <w:lvlText w:val="o"/>
      <w:numFmt w:val="bullet"/>
      <w:start w:val="1"/>
    </w:lvl>
  </w:abstractNum>
  <w:abstractNum w:abstractNumId="18">
    <w:nsid w:val="2CA88611"/>
    <w:multiLevelType w:val="hybridMultilevel"/>
    <w:lvl w:ilvl="0">
      <w:lvlJc w:val="left"/>
      <w:lvlText w:val="o"/>
      <w:numFmt w:val="bullet"/>
      <w:start w:val="1"/>
    </w:lvl>
  </w:abstractNum>
  <w:abstractNum w:abstractNumId="19">
    <w:nsid w:val="836C40E"/>
    <w:multiLevelType w:val="hybridMultilevel"/>
    <w:lvl w:ilvl="0">
      <w:lvlJc w:val="left"/>
      <w:lvlText w:val="o"/>
      <w:numFmt w:val="bullet"/>
      <w:start w:val="1"/>
    </w:lvl>
  </w:abstractNum>
  <w:abstractNum w:abstractNumId="20">
    <w:nsid w:val="2901D82"/>
    <w:multiLevelType w:val="hybridMultilevel"/>
    <w:lvl w:ilvl="0">
      <w:lvlJc w:val="left"/>
      <w:lvlText w:val="o"/>
      <w:numFmt w:val="bullet"/>
      <w:start w:val="1"/>
    </w:lvl>
  </w:abstractNum>
  <w:abstractNum w:abstractNumId="21">
    <w:nsid w:val="3A95F874"/>
    <w:multiLevelType w:val="hybridMultilevel"/>
    <w:lvl w:ilvl="0">
      <w:lvlJc w:val="left"/>
      <w:lvlText w:val="o"/>
      <w:numFmt w:val="bullet"/>
      <w:start w:val="1"/>
    </w:lvl>
  </w:abstractNum>
  <w:abstractNum w:abstractNumId="22">
    <w:nsid w:val="8138641"/>
    <w:multiLevelType w:val="hybridMultilevel"/>
    <w:lvl w:ilvl="0">
      <w:lvlJc w:val="left"/>
      <w:lvlText w:val="o"/>
      <w:numFmt w:val="bullet"/>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upperLetter"/>
      <w:start w:val="1"/>
    </w:lvl>
    <w:lvl w:ilvl="1">
      <w:lvlJc w:val="left"/>
      <w:lvlText w:val="%2."/>
      <w:numFmt w:val="decimal"/>
      <w:start w:val="1"/>
    </w:lvl>
  </w:abstractNum>
  <w:abstractNum w:abstractNumId="27">
    <w:nsid w:val="22221A70"/>
    <w:multiLevelType w:val="hybridMultilevel"/>
    <w:lvl w:ilvl="0">
      <w:lvlJc w:val="left"/>
      <w:lvlText w:val="%1."/>
      <w:numFmt w:val="decimal"/>
      <w:start w:val="4"/>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2019-12-14T21:00:05Z</dcterms:created>
  <dcterms:modified xsi:type="dcterms:W3CDTF">2019-12-14T21:00:05Z</dcterms:modified>
</cp:coreProperties>
</file>