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
        <w:spacing w:after="0"/>
        <w:rPr>
          <w:sz w:val="20"/>
          <w:szCs w:val="20"/>
          <w:color w:val="auto"/>
        </w:rPr>
      </w:pPr>
      <w:r>
        <w:rPr>
          <w:rFonts w:ascii="Courier New" w:cs="Courier New" w:eastAsia="Courier New" w:hAnsi="Courier New"/>
          <w:sz w:val="16"/>
          <w:szCs w:val="16"/>
          <w:color w:val="auto"/>
        </w:rPr>
        <w:t>AS FILED WITH THE SECURITIES AND EXCHANGE COMMISSION ON JUNE 3, 2003</w:t>
      </w:r>
    </w:p>
    <w:p>
      <w:pPr>
        <w:spacing w:after="0" w:line="191" w:lineRule="exact"/>
        <w:rPr>
          <w:sz w:val="24"/>
          <w:szCs w:val="24"/>
          <w:color w:val="auto"/>
        </w:rPr>
      </w:pPr>
    </w:p>
    <w:p>
      <w:pPr>
        <w:ind w:left="5140"/>
        <w:spacing w:after="0"/>
        <w:rPr>
          <w:sz w:val="20"/>
          <w:szCs w:val="20"/>
          <w:color w:val="auto"/>
        </w:rPr>
      </w:pPr>
      <w:r>
        <w:rPr>
          <w:rFonts w:ascii="Courier New" w:cs="Courier New" w:eastAsia="Courier New" w:hAnsi="Courier New"/>
          <w:sz w:val="16"/>
          <w:szCs w:val="16"/>
          <w:color w:val="auto"/>
        </w:rPr>
        <w:t>REGISTRATION NO. 333-102893</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6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AMENDMENT NO. 3 TO</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F-3</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9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ICON PUBLIC LIMITED COMPANY</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ind w:left="1840"/>
              <w:spacing w:after="0"/>
              <w:rPr>
                <w:sz w:val="20"/>
                <w:szCs w:val="20"/>
                <w:color w:val="auto"/>
              </w:rPr>
            </w:pPr>
            <w:r>
              <w:rPr>
                <w:rFonts w:ascii="Courier New" w:cs="Courier New" w:eastAsia="Courier New" w:hAnsi="Courier New"/>
                <w:sz w:val="16"/>
                <w:szCs w:val="16"/>
                <w:color w:val="auto"/>
              </w:rPr>
              <w:t>IRELAND</w:t>
            </w:r>
          </w:p>
        </w:tc>
        <w:tc>
          <w:tcPr>
            <w:tcW w:w="960" w:type="dxa"/>
            <w:vAlign w:val="bottom"/>
          </w:tcPr>
          <w:p>
            <w:pPr>
              <w:spacing w:after="0"/>
              <w:rPr>
                <w:sz w:val="16"/>
                <w:szCs w:val="16"/>
                <w:color w:val="auto"/>
              </w:rPr>
            </w:pPr>
          </w:p>
        </w:tc>
        <w:tc>
          <w:tcPr>
            <w:tcW w:w="4560" w:type="dxa"/>
            <w:vAlign w:val="bottom"/>
            <w:gridSpan w:val="2"/>
          </w:tcPr>
          <w:p>
            <w:pPr>
              <w:jc w:val="right"/>
              <w:ind w:right="1859"/>
              <w:spacing w:after="0"/>
              <w:rPr>
                <w:sz w:val="20"/>
                <w:szCs w:val="20"/>
                <w:color w:val="auto"/>
              </w:rPr>
            </w:pPr>
            <w:r>
              <w:rPr>
                <w:rFonts w:ascii="Courier New" w:cs="Courier New" w:eastAsia="Courier New" w:hAnsi="Courier New"/>
                <w:sz w:val="16"/>
                <w:szCs w:val="16"/>
                <w:color w:val="auto"/>
              </w:rPr>
              <w:t>NOT APPLICABLE</w:t>
            </w:r>
          </w:p>
        </w:tc>
        <w:tc>
          <w:tcPr>
            <w:tcW w:w="0" w:type="dxa"/>
            <w:vAlign w:val="bottom"/>
          </w:tcPr>
          <w:p>
            <w:pPr>
              <w:spacing w:after="0"/>
              <w:rPr>
                <w:sz w:val="1"/>
                <w:szCs w:val="1"/>
                <w:color w:val="auto"/>
              </w:rPr>
            </w:pPr>
          </w:p>
        </w:tc>
      </w:tr>
      <w:tr>
        <w:trPr>
          <w:trHeight w:val="186"/>
        </w:trPr>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(State or other jurisdiction of incorporation</w:t>
            </w:r>
          </w:p>
        </w:tc>
        <w:tc>
          <w:tcPr>
            <w:tcW w:w="456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(I.R.S. Employer Identification</w:t>
            </w:r>
          </w:p>
        </w:tc>
        <w:tc>
          <w:tcPr>
            <w:tcW w:w="0" w:type="dxa"/>
            <w:vAlign w:val="bottom"/>
          </w:tcPr>
          <w:p>
            <w:pPr>
              <w:spacing w:after="0"/>
              <w:rPr>
                <w:sz w:val="1"/>
                <w:szCs w:val="1"/>
                <w:color w:val="auto"/>
              </w:rPr>
            </w:pPr>
          </w:p>
        </w:tc>
      </w:tr>
      <w:tr>
        <w:trPr>
          <w:trHeight w:val="273"/>
        </w:trPr>
        <w:tc>
          <w:tcPr>
            <w:tcW w:w="3400" w:type="dxa"/>
            <w:vAlign w:val="bottom"/>
          </w:tcPr>
          <w:p>
            <w:pPr>
              <w:ind w:left="1460"/>
              <w:spacing w:after="0"/>
              <w:rPr>
                <w:sz w:val="20"/>
                <w:szCs w:val="20"/>
                <w:color w:val="auto"/>
              </w:rPr>
            </w:pPr>
            <w:r>
              <w:rPr>
                <w:rFonts w:ascii="Courier New" w:cs="Courier New" w:eastAsia="Courier New" w:hAnsi="Courier New"/>
                <w:sz w:val="16"/>
                <w:szCs w:val="16"/>
                <w:color w:val="auto"/>
              </w:rPr>
              <w:t>or organization)</w:t>
            </w:r>
          </w:p>
        </w:tc>
        <w:tc>
          <w:tcPr>
            <w:tcW w:w="9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920" w:type="dxa"/>
            <w:vAlign w:val="bottom"/>
          </w:tcPr>
          <w:p>
            <w:pPr>
              <w:jc w:val="right"/>
              <w:ind w:right="2159"/>
              <w:spacing w:after="0"/>
              <w:rPr>
                <w:sz w:val="20"/>
                <w:szCs w:val="20"/>
                <w:color w:val="auto"/>
              </w:rPr>
            </w:pPr>
            <w:r>
              <w:rPr>
                <w:rFonts w:ascii="Courier New" w:cs="Courier New" w:eastAsia="Courier New" w:hAnsi="Courier New"/>
                <w:sz w:val="16"/>
                <w:szCs w:val="16"/>
                <w:color w:val="auto"/>
                <w:w w:val="98"/>
              </w:rPr>
              <w:t>Number)</w:t>
            </w:r>
          </w:p>
        </w:tc>
        <w:tc>
          <w:tcPr>
            <w:tcW w:w="0" w:type="dxa"/>
            <w:vAlign w:val="bottom"/>
          </w:tcPr>
          <w:p>
            <w:pPr>
              <w:spacing w:after="0"/>
              <w:rPr>
                <w:sz w:val="1"/>
                <w:szCs w:val="1"/>
                <w:color w:val="auto"/>
              </w:rPr>
            </w:pPr>
          </w:p>
        </w:tc>
      </w:tr>
      <w:tr>
        <w:trPr>
          <w:trHeight w:val="473"/>
        </w:trPr>
        <w:tc>
          <w:tcPr>
            <w:tcW w:w="340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ICON PLC</w:t>
            </w:r>
          </w:p>
        </w:tc>
        <w:tc>
          <w:tcPr>
            <w:tcW w:w="960" w:type="dxa"/>
            <w:vAlign w:val="bottom"/>
          </w:tcPr>
          <w:p>
            <w:pPr>
              <w:spacing w:after="0"/>
              <w:rPr>
                <w:sz w:val="24"/>
                <w:szCs w:val="24"/>
                <w:color w:val="auto"/>
              </w:rPr>
            </w:pPr>
          </w:p>
        </w:tc>
        <w:tc>
          <w:tcPr>
            <w:tcW w:w="4560" w:type="dxa"/>
            <w:vAlign w:val="bottom"/>
            <w:gridSpan w:val="2"/>
            <w:vMerge w:val="restart"/>
          </w:tcPr>
          <w:p>
            <w:pPr>
              <w:jc w:val="right"/>
              <w:ind w:right="1659"/>
              <w:spacing w:after="0"/>
              <w:rPr>
                <w:sz w:val="20"/>
                <w:szCs w:val="20"/>
                <w:color w:val="auto"/>
              </w:rPr>
            </w:pPr>
            <w:r>
              <w:rPr>
                <w:rFonts w:ascii="Courier New" w:cs="Courier New" w:eastAsia="Courier New" w:hAnsi="Courier New"/>
                <w:sz w:val="16"/>
                <w:szCs w:val="16"/>
                <w:color w:val="auto"/>
              </w:rPr>
              <w:t>CT CORPORATION SYSTEM</w:t>
            </w:r>
          </w:p>
        </w:tc>
        <w:tc>
          <w:tcPr>
            <w:tcW w:w="0" w:type="dxa"/>
            <w:vAlign w:val="bottom"/>
          </w:tcPr>
          <w:p>
            <w:pPr>
              <w:spacing w:after="0"/>
              <w:rPr>
                <w:sz w:val="1"/>
                <w:szCs w:val="1"/>
                <w:color w:val="auto"/>
              </w:rPr>
            </w:pPr>
          </w:p>
        </w:tc>
      </w:tr>
      <w:tr>
        <w:trPr>
          <w:trHeight w:val="186"/>
        </w:trPr>
        <w:tc>
          <w:tcPr>
            <w:tcW w:w="340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SOUTH COUNTY BUSINESS PARK,</w:t>
            </w:r>
          </w:p>
        </w:tc>
        <w:tc>
          <w:tcPr>
            <w:tcW w:w="96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jc w:val="center"/>
              <w:ind w:left="599"/>
              <w:spacing w:after="0"/>
              <w:rPr>
                <w:sz w:val="20"/>
                <w:szCs w:val="20"/>
                <w:color w:val="auto"/>
              </w:rPr>
            </w:pPr>
            <w:r>
              <w:rPr>
                <w:rFonts w:ascii="Courier New" w:cs="Courier New" w:eastAsia="Courier New" w:hAnsi="Courier New"/>
                <w:sz w:val="16"/>
                <w:szCs w:val="16"/>
                <w:color w:val="auto"/>
              </w:rPr>
              <w:t>LEOPARDSTOWN, DUBLIN 18,</w:t>
            </w:r>
          </w:p>
        </w:tc>
        <w:tc>
          <w:tcPr>
            <w:tcW w:w="960" w:type="dxa"/>
            <w:vAlign w:val="bottom"/>
          </w:tcPr>
          <w:p>
            <w:pPr>
              <w:spacing w:after="0"/>
              <w:rPr>
                <w:sz w:val="16"/>
                <w:szCs w:val="16"/>
                <w:color w:val="auto"/>
              </w:rPr>
            </w:pPr>
          </w:p>
        </w:tc>
        <w:tc>
          <w:tcPr>
            <w:tcW w:w="4560" w:type="dxa"/>
            <w:vAlign w:val="bottom"/>
            <w:gridSpan w:val="2"/>
          </w:tcPr>
          <w:p>
            <w:pPr>
              <w:jc w:val="right"/>
              <w:ind w:right="1859"/>
              <w:spacing w:after="0"/>
              <w:rPr>
                <w:sz w:val="20"/>
                <w:szCs w:val="20"/>
                <w:color w:val="auto"/>
              </w:rPr>
            </w:pPr>
            <w:r>
              <w:rPr>
                <w:rFonts w:ascii="Courier New" w:cs="Courier New" w:eastAsia="Courier New" w:hAnsi="Courier New"/>
                <w:sz w:val="16"/>
                <w:szCs w:val="16"/>
                <w:color w:val="auto"/>
              </w:rPr>
              <w:t>111 EIGHTH AVENUE</w:t>
            </w:r>
          </w:p>
        </w:tc>
        <w:tc>
          <w:tcPr>
            <w:tcW w:w="0" w:type="dxa"/>
            <w:vAlign w:val="bottom"/>
          </w:tcPr>
          <w:p>
            <w:pPr>
              <w:spacing w:after="0"/>
              <w:rPr>
                <w:sz w:val="1"/>
                <w:szCs w:val="1"/>
                <w:color w:val="auto"/>
              </w:rPr>
            </w:pPr>
          </w:p>
        </w:tc>
      </w:tr>
      <w:tr>
        <w:trPr>
          <w:trHeight w:val="186"/>
        </w:trPr>
        <w:tc>
          <w:tcPr>
            <w:tcW w:w="3400" w:type="dxa"/>
            <w:vAlign w:val="bottom"/>
          </w:tcPr>
          <w:p>
            <w:pPr>
              <w:jc w:val="center"/>
              <w:ind w:left="679"/>
              <w:spacing w:after="0"/>
              <w:rPr>
                <w:sz w:val="20"/>
                <w:szCs w:val="20"/>
                <w:color w:val="auto"/>
              </w:rPr>
            </w:pPr>
            <w:r>
              <w:rPr>
                <w:rFonts w:ascii="Courier New" w:cs="Courier New" w:eastAsia="Courier New" w:hAnsi="Courier New"/>
                <w:sz w:val="16"/>
                <w:szCs w:val="16"/>
                <w:color w:val="auto"/>
              </w:rPr>
              <w:t>IRELAND</w:t>
            </w:r>
          </w:p>
        </w:tc>
        <w:tc>
          <w:tcPr>
            <w:tcW w:w="960" w:type="dxa"/>
            <w:vAlign w:val="bottom"/>
          </w:tcPr>
          <w:p>
            <w:pPr>
              <w:spacing w:after="0"/>
              <w:rPr>
                <w:sz w:val="16"/>
                <w:szCs w:val="16"/>
                <w:color w:val="auto"/>
              </w:rPr>
            </w:pPr>
          </w:p>
        </w:tc>
        <w:tc>
          <w:tcPr>
            <w:tcW w:w="4560" w:type="dxa"/>
            <w:vAlign w:val="bottom"/>
            <w:gridSpan w:val="2"/>
          </w:tcPr>
          <w:p>
            <w:pPr>
              <w:jc w:val="right"/>
              <w:ind w:right="1579"/>
              <w:spacing w:after="0"/>
              <w:rPr>
                <w:sz w:val="20"/>
                <w:szCs w:val="20"/>
                <w:color w:val="auto"/>
              </w:rPr>
            </w:pPr>
            <w:r>
              <w:rPr>
                <w:rFonts w:ascii="Courier New" w:cs="Courier New" w:eastAsia="Courier New" w:hAnsi="Courier New"/>
                <w:sz w:val="16"/>
                <w:szCs w:val="16"/>
                <w:color w:val="auto"/>
              </w:rPr>
              <w:t>NEW YORK, NEW YORK 10011</w:t>
            </w:r>
          </w:p>
        </w:tc>
        <w:tc>
          <w:tcPr>
            <w:tcW w:w="0" w:type="dxa"/>
            <w:vAlign w:val="bottom"/>
          </w:tcPr>
          <w:p>
            <w:pPr>
              <w:spacing w:after="0"/>
              <w:rPr>
                <w:sz w:val="1"/>
                <w:szCs w:val="1"/>
                <w:color w:val="auto"/>
              </w:rPr>
            </w:pPr>
          </w:p>
        </w:tc>
      </w:tr>
      <w:tr>
        <w:trPr>
          <w:trHeight w:val="186"/>
        </w:trPr>
        <w:tc>
          <w:tcPr>
            <w:tcW w:w="340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(353) 1-216-1100</w:t>
            </w:r>
          </w:p>
        </w:tc>
        <w:tc>
          <w:tcPr>
            <w:tcW w:w="960" w:type="dxa"/>
            <w:vAlign w:val="bottom"/>
          </w:tcPr>
          <w:p>
            <w:pPr>
              <w:spacing w:after="0"/>
              <w:rPr>
                <w:sz w:val="16"/>
                <w:szCs w:val="16"/>
                <w:color w:val="auto"/>
              </w:rPr>
            </w:pPr>
          </w:p>
        </w:tc>
        <w:tc>
          <w:tcPr>
            <w:tcW w:w="4560" w:type="dxa"/>
            <w:vAlign w:val="bottom"/>
            <w:gridSpan w:val="2"/>
          </w:tcPr>
          <w:p>
            <w:pPr>
              <w:jc w:val="right"/>
              <w:ind w:right="2059"/>
              <w:spacing w:after="0"/>
              <w:rPr>
                <w:sz w:val="20"/>
                <w:szCs w:val="20"/>
                <w:color w:val="auto"/>
              </w:rPr>
            </w:pPr>
            <w:r>
              <w:rPr>
                <w:rFonts w:ascii="Courier New" w:cs="Courier New" w:eastAsia="Courier New" w:hAnsi="Courier New"/>
                <w:sz w:val="16"/>
                <w:szCs w:val="16"/>
                <w:color w:val="auto"/>
              </w:rPr>
              <w:t>(212) 894-8581</w:t>
            </w:r>
          </w:p>
        </w:tc>
        <w:tc>
          <w:tcPr>
            <w:tcW w:w="0" w:type="dxa"/>
            <w:vAlign w:val="bottom"/>
          </w:tcPr>
          <w:p>
            <w:pPr>
              <w:spacing w:after="0"/>
              <w:rPr>
                <w:sz w:val="1"/>
                <w:szCs w:val="1"/>
                <w:color w:val="auto"/>
              </w:rPr>
            </w:pPr>
          </w:p>
        </w:tc>
      </w:tr>
      <w:tr>
        <w:trPr>
          <w:trHeight w:val="186"/>
        </w:trPr>
        <w:tc>
          <w:tcPr>
            <w:tcW w:w="436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(Address and telephone number of</w:t>
            </w:r>
          </w:p>
        </w:tc>
        <w:tc>
          <w:tcPr>
            <w:tcW w:w="456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(Name, address and telephone number</w:t>
            </w:r>
          </w:p>
        </w:tc>
        <w:tc>
          <w:tcPr>
            <w:tcW w:w="0" w:type="dxa"/>
            <w:vAlign w:val="bottom"/>
          </w:tcPr>
          <w:p>
            <w:pPr>
              <w:spacing w:after="0"/>
              <w:rPr>
                <w:sz w:val="1"/>
                <w:szCs w:val="1"/>
                <w:color w:val="auto"/>
              </w:rPr>
            </w:pPr>
          </w:p>
        </w:tc>
      </w:tr>
      <w:tr>
        <w:trPr>
          <w:trHeight w:val="273"/>
        </w:trPr>
        <w:tc>
          <w:tcPr>
            <w:tcW w:w="43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Registrant's principal executive offices)</w:t>
            </w:r>
          </w:p>
        </w:tc>
        <w:tc>
          <w:tcPr>
            <w:tcW w:w="4560" w:type="dxa"/>
            <w:vAlign w:val="bottom"/>
            <w:gridSpan w:val="2"/>
          </w:tcPr>
          <w:p>
            <w:pPr>
              <w:jc w:val="right"/>
              <w:ind w:right="1579"/>
              <w:spacing w:after="0"/>
              <w:rPr>
                <w:sz w:val="20"/>
                <w:szCs w:val="20"/>
                <w:color w:val="auto"/>
              </w:rPr>
            </w:pPr>
            <w:r>
              <w:rPr>
                <w:rFonts w:ascii="Courier New" w:cs="Courier New" w:eastAsia="Courier New" w:hAnsi="Courier New"/>
                <w:sz w:val="16"/>
                <w:szCs w:val="16"/>
                <w:color w:val="auto"/>
              </w:rPr>
              <w:t>of agent for service)</w:t>
            </w:r>
          </w:p>
        </w:tc>
        <w:tc>
          <w:tcPr>
            <w:tcW w:w="0" w:type="dxa"/>
            <w:vAlign w:val="bottom"/>
          </w:tcPr>
          <w:p>
            <w:pPr>
              <w:spacing w:after="0"/>
              <w:rPr>
                <w:sz w:val="1"/>
                <w:szCs w:val="1"/>
                <w:color w:val="auto"/>
              </w:rPr>
            </w:pPr>
          </w:p>
        </w:tc>
      </w:tr>
      <w:tr>
        <w:trPr>
          <w:trHeight w:val="373"/>
        </w:trPr>
        <w:tc>
          <w:tcPr>
            <w:tcW w:w="6000" w:type="dxa"/>
            <w:vAlign w:val="bottom"/>
            <w:gridSpan w:val="3"/>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COPIES TO:</w:t>
            </w:r>
          </w:p>
        </w:tc>
        <w:tc>
          <w:tcPr>
            <w:tcW w:w="1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34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SEAN LEECH</w:t>
            </w: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WILLIAM M. HARTNETT, ESQ.</w:t>
            </w: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KATHRYN A. CAMPBELL, ESQ.</w:t>
            </w:r>
          </w:p>
        </w:tc>
        <w:tc>
          <w:tcPr>
            <w:tcW w:w="0" w:type="dxa"/>
            <w:vAlign w:val="bottom"/>
          </w:tcPr>
          <w:p>
            <w:pPr>
              <w:spacing w:after="0"/>
              <w:rPr>
                <w:sz w:val="1"/>
                <w:szCs w:val="1"/>
                <w:color w:val="auto"/>
              </w:rPr>
            </w:pPr>
          </w:p>
        </w:tc>
      </w:tr>
      <w:tr>
        <w:trPr>
          <w:trHeight w:val="186"/>
        </w:trPr>
        <w:tc>
          <w:tcPr>
            <w:tcW w:w="34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CHIEF FINANCIAL OFFICER ICON PLC</w:t>
            </w: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CAHILL GORDON &amp; REINDEL LLP</w:t>
            </w:r>
          </w:p>
        </w:tc>
        <w:tc>
          <w:tcPr>
            <w:tcW w:w="292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SULLIVAN &amp; CROMWELL LLP</w:t>
            </w:r>
          </w:p>
        </w:tc>
        <w:tc>
          <w:tcPr>
            <w:tcW w:w="0" w:type="dxa"/>
            <w:vAlign w:val="bottom"/>
          </w:tcPr>
          <w:p>
            <w:pPr>
              <w:spacing w:after="0"/>
              <w:rPr>
                <w:sz w:val="1"/>
                <w:szCs w:val="1"/>
                <w:color w:val="auto"/>
              </w:rPr>
            </w:pPr>
          </w:p>
        </w:tc>
      </w:tr>
      <w:tr>
        <w:trPr>
          <w:trHeight w:val="186"/>
        </w:trPr>
        <w:tc>
          <w:tcPr>
            <w:tcW w:w="34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SOUTH COUNTY BUSINESS PARK</w:t>
            </w: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80 PINE STREET</w:t>
            </w:r>
          </w:p>
        </w:tc>
        <w:tc>
          <w:tcPr>
            <w:tcW w:w="292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1 NEW FETTER LANE</w:t>
            </w:r>
          </w:p>
        </w:tc>
        <w:tc>
          <w:tcPr>
            <w:tcW w:w="0" w:type="dxa"/>
            <w:vAlign w:val="bottom"/>
          </w:tcPr>
          <w:p>
            <w:pPr>
              <w:spacing w:after="0"/>
              <w:rPr>
                <w:sz w:val="1"/>
                <w:szCs w:val="1"/>
                <w:color w:val="auto"/>
              </w:rPr>
            </w:pPr>
          </w:p>
        </w:tc>
      </w:tr>
      <w:tr>
        <w:trPr>
          <w:trHeight w:val="186"/>
        </w:trPr>
        <w:tc>
          <w:tcPr>
            <w:tcW w:w="34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LEOPARDSTOWN, DUBLIN 18, IRELAND</w:t>
            </w:r>
          </w:p>
        </w:tc>
        <w:tc>
          <w:tcPr>
            <w:tcW w:w="2600" w:type="dxa"/>
            <w:vAlign w:val="bottom"/>
            <w:gridSpan w:val="2"/>
          </w:tcPr>
          <w:p>
            <w:pPr>
              <w:jc w:val="center"/>
              <w:ind w:left="19"/>
              <w:spacing w:after="0"/>
              <w:rPr>
                <w:sz w:val="20"/>
                <w:szCs w:val="20"/>
                <w:color w:val="auto"/>
              </w:rPr>
            </w:pPr>
            <w:r>
              <w:rPr>
                <w:rFonts w:ascii="Courier New" w:cs="Courier New" w:eastAsia="Courier New" w:hAnsi="Courier New"/>
                <w:sz w:val="16"/>
                <w:szCs w:val="16"/>
                <w:color w:val="auto"/>
              </w:rPr>
              <w:t>NEW YORK, NEW YORK 10005</w:t>
            </w:r>
          </w:p>
        </w:tc>
        <w:tc>
          <w:tcPr>
            <w:tcW w:w="2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LONDON EC4A 1AN, ENGLAND</w:t>
            </w:r>
          </w:p>
        </w:tc>
        <w:tc>
          <w:tcPr>
            <w:tcW w:w="0" w:type="dxa"/>
            <w:vAlign w:val="bottom"/>
          </w:tcPr>
          <w:p>
            <w:pPr>
              <w:spacing w:after="0"/>
              <w:rPr>
                <w:sz w:val="1"/>
                <w:szCs w:val="1"/>
                <w:color w:val="auto"/>
              </w:rPr>
            </w:pPr>
          </w:p>
        </w:tc>
      </w:tr>
      <w:tr>
        <w:trPr>
          <w:trHeight w:val="273"/>
        </w:trPr>
        <w:tc>
          <w:tcPr>
            <w:tcW w:w="34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(353) 1-216-1100</w:t>
            </w: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(212) 701-3000</w:t>
            </w:r>
          </w:p>
        </w:tc>
        <w:tc>
          <w:tcPr>
            <w:tcW w:w="292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(44 20) 7959 8900</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right="2459" w:firstLine="484"/>
        <w:spacing w:after="0" w:line="367"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hereof.</w:t>
      </w:r>
    </w:p>
    <w:p>
      <w:pPr>
        <w:spacing w:after="0" w:line="5" w:lineRule="exact"/>
        <w:rPr>
          <w:sz w:val="24"/>
          <w:szCs w:val="24"/>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50" w:lineRule="exact"/>
        <w:rPr>
          <w:sz w:val="24"/>
          <w:szCs w:val="24"/>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pacing w:after="0" w:line="50" w:lineRule="exact"/>
        <w:rPr>
          <w:sz w:val="24"/>
          <w:szCs w:val="24"/>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65" w:lineRule="exact"/>
        <w:rPr>
          <w:sz w:val="24"/>
          <w:szCs w:val="24"/>
          <w:color w:val="auto"/>
        </w:rPr>
      </w:pPr>
    </w:p>
    <w:p>
      <w:pPr>
        <w:jc w:val="both"/>
        <w:ind w:right="2759" w:firstLine="484"/>
        <w:spacing w:after="0" w:line="28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65" w:lineRule="exact"/>
        <w:rPr>
          <w:sz w:val="24"/>
          <w:szCs w:val="24"/>
          <w:color w:val="auto"/>
        </w:rPr>
      </w:pPr>
    </w:p>
    <w:p>
      <w:pPr>
        <w:ind w:right="2559" w:firstLine="484"/>
        <w:spacing w:after="0" w:line="367"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REGISTRANT HEREBY AMENDS THIS REGISTRATION STATEMENT ON SUCH DATE OR DATES</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AS MAY BE NECESSARY TO DELAY ITS EFFECTIVE DATE UNTIL THE REGISTRANT SHALL</w:t>
      </w:r>
    </w:p>
    <w:p>
      <w:pPr>
        <w:spacing w:after="0" w:line="5" w:lineRule="exact"/>
        <w:rPr>
          <w:sz w:val="24"/>
          <w:szCs w:val="24"/>
          <w:color w:val="auto"/>
        </w:rPr>
      </w:pPr>
    </w:p>
    <w:p>
      <w:pPr>
        <w:ind w:left="300" w:right="2659" w:firstLine="678"/>
        <w:spacing w:after="0" w:line="246" w:lineRule="auto"/>
        <w:rPr>
          <w:sz w:val="20"/>
          <w:szCs w:val="20"/>
          <w:color w:val="auto"/>
        </w:rPr>
      </w:pPr>
      <w:r>
        <w:rPr>
          <w:rFonts w:ascii="Courier New" w:cs="Courier New" w:eastAsia="Courier New" w:hAnsi="Courier New"/>
          <w:sz w:val="16"/>
          <w:szCs w:val="16"/>
          <w:color w:val="auto"/>
        </w:rPr>
        <w:t>FILE A FURTHER AMENDMENT WHICH SPECIFICALLY STATES THAT THIS REGISTRATION STATEMENT SHALL THEREAFTER BECOME EFFECTIVE IN ACCORDANCE WITH</w:t>
      </w:r>
    </w:p>
    <w:p>
      <w:pPr>
        <w:spacing w:after="0" w:line="1" w:lineRule="exact"/>
        <w:rPr>
          <w:sz w:val="24"/>
          <w:szCs w:val="24"/>
          <w:color w:val="auto"/>
        </w:rPr>
      </w:pPr>
    </w:p>
    <w:p>
      <w:pPr>
        <w:jc w:val="center"/>
        <w:ind w:right="2359"/>
        <w:spacing w:after="0" w:line="287" w:lineRule="auto"/>
        <w:rPr>
          <w:sz w:val="20"/>
          <w:szCs w:val="20"/>
          <w:color w:val="auto"/>
        </w:rPr>
      </w:pPr>
      <w:r>
        <w:rPr>
          <w:rFonts w:ascii="Courier New" w:cs="Courier New" w:eastAsia="Courier New" w:hAnsi="Courier New"/>
          <w:sz w:val="16"/>
          <w:szCs w:val="16"/>
          <w:color w:val="auto"/>
        </w:rPr>
        <w:t>SECTION 8(A) OF THE SECURITIES ACT OF 1933, AS AMENDED, OR UNTIL THE REGISTRATION STATEMENT SHALL BECOME EFFECTIVE ON SUCH DATE AS THE COMMISSION, ACTING PURSUANT TO SECTION 8(A), MAY DETERMINE</w:t>
      </w:r>
    </w:p>
    <w:p>
      <w:pPr>
        <w:sectPr>
          <w:pgSz w:w="11900" w:h="16838" w:orient="portrait"/>
          <w:cols w:equalWidth="0" w:num="1">
            <w:col w:w="10219"/>
          </w:cols>
          <w:pgMar w:left="240" w:top="39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62" w:lineRule="exact"/>
        <w:rPr>
          <w:sz w:val="20"/>
          <w:szCs w:val="20"/>
          <w:color w:val="auto"/>
        </w:rPr>
      </w:pPr>
    </w:p>
    <w:tbl>
      <w:tblPr>
        <w:tblLayout w:type="fixed"/>
        <w:tblInd w:w="1740" w:type="dxa"/>
        <w:tblCellMar>
          <w:top w:w="0" w:type="dxa"/>
          <w:left w:w="0" w:type="dxa"/>
          <w:bottom w:w="0" w:type="dxa"/>
          <w:right w:w="0" w:type="dxa"/>
        </w:tblCellMar>
      </w:tblPr>
      <w:tr>
        <w:trPr>
          <w:trHeight w:val="273"/>
        </w:trPr>
        <w:tc>
          <w:tcPr>
            <w:tcW w:w="3300" w:type="dxa"/>
            <w:vAlign w:val="bottom"/>
          </w:tcPr>
          <w:p>
            <w:pPr>
              <w:spacing w:after="0"/>
              <w:rPr>
                <w:sz w:val="20"/>
                <w:szCs w:val="20"/>
                <w:color w:val="auto"/>
              </w:rPr>
            </w:pPr>
            <w:r>
              <w:rPr>
                <w:rFonts w:ascii="Courier New" w:cs="Courier New" w:eastAsia="Courier New" w:hAnsi="Courier New"/>
                <w:sz w:val="16"/>
                <w:szCs w:val="16"/>
                <w:color w:val="auto"/>
              </w:rPr>
              <w:t>Subject to Completion. Dated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2003.</w:t>
            </w:r>
          </w:p>
        </w:tc>
      </w:tr>
    </w:tbl>
    <w:p>
      <w:pPr>
        <w:spacing w:after="0" w:line="10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[LOGO OMITTED]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3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16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85"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Our ADSs are quoted on The Nasdaq National Market under the symbol "ICLR." On June 2, 2003, the last reported sale price of our ADSs on The Nasdaq National Market was $27.04 per ADS. Our ordinary shares are listed on the Official List of the Irish Stock Exchange.</w:t>
      </w:r>
    </w:p>
    <w:p>
      <w:pPr>
        <w:spacing w:after="0" w:line="65" w:lineRule="exact"/>
        <w:rPr>
          <w:sz w:val="20"/>
          <w:szCs w:val="20"/>
          <w:color w:val="auto"/>
        </w:rPr>
      </w:pPr>
    </w:p>
    <w:p>
      <w:pPr>
        <w:ind w:right="2659" w:firstLine="581"/>
        <w:spacing w:after="0" w:line="367"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6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A copy of this document, together with the consents referred to on page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gridSpan w:val="3"/>
          </w:tcPr>
          <w:p>
            <w:pPr>
              <w:spacing w:after="0"/>
              <w:rPr>
                <w:sz w:val="20"/>
                <w:szCs w:val="20"/>
                <w:color w:val="auto"/>
              </w:rPr>
            </w:pPr>
            <w:r>
              <w:rPr>
                <w:rFonts w:ascii="Courier New" w:cs="Courier New" w:eastAsia="Courier New" w:hAnsi="Courier New"/>
                <w:sz w:val="16"/>
                <w:szCs w:val="16"/>
                <w:color w:val="auto"/>
              </w:rPr>
              <w:t>51, has been delivered to the Registrar of Companies in Ireland in accordance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with Section 47 of the Companies Act, 1963.</w:t>
            </w:r>
          </w:p>
        </w:tc>
        <w:tc>
          <w:tcPr>
            <w:tcW w:w="1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4660" w:type="dxa"/>
            <w:vAlign w:val="bottom"/>
          </w:tcPr>
          <w:p>
            <w:pPr>
              <w:ind w:left="3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Per ADS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273"/>
        </w:trPr>
        <w:tc>
          <w:tcPr>
            <w:tcW w:w="46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Initial price to public ......................................</w:t>
            </w:r>
          </w:p>
        </w:tc>
        <w:tc>
          <w:tcPr>
            <w:tcW w:w="188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Underwriting discount ........................................</w:t>
            </w:r>
          </w:p>
        </w:tc>
        <w:tc>
          <w:tcPr>
            <w:tcW w:w="188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Proceeds, before expenses, to ICON ...........................</w:t>
            </w:r>
          </w:p>
        </w:tc>
        <w:tc>
          <w:tcPr>
            <w:tcW w:w="188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Proceeds, before expenses, to the selling shareholders .......</w:t>
            </w:r>
          </w:p>
        </w:tc>
        <w:tc>
          <w:tcPr>
            <w:tcW w:w="1880" w:type="dxa"/>
            <w:vAlign w:val="bottom"/>
          </w:tcPr>
          <w:p>
            <w:pPr>
              <w:jc w:val="right"/>
              <w:ind w:right="13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73"/>
        </w:trPr>
        <w:tc>
          <w:tcPr>
            <w:tcW w:w="79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To the extent that the underwriters sell more than 3,000,000 ADSs, the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940" w:type="dxa"/>
            <w:vAlign w:val="bottom"/>
            <w:gridSpan w:val="3"/>
          </w:tcPr>
          <w:p>
            <w:pPr>
              <w:spacing w:after="0"/>
              <w:rPr>
                <w:sz w:val="20"/>
                <w:szCs w:val="20"/>
                <w:color w:val="auto"/>
              </w:rPr>
            </w:pPr>
            <w:r>
              <w:rPr>
                <w:rFonts w:ascii="Courier New" w:cs="Courier New" w:eastAsia="Courier New" w:hAnsi="Courier New"/>
                <w:sz w:val="16"/>
                <w:szCs w:val="16"/>
                <w:color w:val="auto"/>
              </w:rPr>
              <w:t>underwriters have the option to purchase up to an additional 450,000 ADSs from</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gridSpan w:val="3"/>
          </w:tcPr>
          <w:p>
            <w:pPr>
              <w:spacing w:after="0"/>
              <w:rPr>
                <w:sz w:val="20"/>
                <w:szCs w:val="20"/>
                <w:color w:val="auto"/>
              </w:rPr>
            </w:pPr>
            <w:r>
              <w:rPr>
                <w:rFonts w:ascii="Courier New" w:cs="Courier New" w:eastAsia="Courier New" w:hAnsi="Courier New"/>
                <w:sz w:val="16"/>
                <w:szCs w:val="16"/>
                <w:color w:val="auto"/>
              </w:rPr>
              <w:t>the selling shareholders at the initial price to public less the underwriting</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discount.</w:t>
            </w:r>
          </w:p>
        </w:tc>
        <w:tc>
          <w:tcPr>
            <w:tcW w:w="1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4660" w:type="dxa"/>
            <w:vAlign w:val="bottom"/>
          </w:tcPr>
          <w:p>
            <w:pPr>
              <w:ind w:left="3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9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The underwriters expect to deliver the ADSs against payment in New York,</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660" w:type="dxa"/>
            <w:vAlign w:val="bottom"/>
          </w:tcPr>
          <w:p>
            <w:pPr>
              <w:spacing w:after="0"/>
              <w:rPr>
                <w:sz w:val="20"/>
                <w:szCs w:val="20"/>
                <w:color w:val="auto"/>
              </w:rPr>
            </w:pPr>
            <w:r>
              <w:rPr>
                <w:rFonts w:ascii="Courier New" w:cs="Courier New" w:eastAsia="Courier New" w:hAnsi="Courier New"/>
                <w:sz w:val="16"/>
                <w:szCs w:val="16"/>
                <w:color w:val="auto"/>
              </w:rPr>
              <w:t>New York on , 2003.</w:t>
            </w:r>
          </w:p>
        </w:tc>
        <w:tc>
          <w:tcPr>
            <w:tcW w:w="1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660" w:type="dxa"/>
            <w:vAlign w:val="bottom"/>
          </w:tcPr>
          <w:p>
            <w:pPr>
              <w:spacing w:after="0"/>
              <w:rPr>
                <w:sz w:val="20"/>
                <w:szCs w:val="20"/>
                <w:color w:val="auto"/>
              </w:rPr>
            </w:pPr>
            <w:r>
              <w:rPr>
                <w:rFonts w:ascii="Courier New" w:cs="Courier New" w:eastAsia="Courier New" w:hAnsi="Courier New"/>
                <w:sz w:val="16"/>
                <w:szCs w:val="16"/>
                <w:color w:val="auto"/>
              </w:rPr>
              <w:t>GOLDMAN, SACHS &amp; CO.</w:t>
            </w: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WILLIAM BLAIR &amp; COMPANY</w:t>
            </w:r>
          </w:p>
        </w:tc>
        <w:tc>
          <w:tcPr>
            <w:tcW w:w="1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6060" w:type="dxa"/>
            <w:vAlign w:val="bottom"/>
            <w:gridSpan w:val="2"/>
          </w:tcPr>
          <w:p>
            <w:pPr>
              <w:ind w:left="3580"/>
              <w:spacing w:after="0"/>
              <w:rPr>
                <w:sz w:val="20"/>
                <w:szCs w:val="20"/>
                <w:color w:val="auto"/>
              </w:rPr>
            </w:pPr>
            <w:r>
              <w:rPr>
                <w:rFonts w:ascii="Courier New" w:cs="Courier New" w:eastAsia="Courier New" w:hAnsi="Courier New"/>
                <w:sz w:val="16"/>
                <w:szCs w:val="16"/>
                <w:color w:val="auto"/>
              </w:rPr>
              <w:t>BEAR, STEARNS &amp; CO. INC.</w:t>
            </w:r>
          </w:p>
        </w:tc>
        <w:tc>
          <w:tcPr>
            <w:tcW w:w="188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DAVY STOCKBROKERS</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660" w:type="dxa"/>
            <w:vAlign w:val="bottom"/>
            <w:vMerge w:val="restart"/>
          </w:tcPr>
          <w:p>
            <w:pPr>
              <w:ind w:left="3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6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Prospectus dated</w:t>
            </w:r>
          </w:p>
        </w:tc>
        <w:tc>
          <w:tcPr>
            <w:tcW w:w="140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5"/>
              </w:rPr>
              <w:t>, 2003.</w:t>
            </w: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2" w:right="1440" w:bottom="820" w:gutter="0" w:footer="0" w:header="0"/>
        </w:sectPr>
      </w:pPr>
    </w:p>
    <w:bookmarkStart w:id="2" w:name="page3"/>
    <w:bookmarkEnd w:id="2"/>
    <w:p>
      <w:pPr>
        <w:jc w:val="center"/>
        <w:ind w:right="2359"/>
        <w:spacing w:after="0"/>
        <w:rPr>
          <w:sz w:val="20"/>
          <w:szCs w:val="20"/>
          <w:color w:val="auto"/>
        </w:rPr>
      </w:pPr>
      <w:r>
        <w:rPr>
          <w:rFonts w:ascii="Courier New" w:cs="Courier New" w:eastAsia="Courier New" w:hAnsi="Courier New"/>
          <w:sz w:val="16"/>
          <w:szCs w:val="16"/>
          <w:color w:val="auto"/>
        </w:rPr>
        <w:t>SUMMARY</w:t>
      </w:r>
    </w:p>
    <w:p>
      <w:pPr>
        <w:spacing w:after="0" w:line="191"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27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ICON</w:t>
      </w:r>
    </w:p>
    <w:p>
      <w:pPr>
        <w:spacing w:after="0" w:line="191"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2,300 employees and operations in 28 locations in 16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93"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276"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93"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1"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8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2" w:right="1440" w:bottom="1440" w:gutter="0" w:footer="0" w:header="0"/>
        </w:sectPr>
      </w:pPr>
    </w:p>
    <w:bookmarkStart w:id="3" w:name="page4"/>
    <w:bookmarkEnd w:id="3"/>
    <w:p>
      <w:pPr>
        <w:ind w:right="2459"/>
        <w:spacing w:after="0" w:line="270"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81"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1-216-1100. Our principal offices in the United States are located at 212 Church Road, North Wales, PA 19454.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6" w:right="1440"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273"/>
        </w:trPr>
        <w:tc>
          <w:tcPr>
            <w:tcW w:w="3240" w:type="dxa"/>
            <w:vAlign w:val="bottom"/>
          </w:tcPr>
          <w:p>
            <w:pPr>
              <w:spacing w:after="0"/>
              <w:rPr>
                <w:sz w:val="23"/>
                <w:szCs w:val="23"/>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Offering price ..................</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U.S.$</w:t>
            </w:r>
          </w:p>
        </w:tc>
        <w:tc>
          <w:tcPr>
            <w:tcW w:w="3200" w:type="dxa"/>
            <w:vAlign w:val="bottom"/>
          </w:tcPr>
          <w:p>
            <w:pPr>
              <w:ind w:left="100"/>
              <w:spacing w:after="0"/>
              <w:rPr>
                <w:sz w:val="20"/>
                <w:szCs w:val="20"/>
                <w:color w:val="auto"/>
              </w:rPr>
            </w:pPr>
            <w:r>
              <w:rPr>
                <w:rFonts w:ascii="Courier New" w:cs="Courier New" w:eastAsia="Courier New" w:hAnsi="Courier New"/>
                <w:sz w:val="16"/>
                <w:szCs w:val="16"/>
                <w:color w:val="auto"/>
              </w:rPr>
              <w:t>per ADS</w:t>
            </w:r>
          </w:p>
        </w:tc>
        <w:tc>
          <w:tcPr>
            <w:tcW w:w="0" w:type="dxa"/>
            <w:vAlign w:val="bottom"/>
          </w:tcPr>
          <w:p>
            <w:pPr>
              <w:spacing w:after="0"/>
              <w:rPr>
                <w:sz w:val="1"/>
                <w:szCs w:val="1"/>
                <w:color w:val="auto"/>
              </w:rPr>
            </w:pP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ADSs offered by us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1,500,000 ADSs</w:t>
            </w:r>
          </w:p>
        </w:tc>
        <w:tc>
          <w:tcPr>
            <w:tcW w:w="0" w:type="dxa"/>
            <w:vAlign w:val="bottom"/>
          </w:tcPr>
          <w:p>
            <w:pPr>
              <w:spacing w:after="0"/>
              <w:rPr>
                <w:sz w:val="1"/>
                <w:szCs w:val="1"/>
                <w:color w:val="auto"/>
              </w:rPr>
            </w:pPr>
          </w:p>
        </w:tc>
      </w:tr>
      <w:tr>
        <w:trPr>
          <w:trHeight w:val="287"/>
        </w:trPr>
        <w:tc>
          <w:tcPr>
            <w:tcW w:w="324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452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rPr>
              <w:t>1,500,000 ADSs</w:t>
            </w:r>
          </w:p>
        </w:tc>
        <w:tc>
          <w:tcPr>
            <w:tcW w:w="0" w:type="dxa"/>
            <w:vAlign w:val="bottom"/>
          </w:tcPr>
          <w:p>
            <w:pPr>
              <w:spacing w:after="0"/>
              <w:rPr>
                <w:sz w:val="1"/>
                <w:szCs w:val="1"/>
                <w:color w:val="auto"/>
              </w:rPr>
            </w:pPr>
          </w:p>
        </w:tc>
      </w:tr>
      <w:tr>
        <w:trPr>
          <w:trHeight w:val="273"/>
        </w:trPr>
        <w:tc>
          <w:tcPr>
            <w:tcW w:w="324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 .........</w:t>
            </w:r>
          </w:p>
        </w:tc>
        <w:tc>
          <w:tcPr>
            <w:tcW w:w="45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Dr. Ronan Lambe and Dr. John Climax through</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Wineberry Limited, a company controlled by</w:t>
            </w:r>
          </w:p>
        </w:tc>
        <w:tc>
          <w:tcPr>
            <w:tcW w:w="0" w:type="dxa"/>
            <w:vAlign w:val="bottom"/>
          </w:tcPr>
          <w:p>
            <w:pPr>
              <w:spacing w:after="0"/>
              <w:rPr>
                <w:sz w:val="1"/>
                <w:szCs w:val="1"/>
                <w:color w:val="auto"/>
              </w:rPr>
            </w:pPr>
          </w:p>
        </w:tc>
      </w:tr>
      <w:tr>
        <w:trPr>
          <w:trHeight w:val="273"/>
        </w:trPr>
        <w:tc>
          <w:tcPr>
            <w:tcW w:w="3240" w:type="dxa"/>
            <w:vAlign w:val="bottom"/>
          </w:tcPr>
          <w:p>
            <w:pPr>
              <w:spacing w:after="0"/>
              <w:rPr>
                <w:sz w:val="23"/>
                <w:szCs w:val="23"/>
                <w:color w:val="auto"/>
              </w:rPr>
            </w:pP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him.</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13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13,328,217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24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 ......</w:t>
            </w:r>
          </w:p>
        </w:tc>
        <w:tc>
          <w:tcPr>
            <w:tcW w:w="1320" w:type="dxa"/>
            <w:vAlign w:val="bottom"/>
            <w:vMerge w:val="continue"/>
          </w:tcPr>
          <w:p>
            <w:pPr>
              <w:spacing w:after="0"/>
              <w:rPr>
                <w:sz w:val="23"/>
                <w:szCs w:val="23"/>
                <w:color w:val="auto"/>
              </w:rPr>
            </w:pP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Ordinary shares per ADS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The ADSs are issued pursuant to the</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Deposit Agreement with The Bank of New York</w:t>
            </w:r>
          </w:p>
        </w:tc>
        <w:tc>
          <w:tcPr>
            <w:tcW w:w="0" w:type="dxa"/>
            <w:vAlign w:val="bottom"/>
          </w:tcPr>
          <w:p>
            <w:pPr>
              <w:spacing w:after="0"/>
              <w:rPr>
                <w:sz w:val="1"/>
                <w:szCs w:val="1"/>
                <w:color w:val="auto"/>
              </w:rPr>
            </w:pPr>
          </w:p>
        </w:tc>
      </w:tr>
      <w:tr>
        <w:trPr>
          <w:trHeight w:val="273"/>
        </w:trPr>
        <w:tc>
          <w:tcPr>
            <w:tcW w:w="3240" w:type="dxa"/>
            <w:vAlign w:val="bottom"/>
          </w:tcPr>
          <w:p>
            <w:pPr>
              <w:spacing w:after="0"/>
              <w:rPr>
                <w:sz w:val="23"/>
                <w:szCs w:val="23"/>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dated as of May 20, 1998.</w:t>
            </w:r>
          </w:p>
        </w:tc>
        <w:tc>
          <w:tcPr>
            <w:tcW w:w="0" w:type="dxa"/>
            <w:vAlign w:val="bottom"/>
          </w:tcPr>
          <w:p>
            <w:pPr>
              <w:spacing w:after="0"/>
              <w:rPr>
                <w:sz w:val="1"/>
                <w:szCs w:val="1"/>
                <w:color w:val="auto"/>
              </w:rPr>
            </w:pPr>
          </w:p>
        </w:tc>
      </w:tr>
      <w:tr>
        <w:trPr>
          <w:trHeight w:val="287"/>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Option to purchase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additional ADSs If the underwriters exercise</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option to purchase additional ADSs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described under the heading "Underwriting",</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selling shareholders may sell up to an</w:t>
            </w:r>
          </w:p>
        </w:tc>
        <w:tc>
          <w:tcPr>
            <w:tcW w:w="0" w:type="dxa"/>
            <w:vAlign w:val="bottom"/>
          </w:tcPr>
          <w:p>
            <w:pPr>
              <w:spacing w:after="0"/>
              <w:rPr>
                <w:sz w:val="1"/>
                <w:szCs w:val="1"/>
                <w:color w:val="auto"/>
              </w:rPr>
            </w:pPr>
          </w:p>
        </w:tc>
      </w:tr>
      <w:tr>
        <w:trPr>
          <w:trHeight w:val="273"/>
        </w:trPr>
        <w:tc>
          <w:tcPr>
            <w:tcW w:w="3240" w:type="dxa"/>
            <w:vAlign w:val="bottom"/>
          </w:tcPr>
          <w:p>
            <w:pPr>
              <w:spacing w:after="0"/>
              <w:rPr>
                <w:sz w:val="23"/>
                <w:szCs w:val="23"/>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additional 450,000 ADSs.</w:t>
            </w:r>
          </w:p>
        </w:tc>
        <w:tc>
          <w:tcPr>
            <w:tcW w:w="0" w:type="dxa"/>
            <w:vAlign w:val="bottom"/>
          </w:tcPr>
          <w:p>
            <w:pPr>
              <w:spacing w:after="0"/>
              <w:rPr>
                <w:sz w:val="1"/>
                <w:szCs w:val="1"/>
                <w:color w:val="auto"/>
              </w:rPr>
            </w:pPr>
          </w:p>
        </w:tc>
      </w:tr>
      <w:tr>
        <w:trPr>
          <w:trHeight w:val="287"/>
        </w:trPr>
        <w:tc>
          <w:tcPr>
            <w:tcW w:w="3240" w:type="dxa"/>
            <w:vAlign w:val="bottom"/>
          </w:tcPr>
          <w:p>
            <w:pPr>
              <w:spacing w:after="0"/>
              <w:rPr>
                <w:sz w:val="20"/>
                <w:szCs w:val="20"/>
                <w:color w:val="auto"/>
              </w:rPr>
            </w:pPr>
            <w:r>
              <w:rPr>
                <w:rFonts w:ascii="Courier New" w:cs="Courier New" w:eastAsia="Courier New" w:hAnsi="Courier New"/>
                <w:sz w:val="16"/>
                <w:szCs w:val="16"/>
                <w:color w:val="auto"/>
              </w:rPr>
              <w:t>Lock-up arrangements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We have agreed with the underwriters,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subject to certain exceptions, not to</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dispose of or hedge any of our ordinary</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shares, ADSs or securities convertible into</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or exchangeable for ordinary shares or ADSs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during the period from the date of this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prospectus continuing through the date 90</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days after the date of this prospectus,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except with the prior written consent of</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Goldman, Sachs &amp; Co. The selling</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shareholders have agreed with the</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underwriters, subject to certain exceptions,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not to dispose of or hedge any of our</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ordinary shares, ADSs or securities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convertible into or exchangeable for</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ordinary shares or ADSs during the period</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from the date of this prospectus continuing</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through the date 180 days after the date of</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this prospectus, except with the prior</w:t>
            </w:r>
          </w:p>
        </w:tc>
        <w:tc>
          <w:tcPr>
            <w:tcW w:w="0" w:type="dxa"/>
            <w:vAlign w:val="bottom"/>
          </w:tcPr>
          <w:p>
            <w:pPr>
              <w:spacing w:after="0"/>
              <w:rPr>
                <w:sz w:val="1"/>
                <w:szCs w:val="1"/>
                <w:color w:val="auto"/>
              </w:rPr>
            </w:pPr>
          </w:p>
        </w:tc>
      </w:tr>
      <w:tr>
        <w:trPr>
          <w:trHeight w:val="273"/>
        </w:trPr>
        <w:tc>
          <w:tcPr>
            <w:tcW w:w="3240" w:type="dxa"/>
            <w:vAlign w:val="bottom"/>
          </w:tcPr>
          <w:p>
            <w:pPr>
              <w:spacing w:after="0"/>
              <w:rPr>
                <w:sz w:val="23"/>
                <w:szCs w:val="23"/>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written consent of Goldman, Sachs &amp; Co.</w:t>
            </w:r>
          </w:p>
        </w:tc>
        <w:tc>
          <w:tcPr>
            <w:tcW w:w="0" w:type="dxa"/>
            <w:vAlign w:val="bottom"/>
          </w:tcPr>
          <w:p>
            <w:pPr>
              <w:spacing w:after="0"/>
              <w:rPr>
                <w:sz w:val="1"/>
                <w:szCs w:val="1"/>
                <w:color w:val="auto"/>
              </w:rPr>
            </w:pPr>
          </w:p>
        </w:tc>
      </w:tr>
      <w:tr>
        <w:trPr>
          <w:trHeight w:val="287"/>
        </w:trPr>
        <w:tc>
          <w:tcPr>
            <w:tcW w:w="324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We estimate that the net proceeds to us from</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this offering, after deducting underwriting</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discounts and the estimated offering</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expenses payable by us, will be</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approximately $ million. We will not receive</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any of the proceeds from the sale of ADSs by</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selling shareholders. We intend to use</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net proceeds from this offering,</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together with our existing cash, cash</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equivalents, short-term investments and cash</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generated from operations, for general</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corporate purposes, including, but not</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limited to funding the continued growth and</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development of the business, opportunistic</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acquisitions, and working capital</w:t>
            </w:r>
          </w:p>
        </w:tc>
        <w:tc>
          <w:tcPr>
            <w:tcW w:w="0" w:type="dxa"/>
            <w:vAlign w:val="bottom"/>
          </w:tcPr>
          <w:p>
            <w:pPr>
              <w:spacing w:after="0"/>
              <w:rPr>
                <w:sz w:val="1"/>
                <w:szCs w:val="1"/>
                <w:color w:val="auto"/>
              </w:rPr>
            </w:pPr>
          </w:p>
        </w:tc>
      </w:tr>
      <w:tr>
        <w:trPr>
          <w:trHeight w:val="273"/>
        </w:trPr>
        <w:tc>
          <w:tcPr>
            <w:tcW w:w="3240" w:type="dxa"/>
            <w:vAlign w:val="bottom"/>
          </w:tcPr>
          <w:p>
            <w:pPr>
              <w:spacing w:after="0"/>
              <w:rPr>
                <w:sz w:val="23"/>
                <w:szCs w:val="23"/>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requirements.</w:t>
            </w:r>
          </w:p>
        </w:tc>
        <w:tc>
          <w:tcPr>
            <w:tcW w:w="0" w:type="dxa"/>
            <w:vAlign w:val="bottom"/>
          </w:tcPr>
          <w:p>
            <w:pPr>
              <w:spacing w:after="0"/>
              <w:rPr>
                <w:sz w:val="1"/>
                <w:szCs w:val="1"/>
                <w:color w:val="auto"/>
              </w:rPr>
            </w:pPr>
          </w:p>
        </w:tc>
      </w:tr>
      <w:tr>
        <w:trPr>
          <w:trHeight w:val="287"/>
        </w:trPr>
        <w:tc>
          <w:tcPr>
            <w:tcW w:w="324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Please refer to "Use of Proceeds" for</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further discussion of how we intend to use</w:t>
            </w:r>
          </w:p>
        </w:tc>
        <w:tc>
          <w:tcPr>
            <w:tcW w:w="0" w:type="dxa"/>
            <w:vAlign w:val="bottom"/>
          </w:tcPr>
          <w:p>
            <w:pPr>
              <w:spacing w:after="0"/>
              <w:rPr>
                <w:sz w:val="1"/>
                <w:szCs w:val="1"/>
                <w:color w:val="auto"/>
              </w:rPr>
            </w:pPr>
          </w:p>
        </w:tc>
      </w:tr>
      <w:tr>
        <w:trPr>
          <w:trHeight w:val="273"/>
        </w:trPr>
        <w:tc>
          <w:tcPr>
            <w:tcW w:w="3240" w:type="dxa"/>
            <w:vAlign w:val="bottom"/>
          </w:tcPr>
          <w:p>
            <w:pPr>
              <w:spacing w:after="0"/>
              <w:rPr>
                <w:sz w:val="23"/>
                <w:szCs w:val="23"/>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net proceeds from this offering.</w:t>
            </w:r>
          </w:p>
        </w:tc>
        <w:tc>
          <w:tcPr>
            <w:tcW w:w="0" w:type="dxa"/>
            <w:vAlign w:val="bottom"/>
          </w:tcPr>
          <w:p>
            <w:pPr>
              <w:spacing w:after="0"/>
              <w:rPr>
                <w:sz w:val="1"/>
                <w:szCs w:val="1"/>
                <w:color w:val="auto"/>
              </w:rPr>
            </w:pP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Nasdaq symbol ...................</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ICLR</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right="2759" w:hanging="481"/>
        <w:spacing w:after="0" w:line="270"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February 28, 2003. The number of ordinary shares to be outstanding after this offering does not include 1,215,065 ordinary shares reserved for issuance upon the exercise of stock options outstanding on February 28, 2003.</w:t>
      </w:r>
    </w:p>
    <w:p>
      <w:pPr>
        <w:sectPr>
          <w:pgSz w:w="11900" w:h="16838" w:orient="portrait"/>
          <w:cols w:equalWidth="0" w:num="1">
            <w:col w:w="10220"/>
          </w:cols>
          <w:pgMar w:left="239" w:top="646" w:right="1440" w:bottom="55" w:gutter="0" w:footer="0" w:header="0"/>
        </w:sectPr>
      </w:pPr>
    </w:p>
    <w:bookmarkStart w:id="5" w:name="page6"/>
    <w:bookmarkEnd w:id="5"/>
    <w:p>
      <w:pPr>
        <w:ind w:left="2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298" w:right="1440" w:bottom="1440" w:gutter="0" w:footer="0" w:header="0"/>
        </w:sectPr>
      </w:pPr>
    </w:p>
    <w:bookmarkStart w:id="6" w:name="page7"/>
    <w:bookmarkEnd w:id="6"/>
    <w:p>
      <w:pPr>
        <w:ind w:left="164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378" w:lineRule="exact"/>
        <w:rPr>
          <w:sz w:val="20"/>
          <w:szCs w:val="20"/>
          <w:color w:val="auto"/>
        </w:rPr>
      </w:pPr>
    </w:p>
    <w:p>
      <w:pPr>
        <w:ind w:right="3680" w:firstLine="581"/>
        <w:spacing w:after="0" w:line="253"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97" w:lineRule="exact"/>
        <w:rPr>
          <w:sz w:val="20"/>
          <w:szCs w:val="20"/>
          <w:color w:val="auto"/>
        </w:rPr>
      </w:pPr>
    </w:p>
    <w:p>
      <w:pPr>
        <w:ind w:right="3680" w:firstLine="581"/>
        <w:spacing w:after="0" w:line="264"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82" w:lineRule="exact"/>
        <w:rPr>
          <w:sz w:val="20"/>
          <w:szCs w:val="20"/>
          <w:color w:val="auto"/>
        </w:rPr>
      </w:pPr>
    </w:p>
    <w:p>
      <w:pPr>
        <w:ind w:right="3880" w:firstLine="581"/>
        <w:spacing w:after="0" w:line="276"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vMerge w:val="restart"/>
          </w:tcPr>
          <w:p>
            <w:pPr>
              <w:jc w:val="right"/>
              <w:spacing w:after="0"/>
              <w:rPr>
                <w:sz w:val="20"/>
                <w:szCs w:val="20"/>
                <w:color w:val="auto"/>
              </w:rPr>
            </w:pPr>
            <w:r>
              <w:rPr>
                <w:rFonts w:ascii="Courier New" w:cs="Courier New" w:eastAsia="Courier New" w:hAnsi="Courier New"/>
                <w:sz w:val="16"/>
                <w:szCs w:val="16"/>
                <w:color w:val="auto"/>
              </w:rPr>
              <w:t>YEAR ENDED MAY 31,</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NINE MONTHS</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ENDED FEBRUARY 28,</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Courier New" w:cs="Courier New" w:eastAsia="Courier New" w:hAnsi="Courier New"/>
                <w:sz w:val="1"/>
                <w:szCs w:val="1"/>
                <w:color w:val="auto"/>
                <w:w w:val="52"/>
              </w:rPr>
              <w:t>---------------------------------------------------------</w:t>
            </w:r>
          </w:p>
        </w:tc>
        <w:tc>
          <w:tcPr>
            <w:tcW w:w="8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w w:val="93"/>
              </w:rPr>
              <w:t>1998</w:t>
            </w:r>
          </w:p>
        </w:tc>
        <w:tc>
          <w:tcPr>
            <w:tcW w:w="240" w:type="dxa"/>
            <w:vAlign w:val="bottom"/>
          </w:tcPr>
          <w:p>
            <w:pPr>
              <w:spacing w:after="0"/>
              <w:rPr>
                <w:sz w:val="16"/>
                <w:szCs w:val="16"/>
                <w:color w:val="auto"/>
              </w:rPr>
            </w:pPr>
          </w:p>
        </w:tc>
        <w:tc>
          <w:tcPr>
            <w:tcW w:w="920" w:type="dxa"/>
            <w:vAlign w:val="bottom"/>
            <w:vMerge w:val="restart"/>
          </w:tcPr>
          <w:p>
            <w:pPr>
              <w:jc w:val="right"/>
              <w:ind w:right="339"/>
              <w:spacing w:after="0"/>
              <w:rPr>
                <w:sz w:val="20"/>
                <w:szCs w:val="20"/>
                <w:color w:val="auto"/>
              </w:rPr>
            </w:pPr>
            <w:r>
              <w:rPr>
                <w:rFonts w:ascii="Courier New" w:cs="Courier New" w:eastAsia="Courier New" w:hAnsi="Courier New"/>
                <w:sz w:val="16"/>
                <w:szCs w:val="16"/>
                <w:color w:val="auto"/>
              </w:rPr>
              <w:t>1999</w:t>
            </w:r>
          </w:p>
        </w:tc>
        <w:tc>
          <w:tcPr>
            <w:tcW w:w="260" w:type="dxa"/>
            <w:vAlign w:val="bottom"/>
          </w:tcPr>
          <w:p>
            <w:pPr>
              <w:spacing w:after="0"/>
              <w:rPr>
                <w:sz w:val="16"/>
                <w:szCs w:val="16"/>
                <w:color w:val="auto"/>
              </w:rPr>
            </w:pPr>
          </w:p>
        </w:tc>
        <w:tc>
          <w:tcPr>
            <w:tcW w:w="9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8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w w:val="93"/>
              </w:rPr>
              <w:t>2001</w:t>
            </w:r>
          </w:p>
        </w:tc>
        <w:tc>
          <w:tcPr>
            <w:tcW w:w="280" w:type="dxa"/>
            <w:vAlign w:val="bottom"/>
          </w:tcPr>
          <w:p>
            <w:pPr>
              <w:spacing w:after="0"/>
              <w:rPr>
                <w:sz w:val="16"/>
                <w:szCs w:val="16"/>
                <w:color w:val="auto"/>
              </w:rPr>
            </w:pPr>
          </w:p>
        </w:tc>
        <w:tc>
          <w:tcPr>
            <w:tcW w:w="88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22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80" w:type="dxa"/>
            <w:vAlign w:val="bottom"/>
            <w:gridSpan w:val="9"/>
          </w:tcPr>
          <w:p>
            <w:pPr>
              <w:jc w:val="right"/>
              <w:ind w:right="559"/>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8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67,743</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98,910</w:t>
            </w:r>
          </w:p>
        </w:tc>
        <w:tc>
          <w:tcPr>
            <w:tcW w:w="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115,087</w:t>
            </w:r>
          </w:p>
        </w:tc>
        <w:tc>
          <w:tcPr>
            <w:tcW w:w="34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5"/>
              </w:rPr>
              <w:t>151,832</w:t>
            </w:r>
          </w:p>
        </w:tc>
        <w:tc>
          <w:tcPr>
            <w:tcW w:w="2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218,842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153,356</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236,270</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(22,549)</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(39,003)</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(34,320)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(35,669)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revenue ......................</w:t>
            </w:r>
          </w:p>
        </w:tc>
        <w:tc>
          <w:tcPr>
            <w:tcW w:w="280" w:type="dxa"/>
            <w:vAlign w:val="bottom"/>
          </w:tcPr>
          <w:p>
            <w:pPr>
              <w:ind w:left="80"/>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45,194</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59,907</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80,767</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116,163</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156,555</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113,558</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159,705</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23,697</w:t>
            </w:r>
          </w:p>
        </w:tc>
        <w:tc>
          <w:tcPr>
            <w:tcW w:w="2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31,662</w:t>
            </w:r>
          </w:p>
        </w:tc>
        <w:tc>
          <w:tcPr>
            <w:tcW w:w="260" w:type="dxa"/>
            <w:vAlign w:val="bottom"/>
          </w:tcPr>
          <w:p>
            <w:pPr>
              <w:spacing w:after="0"/>
              <w:rPr>
                <w:sz w:val="16"/>
                <w:szCs w:val="16"/>
                <w:color w:val="auto"/>
              </w:rPr>
            </w:pP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42,007</w:t>
            </w:r>
          </w:p>
        </w:tc>
        <w:tc>
          <w:tcPr>
            <w:tcW w:w="340" w:type="dxa"/>
            <w:vAlign w:val="bottom"/>
          </w:tcPr>
          <w:p>
            <w:pPr>
              <w:spacing w:after="0"/>
              <w:rPr>
                <w:sz w:val="16"/>
                <w:szCs w:val="16"/>
                <w:color w:val="auto"/>
              </w:rPr>
            </w:pP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63,800</w:t>
            </w:r>
          </w:p>
        </w:tc>
        <w:tc>
          <w:tcPr>
            <w:tcW w:w="280" w:type="dxa"/>
            <w:vAlign w:val="bottom"/>
          </w:tcPr>
          <w:p>
            <w:pPr>
              <w:spacing w:after="0"/>
              <w:rPr>
                <w:sz w:val="16"/>
                <w:szCs w:val="16"/>
                <w:color w:val="auto"/>
              </w:rPr>
            </w:pPr>
          </w:p>
        </w:tc>
        <w:tc>
          <w:tcPr>
            <w:tcW w:w="8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83,371</w:t>
            </w:r>
          </w:p>
        </w:tc>
        <w:tc>
          <w:tcPr>
            <w:tcW w:w="200" w:type="dxa"/>
            <w:vAlign w:val="bottom"/>
          </w:tcPr>
          <w:p>
            <w:pPr>
              <w:spacing w:after="0"/>
              <w:rPr>
                <w:sz w:val="16"/>
                <w:szCs w:val="16"/>
                <w:color w:val="auto"/>
              </w:rPr>
            </w:pP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60,446</w:t>
            </w:r>
          </w:p>
        </w:tc>
        <w:tc>
          <w:tcPr>
            <w:tcW w:w="200" w:type="dxa"/>
            <w:vAlign w:val="bottom"/>
          </w:tcPr>
          <w:p>
            <w:pPr>
              <w:spacing w:after="0"/>
              <w:rPr>
                <w:sz w:val="16"/>
                <w:szCs w:val="16"/>
                <w:color w:val="auto"/>
              </w:rPr>
            </w:pP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87,507</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28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14,037</w:t>
            </w:r>
          </w:p>
        </w:tc>
        <w:tc>
          <w:tcPr>
            <w:tcW w:w="2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19,200</w:t>
            </w:r>
          </w:p>
        </w:tc>
        <w:tc>
          <w:tcPr>
            <w:tcW w:w="260" w:type="dxa"/>
            <w:vAlign w:val="bottom"/>
          </w:tcPr>
          <w:p>
            <w:pPr>
              <w:spacing w:after="0"/>
              <w:rPr>
                <w:sz w:val="16"/>
                <w:szCs w:val="16"/>
                <w:color w:val="auto"/>
              </w:rPr>
            </w:pP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27,348</w:t>
            </w:r>
          </w:p>
        </w:tc>
        <w:tc>
          <w:tcPr>
            <w:tcW w:w="340" w:type="dxa"/>
            <w:vAlign w:val="bottom"/>
          </w:tcPr>
          <w:p>
            <w:pPr>
              <w:spacing w:after="0"/>
              <w:rPr>
                <w:sz w:val="16"/>
                <w:szCs w:val="16"/>
                <w:color w:val="auto"/>
              </w:rPr>
            </w:pP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36,312</w:t>
            </w:r>
          </w:p>
        </w:tc>
        <w:tc>
          <w:tcPr>
            <w:tcW w:w="280" w:type="dxa"/>
            <w:vAlign w:val="bottom"/>
          </w:tcPr>
          <w:p>
            <w:pPr>
              <w:spacing w:after="0"/>
              <w:rPr>
                <w:sz w:val="16"/>
                <w:szCs w:val="16"/>
                <w:color w:val="auto"/>
              </w:rPr>
            </w:pPr>
          </w:p>
        </w:tc>
        <w:tc>
          <w:tcPr>
            <w:tcW w:w="8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48,951</w:t>
            </w:r>
          </w:p>
        </w:tc>
        <w:tc>
          <w:tcPr>
            <w:tcW w:w="200" w:type="dxa"/>
            <w:vAlign w:val="bottom"/>
          </w:tcPr>
          <w:p>
            <w:pPr>
              <w:spacing w:after="0"/>
              <w:rPr>
                <w:sz w:val="16"/>
                <w:szCs w:val="16"/>
                <w:color w:val="auto"/>
              </w:rPr>
            </w:pP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35,550</w:t>
            </w:r>
          </w:p>
        </w:tc>
        <w:tc>
          <w:tcPr>
            <w:tcW w:w="200" w:type="dxa"/>
            <w:vAlign w:val="bottom"/>
          </w:tcPr>
          <w:p>
            <w:pPr>
              <w:spacing w:after="0"/>
              <w:rPr>
                <w:sz w:val="16"/>
                <w:szCs w:val="16"/>
                <w:color w:val="auto"/>
              </w:rPr>
            </w:pP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49,481</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administrative ...................</w:t>
            </w: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Merger costs (2)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1,617</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2,066</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3,264</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4,975</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6,020</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4,416</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5,017</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Total costs and expenses .........</w:t>
            </w:r>
          </w:p>
        </w:tc>
        <w:tc>
          <w:tcPr>
            <w:tcW w:w="280" w:type="dxa"/>
            <w:vAlign w:val="bottom"/>
          </w:tcPr>
          <w:p>
            <w:pPr>
              <w:ind w:left="80"/>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38,930</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52,928</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74,236</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105,087</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138,342</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100,412</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142,005</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 ...........</w:t>
            </w:r>
          </w:p>
        </w:tc>
        <w:tc>
          <w:tcPr>
            <w:tcW w:w="280" w:type="dxa"/>
            <w:vAlign w:val="bottom"/>
          </w:tcPr>
          <w:p>
            <w:pPr>
              <w:ind w:left="80"/>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6,264</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6,979</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6,531</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11,076</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18,213</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13,146</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17,700</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189</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2,631</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2,659</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2,519</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1,116</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864</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c>
          <w:tcPr>
            <w:tcW w:w="0" w:type="dxa"/>
            <w:vAlign w:val="bottom"/>
          </w:tcPr>
          <w:p>
            <w:pPr>
              <w:spacing w:after="0"/>
              <w:rPr>
                <w:sz w:val="1"/>
                <w:szCs w:val="1"/>
                <w:color w:val="auto"/>
              </w:rPr>
            </w:pPr>
          </w:p>
        </w:tc>
      </w:tr>
      <w:tr>
        <w:trPr>
          <w:trHeight w:val="273"/>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provision for</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6,453</w:t>
            </w:r>
          </w:p>
        </w:tc>
        <w:tc>
          <w:tcPr>
            <w:tcW w:w="2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9,610</w:t>
            </w:r>
          </w:p>
        </w:tc>
        <w:tc>
          <w:tcPr>
            <w:tcW w:w="260" w:type="dxa"/>
            <w:vAlign w:val="bottom"/>
          </w:tcPr>
          <w:p>
            <w:pPr>
              <w:spacing w:after="0"/>
              <w:rPr>
                <w:sz w:val="8"/>
                <w:szCs w:val="8"/>
                <w:color w:val="auto"/>
              </w:rPr>
            </w:pP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9,190</w:t>
            </w:r>
          </w:p>
        </w:tc>
        <w:tc>
          <w:tcPr>
            <w:tcW w:w="340" w:type="dxa"/>
            <w:vAlign w:val="bottom"/>
          </w:tcPr>
          <w:p>
            <w:pPr>
              <w:spacing w:after="0"/>
              <w:rPr>
                <w:sz w:val="8"/>
                <w:szCs w:val="8"/>
                <w:color w:val="auto"/>
              </w:rPr>
            </w:pP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13,595</w:t>
            </w:r>
          </w:p>
        </w:tc>
        <w:tc>
          <w:tcPr>
            <w:tcW w:w="280" w:type="dxa"/>
            <w:vAlign w:val="bottom"/>
          </w:tcPr>
          <w:p>
            <w:pPr>
              <w:spacing w:after="0"/>
              <w:rPr>
                <w:sz w:val="8"/>
                <w:szCs w:val="8"/>
                <w:color w:val="auto"/>
              </w:rPr>
            </w:pPr>
          </w:p>
        </w:tc>
        <w:tc>
          <w:tcPr>
            <w:tcW w:w="8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19,329</w:t>
            </w:r>
          </w:p>
        </w:tc>
        <w:tc>
          <w:tcPr>
            <w:tcW w:w="200" w:type="dxa"/>
            <w:vAlign w:val="bottom"/>
          </w:tcPr>
          <w:p>
            <w:pPr>
              <w:spacing w:after="0"/>
              <w:rPr>
                <w:sz w:val="8"/>
                <w:szCs w:val="8"/>
                <w:color w:val="auto"/>
              </w:rPr>
            </w:pP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14,010</w:t>
            </w:r>
          </w:p>
        </w:tc>
        <w:tc>
          <w:tcPr>
            <w:tcW w:w="200" w:type="dxa"/>
            <w:vAlign w:val="bottom"/>
          </w:tcPr>
          <w:p>
            <w:pPr>
              <w:spacing w:after="0"/>
              <w:rPr>
                <w:sz w:val="8"/>
                <w:szCs w:val="8"/>
                <w:color w:val="auto"/>
              </w:rPr>
            </w:pP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18,079</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(2,110)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(1,557)</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(3,122)</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(3) ...................</w:t>
            </w:r>
          </w:p>
        </w:tc>
        <w:tc>
          <w:tcPr>
            <w:tcW w:w="28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2"/>
                <w:vertAlign w:val="subscript"/>
              </w:rPr>
              <w:t>$</w:t>
            </w:r>
            <w:r>
              <w:rPr>
                <w:rFonts w:ascii="Courier New" w:cs="Courier New" w:eastAsia="Courier New" w:hAnsi="Courier New"/>
                <w:sz w:val="4"/>
                <w:szCs w:val="4"/>
                <w:color w:val="auto"/>
                <w:w w:val="7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4,343</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8,053</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6,068</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10,978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273"/>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PER ORDINARY</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28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0.56</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0.74</w:t>
            </w:r>
          </w:p>
        </w:tc>
        <w:tc>
          <w:tcPr>
            <w:tcW w:w="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0.55</w:t>
            </w:r>
          </w:p>
        </w:tc>
        <w:tc>
          <w:tcPr>
            <w:tcW w:w="34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0.97</w:t>
            </w:r>
          </w:p>
        </w:tc>
        <w:tc>
          <w:tcPr>
            <w:tcW w:w="2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0.90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Diluted ..........................</w:t>
            </w:r>
          </w:p>
        </w:tc>
        <w:tc>
          <w:tcPr>
            <w:tcW w:w="28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2"/>
                <w:vertAlign w:val="subscript"/>
              </w:rPr>
              <w:t>$</w:t>
            </w:r>
            <w:r>
              <w:rPr>
                <w:rFonts w:ascii="Courier New" w:cs="Courier New" w:eastAsia="Courier New" w:hAnsi="Courier New"/>
                <w:sz w:val="4"/>
                <w:szCs w:val="4"/>
                <w:color w:val="auto"/>
                <w:w w:val="7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0.49</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0.68</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0.51</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0.92</w:t>
            </w:r>
          </w:p>
        </w:tc>
        <w:tc>
          <w:tcPr>
            <w:tcW w:w="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273"/>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NUMBER OF</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ORDINARY SHARES OUTSTANDING (4):</w:t>
            </w:r>
          </w:p>
        </w:tc>
        <w:tc>
          <w:tcPr>
            <w:tcW w:w="110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7,788,349</w:t>
            </w:r>
          </w:p>
        </w:tc>
        <w:tc>
          <w:tcPr>
            <w:tcW w:w="116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10,908,409</w:t>
            </w:r>
          </w:p>
        </w:tc>
        <w:tc>
          <w:tcPr>
            <w:tcW w:w="1180" w:type="dxa"/>
            <w:vAlign w:val="bottom"/>
            <w:gridSpan w:val="2"/>
            <w:vMerge w:val="restart"/>
          </w:tcPr>
          <w:p>
            <w:pPr>
              <w:jc w:val="right"/>
              <w:ind w:right="79"/>
              <w:spacing w:after="0"/>
              <w:rPr>
                <w:sz w:val="20"/>
                <w:szCs w:val="20"/>
                <w:color w:val="auto"/>
              </w:rPr>
            </w:pPr>
            <w:r>
              <w:rPr>
                <w:rFonts w:ascii="Courier New" w:cs="Courier New" w:eastAsia="Courier New" w:hAnsi="Courier New"/>
                <w:sz w:val="16"/>
                <w:szCs w:val="16"/>
                <w:color w:val="auto"/>
              </w:rPr>
              <w:t>11,050,556</w:t>
            </w:r>
          </w:p>
        </w:tc>
        <w:tc>
          <w:tcPr>
            <w:tcW w:w="1160" w:type="dxa"/>
            <w:vAlign w:val="bottom"/>
            <w:gridSpan w:val="2"/>
            <w:vMerge w:val="restart"/>
          </w:tcPr>
          <w:p>
            <w:pPr>
              <w:jc w:val="right"/>
              <w:ind w:right="79"/>
              <w:spacing w:after="0"/>
              <w:rPr>
                <w:sz w:val="20"/>
                <w:szCs w:val="20"/>
                <w:color w:val="auto"/>
              </w:rPr>
            </w:pPr>
            <w:r>
              <w:rPr>
                <w:rFonts w:ascii="Courier New" w:cs="Courier New" w:eastAsia="Courier New" w:hAnsi="Courier New"/>
                <w:sz w:val="16"/>
                <w:szCs w:val="16"/>
                <w:color w:val="auto"/>
              </w:rPr>
              <w:t>11,292,610</w:t>
            </w:r>
          </w:p>
        </w:tc>
        <w:tc>
          <w:tcPr>
            <w:tcW w:w="116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11,656,153</w:t>
            </w:r>
          </w:p>
        </w:tc>
        <w:tc>
          <w:tcPr>
            <w:tcW w:w="116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11,576,692</w:t>
            </w:r>
          </w:p>
        </w:tc>
        <w:tc>
          <w:tcPr>
            <w:tcW w:w="112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11,804,576</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1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Diluted ..........................</w:t>
            </w:r>
          </w:p>
        </w:tc>
        <w:tc>
          <w:tcPr>
            <w:tcW w:w="1100" w:type="dxa"/>
            <w:vAlign w:val="bottom"/>
            <w:gridSpan w:val="2"/>
            <w:vMerge w:val="restart"/>
          </w:tcPr>
          <w:p>
            <w:pPr>
              <w:jc w:val="right"/>
              <w:ind w:right="59"/>
              <w:spacing w:after="0"/>
              <w:rPr>
                <w:sz w:val="20"/>
                <w:szCs w:val="20"/>
                <w:color w:val="auto"/>
              </w:rPr>
            </w:pPr>
            <w:r>
              <w:rPr>
                <w:rFonts w:ascii="Courier New" w:cs="Courier New" w:eastAsia="Courier New" w:hAnsi="Courier New"/>
                <w:sz w:val="12"/>
                <w:szCs w:val="12"/>
                <w:color w:val="auto"/>
                <w:w w:val="70"/>
              </w:rPr>
              <w:t>8,805,567</w:t>
            </w:r>
            <w:r>
              <w:rPr>
                <w:rFonts w:ascii="Courier New" w:cs="Courier New" w:eastAsia="Courier New" w:hAnsi="Courier New"/>
                <w:sz w:val="19"/>
                <w:szCs w:val="19"/>
                <w:color w:val="auto"/>
                <w:w w:val="70"/>
                <w:vertAlign w:val="superscript"/>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11,917,605</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11,824,359</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11,943,849</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12,241,820</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12,224,383</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12,169,875</w:t>
            </w: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646" w:right="219" w:bottom="75" w:gutter="0" w:footer="0" w:header="0"/>
        </w:sectPr>
      </w:pPr>
    </w:p>
    <w:bookmarkStart w:id="7" w:name="page8"/>
    <w:bookmarkEnd w:id="7"/>
    <w:p>
      <w:pPr>
        <w:ind w:left="25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298" w:right="1440" w:bottom="1440" w:gutter="0" w:footer="0" w:header="0"/>
        </w:sectPr>
      </w:pPr>
    </w:p>
    <w:bookmarkStart w:id="8" w:name="page9"/>
    <w:bookmarkEnd w:id="8"/>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2"/>
            <w:vMerge w:val="restart"/>
          </w:tcPr>
          <w:p>
            <w:pPr>
              <w:jc w:val="right"/>
              <w:ind w:right="359"/>
              <w:spacing w:after="0"/>
              <w:rPr>
                <w:sz w:val="20"/>
                <w:szCs w:val="20"/>
                <w:color w:val="auto"/>
              </w:rPr>
            </w:pPr>
            <w:r>
              <w:rPr>
                <w:rFonts w:ascii="Courier New" w:cs="Courier New" w:eastAsia="Courier New" w:hAnsi="Courier New"/>
                <w:sz w:val="16"/>
                <w:szCs w:val="16"/>
                <w:color w:val="auto"/>
              </w:rPr>
              <w:t>AS OF MAY 31,</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AS OF</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FEBRUARY 28,</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60" w:type="dxa"/>
            <w:vAlign w:val="bottom"/>
            <w:vMerge w:val="restart"/>
          </w:tcPr>
          <w:p>
            <w:pPr>
              <w:ind w:left="100"/>
              <w:spacing w:after="0"/>
              <w:rPr>
                <w:sz w:val="20"/>
                <w:szCs w:val="20"/>
                <w:color w:val="auto"/>
              </w:rPr>
            </w:pPr>
            <w:r>
              <w:rPr>
                <w:rFonts w:ascii="Courier New" w:cs="Courier New" w:eastAsia="Courier New" w:hAnsi="Courier New"/>
                <w:sz w:val="4"/>
                <w:szCs w:val="4"/>
                <w:color w:val="auto"/>
                <w:w w:val="96"/>
              </w:rPr>
              <w:t>--------------------------------------------</w:t>
            </w:r>
            <w:r>
              <w:rPr>
                <w:rFonts w:ascii="Courier New" w:cs="Courier New" w:eastAsia="Courier New" w:hAnsi="Courier New"/>
                <w:sz w:val="8"/>
                <w:szCs w:val="8"/>
                <w:color w:val="auto"/>
                <w:w w:val="96"/>
                <w:vertAlign w:val="subscript"/>
              </w:rPr>
              <w:t>1998</w:t>
            </w:r>
          </w:p>
        </w:tc>
        <w:tc>
          <w:tcPr>
            <w:tcW w:w="10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16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12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222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3"/>
              </w:rPr>
              <w:t>2003</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30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0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260" w:type="dxa"/>
            <w:vAlign w:val="bottom"/>
            <w:vMerge w:val="restart"/>
          </w:tcPr>
          <w:p>
            <w:pPr>
              <w:jc w:val="right"/>
              <w:ind w:right="206"/>
              <w:spacing w:after="0"/>
              <w:rPr>
                <w:sz w:val="20"/>
                <w:szCs w:val="20"/>
                <w:color w:val="auto"/>
              </w:rPr>
            </w:pPr>
            <w:r>
              <w:rPr>
                <w:rFonts w:ascii="Courier New" w:cs="Courier New" w:eastAsia="Courier New" w:hAnsi="Courier New"/>
                <w:sz w:val="16"/>
                <w:szCs w:val="16"/>
                <w:color w:val="auto"/>
              </w:rPr>
              <w:t>$54,384</w:t>
            </w: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$12,353</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$26,552</w:t>
            </w:r>
          </w:p>
        </w:tc>
        <w:tc>
          <w:tcPr>
            <w:tcW w:w="11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$11,179</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36,291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21,862</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12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260" w:type="dxa"/>
            <w:vAlign w:val="bottom"/>
            <w:vMerge w:val="restart"/>
          </w:tcPr>
          <w:p>
            <w:pPr>
              <w:jc w:val="right"/>
              <w:ind w:right="206"/>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35,936</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21,405</w:t>
            </w:r>
          </w:p>
        </w:tc>
        <w:tc>
          <w:tcPr>
            <w:tcW w:w="11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18,551</w:t>
            </w:r>
          </w:p>
        </w:tc>
        <w:tc>
          <w:tcPr>
            <w:tcW w:w="340" w:type="dxa"/>
            <w:vAlign w:val="bottom"/>
          </w:tcPr>
          <w:p>
            <w:pPr>
              <w:spacing w:after="0"/>
              <w:rPr>
                <w:sz w:val="16"/>
                <w:szCs w:val="16"/>
                <w:color w:val="auto"/>
              </w:rPr>
            </w:pPr>
          </w:p>
        </w:tc>
        <w:tc>
          <w:tcPr>
            <w:tcW w:w="7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(available for sale) .........</w:t>
            </w:r>
          </w:p>
        </w:tc>
        <w:tc>
          <w:tcPr>
            <w:tcW w:w="12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Working capital ..............</w:t>
            </w:r>
          </w:p>
        </w:tc>
        <w:tc>
          <w:tcPr>
            <w:tcW w:w="1260" w:type="dxa"/>
            <w:vAlign w:val="bottom"/>
          </w:tcPr>
          <w:p>
            <w:pPr>
              <w:jc w:val="right"/>
              <w:ind w:right="206"/>
              <w:spacing w:after="0"/>
              <w:rPr>
                <w:sz w:val="20"/>
                <w:szCs w:val="20"/>
                <w:color w:val="auto"/>
              </w:rPr>
            </w:pPr>
            <w:r>
              <w:rPr>
                <w:rFonts w:ascii="Courier New" w:cs="Courier New" w:eastAsia="Courier New" w:hAnsi="Courier New"/>
                <w:sz w:val="16"/>
                <w:szCs w:val="16"/>
                <w:color w:val="auto"/>
              </w:rPr>
              <w:t>57,886</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56,944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57,962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72,923</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50,451</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Total assets .................</w:t>
            </w:r>
          </w:p>
        </w:tc>
        <w:tc>
          <w:tcPr>
            <w:tcW w:w="1260" w:type="dxa"/>
            <w:vAlign w:val="bottom"/>
          </w:tcPr>
          <w:p>
            <w:pPr>
              <w:jc w:val="right"/>
              <w:ind w:right="206"/>
              <w:spacing w:after="0"/>
              <w:rPr>
                <w:sz w:val="20"/>
                <w:szCs w:val="20"/>
                <w:color w:val="auto"/>
              </w:rPr>
            </w:pPr>
            <w:r>
              <w:rPr>
                <w:rFonts w:ascii="Courier New" w:cs="Courier New" w:eastAsia="Courier New" w:hAnsi="Courier New"/>
                <w:sz w:val="16"/>
                <w:szCs w:val="16"/>
                <w:color w:val="auto"/>
              </w:rPr>
              <w:t>89,981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95,758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100,118</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165,794</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215,044</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Total debt ...................</w:t>
            </w:r>
          </w:p>
        </w:tc>
        <w:tc>
          <w:tcPr>
            <w:tcW w:w="1260" w:type="dxa"/>
            <w:vAlign w:val="bottom"/>
          </w:tcPr>
          <w:p>
            <w:pPr>
              <w:jc w:val="right"/>
              <w:ind w:right="206"/>
              <w:spacing w:after="0"/>
              <w:rPr>
                <w:sz w:val="20"/>
                <w:szCs w:val="20"/>
                <w:color w:val="auto"/>
              </w:rPr>
            </w:pPr>
            <w:r>
              <w:rPr>
                <w:rFonts w:ascii="Courier New" w:cs="Courier New" w:eastAsia="Courier New" w:hAnsi="Courier New"/>
                <w:sz w:val="16"/>
                <w:szCs w:val="16"/>
                <w:color w:val="auto"/>
              </w:rPr>
              <w:t>1,312</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3,514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11,745</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10,503</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Government grants ............</w:t>
            </w:r>
          </w:p>
        </w:tc>
        <w:tc>
          <w:tcPr>
            <w:tcW w:w="1260" w:type="dxa"/>
            <w:vAlign w:val="bottom"/>
          </w:tcPr>
          <w:p>
            <w:pPr>
              <w:jc w:val="right"/>
              <w:ind w:right="206"/>
              <w:spacing w:after="0"/>
              <w:rPr>
                <w:sz w:val="20"/>
                <w:szCs w:val="20"/>
                <w:color w:val="auto"/>
              </w:rPr>
            </w:pPr>
            <w:r>
              <w:rPr>
                <w:rFonts w:ascii="Courier New" w:cs="Courier New" w:eastAsia="Courier New" w:hAnsi="Courier New"/>
                <w:sz w:val="16"/>
                <w:szCs w:val="16"/>
                <w:color w:val="auto"/>
              </w:rPr>
              <w:t>705</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533</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476</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962</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1,079</w:t>
            </w:r>
          </w:p>
        </w:tc>
        <w:tc>
          <w:tcPr>
            <w:tcW w:w="0" w:type="dxa"/>
            <w:vAlign w:val="bottom"/>
          </w:tcPr>
          <w:p>
            <w:pPr>
              <w:spacing w:after="0"/>
              <w:rPr>
                <w:sz w:val="1"/>
                <w:szCs w:val="1"/>
                <w:color w:val="auto"/>
              </w:rPr>
            </w:pPr>
          </w:p>
        </w:tc>
      </w:tr>
      <w:tr>
        <w:trPr>
          <w:trHeight w:val="2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Shareholders' equity .........</w:t>
            </w:r>
          </w:p>
        </w:tc>
        <w:tc>
          <w:tcPr>
            <w:tcW w:w="1260" w:type="dxa"/>
            <w:vAlign w:val="bottom"/>
          </w:tcPr>
          <w:p>
            <w:pPr>
              <w:jc w:val="right"/>
              <w:ind w:right="206"/>
              <w:spacing w:after="0"/>
              <w:rPr>
                <w:sz w:val="20"/>
                <w:szCs w:val="20"/>
                <w:color w:val="auto"/>
              </w:rPr>
            </w:pPr>
            <w:r>
              <w:rPr>
                <w:rFonts w:ascii="Courier New" w:cs="Courier New" w:eastAsia="Courier New" w:hAnsi="Courier New"/>
                <w:sz w:val="16"/>
                <w:szCs w:val="16"/>
                <w:color w:val="auto"/>
              </w:rPr>
              <w:t>$64,074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$71,633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$77,053</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$86,580</w:t>
            </w:r>
          </w:p>
        </w:tc>
        <w:tc>
          <w:tcPr>
            <w:tcW w:w="280" w:type="dxa"/>
            <w:vAlign w:val="bottom"/>
            <w:vMerge w:val="continue"/>
          </w:tcPr>
          <w:p>
            <w:pPr>
              <w:spacing w:after="0"/>
              <w:rPr>
                <w:sz w:val="23"/>
                <w:szCs w:val="23"/>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107,561</w:t>
            </w:r>
          </w:p>
        </w:tc>
        <w:tc>
          <w:tcPr>
            <w:tcW w:w="340" w:type="dxa"/>
            <w:vAlign w:val="bottom"/>
            <w:vMerge w:val="continue"/>
          </w:tcPr>
          <w:p>
            <w:pPr>
              <w:spacing w:after="0"/>
              <w:rPr>
                <w:sz w:val="23"/>
                <w:szCs w:val="23"/>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126,350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481" w:right="3380" w:hanging="384"/>
        <w:spacing w:after="0" w:line="32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35" w:lineRule="exact"/>
        <w:rPr>
          <w:rFonts w:ascii="Courier New" w:cs="Courier New" w:eastAsia="Courier New" w:hAnsi="Courier New"/>
          <w:sz w:val="16"/>
          <w:szCs w:val="16"/>
          <w:color w:val="auto"/>
        </w:rPr>
      </w:pPr>
    </w:p>
    <w:p>
      <w:pPr>
        <w:ind w:left="481" w:right="3480" w:hanging="384"/>
        <w:spacing w:after="0" w:line="270"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80" w:lineRule="exact"/>
        <w:rPr>
          <w:rFonts w:ascii="Courier New" w:cs="Courier New" w:eastAsia="Courier New" w:hAnsi="Courier New"/>
          <w:sz w:val="16"/>
          <w:szCs w:val="16"/>
          <w:color w:val="auto"/>
        </w:rPr>
      </w:pPr>
    </w:p>
    <w:p>
      <w:pPr>
        <w:ind w:left="481" w:right="3280" w:hanging="384"/>
        <w:spacing w:after="0" w:line="270"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61"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80" w:type="dxa"/>
            <w:vAlign w:val="bottom"/>
            <w:gridSpan w:val="3"/>
            <w:vMerge w:val="restart"/>
          </w:tcPr>
          <w:p>
            <w:pPr>
              <w:jc w:val="right"/>
              <w:ind w:right="879"/>
              <w:spacing w:after="0"/>
              <w:rPr>
                <w:sz w:val="20"/>
                <w:szCs w:val="20"/>
                <w:color w:val="auto"/>
              </w:rPr>
            </w:pPr>
            <w:r>
              <w:rPr>
                <w:rFonts w:ascii="Courier New" w:cs="Courier New" w:eastAsia="Courier New" w:hAnsi="Courier New"/>
                <w:sz w:val="16"/>
                <w:szCs w:val="16"/>
                <w:color w:val="auto"/>
              </w:rPr>
              <w:t>YEAR ENDED MAY 31,</w:t>
            </w:r>
          </w:p>
        </w:tc>
        <w:tc>
          <w:tcPr>
            <w:tcW w:w="920" w:type="dxa"/>
            <w:vAlign w:val="bottom"/>
          </w:tcPr>
          <w:p>
            <w:pPr>
              <w:spacing w:after="0"/>
              <w:rPr>
                <w:sz w:val="16"/>
                <w:szCs w:val="16"/>
                <w:color w:val="auto"/>
              </w:rPr>
            </w:pPr>
          </w:p>
        </w:tc>
        <w:tc>
          <w:tcPr>
            <w:tcW w:w="20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NINE MONTHS</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8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 FEBRUARY 28,</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3"/>
                <w:szCs w:val="3"/>
                <w:color w:val="auto"/>
                <w:w w:val="92"/>
              </w:rPr>
              <w:t>-------------------------------------------------------</w:t>
            </w:r>
            <w:r>
              <w:rPr>
                <w:rFonts w:ascii="Courier New" w:cs="Courier New" w:eastAsia="Courier New" w:hAnsi="Courier New"/>
                <w:sz w:val="6"/>
                <w:szCs w:val="6"/>
                <w:color w:val="auto"/>
                <w:w w:val="92"/>
                <w:vertAlign w:val="subscript"/>
              </w:rPr>
              <w:t>1998</w:t>
            </w:r>
          </w:p>
        </w:tc>
        <w:tc>
          <w:tcPr>
            <w:tcW w:w="11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11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2000</w:t>
            </w:r>
          </w:p>
        </w:tc>
        <w:tc>
          <w:tcPr>
            <w:tcW w:w="12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50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(IN THOUSANDS, EXCEPT PER SHARE DATA)</w:t>
            </w: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5"/>
              </w:rPr>
              <w:t>4,343</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$8,053</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$6,068</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$10,978</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$14,200</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$10,385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340" w:type="dxa"/>
            <w:vAlign w:val="bottom"/>
          </w:tcPr>
          <w:p>
            <w:pPr>
              <w:spacing w:after="0"/>
              <w:rPr>
                <w:sz w:val="16"/>
                <w:szCs w:val="16"/>
                <w:color w:val="auto"/>
              </w:rPr>
            </w:pP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38</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210</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280" w:type="dxa"/>
            <w:vAlign w:val="bottom"/>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5"/>
              </w:rPr>
              <w:t>4,343</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$8,053</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$6,106</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$11,188</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$14,200</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$10,385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280" w:type="dxa"/>
            <w:vAlign w:val="bottom"/>
          </w:tcPr>
          <w:p>
            <w:pPr>
              <w:spacing w:after="0"/>
              <w:rPr>
                <w:sz w:val="23"/>
                <w:szCs w:val="23"/>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73"/>
        </w:trPr>
        <w:tc>
          <w:tcPr>
            <w:tcW w:w="228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per ordinary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0.56</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$ 0.74</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$ 0.55</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$ 0.97</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$ 1.22</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$ 0.90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$ 1.10</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share reported ........</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340" w:type="dxa"/>
            <w:vAlign w:val="bottom"/>
          </w:tcPr>
          <w:p>
            <w:pPr>
              <w:spacing w:after="0"/>
              <w:rPr>
                <w:sz w:val="16"/>
                <w:szCs w:val="16"/>
                <w:color w:val="auto"/>
              </w:rPr>
            </w:pP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$ 0.02</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net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2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per</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0.56</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$ 0.74</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$ 0.55</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$ 0.99</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$ 1.22</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$ 0.90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$ 1.10</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ordinary share ........</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2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per ordinary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0.49</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$ 0.68</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$ 0.51</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$ 0.92</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$ 1.16</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$ 0.85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$ 1.07</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share reported ........</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340" w:type="dxa"/>
            <w:vAlign w:val="bottom"/>
          </w:tcPr>
          <w:p>
            <w:pPr>
              <w:spacing w:after="0"/>
              <w:rPr>
                <w:sz w:val="16"/>
                <w:szCs w:val="16"/>
                <w:color w:val="auto"/>
              </w:rPr>
            </w:pP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$ 0.02</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2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net income per</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0.49</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$ 0.68</w:t>
            </w:r>
          </w:p>
        </w:tc>
        <w:tc>
          <w:tcPr>
            <w:tcW w:w="11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$ 0.51</w:t>
            </w:r>
          </w:p>
        </w:tc>
        <w:tc>
          <w:tcPr>
            <w:tcW w:w="12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$ 0.94</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$ 1.16</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$ 0.85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$ 1.07</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ordinary share ........</w:t>
            </w:r>
          </w:p>
        </w:tc>
        <w:tc>
          <w:tcPr>
            <w:tcW w:w="3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280" w:type="dxa"/>
            <w:vAlign w:val="bottom"/>
          </w:tcPr>
          <w:p>
            <w:pPr>
              <w:spacing w:after="0"/>
              <w:rPr>
                <w:sz w:val="23"/>
                <w:szCs w:val="23"/>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481" w:right="3380" w:hanging="384"/>
        <w:spacing w:after="0" w:line="30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 to include potential ordinary shares from the exercise of options</w:t>
      </w:r>
    </w:p>
    <w:p>
      <w:pPr>
        <w:sectPr>
          <w:pgSz w:w="11900" w:h="17009" w:orient="portrait"/>
          <w:cols w:equalWidth="0" w:num="1">
            <w:col w:w="11041"/>
          </w:cols>
          <w:pgMar w:left="239" w:top="1205" w:right="619" w:bottom="0"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484" w:right="1440" w:bottom="1440" w:gutter="0" w:footer="0" w:header="0"/>
        </w:sectPr>
      </w:pPr>
    </w:p>
    <w:bookmarkStart w:id="10" w:name="page11"/>
    <w:bookmarkEnd w:id="10"/>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7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RISKS RELATED TO OUR BUSINESS</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5"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96" w:lineRule="exact"/>
        <w:rPr>
          <w:sz w:val="20"/>
          <w:szCs w:val="20"/>
          <w:color w:val="auto"/>
        </w:rPr>
      </w:pPr>
    </w:p>
    <w:p>
      <w:pPr>
        <w:ind w:right="2659"/>
        <w:spacing w:after="0" w:line="367"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5"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93" w:lineRule="exact"/>
        <w:rPr>
          <w:sz w:val="20"/>
          <w:szCs w:val="20"/>
          <w:color w:val="auto"/>
        </w:rPr>
      </w:pPr>
    </w:p>
    <w:p>
      <w:pPr>
        <w:ind w:right="2759"/>
        <w:spacing w:after="0" w:line="307"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50"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81" w:lineRule="exact"/>
        <w:rPr>
          <w:sz w:val="20"/>
          <w:szCs w:val="20"/>
          <w:color w:val="auto"/>
        </w:rPr>
      </w:pPr>
    </w:p>
    <w:p>
      <w:pPr>
        <w:ind w:left="1160" w:right="2659" w:hanging="579"/>
        <w:spacing w:after="0" w:line="367" w:lineRule="auto"/>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spacing w:after="0" w:line="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6" w:right="1440" w:bottom="1440" w:gutter="0" w:footer="0" w:header="0"/>
        </w:sectPr>
      </w:pPr>
    </w:p>
    <w:bookmarkStart w:id="11" w:name="page12"/>
    <w:bookmarkEnd w:id="11"/>
    <w:p>
      <w:pPr>
        <w:ind w:right="2459" w:firstLine="581"/>
        <w:spacing w:after="0" w:line="367"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5"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65"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Quintiles Transnational Corporation, Covance, Inc., PAREXEL International Corp., Kendle International Inc., Ingenix Inc. (United Health), Omnicare, Inc., PRA Inc., MDS Inc., Inveresk Research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86" w:lineRule="exact"/>
        <w:rPr>
          <w:sz w:val="20"/>
          <w:szCs w:val="20"/>
          <w:color w:val="auto"/>
        </w:rPr>
      </w:pPr>
    </w:p>
    <w:p>
      <w:pPr>
        <w:ind w:right="2459" w:firstLine="581"/>
        <w:spacing w:after="0" w:line="367"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5" w:lineRule="exact"/>
        <w:rPr>
          <w:sz w:val="20"/>
          <w:szCs w:val="20"/>
          <w:color w:val="auto"/>
        </w:rPr>
      </w:pPr>
    </w:p>
    <w:p>
      <w:pPr>
        <w:ind w:right="2659"/>
        <w:spacing w:after="0" w:line="367"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5"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93" w:lineRule="exact"/>
        <w:rPr>
          <w:sz w:val="20"/>
          <w:szCs w:val="20"/>
          <w:color w:val="auto"/>
        </w:rPr>
      </w:pPr>
    </w:p>
    <w:p>
      <w:pPr>
        <w:ind w:right="2859"/>
        <w:spacing w:after="0" w:line="30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50" w:lineRule="exact"/>
        <w:rPr>
          <w:sz w:val="20"/>
          <w:szCs w:val="20"/>
          <w:color w:val="auto"/>
        </w:rPr>
      </w:pPr>
    </w:p>
    <w:p>
      <w:pPr>
        <w:ind w:right="2559" w:firstLine="581"/>
        <w:spacing w:after="0" w:line="266"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6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6" w:right="1440" w:bottom="1440" w:gutter="0" w:footer="0" w:header="0"/>
        </w:sectPr>
      </w:pPr>
    </w:p>
    <w:bookmarkStart w:id="12" w:name="page13"/>
    <w:bookmarkEnd w:id="12"/>
    <w:p>
      <w:pPr>
        <w:ind w:right="2559"/>
        <w:spacing w:after="0" w:line="307"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50"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81" w:lineRule="exact"/>
        <w:rPr>
          <w:sz w:val="20"/>
          <w:szCs w:val="20"/>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5"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85"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89" w:lineRule="exact"/>
        <w:rPr>
          <w:sz w:val="20"/>
          <w:szCs w:val="20"/>
          <w:color w:val="auto"/>
        </w:rPr>
      </w:pPr>
    </w:p>
    <w:p>
      <w:pPr>
        <w:ind w:right="3039"/>
        <w:spacing w:after="0" w:line="367"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5" w:lineRule="exact"/>
        <w:rPr>
          <w:sz w:val="20"/>
          <w:szCs w:val="20"/>
          <w:color w:val="auto"/>
        </w:rPr>
      </w:pPr>
    </w:p>
    <w:p>
      <w:pPr>
        <w:ind w:right="2759" w:firstLine="581"/>
        <w:spacing w:after="0" w:line="264"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82"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76"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6" w:right="1440" w:bottom="1440" w:gutter="0" w:footer="0" w:header="0"/>
        </w:sectPr>
      </w:pPr>
    </w:p>
    <w:bookmarkStart w:id="13" w:name="page14"/>
    <w:bookmarkEnd w:id="13"/>
    <w:p>
      <w:pPr>
        <w:jc w:val="center"/>
        <w:ind w:right="245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191" w:lineRule="exact"/>
        <w:rPr>
          <w:sz w:val="20"/>
          <w:szCs w:val="20"/>
          <w:color w:val="auto"/>
        </w:rPr>
      </w:pPr>
    </w:p>
    <w:p>
      <w:pPr>
        <w:ind w:right="2659" w:firstLine="581"/>
        <w:spacing w:after="0" w:line="276"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13,328,217 and purchasers of ADSs in this offering will experience an immediate and substantial dilution in the net tangible book value per ordinary share of $ (based on the sale of the ADSs at the public offering price set forth on the cover page of this prospectus).</w:t>
      </w: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1" w:lineRule="exact"/>
        <w:rPr>
          <w:sz w:val="20"/>
          <w:szCs w:val="20"/>
          <w:color w:val="auto"/>
        </w:rPr>
      </w:pPr>
    </w:p>
    <w:p>
      <w:pPr>
        <w:ind w:right="2659" w:firstLine="581"/>
        <w:spacing w:after="0" w:line="287"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65"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5"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1"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26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6" w:right="1440" w:bottom="1440" w:gutter="0" w:footer="0" w:header="0"/>
        </w:sectPr>
      </w:pPr>
    </w:p>
    <w:bookmarkStart w:id="14" w:name="page15"/>
    <w:bookmarkEnd w:id="14"/>
    <w:p>
      <w:pPr>
        <w:ind w:left="164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1" w:lineRule="exact"/>
        <w:rPr>
          <w:sz w:val="20"/>
          <w:szCs w:val="20"/>
          <w:color w:val="auto"/>
        </w:rPr>
      </w:pPr>
    </w:p>
    <w:p>
      <w:pPr>
        <w:ind w:right="2459" w:firstLine="581"/>
        <w:spacing w:after="0" w:line="252"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6" w:right="1440" w:bottom="1440" w:gutter="0" w:footer="0" w:header="0"/>
        </w:sectPr>
      </w:pPr>
    </w:p>
    <w:bookmarkStart w:id="15" w:name="page16"/>
    <w:bookmarkEnd w:id="15"/>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378"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 expenses payable by us, will be approximately $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85" w:lineRule="exact"/>
        <w:rPr>
          <w:sz w:val="20"/>
          <w:szCs w:val="20"/>
          <w:color w:val="auto"/>
        </w:rPr>
      </w:pPr>
    </w:p>
    <w:p>
      <w:pPr>
        <w:ind w:right="2759" w:firstLine="581"/>
        <w:spacing w:after="0" w:line="266"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271" w:lineRule="exact"/>
        <w:rPr>
          <w:sz w:val="20"/>
          <w:szCs w:val="20"/>
          <w:color w:val="auto"/>
        </w:rPr>
      </w:pPr>
    </w:p>
    <w:p>
      <w:pPr>
        <w:ind w:right="3039" w:firstLine="581"/>
        <w:spacing w:after="0" w:line="367"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6" w:right="1440" w:bottom="1440" w:gutter="0" w:footer="0" w:header="0"/>
        </w:sectPr>
      </w:pPr>
    </w:p>
    <w:bookmarkStart w:id="16" w:name="page17"/>
    <w:bookmarkEnd w:id="16"/>
    <w:p>
      <w:pPr>
        <w:ind w:left="204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378" w:lineRule="exact"/>
        <w:rPr>
          <w:sz w:val="20"/>
          <w:szCs w:val="20"/>
          <w:color w:val="auto"/>
        </w:rPr>
      </w:pPr>
    </w:p>
    <w:p>
      <w:pPr>
        <w:ind w:right="2559"/>
        <w:spacing w:after="0" w:line="258"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11,828,217 ordinary shares were issued and outstanding as of February 28,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ADSS</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NASDAQ</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HIGH</w:t>
            </w:r>
          </w:p>
        </w:tc>
        <w:tc>
          <w:tcPr>
            <w:tcW w:w="17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73"/>
        </w:trPr>
        <w:tc>
          <w:tcPr>
            <w:tcW w:w="4460" w:type="dxa"/>
            <w:vAlign w:val="bottom"/>
            <w:vMerge w:val="restart"/>
          </w:tcPr>
          <w:p>
            <w:pPr>
              <w:spacing w:after="0"/>
              <w:rPr>
                <w:sz w:val="20"/>
                <w:szCs w:val="20"/>
                <w:color w:val="auto"/>
              </w:rPr>
            </w:pPr>
            <w:r>
              <w:rPr>
                <w:rFonts w:ascii="Courier New" w:cs="Courier New" w:eastAsia="Courier New" w:hAnsi="Courier New"/>
                <w:sz w:val="16"/>
                <w:szCs w:val="16"/>
                <w:color w:val="auto"/>
              </w:rPr>
              <w:t>LAST SIX MONTHS:</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May,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$24.10</w:t>
            </w:r>
          </w:p>
        </w:tc>
        <w:tc>
          <w:tcPr>
            <w:tcW w:w="0" w:type="dxa"/>
            <w:vAlign w:val="bottom"/>
          </w:tcPr>
          <w:p>
            <w:pPr>
              <w:spacing w:after="0"/>
              <w:rPr>
                <w:sz w:val="1"/>
                <w:szCs w:val="1"/>
                <w:color w:val="auto"/>
              </w:rPr>
            </w:pPr>
          </w:p>
        </w:tc>
      </w:tr>
      <w:tr>
        <w:trPr>
          <w:trHeight w:val="287"/>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April,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$25.90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March,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$23.50</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February,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$22.86</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January,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$26.78</w:t>
            </w:r>
          </w:p>
        </w:tc>
        <w:tc>
          <w:tcPr>
            <w:tcW w:w="0" w:type="dxa"/>
            <w:vAlign w:val="bottom"/>
          </w:tcPr>
          <w:p>
            <w:pPr>
              <w:spacing w:after="0"/>
              <w:rPr>
                <w:sz w:val="1"/>
                <w:szCs w:val="1"/>
                <w:color w:val="auto"/>
              </w:rPr>
            </w:pPr>
          </w:p>
        </w:tc>
      </w:tr>
      <w:tr>
        <w:trPr>
          <w:trHeight w:val="2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December, 2002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$27.41</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c>
          <w:tcPr>
            <w:tcW w:w="0" w:type="dxa"/>
            <w:vAlign w:val="bottom"/>
          </w:tcPr>
          <w:p>
            <w:pPr>
              <w:spacing w:after="0"/>
              <w:rPr>
                <w:sz w:val="1"/>
                <w:szCs w:val="1"/>
                <w:color w:val="auto"/>
              </w:rPr>
            </w:pPr>
          </w:p>
        </w:tc>
      </w:tr>
      <w:tr>
        <w:trPr>
          <w:trHeight w:val="4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LAST ELEVEN QUARTERS:</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10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c>
          <w:tcPr>
            <w:tcW w:w="0" w:type="dxa"/>
            <w:vAlign w:val="bottom"/>
          </w:tcPr>
          <w:p>
            <w:pPr>
              <w:spacing w:after="0"/>
              <w:rPr>
                <w:sz w:val="1"/>
                <w:szCs w:val="1"/>
                <w:color w:val="auto"/>
              </w:rPr>
            </w:pPr>
          </w:p>
        </w:tc>
      </w:tr>
      <w:tr>
        <w:trPr>
          <w:trHeight w:val="287"/>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$18.99</w:t>
            </w:r>
          </w:p>
        </w:tc>
        <w:tc>
          <w:tcPr>
            <w:tcW w:w="0" w:type="dxa"/>
            <w:vAlign w:val="bottom"/>
          </w:tcPr>
          <w:p>
            <w:pPr>
              <w:spacing w:after="0"/>
              <w:rPr>
                <w:sz w:val="1"/>
                <w:szCs w:val="1"/>
                <w:color w:val="auto"/>
              </w:rPr>
            </w:pPr>
          </w:p>
        </w:tc>
      </w:tr>
      <w:tr>
        <w:trPr>
          <w:trHeight w:val="2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c>
          <w:tcPr>
            <w:tcW w:w="0" w:type="dxa"/>
            <w:vAlign w:val="bottom"/>
          </w:tcPr>
          <w:p>
            <w:pPr>
              <w:spacing w:after="0"/>
              <w:rPr>
                <w:sz w:val="1"/>
                <w:szCs w:val="1"/>
                <w:color w:val="auto"/>
              </w:rPr>
            </w:pPr>
          </w:p>
        </w:tc>
      </w:tr>
      <w:tr>
        <w:trPr>
          <w:trHeight w:val="287"/>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10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$34.49</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$23.87</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6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$25.13</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$35.69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c>
          <w:tcPr>
            <w:tcW w:w="0" w:type="dxa"/>
            <w:vAlign w:val="bottom"/>
          </w:tcPr>
          <w:p>
            <w:pPr>
              <w:spacing w:after="0"/>
              <w:rPr>
                <w:sz w:val="1"/>
                <w:szCs w:val="1"/>
                <w:color w:val="auto"/>
              </w:rPr>
            </w:pPr>
          </w:p>
        </w:tc>
      </w:tr>
      <w:tr>
        <w:trPr>
          <w:trHeight w:val="2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$26.74</w:t>
            </w:r>
          </w:p>
        </w:tc>
        <w:tc>
          <w:tcPr>
            <w:tcW w:w="0" w:type="dxa"/>
            <w:vAlign w:val="bottom"/>
          </w:tcPr>
          <w:p>
            <w:pPr>
              <w:spacing w:after="0"/>
              <w:rPr>
                <w:sz w:val="1"/>
                <w:szCs w:val="1"/>
                <w:color w:val="auto"/>
              </w:rPr>
            </w:pPr>
          </w:p>
        </w:tc>
      </w:tr>
      <w:tr>
        <w:trPr>
          <w:trHeight w:val="287"/>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10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$27.55</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$18.38</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6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c>
          <w:tcPr>
            <w:tcW w:w="0" w:type="dxa"/>
            <w:vAlign w:val="bottom"/>
          </w:tcPr>
          <w:p>
            <w:pPr>
              <w:spacing w:after="0"/>
              <w:rPr>
                <w:sz w:val="1"/>
                <w:szCs w:val="1"/>
                <w:color w:val="auto"/>
              </w:rPr>
            </w:pPr>
          </w:p>
        </w:tc>
      </w:tr>
      <w:tr>
        <w:trPr>
          <w:trHeight w:val="2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$20.13</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559"/>
        </w:trPr>
        <w:tc>
          <w:tcPr>
            <w:tcW w:w="4460" w:type="dxa"/>
            <w:vAlign w:val="bottom"/>
          </w:tcPr>
          <w:p>
            <w:pPr>
              <w:spacing w:after="0"/>
              <w:rPr>
                <w:sz w:val="20"/>
                <w:szCs w:val="20"/>
                <w:color w:val="auto"/>
              </w:rPr>
            </w:pPr>
            <w:r>
              <w:rPr>
                <w:rFonts w:ascii="Courier New" w:cs="Courier New" w:eastAsia="Courier New" w:hAnsi="Courier New"/>
                <w:sz w:val="16"/>
                <w:szCs w:val="16"/>
                <w:color w:val="auto"/>
              </w:rPr>
              <w:t>LAST FIVE FISCAL YEARS:</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c>
          <w:tcPr>
            <w:tcW w:w="0" w:type="dxa"/>
            <w:vAlign w:val="bottom"/>
          </w:tcPr>
          <w:p>
            <w:pPr>
              <w:spacing w:after="0"/>
              <w:rPr>
                <w:sz w:val="1"/>
                <w:szCs w:val="1"/>
                <w:color w:val="auto"/>
              </w:rPr>
            </w:pPr>
          </w:p>
        </w:tc>
      </w:tr>
      <w:tr>
        <w:trPr>
          <w:trHeight w:val="287"/>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2002 .....................................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2001 .....................................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2000 .....................................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c>
          <w:tcPr>
            <w:tcW w:w="0" w:type="dxa"/>
            <w:vAlign w:val="bottom"/>
          </w:tcPr>
          <w:p>
            <w:pPr>
              <w:spacing w:after="0"/>
              <w:rPr>
                <w:sz w:val="1"/>
                <w:szCs w:val="1"/>
                <w:color w:val="auto"/>
              </w:rPr>
            </w:pPr>
          </w:p>
        </w:tc>
      </w:tr>
      <w:tr>
        <w:trPr>
          <w:trHeight w:val="273"/>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1999 .....................................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50"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6" w:right="1440" w:bottom="911" w:gutter="0" w:footer="0" w:header="0"/>
        </w:sectPr>
      </w:pPr>
    </w:p>
    <w:bookmarkStart w:id="17" w:name="page18"/>
    <w:bookmarkEnd w:id="17"/>
    <w:p>
      <w:pPr>
        <w:ind w:left="3201"/>
        <w:spacing w:after="0"/>
        <w:rPr>
          <w:sz w:val="20"/>
          <w:szCs w:val="20"/>
          <w:color w:val="auto"/>
        </w:rPr>
      </w:pPr>
      <w:r>
        <w:rPr>
          <w:rFonts w:ascii="Courier New" w:cs="Courier New" w:eastAsia="Courier New" w:hAnsi="Courier New"/>
          <w:sz w:val="16"/>
          <w:szCs w:val="16"/>
          <w:color w:val="auto"/>
        </w:rPr>
        <w:t>CAPITALIZATION</w:t>
      </w:r>
    </w:p>
    <w:p>
      <w:pPr>
        <w:spacing w:after="0" w:line="378" w:lineRule="exact"/>
        <w:rPr>
          <w:sz w:val="20"/>
          <w:szCs w:val="20"/>
          <w:color w:val="auto"/>
        </w:rPr>
      </w:pPr>
    </w:p>
    <w:p>
      <w:pPr>
        <w:ind w:left="1" w:right="2459" w:firstLine="581"/>
        <w:spacing w:after="0" w:line="367" w:lineRule="auto"/>
        <w:rPr>
          <w:sz w:val="20"/>
          <w:szCs w:val="20"/>
          <w:color w:val="auto"/>
        </w:rPr>
      </w:pPr>
      <w:r>
        <w:rPr>
          <w:rFonts w:ascii="Courier New" w:cs="Courier New" w:eastAsia="Courier New" w:hAnsi="Courier New"/>
          <w:sz w:val="16"/>
          <w:szCs w:val="16"/>
          <w:color w:val="auto"/>
        </w:rPr>
        <w:t>The following table sets forth, as of February 28, 2003, our cash and cash equivalents, short-term investments, short-term debt and capitalization:</w:t>
      </w:r>
    </w:p>
    <w:p>
      <w:pPr>
        <w:spacing w:after="0" w:line="191" w:lineRule="exact"/>
        <w:rPr>
          <w:sz w:val="20"/>
          <w:szCs w:val="20"/>
          <w:color w:val="auto"/>
        </w:rPr>
      </w:pPr>
    </w:p>
    <w:p>
      <w:pPr>
        <w:ind w:left="1161" w:hanging="579"/>
        <w:spacing w:after="0"/>
        <w:tabs>
          <w:tab w:leader="none" w:pos="11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w:t>
      </w:r>
    </w:p>
    <w:p>
      <w:pPr>
        <w:spacing w:after="0" w:line="377" w:lineRule="exact"/>
        <w:rPr>
          <w:rFonts w:ascii="Courier New" w:cs="Courier New" w:eastAsia="Courier New" w:hAnsi="Courier New"/>
          <w:sz w:val="16"/>
          <w:szCs w:val="16"/>
          <w:color w:val="auto"/>
        </w:rPr>
      </w:pPr>
    </w:p>
    <w:p>
      <w:pPr>
        <w:ind w:left="1" w:right="2459" w:firstLine="581"/>
        <w:spacing w:after="0" w:line="287"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give effect to the issuance and sale of 1,500,000 ADSs by us in this offering at an assumed offering price of $27.04 (based on the last reported sale price of our ADSs on June 2, 2003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AS OF</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FEBRUARY 28, 2003</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ACTUAL</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7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08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21,862</w:t>
            </w:r>
          </w:p>
        </w:tc>
        <w:tc>
          <w:tcPr>
            <w:tcW w:w="0" w:type="dxa"/>
            <w:vAlign w:val="bottom"/>
          </w:tcPr>
          <w:p>
            <w:pPr>
              <w:spacing w:after="0"/>
              <w:rPr>
                <w:sz w:val="1"/>
                <w:szCs w:val="1"/>
                <w:color w:val="auto"/>
              </w:rPr>
            </w:pPr>
          </w:p>
        </w:tc>
      </w:tr>
      <w:tr>
        <w:trPr>
          <w:trHeight w:val="186"/>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Short-term investments (available for sale) ............................</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70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37,119</w:t>
            </w:r>
          </w:p>
        </w:tc>
        <w:tc>
          <w:tcPr>
            <w:tcW w:w="0" w:type="dxa"/>
            <w:vAlign w:val="bottom"/>
          </w:tcPr>
          <w:p>
            <w:pPr>
              <w:spacing w:after="0"/>
              <w:rPr>
                <w:sz w:val="1"/>
                <w:szCs w:val="1"/>
                <w:color w:val="auto"/>
              </w:rPr>
            </w:pPr>
          </w:p>
        </w:tc>
      </w:tr>
      <w:tr>
        <w:trPr>
          <w:trHeight w:val="186"/>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Total short-term debt (1) ..............................................</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7080" w:type="dxa"/>
            <w:vAlign w:val="bottom"/>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10,503</w:t>
            </w:r>
          </w:p>
        </w:tc>
        <w:tc>
          <w:tcPr>
            <w:tcW w:w="0" w:type="dxa"/>
            <w:vAlign w:val="bottom"/>
          </w:tcPr>
          <w:p>
            <w:pPr>
              <w:spacing w:after="0"/>
              <w:rPr>
                <w:sz w:val="1"/>
                <w:szCs w:val="1"/>
                <w:color w:val="auto"/>
              </w:rPr>
            </w:pPr>
          </w:p>
        </w:tc>
      </w:tr>
      <w:tr>
        <w:trPr>
          <w:trHeight w:val="273"/>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Shareholders' equity:</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7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Ordinary shares, par value (euro)0.06 per share: 20,000,000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shares authorized; 11,828,217 fully-paid shares issued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and outstanding (actual); 13,328,217 fully-paid shares</w:t>
            </w:r>
          </w:p>
        </w:tc>
        <w:tc>
          <w:tcPr>
            <w:tcW w:w="1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840</w:t>
            </w:r>
          </w:p>
        </w:tc>
        <w:tc>
          <w:tcPr>
            <w:tcW w:w="1080" w:type="dxa"/>
            <w:vAlign w:val="bottom"/>
          </w:tcPr>
          <w:p>
            <w:pPr>
              <w:spacing w:after="0"/>
              <w:rPr>
                <w:sz w:val="16"/>
                <w:szCs w:val="16"/>
                <w:color w:val="auto"/>
              </w:rPr>
            </w:pPr>
          </w:p>
        </w:tc>
        <w:tc>
          <w:tcPr>
            <w:tcW w:w="8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937</w:t>
            </w:r>
          </w:p>
        </w:tc>
        <w:tc>
          <w:tcPr>
            <w:tcW w:w="0" w:type="dxa"/>
            <w:vAlign w:val="bottom"/>
          </w:tcPr>
          <w:p>
            <w:pPr>
              <w:spacing w:after="0"/>
              <w:rPr>
                <w:sz w:val="1"/>
                <w:szCs w:val="1"/>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issued and outstanding (as adjusted) .................................</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Additional paid-in capital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60,865</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97,887</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2,821</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2,821</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Merger reserve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Retained earnings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61,777</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61,777</w:t>
            </w:r>
          </w:p>
        </w:tc>
        <w:tc>
          <w:tcPr>
            <w:tcW w:w="0" w:type="dxa"/>
            <w:vAlign w:val="bottom"/>
          </w:tcPr>
          <w:p>
            <w:pPr>
              <w:spacing w:after="0"/>
              <w:rPr>
                <w:sz w:val="1"/>
                <w:szCs w:val="1"/>
                <w:color w:val="auto"/>
              </w:rPr>
            </w:pPr>
          </w:p>
        </w:tc>
      </w:tr>
      <w:tr>
        <w:trPr>
          <w:trHeight w:val="186"/>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Total shareholders' equity .............................................</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126,350</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7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163,469</w:t>
            </w:r>
          </w:p>
        </w:tc>
        <w:tc>
          <w:tcPr>
            <w:tcW w:w="0" w:type="dxa"/>
            <w:vAlign w:val="bottom"/>
          </w:tcPr>
          <w:p>
            <w:pPr>
              <w:spacing w:after="0"/>
              <w:rPr>
                <w:sz w:val="1"/>
                <w:szCs w:val="1"/>
                <w:color w:val="auto"/>
              </w:rPr>
            </w:pPr>
          </w:p>
        </w:tc>
      </w:tr>
      <w:tr>
        <w:trPr>
          <w:trHeight w:val="186"/>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Total capitalization ...................................................</w:t>
            </w:r>
          </w:p>
        </w:tc>
        <w:tc>
          <w:tcPr>
            <w:tcW w:w="1100" w:type="dxa"/>
            <w:vAlign w:val="bottom"/>
            <w:gridSpan w:val="2"/>
            <w:vMerge w:val="restart"/>
          </w:tcPr>
          <w:p>
            <w:pPr>
              <w:jc w:val="right"/>
              <w:ind w:right="59"/>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136,853</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70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$ 173,972</w:t>
            </w:r>
          </w:p>
        </w:tc>
        <w:tc>
          <w:tcPr>
            <w:tcW w:w="0" w:type="dxa"/>
            <w:vAlign w:val="bottom"/>
          </w:tcPr>
          <w:p>
            <w:pPr>
              <w:spacing w:after="0"/>
              <w:rPr>
                <w:sz w:val="1"/>
                <w:szCs w:val="1"/>
                <w:color w:val="auto"/>
              </w:rPr>
            </w:pPr>
          </w:p>
        </w:tc>
      </w:tr>
      <w:tr>
        <w:trPr>
          <w:trHeight w:val="273"/>
        </w:trPr>
        <w:tc>
          <w:tcPr>
            <w:tcW w:w="7080" w:type="dxa"/>
            <w:vAlign w:val="bottom"/>
          </w:tcPr>
          <w:p>
            <w:pPr>
              <w:spacing w:after="0"/>
              <w:rPr>
                <w:sz w:val="23"/>
                <w:szCs w:val="23"/>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481" w:right="2759" w:hanging="384"/>
        <w:spacing w:after="0" w:line="287" w:lineRule="auto"/>
        <w:tabs>
          <w:tab w:leader="none" w:pos="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discussion of our indebtedness, see "Management's Discussion and Analysis of Financial Condition and Results of Operations--Liquidity and Capital Resources".</w:t>
      </w:r>
    </w:p>
    <w:p>
      <w:pPr>
        <w:spacing w:after="0" w:line="200" w:lineRule="exact"/>
        <w:rPr>
          <w:sz w:val="20"/>
          <w:szCs w:val="20"/>
          <w:color w:val="auto"/>
        </w:rPr>
      </w:pPr>
    </w:p>
    <w:p>
      <w:pPr>
        <w:spacing w:after="0" w:line="23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46" w:right="1440" w:bottom="1440" w:gutter="0" w:footer="0" w:header="0"/>
        </w:sectPr>
      </w:pPr>
    </w:p>
    <w:bookmarkStart w:id="18" w:name="page19"/>
    <w:bookmarkEnd w:id="18"/>
    <w:tbl>
      <w:tblPr>
        <w:tblLayout w:type="fixed"/>
        <w:tblInd w:w="1" w:type="dxa"/>
        <w:tblCellMar>
          <w:top w:w="0" w:type="dxa"/>
          <w:left w:w="0" w:type="dxa"/>
          <w:bottom w:w="0" w:type="dxa"/>
          <w:right w:w="0" w:type="dxa"/>
        </w:tblCellMar>
      </w:tblPr>
      <w:tr>
        <w:trPr>
          <w:trHeight w:val="273"/>
        </w:trPr>
        <w:tc>
          <w:tcPr>
            <w:tcW w:w="3440" w:type="dxa"/>
            <w:vAlign w:val="bottom"/>
          </w:tcPr>
          <w:p>
            <w:pPr>
              <w:spacing w:after="0"/>
              <w:rPr>
                <w:sz w:val="23"/>
                <w:szCs w:val="23"/>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DILUTION</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9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As of February 28, 2003, our net tangible book value was $84.4 million, or</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$7.13 per ordinary share. Net tangible book value per ordinary share represents</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by the aggregate number of ordinary</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shares outstanding. After giving effect to</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our sale of the ADSs in this offering, at an assumed public offering price of</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$27.04 per ADS, and after deducting</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estimated underwriting discounts and</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estimated offering expenses payable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by us, our pro forma net tangible book value</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as of February 28, 2003, would have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been approximately $121.5 million, or $9.12</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per ordinary share. This represents</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an immediate increase in pro forma net</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tangible book value to existing stockholders of $1.99 per ordinary share and an</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440" w:type="dxa"/>
            <w:vAlign w:val="bottom"/>
          </w:tcPr>
          <w:p>
            <w:pPr>
              <w:spacing w:after="0"/>
              <w:rPr>
                <w:sz w:val="20"/>
                <w:szCs w:val="20"/>
                <w:color w:val="auto"/>
              </w:rPr>
            </w:pPr>
            <w:r>
              <w:rPr>
                <w:rFonts w:ascii="Courier New" w:cs="Courier New" w:eastAsia="Courier New" w:hAnsi="Courier New"/>
                <w:sz w:val="16"/>
                <w:szCs w:val="16"/>
                <w:color w:val="auto"/>
              </w:rPr>
              <w:t>immediate dilution to new investors</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$17.92 per ordinary share.</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9"/>
        </w:trPr>
        <w:tc>
          <w:tcPr>
            <w:tcW w:w="9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6"/>
        </w:trPr>
        <w:tc>
          <w:tcPr>
            <w:tcW w:w="3440" w:type="dxa"/>
            <w:vAlign w:val="bottom"/>
          </w:tcPr>
          <w:p>
            <w:pPr>
              <w:ind w:left="380"/>
              <w:spacing w:after="0"/>
              <w:rPr>
                <w:sz w:val="20"/>
                <w:szCs w:val="20"/>
                <w:color w:val="auto"/>
              </w:rPr>
            </w:pPr>
            <w:r>
              <w:rPr>
                <w:rFonts w:ascii="Courier New" w:cs="Courier New" w:eastAsia="Courier New" w:hAnsi="Courier New"/>
                <w:sz w:val="16"/>
                <w:szCs w:val="16"/>
                <w:color w:val="auto"/>
              </w:rPr>
              <w:t>Public offering price per ADS</w:t>
            </w:r>
          </w:p>
        </w:tc>
        <w:tc>
          <w:tcPr>
            <w:tcW w:w="5660" w:type="dxa"/>
            <w:vAlign w:val="bottom"/>
          </w:tcPr>
          <w:p>
            <w:pPr>
              <w:spacing w:after="0"/>
              <w:rPr>
                <w:sz w:val="24"/>
                <w:szCs w:val="24"/>
                <w:color w:val="auto"/>
              </w:rPr>
            </w:pPr>
          </w:p>
        </w:tc>
        <w:tc>
          <w:tcPr>
            <w:tcW w:w="3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27.04</w:t>
            </w:r>
          </w:p>
        </w:tc>
        <w:tc>
          <w:tcPr>
            <w:tcW w:w="0" w:type="dxa"/>
            <w:vAlign w:val="bottom"/>
          </w:tcPr>
          <w:p>
            <w:pPr>
              <w:spacing w:after="0"/>
              <w:rPr>
                <w:sz w:val="1"/>
                <w:szCs w:val="1"/>
                <w:color w:val="auto"/>
              </w:rPr>
            </w:pPr>
          </w:p>
        </w:tc>
      </w:tr>
      <w:tr>
        <w:trPr>
          <w:trHeight w:val="186"/>
        </w:trPr>
        <w:tc>
          <w:tcPr>
            <w:tcW w:w="9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Net tangible book value per ordinary share as of February 28, 2003 (1)</w:t>
            </w:r>
          </w:p>
        </w:tc>
        <w:tc>
          <w:tcPr>
            <w:tcW w:w="340" w:type="dxa"/>
            <w:vAlign w:val="bottom"/>
            <w:vMerge w:val="continue"/>
          </w:tcPr>
          <w:p>
            <w:pPr>
              <w:spacing w:after="0"/>
              <w:rPr>
                <w:sz w:val="16"/>
                <w:szCs w:val="16"/>
                <w:color w:val="auto"/>
              </w:rPr>
            </w:pPr>
          </w:p>
        </w:tc>
        <w:tc>
          <w:tcPr>
            <w:tcW w:w="15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7.13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Increase in net tangible book value per ordinary share attributable</w:t>
            </w:r>
          </w:p>
        </w:tc>
        <w:tc>
          <w:tcPr>
            <w:tcW w:w="3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00" w:type="dxa"/>
            <w:vAlign w:val="bottom"/>
            <w:vMerge w:val="restart"/>
          </w:tcPr>
          <w:p>
            <w:pPr>
              <w:jc w:val="right"/>
              <w:ind w:right="879"/>
              <w:spacing w:after="0"/>
              <w:rPr>
                <w:sz w:val="20"/>
                <w:szCs w:val="20"/>
                <w:color w:val="auto"/>
              </w:rPr>
            </w:pPr>
            <w:r>
              <w:rPr>
                <w:rFonts w:ascii="Courier New" w:cs="Courier New" w:eastAsia="Courier New" w:hAnsi="Courier New"/>
                <w:sz w:val="16"/>
                <w:szCs w:val="16"/>
                <w:color w:val="auto"/>
              </w:rPr>
              <w:t>1.99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580"/>
              <w:spacing w:after="0"/>
              <w:rPr>
                <w:sz w:val="20"/>
                <w:szCs w:val="20"/>
                <w:color w:val="auto"/>
              </w:rPr>
            </w:pPr>
            <w:r>
              <w:rPr>
                <w:rFonts w:ascii="Courier New" w:cs="Courier New" w:eastAsia="Courier New" w:hAnsi="Courier New"/>
                <w:sz w:val="16"/>
                <w:szCs w:val="16"/>
                <w:color w:val="auto"/>
              </w:rPr>
              <w:t>to this offering</w:t>
            </w:r>
          </w:p>
        </w:tc>
        <w:tc>
          <w:tcPr>
            <w:tcW w:w="56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restart"/>
          </w:tcPr>
          <w:p>
            <w:pPr>
              <w:ind w:left="380"/>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tc>
        <w:tc>
          <w:tcPr>
            <w:tcW w:w="184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9.12</w:t>
            </w: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vMerge w:val="restart"/>
          </w:tcPr>
          <w:p>
            <w:pPr>
              <w:spacing w:after="0"/>
              <w:rPr>
                <w:sz w:val="20"/>
                <w:szCs w:val="20"/>
                <w:color w:val="auto"/>
              </w:rPr>
            </w:pPr>
            <w:r>
              <w:rPr>
                <w:rFonts w:ascii="Courier New" w:cs="Courier New" w:eastAsia="Courier New" w:hAnsi="Courier New"/>
                <w:sz w:val="16"/>
                <w:szCs w:val="16"/>
                <w:color w:val="auto"/>
              </w:rPr>
              <w:t>Dilution in net tangible book value</w:t>
            </w:r>
          </w:p>
        </w:tc>
        <w:tc>
          <w:tcPr>
            <w:tcW w:w="56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per ordinary share to new investors (2)</w:t>
            </w:r>
          </w:p>
        </w:tc>
        <w:tc>
          <w:tcPr>
            <w:tcW w:w="34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40" w:type="dxa"/>
            <w:vAlign w:val="bottom"/>
            <w:vMerge w:val="continue"/>
          </w:tcPr>
          <w:p>
            <w:pPr>
              <w:spacing w:after="0"/>
              <w:rPr>
                <w:sz w:val="16"/>
                <w:szCs w:val="16"/>
                <w:color w:val="auto"/>
              </w:rPr>
            </w:pPr>
          </w:p>
        </w:tc>
        <w:tc>
          <w:tcPr>
            <w:tcW w:w="5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17.92</w:t>
            </w:r>
          </w:p>
        </w:tc>
        <w:tc>
          <w:tcPr>
            <w:tcW w:w="0" w:type="dxa"/>
            <w:vAlign w:val="bottom"/>
          </w:tcPr>
          <w:p>
            <w:pPr>
              <w:spacing w:after="0"/>
              <w:rPr>
                <w:sz w:val="1"/>
                <w:szCs w:val="1"/>
                <w:color w:val="auto"/>
              </w:rPr>
            </w:pPr>
          </w:p>
        </w:tc>
      </w:tr>
      <w:tr>
        <w:trPr>
          <w:trHeight w:val="273"/>
        </w:trPr>
        <w:tc>
          <w:tcPr>
            <w:tcW w:w="344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 w:right="3860" w:firstLine="581"/>
        <w:spacing w:after="0" w:line="287" w:lineRule="auto"/>
        <w:rPr>
          <w:sz w:val="20"/>
          <w:szCs w:val="20"/>
          <w:color w:val="auto"/>
        </w:rPr>
      </w:pPr>
      <w:r>
        <w:rPr>
          <w:rFonts w:ascii="Courier New" w:cs="Courier New" w:eastAsia="Courier New" w:hAnsi="Courier New"/>
          <w:sz w:val="16"/>
          <w:szCs w:val="16"/>
          <w:color w:val="auto"/>
        </w:rPr>
        <w:t>As of February 28, 2003, there were options outstanding to purchase a total of 1,215,065 ordinary shares. To the extent that any of these options are exercised or shares are issued, there will be further dilution to new public investors</w:t>
      </w:r>
    </w:p>
    <w:p>
      <w:pPr>
        <w:spacing w:after="0" w:line="65"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481" w:right="3860" w:hanging="384"/>
        <w:spacing w:after="0" w:line="327"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February 28, 2003 were $42.0 million, or $3.55 per ordinary share.</w:t>
      </w:r>
    </w:p>
    <w:p>
      <w:pPr>
        <w:spacing w:after="0" w:line="221" w:lineRule="exact"/>
        <w:rPr>
          <w:rFonts w:ascii="Courier New" w:cs="Courier New" w:eastAsia="Courier New" w:hAnsi="Courier New"/>
          <w:sz w:val="16"/>
          <w:szCs w:val="16"/>
          <w:color w:val="auto"/>
        </w:rPr>
      </w:pPr>
    </w:p>
    <w:p>
      <w:pPr>
        <w:ind w:left="481" w:right="3760" w:hanging="384"/>
        <w:spacing w:after="0" w:line="307"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521"/>
          </w:cols>
          <w:pgMar w:left="239" w:top="646" w:right="139" w:bottom="1440" w:gutter="0" w:footer="0" w:header="0"/>
        </w:sectPr>
      </w:pPr>
    </w:p>
    <w:bookmarkStart w:id="19" w:name="page20"/>
    <w:bookmarkEnd w:id="19"/>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3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61"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50"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2,300 employees and operations in 28 locations in 16 countries. Our main regions of operations are the United States, Europe and the Rest of the World. For the nine months ended February 28, 2003, we derived approximately 71.0%, 26.4% and</w:t>
      </w:r>
    </w:p>
    <w:p>
      <w:pPr>
        <w:spacing w:after="0" w:line="5" w:lineRule="exact"/>
        <w:rPr>
          <w:sz w:val="20"/>
          <w:szCs w:val="20"/>
          <w:color w:val="auto"/>
        </w:rPr>
      </w:pPr>
    </w:p>
    <w:p>
      <w:pPr>
        <w:ind w:right="2559"/>
        <w:spacing w:after="0" w:line="327"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221" w:lineRule="exact"/>
        <w:rPr>
          <w:sz w:val="20"/>
          <w:szCs w:val="20"/>
          <w:color w:val="auto"/>
        </w:rPr>
      </w:pPr>
    </w:p>
    <w:p>
      <w:pPr>
        <w:ind w:right="3039" w:firstLine="581"/>
        <w:spacing w:after="0" w:line="367"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5"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o PRAI, a San Francisco based company that specializes in data management, statistical analysis and medical and regulatory consulting, was acquired on January 28, 2000 for approximately $14.4 million;</w:t>
      </w:r>
    </w:p>
    <w:p>
      <w:pPr>
        <w:spacing w:after="0" w:line="50" w:lineRule="exact"/>
        <w:rPr>
          <w:sz w:val="20"/>
          <w:szCs w:val="20"/>
          <w:color w:val="auto"/>
        </w:rPr>
      </w:pPr>
    </w:p>
    <w:p>
      <w:pPr>
        <w:ind w:right="2559" w:firstLine="581"/>
        <w:spacing w:after="0" w:line="307" w:lineRule="auto"/>
        <w:rPr>
          <w:sz w:val="20"/>
          <w:szCs w:val="20"/>
          <w:color w:val="auto"/>
        </w:rPr>
      </w:pPr>
      <w:r>
        <w:rPr>
          <w:rFonts w:ascii="Courier New" w:cs="Courier New" w:eastAsia="Courier New" w:hAnsi="Courier New"/>
          <w:sz w:val="16"/>
          <w:szCs w:val="16"/>
          <w:color w:val="auto"/>
        </w:rPr>
        <w:t>o YRCR Limited, or YRCR, a regulatory consulting company based in the United Kingdom, was acquired on January 27, 2000 for approximately sterling 2.1 million;</w:t>
      </w:r>
    </w:p>
    <w:p>
      <w:pPr>
        <w:spacing w:after="0" w:line="50" w:lineRule="exact"/>
        <w:rPr>
          <w:sz w:val="20"/>
          <w:szCs w:val="20"/>
          <w:color w:val="auto"/>
        </w:rPr>
      </w:pPr>
    </w:p>
    <w:p>
      <w:pPr>
        <w:ind w:right="2659" w:firstLine="581"/>
        <w:spacing w:after="0" w:line="307" w:lineRule="auto"/>
        <w:rPr>
          <w:sz w:val="20"/>
          <w:szCs w:val="20"/>
          <w:color w:val="auto"/>
        </w:rPr>
      </w:pPr>
      <w:r>
        <w:rPr>
          <w:rFonts w:ascii="Courier New" w:cs="Courier New" w:eastAsia="Courier New" w:hAnsi="Courier New"/>
          <w:sz w:val="16"/>
          <w:szCs w:val="16"/>
          <w:color w:val="auto"/>
        </w:rPr>
        <w:t>o Protocole SAS, or Protocole, a clinical research organization specializing in the execution of veterinary trials based in Paris, France, was acquired on March 14, 2000 for approximately $586,000;</w:t>
      </w:r>
    </w:p>
    <w:p>
      <w:pPr>
        <w:spacing w:after="0" w:line="50" w:lineRule="exact"/>
        <w:rPr>
          <w:sz w:val="20"/>
          <w:szCs w:val="20"/>
          <w:color w:val="auto"/>
        </w:rPr>
      </w:pPr>
    </w:p>
    <w:p>
      <w:pPr>
        <w:ind w:right="2459" w:firstLine="581"/>
        <w:spacing w:after="0" w:line="367" w:lineRule="auto"/>
        <w:rPr>
          <w:sz w:val="20"/>
          <w:szCs w:val="20"/>
          <w:color w:val="auto"/>
        </w:rPr>
      </w:pPr>
      <w:r>
        <w:rPr>
          <w:rFonts w:ascii="Courier New" w:cs="Courier New" w:eastAsia="Courier New" w:hAnsi="Courier New"/>
          <w:sz w:val="16"/>
          <w:szCs w:val="16"/>
          <w:color w:val="auto"/>
        </w:rPr>
        <w:t>o UCT (U.S.), Inc., or UCT, a central laboratory organization based in New York, New York, was acquired on June 8, 2000 for approximately $7.0 million;</w:t>
      </w:r>
    </w:p>
    <w:p>
      <w:pPr>
        <w:spacing w:after="0" w:line="191" w:lineRule="exact"/>
        <w:rPr>
          <w:sz w:val="20"/>
          <w:szCs w:val="20"/>
          <w:color w:val="auto"/>
        </w:rPr>
      </w:pPr>
    </w:p>
    <w:p>
      <w:pPr>
        <w:ind w:right="2559" w:firstLine="581"/>
        <w:spacing w:after="0" w:line="266" w:lineRule="auto"/>
        <w:rPr>
          <w:sz w:val="20"/>
          <w:szCs w:val="20"/>
          <w:color w:val="auto"/>
        </w:rPr>
      </w:pPr>
      <w:r>
        <w:rPr>
          <w:rFonts w:ascii="Courier New" w:cs="Courier New" w:eastAsia="Courier New" w:hAnsi="Courier New"/>
          <w:sz w:val="16"/>
          <w:szCs w:val="16"/>
          <w:color w:val="auto"/>
        </w:rPr>
        <w:t>o 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85" w:lineRule="exact"/>
        <w:rPr>
          <w:sz w:val="20"/>
          <w:szCs w:val="20"/>
          <w:color w:val="auto"/>
        </w:rPr>
      </w:pPr>
    </w:p>
    <w:p>
      <w:pPr>
        <w:ind w:right="2659" w:firstLine="581"/>
        <w:spacing w:after="0" w:line="270" w:lineRule="auto"/>
        <w:rPr>
          <w:sz w:val="20"/>
          <w:szCs w:val="20"/>
          <w:color w:val="auto"/>
        </w:rPr>
      </w:pPr>
      <w:r>
        <w:rPr>
          <w:rFonts w:ascii="Courier New" w:cs="Courier New" w:eastAsia="Courier New" w:hAnsi="Courier New"/>
          <w:sz w:val="16"/>
          <w:szCs w:val="16"/>
          <w:color w:val="auto"/>
        </w:rPr>
        <w:t>o 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267"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6" w:right="1440" w:bottom="1440" w:gutter="0" w:footer="0" w:header="0"/>
        </w:sectPr>
      </w:pPr>
    </w:p>
    <w:bookmarkStart w:id="20" w:name="page21"/>
    <w:bookmarkEnd w:id="20"/>
    <w:p>
      <w:pPr>
        <w:ind w:right="2459"/>
        <w:spacing w:after="0" w:line="287" w:lineRule="auto"/>
        <w:rPr>
          <w:sz w:val="20"/>
          <w:szCs w:val="20"/>
          <w:color w:val="auto"/>
        </w:rPr>
      </w:pPr>
      <w:r>
        <w:rPr>
          <w:rFonts w:ascii="Courier New" w:cs="Courier New" w:eastAsia="Courier New" w:hAnsi="Courier New"/>
          <w:sz w:val="16"/>
          <w:szCs w:val="16"/>
          <w:color w:val="auto"/>
        </w:rPr>
        <w:t>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65"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76"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82"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51" w:lineRule="exact"/>
        <w:rPr>
          <w:sz w:val="20"/>
          <w:szCs w:val="20"/>
          <w:color w:val="auto"/>
        </w:rPr>
      </w:pPr>
    </w:p>
    <w:p>
      <w:pPr>
        <w:ind w:right="2459" w:firstLine="581"/>
        <w:spacing w:after="0" w:line="252"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348"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RESULTS OF OPERATIONS</w:t>
      </w:r>
    </w:p>
    <w:p>
      <w:pPr>
        <w:spacing w:after="0" w:line="378" w:lineRule="exact"/>
        <w:rPr>
          <w:sz w:val="20"/>
          <w:szCs w:val="20"/>
          <w:color w:val="auto"/>
        </w:rPr>
      </w:pPr>
    </w:p>
    <w:p>
      <w:pPr>
        <w:ind w:right="3539"/>
        <w:spacing w:after="0" w:line="367"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5"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76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vMerge w:val="restart"/>
          </w:tcPr>
          <w:p>
            <w:pPr>
              <w:jc w:val="right"/>
              <w:ind w:right="699"/>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FEBRUARY 28,</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FEBRUARY 28,</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273"/>
        </w:trPr>
        <w:tc>
          <w:tcPr>
            <w:tcW w:w="4740" w:type="dxa"/>
            <w:vAlign w:val="bottom"/>
          </w:tcPr>
          <w:p>
            <w:pPr>
              <w:spacing w:after="0"/>
              <w:rPr>
                <w:sz w:val="23"/>
                <w:szCs w:val="23"/>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Net revenue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49.9%</w:t>
            </w:r>
          </w:p>
        </w:tc>
        <w:tc>
          <w:tcPr>
            <w:tcW w:w="0" w:type="dxa"/>
            <w:vAlign w:val="bottom"/>
          </w:tcPr>
          <w:p>
            <w:pPr>
              <w:spacing w:after="0"/>
              <w:rPr>
                <w:sz w:val="1"/>
                <w:szCs w:val="1"/>
                <w:color w:val="auto"/>
              </w:rPr>
            </w:pPr>
          </w:p>
        </w:tc>
      </w:tr>
      <w:tr>
        <w:trPr>
          <w:trHeight w:val="186"/>
        </w:trPr>
        <w:tc>
          <w:tcPr>
            <w:tcW w:w="4740" w:type="dxa"/>
            <w:vAlign w:val="bottom"/>
          </w:tcPr>
          <w:p>
            <w:pPr>
              <w:jc w:val="right"/>
              <w:ind w:right="2819"/>
              <w:spacing w:after="0"/>
              <w:rPr>
                <w:sz w:val="20"/>
                <w:szCs w:val="20"/>
                <w:color w:val="auto"/>
              </w:rPr>
            </w:pPr>
            <w:r>
              <w:rPr>
                <w:rFonts w:ascii="Courier New" w:cs="Courier New" w:eastAsia="Courier New" w:hAnsi="Courier New"/>
                <w:sz w:val="16"/>
                <w:szCs w:val="16"/>
                <w:color w:val="auto"/>
                <w:w w:val="99"/>
              </w:rPr>
              <w:t>Costs and expenses:</w:t>
            </w:r>
          </w:p>
        </w:tc>
        <w:tc>
          <w:tcPr>
            <w:tcW w:w="14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56.3%</w:t>
            </w:r>
          </w:p>
        </w:tc>
        <w:tc>
          <w:tcPr>
            <w:tcW w:w="1300" w:type="dxa"/>
            <w:vAlign w:val="bottom"/>
            <w:vMerge w:val="restart"/>
          </w:tcPr>
          <w:p>
            <w:pPr>
              <w:jc w:val="right"/>
              <w:ind w:right="239"/>
              <w:spacing w:after="0"/>
              <w:rPr>
                <w:sz w:val="20"/>
                <w:szCs w:val="20"/>
                <w:color w:val="auto"/>
              </w:rPr>
            </w:pPr>
            <w:r>
              <w:rPr>
                <w:rFonts w:ascii="Courier New" w:cs="Courier New" w:eastAsia="Courier New" w:hAnsi="Courier New"/>
                <w:sz w:val="16"/>
                <w:szCs w:val="16"/>
                <w:color w:val="auto"/>
              </w:rPr>
              <w:t>52.9%</w:t>
            </w:r>
          </w:p>
        </w:tc>
        <w:tc>
          <w:tcPr>
            <w:tcW w:w="2000" w:type="dxa"/>
            <w:vAlign w:val="bottom"/>
            <w:vMerge w:val="restart"/>
          </w:tcPr>
          <w:p>
            <w:pPr>
              <w:jc w:val="center"/>
              <w:ind w:left="79"/>
              <w:spacing w:after="0"/>
              <w:rPr>
                <w:sz w:val="20"/>
                <w:szCs w:val="20"/>
                <w:color w:val="auto"/>
              </w:rPr>
            </w:pPr>
            <w:r>
              <w:rPr>
                <w:rFonts w:ascii="Courier New" w:cs="Courier New" w:eastAsia="Courier New" w:hAnsi="Courier New"/>
                <w:sz w:val="16"/>
                <w:szCs w:val="16"/>
                <w:color w:val="auto"/>
                <w:w w:val="99"/>
              </w:rPr>
              <w:t>59.4%</w:t>
            </w:r>
          </w:p>
        </w:tc>
        <w:tc>
          <w:tcPr>
            <w:tcW w:w="0" w:type="dxa"/>
            <w:vAlign w:val="bottom"/>
          </w:tcPr>
          <w:p>
            <w:pPr>
              <w:spacing w:after="0"/>
              <w:rPr>
                <w:sz w:val="1"/>
                <w:szCs w:val="1"/>
                <w:color w:val="auto"/>
              </w:rPr>
            </w:pP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Direct costs .................................</w:t>
            </w:r>
          </w:p>
        </w:tc>
        <w:tc>
          <w:tcPr>
            <w:tcW w:w="14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30.2%</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43.6%</w:t>
            </w:r>
          </w:p>
        </w:tc>
        <w:tc>
          <w:tcPr>
            <w:tcW w:w="0" w:type="dxa"/>
            <w:vAlign w:val="bottom"/>
          </w:tcPr>
          <w:p>
            <w:pPr>
              <w:spacing w:after="0"/>
              <w:rPr>
                <w:sz w:val="1"/>
                <w:szCs w:val="1"/>
                <w:color w:val="auto"/>
              </w:rPr>
            </w:pP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21.5%</w:t>
            </w:r>
          </w:p>
        </w:tc>
        <w:tc>
          <w:tcPr>
            <w:tcW w:w="0" w:type="dxa"/>
            <w:vAlign w:val="bottom"/>
          </w:tcPr>
          <w:p>
            <w:pPr>
              <w:spacing w:after="0"/>
              <w:rPr>
                <w:sz w:val="1"/>
                <w:szCs w:val="1"/>
                <w:color w:val="auto"/>
              </w:rPr>
            </w:pPr>
          </w:p>
        </w:tc>
      </w:tr>
      <w:tr>
        <w:trPr>
          <w:trHeight w:val="273"/>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Income from operations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10.4%</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33.4%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581"/>
        <w:spacing w:after="0" w:line="254"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93" w:lineRule="exact"/>
        <w:rPr>
          <w:sz w:val="20"/>
          <w:szCs w:val="20"/>
          <w:color w:val="auto"/>
        </w:rPr>
      </w:pPr>
    </w:p>
    <w:p>
      <w:pPr>
        <w:ind w:right="2659" w:firstLine="581"/>
        <w:spacing w:after="0" w:line="266"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8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82"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85" w:lineRule="exact"/>
        <w:rPr>
          <w:sz w:val="20"/>
          <w:szCs w:val="20"/>
          <w:color w:val="auto"/>
        </w:rPr>
      </w:pPr>
    </w:p>
    <w:p>
      <w:pPr>
        <w:ind w:right="2659" w:firstLine="581"/>
        <w:spacing w:after="0" w:line="276"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26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6" w:right="1440" w:bottom="911" w:gutter="0" w:footer="0" w:header="0"/>
        </w:sectPr>
      </w:pPr>
    </w:p>
    <w:bookmarkStart w:id="22" w:name="page23"/>
    <w:bookmarkEnd w:id="22"/>
    <w:p>
      <w:pPr>
        <w:ind w:right="2559"/>
        <w:spacing w:after="0" w:line="261" w:lineRule="auto"/>
        <w:rPr>
          <w:sz w:val="20"/>
          <w:szCs w:val="20"/>
          <w:color w:val="auto"/>
        </w:rPr>
      </w:pPr>
      <w:r>
        <w:rPr>
          <w:rFonts w:ascii="Courier New" w:cs="Courier New" w:eastAsia="Courier New" w:hAnsi="Courier New"/>
          <w:sz w:val="16"/>
          <w:szCs w:val="16"/>
          <w:color w:val="auto"/>
        </w:rPr>
        <w:t>effect of acquisitions, income from operations decreased from 11.7% for 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89"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8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6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5"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NINE</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MONTHS ENDED</w:t>
            </w:r>
          </w:p>
        </w:tc>
        <w:tc>
          <w:tcPr>
            <w:tcW w:w="1940" w:type="dxa"/>
            <w:vAlign w:val="bottom"/>
            <w:vMerge w:val="restart"/>
          </w:tcPr>
          <w:p>
            <w:pPr>
              <w:jc w:val="right"/>
              <w:ind w:right="699"/>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FEBRUARY</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28,  FEBRUARY 28,</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2003</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w w:val="74"/>
              </w:rPr>
              <w:t>------------</w:t>
            </w:r>
          </w:p>
        </w:tc>
        <w:tc>
          <w:tcPr>
            <w:tcW w:w="1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PERCENTAGE OF NET REVENUE</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2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revenue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40.6%</w:t>
            </w:r>
          </w:p>
        </w:tc>
        <w:tc>
          <w:tcPr>
            <w:tcW w:w="0" w:type="dxa"/>
            <w:vAlign w:val="bottom"/>
          </w:tcPr>
          <w:p>
            <w:pPr>
              <w:spacing w:after="0"/>
              <w:rPr>
                <w:sz w:val="1"/>
                <w:szCs w:val="1"/>
                <w:color w:val="auto"/>
              </w:rPr>
            </w:pPr>
          </w:p>
        </w:tc>
      </w:tr>
      <w:tr>
        <w:trPr>
          <w:trHeight w:val="186"/>
        </w:trPr>
        <w:tc>
          <w:tcPr>
            <w:tcW w:w="5240" w:type="dxa"/>
            <w:vAlign w:val="bottom"/>
          </w:tcPr>
          <w:p>
            <w:pPr>
              <w:jc w:val="right"/>
              <w:ind w:right="3319"/>
              <w:spacing w:after="0"/>
              <w:rPr>
                <w:sz w:val="20"/>
                <w:szCs w:val="20"/>
                <w:color w:val="auto"/>
              </w:rPr>
            </w:pPr>
            <w:r>
              <w:rPr>
                <w:rFonts w:ascii="Courier New" w:cs="Courier New" w:eastAsia="Courier New" w:hAnsi="Courier New"/>
                <w:sz w:val="16"/>
                <w:szCs w:val="16"/>
                <w:color w:val="auto"/>
                <w:w w:val="99"/>
              </w:rPr>
              <w:t>Costs and expenses:</w:t>
            </w:r>
          </w:p>
        </w:tc>
        <w:tc>
          <w:tcPr>
            <w:tcW w:w="10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54.8%</w:t>
            </w:r>
          </w:p>
        </w:tc>
        <w:tc>
          <w:tcPr>
            <w:tcW w:w="17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53.2%</w:t>
            </w:r>
          </w:p>
        </w:tc>
        <w:tc>
          <w:tcPr>
            <w:tcW w:w="194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w w:val="99"/>
              </w:rPr>
              <w:t>44.8%</w:t>
            </w:r>
          </w:p>
        </w:tc>
        <w:tc>
          <w:tcPr>
            <w:tcW w:w="0" w:type="dxa"/>
            <w:vAlign w:val="bottom"/>
          </w:tcPr>
          <w:p>
            <w:pPr>
              <w:spacing w:after="0"/>
              <w:rPr>
                <w:sz w:val="1"/>
                <w:szCs w:val="1"/>
                <w:color w:val="auto"/>
              </w:rPr>
            </w:pP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Direct costs .....................................</w:t>
            </w:r>
          </w:p>
        </w:tc>
        <w:tc>
          <w:tcPr>
            <w:tcW w:w="106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Selling, general and administrative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31.3%</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39.2%</w:t>
            </w:r>
          </w:p>
        </w:tc>
        <w:tc>
          <w:tcPr>
            <w:tcW w:w="0" w:type="dxa"/>
            <w:vAlign w:val="bottom"/>
          </w:tcPr>
          <w:p>
            <w:pPr>
              <w:spacing w:after="0"/>
              <w:rPr>
                <w:sz w:val="1"/>
                <w:szCs w:val="1"/>
                <w:color w:val="auto"/>
              </w:rPr>
            </w:pP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Depreciation and amortization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3.9%</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13.6%</w:t>
            </w:r>
          </w:p>
        </w:tc>
        <w:tc>
          <w:tcPr>
            <w:tcW w:w="0" w:type="dxa"/>
            <w:vAlign w:val="bottom"/>
          </w:tcPr>
          <w:p>
            <w:pPr>
              <w:spacing w:after="0"/>
              <w:rPr>
                <w:sz w:val="1"/>
                <w:szCs w:val="1"/>
                <w:color w:val="auto"/>
              </w:rPr>
            </w:pPr>
          </w:p>
        </w:tc>
      </w:tr>
      <w:tr>
        <w:trPr>
          <w:trHeight w:val="273"/>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Income from operations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11.6%</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34.6%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93" w:lineRule="exact"/>
        <w:rPr>
          <w:sz w:val="20"/>
          <w:szCs w:val="20"/>
          <w:color w:val="auto"/>
        </w:rPr>
      </w:pPr>
    </w:p>
    <w:p>
      <w:pPr>
        <w:ind w:right="2659" w:firstLine="581"/>
        <w:spacing w:after="0" w:line="266"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32" w:right="1440" w:bottom="1440" w:gutter="0" w:footer="0" w:header="0"/>
        </w:sectPr>
      </w:pPr>
    </w:p>
    <w:bookmarkStart w:id="23" w:name="page24"/>
    <w:bookmarkEnd w:id="23"/>
    <w:p>
      <w:pPr>
        <w:ind w:right="2800" w:firstLine="581"/>
        <w:spacing w:after="0" w:line="264"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82" w:lineRule="exact"/>
        <w:rPr>
          <w:sz w:val="20"/>
          <w:szCs w:val="20"/>
          <w:color w:val="auto"/>
        </w:rPr>
      </w:pPr>
    </w:p>
    <w:p>
      <w:pPr>
        <w:ind w:right="2800" w:firstLine="581"/>
        <w:spacing w:after="0" w:line="264"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82" w:lineRule="exact"/>
        <w:rPr>
          <w:sz w:val="20"/>
          <w:szCs w:val="20"/>
          <w:color w:val="auto"/>
        </w:rPr>
      </w:pPr>
    </w:p>
    <w:p>
      <w:pPr>
        <w:ind w:right="2800" w:firstLine="581"/>
        <w:spacing w:after="0" w:line="255"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Cancellations of this nature are typical in our business and generally arise due to safety or efficary issues relating to the trial drug, which are outside of our control. Operating margins for our clinical research segment increased from 11.0% in the nine months ended February 28, 2002 to 12.4% for the nine months ended February 28, 2003 primarily due to improved staff utilization.</w:t>
      </w:r>
    </w:p>
    <w:p>
      <w:pPr>
        <w:spacing w:after="0" w:line="93" w:lineRule="exact"/>
        <w:rPr>
          <w:sz w:val="20"/>
          <w:szCs w:val="20"/>
          <w:color w:val="auto"/>
        </w:rPr>
      </w:pPr>
    </w:p>
    <w:p>
      <w:pPr>
        <w:ind w:right="2900" w:firstLine="581"/>
        <w:spacing w:after="0" w:line="264"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8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32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2001</w:t>
            </w:r>
          </w:p>
        </w:tc>
        <w:tc>
          <w:tcPr>
            <w:tcW w:w="10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TO 2001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3300" w:type="dxa"/>
            <w:vAlign w:val="bottom"/>
            <w:gridSpan w:val="3"/>
            <w:vMerge w:val="restart"/>
          </w:tcPr>
          <w:p>
            <w:pPr>
              <w:jc w:val="right"/>
              <w:ind w:right="359"/>
              <w:spacing w:after="0"/>
              <w:rPr>
                <w:sz w:val="20"/>
                <w:szCs w:val="20"/>
                <w:color w:val="auto"/>
              </w:rPr>
            </w:pPr>
            <w:r>
              <w:rPr>
                <w:rFonts w:ascii="Courier New" w:cs="Courier New" w:eastAsia="Courier New" w:hAnsi="Courier New"/>
                <w:sz w:val="16"/>
                <w:szCs w:val="16"/>
                <w:color w:val="auto"/>
              </w:rPr>
              <w:t>PERCENTAGE OF NET REVENUE</w:t>
            </w:r>
          </w:p>
        </w:tc>
        <w:tc>
          <w:tcPr>
            <w:tcW w:w="2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3300" w:type="dxa"/>
            <w:vAlign w:val="bottom"/>
            <w:gridSpan w:val="3"/>
            <w:vMerge w:val="continue"/>
          </w:tcPr>
          <w:p>
            <w:pPr>
              <w:spacing w:after="0"/>
              <w:rPr>
                <w:sz w:val="16"/>
                <w:szCs w:val="16"/>
                <w:color w:val="auto"/>
              </w:rPr>
            </w:pPr>
          </w:p>
        </w:tc>
        <w:tc>
          <w:tcPr>
            <w:tcW w:w="2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(DECREASE)</w:t>
            </w:r>
          </w:p>
        </w:tc>
        <w:tc>
          <w:tcPr>
            <w:tcW w:w="0" w:type="dxa"/>
            <w:vAlign w:val="bottom"/>
          </w:tcPr>
          <w:p>
            <w:pPr>
              <w:spacing w:after="0"/>
              <w:rPr>
                <w:sz w:val="1"/>
                <w:szCs w:val="1"/>
                <w:color w:val="auto"/>
              </w:rPr>
            </w:pPr>
          </w:p>
        </w:tc>
      </w:tr>
      <w:tr>
        <w:trPr>
          <w:trHeight w:val="273"/>
        </w:trPr>
        <w:tc>
          <w:tcPr>
            <w:tcW w:w="5080" w:type="dxa"/>
            <w:vAlign w:val="bottom"/>
          </w:tcPr>
          <w:p>
            <w:pPr>
              <w:spacing w:after="0"/>
              <w:rPr>
                <w:sz w:val="23"/>
                <w:szCs w:val="23"/>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1060" w:type="dxa"/>
            <w:vAlign w:val="bottom"/>
          </w:tcPr>
          <w:p>
            <w:pPr>
              <w:spacing w:after="0"/>
              <w:rPr>
                <w:sz w:val="23"/>
                <w:szCs w:val="23"/>
                <w:color w:val="auto"/>
              </w:rPr>
            </w:pP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7"/>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revenue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86"/>
        </w:trPr>
        <w:tc>
          <w:tcPr>
            <w:tcW w:w="5080" w:type="dxa"/>
            <w:vAlign w:val="bottom"/>
          </w:tcPr>
          <w:p>
            <w:pPr>
              <w:jc w:val="right"/>
              <w:ind w:right="3159"/>
              <w:spacing w:after="0"/>
              <w:rPr>
                <w:sz w:val="20"/>
                <w:szCs w:val="20"/>
                <w:color w:val="auto"/>
              </w:rPr>
            </w:pPr>
            <w:r>
              <w:rPr>
                <w:rFonts w:ascii="Courier New" w:cs="Courier New" w:eastAsia="Courier New" w:hAnsi="Courier New"/>
                <w:sz w:val="16"/>
                <w:szCs w:val="16"/>
                <w:color w:val="auto"/>
                <w:w w:val="99"/>
              </w:rPr>
              <w:t>Costs and expenses:</w:t>
            </w:r>
          </w:p>
        </w:tc>
        <w:tc>
          <w:tcPr>
            <w:tcW w:w="132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52.0%</w:t>
            </w: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54.9%</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53.3%</w:t>
            </w:r>
          </w:p>
        </w:tc>
        <w:tc>
          <w:tcPr>
            <w:tcW w:w="11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51.9%</w:t>
            </w:r>
          </w:p>
        </w:tc>
        <w:tc>
          <w:tcPr>
            <w:tcW w:w="10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30.7%</w:t>
            </w:r>
          </w:p>
        </w:tc>
        <w:tc>
          <w:tcPr>
            <w:tcW w:w="0" w:type="dxa"/>
            <w:vAlign w:val="bottom"/>
          </w:tcPr>
          <w:p>
            <w:pPr>
              <w:spacing w:after="0"/>
              <w:rPr>
                <w:sz w:val="1"/>
                <w:szCs w:val="1"/>
                <w:color w:val="auto"/>
              </w:rPr>
            </w:pP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Direct costs ....................................</w:t>
            </w:r>
          </w:p>
        </w:tc>
        <w:tc>
          <w:tcPr>
            <w:tcW w:w="13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Selling, general and administrative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33.9%</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Depreciation and amortization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273"/>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Income from operations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3000" w:firstLine="581"/>
        <w:spacing w:after="0" w:line="266"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 million, or 27.4% in fiscal 2002 compared to fiscal 2001. Of the total increase, revenues in the United States and Europe/Rest of the World grew by 31.3% and 43.2%, respectively.</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560"/>
          </w:cols>
          <w:pgMar w:left="240" w:top="832" w:right="1099" w:bottom="1098" w:gutter="0" w:footer="0" w:header="0"/>
        </w:sectPr>
      </w:pPr>
    </w:p>
    <w:bookmarkStart w:id="24" w:name="page25"/>
    <w:bookmarkEnd w:id="24"/>
    <w:p>
      <w:pPr>
        <w:ind w:right="2659" w:firstLine="581"/>
        <w:spacing w:after="0" w:line="270"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81" w:lineRule="exact"/>
        <w:rPr>
          <w:sz w:val="20"/>
          <w:szCs w:val="20"/>
          <w:color w:val="auto"/>
        </w:rPr>
      </w:pPr>
    </w:p>
    <w:p>
      <w:pPr>
        <w:ind w:right="2659" w:firstLine="581"/>
        <w:spacing w:after="0" w:line="276"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76"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86"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82"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76" w:lineRule="exact"/>
        <w:rPr>
          <w:sz w:val="20"/>
          <w:szCs w:val="20"/>
          <w:color w:val="auto"/>
        </w:rPr>
      </w:pPr>
    </w:p>
    <w:p>
      <w:pPr>
        <w:ind w:right="2559" w:firstLine="581"/>
        <w:spacing w:after="0" w:line="287"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1"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89"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 twelve months to May 31, 2000, to 54.9% in the equivalent period in fiscal 2001. Excluding acquisitions, direct costs were 53.3% of net revenues in the twelve months to May 31, 2001.</w:t>
      </w:r>
    </w:p>
    <w:p>
      <w:pPr>
        <w:spacing w:after="0" w:line="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46" w:right="1440" w:bottom="1440" w:gutter="0" w:footer="0" w:header="0"/>
        </w:sectPr>
      </w:pPr>
    </w:p>
    <w:bookmarkStart w:id="25" w:name="page26"/>
    <w:bookmarkEnd w:id="25"/>
    <w:p>
      <w:pPr>
        <w:ind w:right="2459" w:firstLine="581"/>
        <w:spacing w:after="0" w:line="264"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82"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82" w:lineRule="exact"/>
        <w:rPr>
          <w:sz w:val="20"/>
          <w:szCs w:val="20"/>
          <w:color w:val="auto"/>
        </w:rPr>
      </w:pPr>
    </w:p>
    <w:p>
      <w:pPr>
        <w:ind w:right="2659" w:firstLine="581"/>
        <w:spacing w:after="0" w:line="287"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65"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76"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8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LIQUIDITY AND CAPITAL RESOURCES</w:t>
      </w:r>
    </w:p>
    <w:p>
      <w:pPr>
        <w:spacing w:after="0" w:line="378"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275"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46" w:right="1440" w:bottom="1440" w:gutter="0" w:footer="0" w:header="0"/>
        </w:sectPr>
      </w:pPr>
    </w:p>
    <w:bookmarkStart w:id="26" w:name="page27"/>
    <w:bookmarkEnd w:id="26"/>
    <w:p>
      <w:pPr>
        <w:ind w:right="2459" w:firstLine="581"/>
        <w:spacing w:after="0" w:line="256"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96" w:lineRule="exact"/>
        <w:rPr>
          <w:sz w:val="20"/>
          <w:szCs w:val="20"/>
          <w:color w:val="auto"/>
        </w:rPr>
      </w:pPr>
    </w:p>
    <w:p>
      <w:pPr>
        <w:ind w:right="2659" w:firstLine="581"/>
        <w:spacing w:after="0" w:line="270"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8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82"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81" w:lineRule="exact"/>
        <w:rPr>
          <w:sz w:val="20"/>
          <w:szCs w:val="20"/>
          <w:color w:val="auto"/>
        </w:rPr>
      </w:pPr>
    </w:p>
    <w:p>
      <w:pPr>
        <w:ind w:right="2759" w:firstLine="581"/>
        <w:spacing w:after="0" w:line="276"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76"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89"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268"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32" w:right="1440" w:bottom="1440" w:gutter="0" w:footer="0" w:header="0"/>
        </w:sectPr>
      </w:pPr>
    </w:p>
    <w:bookmarkStart w:id="27" w:name="page28"/>
    <w:bookmarkEnd w:id="27"/>
    <w:p>
      <w:pPr>
        <w:ind w:right="2659"/>
        <w:spacing w:after="0" w:line="266"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61"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8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378" w:lineRule="exact"/>
        <w:rPr>
          <w:sz w:val="20"/>
          <w:szCs w:val="20"/>
          <w:color w:val="auto"/>
        </w:rPr>
      </w:pPr>
    </w:p>
    <w:p>
      <w:pPr>
        <w:ind w:right="2559" w:firstLine="581"/>
        <w:spacing w:after="0" w:line="367"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PAYMENTS DUE BY PERIOD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5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220" w:type="dxa"/>
            <w:vAlign w:val="bottom"/>
            <w:vMerge w:val="restart"/>
          </w:tcPr>
          <w:p>
            <w:pPr>
              <w:jc w:val="right"/>
              <w:ind w:right="322"/>
              <w:spacing w:after="0"/>
              <w:rPr>
                <w:sz w:val="20"/>
                <w:szCs w:val="20"/>
                <w:color w:val="auto"/>
              </w:rPr>
            </w:pPr>
            <w:r>
              <w:rPr>
                <w:rFonts w:ascii="Courier New" w:cs="Courier New" w:eastAsia="Courier New" w:hAnsi="Courier New"/>
                <w:sz w:val="16"/>
                <w:szCs w:val="16"/>
                <w:color w:val="auto"/>
              </w:rPr>
              <w:t>TOTAL</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LESS THAN</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 TO 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AFTER 5</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 YEAR</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YEARS</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YEARS</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60" w:type="dxa"/>
            <w:vAlign w:val="bottom"/>
            <w:gridSpan w:val="2"/>
          </w:tcPr>
          <w:p>
            <w:pPr>
              <w:jc w:val="right"/>
              <w:ind w:right="759"/>
              <w:spacing w:after="0"/>
              <w:rPr>
                <w:sz w:val="20"/>
                <w:szCs w:val="20"/>
                <w:color w:val="auto"/>
              </w:rPr>
            </w:pPr>
            <w:r>
              <w:rPr>
                <w:rFonts w:ascii="Courier New" w:cs="Courier New" w:eastAsia="Courier New" w:hAnsi="Courier New"/>
                <w:sz w:val="16"/>
                <w:szCs w:val="16"/>
                <w:color w:val="auto"/>
              </w:rPr>
              <w:t>(IN THOUSANDS)</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2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$121,579</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$ 7,359</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$50,406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2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10,503</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10,503</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22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13,460</w:t>
            </w:r>
          </w:p>
        </w:tc>
        <w:tc>
          <w:tcPr>
            <w:tcW w:w="130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4,120</w:t>
            </w:r>
          </w:p>
        </w:tc>
        <w:tc>
          <w:tcPr>
            <w:tcW w:w="14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9,340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contingent consideration (1) ................</w:t>
            </w: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vMerge w:val="restart"/>
          </w:tcPr>
          <w:p>
            <w:pPr>
              <w:spacing w:after="0"/>
              <w:rPr>
                <w:sz w:val="20"/>
                <w:szCs w:val="20"/>
                <w:color w:val="auto"/>
              </w:rPr>
            </w:pPr>
            <w:r>
              <w:rPr>
                <w:rFonts w:ascii="Courier New" w:cs="Courier New" w:eastAsia="Courier New" w:hAnsi="Courier New"/>
                <w:sz w:val="16"/>
                <w:szCs w:val="16"/>
                <w:color w:val="auto"/>
              </w:rPr>
              <w:t>Total .........................................</w:t>
            </w:r>
          </w:p>
        </w:tc>
        <w:tc>
          <w:tcPr>
            <w:tcW w:w="1220" w:type="dxa"/>
            <w:vAlign w:val="bottom"/>
            <w:vMerge w:val="restart"/>
          </w:tcPr>
          <w:p>
            <w:pPr>
              <w:jc w:val="right"/>
              <w:ind w:right="222"/>
              <w:spacing w:after="0"/>
              <w:rPr>
                <w:sz w:val="20"/>
                <w:szCs w:val="20"/>
                <w:color w:val="auto"/>
              </w:rPr>
            </w:pPr>
            <w:r>
              <w:rPr>
                <w:rFonts w:ascii="Courier New" w:cs="Courier New" w:eastAsia="Courier New" w:hAnsi="Courier New"/>
                <w:sz w:val="21"/>
                <w:szCs w:val="21"/>
                <w:color w:val="auto"/>
                <w:w w:val="72"/>
                <w:vertAlign w:val="subscript"/>
              </w:rPr>
              <w:t>$</w:t>
            </w: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bscript"/>
              </w:rPr>
              <w:t>145,542</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$21,982</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$59,746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c>
          <w:tcPr>
            <w:tcW w:w="0" w:type="dxa"/>
            <w:vAlign w:val="bottom"/>
          </w:tcPr>
          <w:p>
            <w:pPr>
              <w:spacing w:after="0"/>
              <w:rPr>
                <w:sz w:val="1"/>
                <w:szCs w:val="1"/>
                <w:color w:val="auto"/>
              </w:rPr>
            </w:pPr>
          </w:p>
        </w:tc>
      </w:tr>
      <w:tr>
        <w:trPr>
          <w:trHeight w:val="273"/>
        </w:trPr>
        <w:tc>
          <w:tcPr>
            <w:tcW w:w="4700" w:type="dxa"/>
            <w:vAlign w:val="bottom"/>
          </w:tcPr>
          <w:p>
            <w:pPr>
              <w:spacing w:after="0"/>
              <w:rPr>
                <w:sz w:val="23"/>
                <w:szCs w:val="23"/>
                <w:color w:val="auto"/>
              </w:rPr>
            </w:pPr>
          </w:p>
        </w:tc>
        <w:tc>
          <w:tcPr>
            <w:tcW w:w="12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This cash is payable under earn-out clauses included in acquisitions.</w:t>
      </w:r>
    </w:p>
    <w:p>
      <w:pPr>
        <w:spacing w:after="0" w:line="161"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28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INFLATION</w:t>
      </w:r>
    </w:p>
    <w:p>
      <w:pPr>
        <w:spacing w:after="0" w:line="191" w:lineRule="exact"/>
        <w:rPr>
          <w:sz w:val="20"/>
          <w:szCs w:val="20"/>
          <w:color w:val="auto"/>
        </w:rPr>
      </w:pPr>
    </w:p>
    <w:p>
      <w:pPr>
        <w:ind w:right="2559" w:firstLine="581"/>
        <w:spacing w:after="0" w:line="367"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32" w:right="1440" w:bottom="725" w:gutter="0" w:footer="0" w:header="0"/>
        </w:sectPr>
      </w:pPr>
    </w:p>
    <w:bookmarkStart w:id="28" w:name="page29"/>
    <w:bookmarkEnd w:id="28"/>
    <w:p>
      <w:pPr>
        <w:ind w:left="2520"/>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76"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76"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93"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65" w:lineRule="exact"/>
        <w:rPr>
          <w:sz w:val="20"/>
          <w:szCs w:val="20"/>
          <w:color w:val="auto"/>
        </w:rPr>
      </w:pPr>
    </w:p>
    <w:p>
      <w:pPr>
        <w:ind w:left="1160" w:right="2959" w:hanging="579"/>
        <w:spacing w:after="0" w:line="367" w:lineRule="auto"/>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spacing w:after="0" w:line="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NEW ACCOUNTING PRONOUNCEMENTS</w:t>
      </w:r>
    </w:p>
    <w:p>
      <w:pPr>
        <w:spacing w:after="0" w:line="191"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46" w:right="1440" w:bottom="1440" w:gutter="0" w:footer="0" w:header="0"/>
        </w:sectPr>
      </w:pPr>
    </w:p>
    <w:bookmarkStart w:id="29" w:name="page30"/>
    <w:bookmarkEnd w:id="29"/>
    <w:p>
      <w:pPr>
        <w:ind w:right="2459"/>
        <w:spacing w:after="0" w:line="260" w:lineRule="auto"/>
        <w:rPr>
          <w:sz w:val="20"/>
          <w:szCs w:val="20"/>
          <w:color w:val="auto"/>
        </w:rPr>
      </w:pPr>
      <w:r>
        <w:rPr>
          <w:rFonts w:ascii="Courier New" w:cs="Courier New" w:eastAsia="Courier New" w:hAnsi="Courier New"/>
          <w:sz w:val="16"/>
          <w:szCs w:val="16"/>
          <w:color w:val="auto"/>
        </w:rPr>
        <w:t>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86" w:lineRule="exact"/>
        <w:rPr>
          <w:sz w:val="20"/>
          <w:szCs w:val="20"/>
          <w:color w:val="auto"/>
        </w:rPr>
      </w:pPr>
    </w:p>
    <w:p>
      <w:pPr>
        <w:jc w:val="both"/>
        <w:ind w:right="2559" w:firstLine="581"/>
        <w:spacing w:after="0" w:line="307"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YEAR ENDED MAY 31,</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340"/>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3"/>
                <w:szCs w:val="23"/>
                <w:color w:val="auto"/>
              </w:rPr>
            </w:pPr>
          </w:p>
        </w:tc>
        <w:tc>
          <w:tcPr>
            <w:tcW w:w="2040" w:type="dxa"/>
            <w:vAlign w:val="bottom"/>
            <w:vMerge w:val="restart"/>
          </w:tcPr>
          <w:p>
            <w:pPr>
              <w:jc w:val="right"/>
              <w:spacing w:after="0"/>
              <w:rPr>
                <w:sz w:val="20"/>
                <w:szCs w:val="20"/>
                <w:color w:val="auto"/>
              </w:rPr>
            </w:pPr>
            <w:r>
              <w:rPr>
                <w:rFonts w:ascii="Courier New" w:cs="Courier New" w:eastAsia="Courier New" w:hAnsi="Courier New"/>
                <w:sz w:val="32"/>
                <w:szCs w:val="32"/>
                <w:color w:val="auto"/>
                <w:w w:val="92"/>
                <w:vertAlign w:val="superscript"/>
              </w:rPr>
              <w:t>------</w:t>
            </w:r>
            <w:r>
              <w:rPr>
                <w:rFonts w:ascii="Courier New" w:cs="Courier New" w:eastAsia="Courier New" w:hAnsi="Courier New"/>
                <w:sz w:val="16"/>
                <w:szCs w:val="16"/>
                <w:color w:val="auto"/>
                <w:w w:val="92"/>
              </w:rPr>
              <w:t>(IN THOUSANDS,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48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Reported net income ............................</w:t>
            </w:r>
          </w:p>
        </w:tc>
        <w:tc>
          <w:tcPr>
            <w:tcW w:w="2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EXCEPT PER SHARE DATA)</w:t>
            </w: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$6,068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38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186"/>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 income ............................</w:t>
            </w:r>
          </w:p>
        </w:tc>
        <w:tc>
          <w:tcPr>
            <w:tcW w:w="2040" w:type="dxa"/>
            <w:vAlign w:val="bottom"/>
            <w:vMerge w:val="restart"/>
          </w:tcPr>
          <w:p>
            <w:pPr>
              <w:jc w:val="right"/>
              <w:ind w:right="1140"/>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perscript"/>
              </w:rPr>
              <w:t>------</w:t>
            </w:r>
            <w:r>
              <w:rPr>
                <w:rFonts w:ascii="Courier New" w:cs="Courier New" w:eastAsia="Courier New" w:hAnsi="Courier New"/>
                <w:sz w:val="14"/>
                <w:szCs w:val="14"/>
                <w:color w:val="auto"/>
                <w:w w:val="70"/>
              </w:rPr>
              <w:t>6,106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c>
          <w:tcPr>
            <w:tcW w:w="0" w:type="dxa"/>
            <w:vAlign w:val="bottom"/>
          </w:tcPr>
          <w:p>
            <w:pPr>
              <w:spacing w:after="0"/>
              <w:rPr>
                <w:sz w:val="1"/>
                <w:szCs w:val="1"/>
                <w:color w:val="auto"/>
              </w:rPr>
            </w:pPr>
          </w:p>
        </w:tc>
      </w:tr>
      <w:tr>
        <w:trPr>
          <w:trHeight w:val="273"/>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$ 0.55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6"/>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2040" w:type="dxa"/>
            <w:vAlign w:val="bottom"/>
            <w:vMerge w:val="restart"/>
          </w:tcPr>
          <w:p>
            <w:pPr>
              <w:jc w:val="right"/>
              <w:ind w:right="1140"/>
              <w:spacing w:after="0"/>
              <w:rPr>
                <w:sz w:val="20"/>
                <w:szCs w:val="20"/>
                <w:color w:val="auto"/>
              </w:rPr>
            </w:pPr>
            <w:r>
              <w:rPr>
                <w:rFonts w:ascii="Courier New" w:cs="Courier New" w:eastAsia="Courier New" w:hAnsi="Courier New"/>
                <w:sz w:val="30"/>
                <w:szCs w:val="30"/>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0.55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c>
          <w:tcPr>
            <w:tcW w:w="0" w:type="dxa"/>
            <w:vAlign w:val="bottom"/>
          </w:tcPr>
          <w:p>
            <w:pPr>
              <w:spacing w:after="0"/>
              <w:rPr>
                <w:sz w:val="1"/>
                <w:szCs w:val="1"/>
                <w:color w:val="auto"/>
              </w:rPr>
            </w:pPr>
          </w:p>
        </w:tc>
      </w:tr>
      <w:tr>
        <w:trPr>
          <w:trHeight w:val="273"/>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$ 0.51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6"/>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 net income per share</w:t>
            </w:r>
          </w:p>
        </w:tc>
        <w:tc>
          <w:tcPr>
            <w:tcW w:w="2040" w:type="dxa"/>
            <w:vAlign w:val="bottom"/>
            <w:vMerge w:val="restart"/>
          </w:tcPr>
          <w:p>
            <w:pPr>
              <w:jc w:val="right"/>
              <w:ind w:right="1140"/>
              <w:spacing w:after="0"/>
              <w:rPr>
                <w:sz w:val="20"/>
                <w:szCs w:val="20"/>
                <w:color w:val="auto"/>
              </w:rPr>
            </w:pPr>
            <w:r>
              <w:rPr>
                <w:rFonts w:ascii="Courier New" w:cs="Courier New" w:eastAsia="Courier New" w:hAnsi="Courier New"/>
                <w:sz w:val="30"/>
                <w:szCs w:val="30"/>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0.51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800" w:type="dxa"/>
            <w:vAlign w:val="bottom"/>
            <w:vMerge w:val="continue"/>
          </w:tcPr>
          <w:p>
            <w:pPr>
              <w:ind w:left="3680"/>
              <w:spacing w:after="0" w:line="164"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3"/>
                <w:szCs w:val="23"/>
                <w:color w:val="auto"/>
              </w:rPr>
            </w:pPr>
          </w:p>
        </w:tc>
        <w:tc>
          <w:tcPr>
            <w:tcW w:w="2040" w:type="dxa"/>
            <w:vAlign w:val="bottom"/>
          </w:tcPr>
          <w:p>
            <w:pPr>
              <w:jc w:val="right"/>
              <w:ind w:right="1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96" w:lineRule="exact"/>
        <w:rPr>
          <w:sz w:val="20"/>
          <w:szCs w:val="20"/>
          <w:color w:val="auto"/>
        </w:rPr>
      </w:pPr>
    </w:p>
    <w:p>
      <w:pPr>
        <w:ind w:right="2459" w:firstLine="581"/>
        <w:spacing w:after="0" w:line="254"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2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46" w:right="1440" w:bottom="1440" w:gutter="0" w:footer="0" w:header="0"/>
        </w:sectPr>
      </w:pPr>
    </w:p>
    <w:bookmarkStart w:id="30" w:name="page31"/>
    <w:bookmarkEnd w:id="30"/>
    <w:p>
      <w:pPr>
        <w:ind w:right="2559" w:firstLine="581"/>
        <w:spacing w:after="0" w:line="264"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82" w:lineRule="exact"/>
        <w:rPr>
          <w:sz w:val="20"/>
          <w:szCs w:val="20"/>
          <w:color w:val="auto"/>
        </w:rPr>
      </w:pPr>
    </w:p>
    <w:p>
      <w:pPr>
        <w:ind w:right="2559" w:firstLine="581"/>
        <w:spacing w:after="0" w:line="260"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86" w:lineRule="exact"/>
        <w:rPr>
          <w:sz w:val="20"/>
          <w:szCs w:val="20"/>
          <w:color w:val="auto"/>
        </w:rPr>
      </w:pPr>
    </w:p>
    <w:p>
      <w:pPr>
        <w:ind w:right="2559" w:firstLine="581"/>
        <w:spacing w:after="0" w:line="257"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46" w:right="1440" w:bottom="1440" w:gutter="0" w:footer="0" w:header="0"/>
        </w:sectPr>
      </w:pPr>
    </w:p>
    <w:bookmarkStart w:id="31" w:name="page32"/>
    <w:bookmarkEnd w:id="31"/>
    <w:p>
      <w:pPr>
        <w:ind w:left="3480"/>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2,300 employees and operations in 28 locations in 16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9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348"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93"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1"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93"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46" w:right="1440" w:bottom="1440" w:gutter="0" w:footer="0" w:header="0"/>
        </w:sectPr>
      </w:pPr>
    </w:p>
    <w:bookmarkStart w:id="32" w:name="page33"/>
    <w:bookmarkEnd w:id="32"/>
    <w:p>
      <w:pPr>
        <w:ind w:right="2459"/>
        <w:spacing w:after="0" w:line="255"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1"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85"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93" w:lineRule="exact"/>
        <w:rPr>
          <w:sz w:val="20"/>
          <w:szCs w:val="20"/>
          <w:color w:val="auto"/>
        </w:rPr>
      </w:pPr>
    </w:p>
    <w:p>
      <w:pPr>
        <w:ind w:right="2559" w:firstLine="581"/>
        <w:spacing w:after="0" w:line="258"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93" w:lineRule="exact"/>
        <w:rPr>
          <w:sz w:val="20"/>
          <w:szCs w:val="20"/>
          <w:color w:val="auto"/>
        </w:rPr>
      </w:pPr>
    </w:p>
    <w:p>
      <w:pPr>
        <w:ind w:right="2559" w:firstLine="581"/>
        <w:spacing w:after="0" w:line="258"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93" w:lineRule="exact"/>
        <w:rPr>
          <w:sz w:val="20"/>
          <w:szCs w:val="20"/>
          <w:color w:val="auto"/>
        </w:rPr>
      </w:pPr>
    </w:p>
    <w:p>
      <w:pPr>
        <w:ind w:right="2559" w:firstLine="581"/>
        <w:spacing w:after="0" w:line="260"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46" w:right="1440" w:bottom="1440" w:gutter="0" w:footer="0" w:header="0"/>
        </w:sectPr>
      </w:pPr>
    </w:p>
    <w:bookmarkStart w:id="33" w:name="page34"/>
    <w:bookmarkEnd w:id="33"/>
    <w:p>
      <w:pPr>
        <w:ind w:right="2459" w:firstLine="581"/>
        <w:spacing w:after="0" w:line="270"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268"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89" w:lineRule="exact"/>
        <w:rPr>
          <w:sz w:val="20"/>
          <w:szCs w:val="20"/>
          <w:color w:val="auto"/>
        </w:rPr>
      </w:pPr>
    </w:p>
    <w:p>
      <w:pPr>
        <w:ind w:right="2559" w:firstLine="581"/>
        <w:spacing w:after="0" w:line="266"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28 offices in 16 countries and intend to continue expanding into regions that have the potential to increase our client base or increase our investigator and patient populations.</w:t>
      </w:r>
    </w:p>
    <w:p>
      <w:pPr>
        <w:spacing w:after="0" w:line="271"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1" w:lineRule="exact"/>
        <w:rPr>
          <w:sz w:val="20"/>
          <w:szCs w:val="20"/>
          <w:color w:val="auto"/>
        </w:rPr>
      </w:pPr>
    </w:p>
    <w:p>
      <w:pPr>
        <w:ind w:right="2759" w:firstLine="581"/>
        <w:spacing w:after="0" w:line="261"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89"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2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46" w:right="1440" w:bottom="1440" w:gutter="0" w:footer="0" w:header="0"/>
        </w:sectPr>
      </w:pPr>
    </w:p>
    <w:bookmarkStart w:id="34" w:name="page35"/>
    <w:bookmarkEnd w:id="34"/>
    <w:p>
      <w:pPr>
        <w:ind w:right="2459" w:firstLine="581"/>
        <w:spacing w:after="0" w:line="264"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1" w:lineRule="exact"/>
        <w:rPr>
          <w:sz w:val="20"/>
          <w:szCs w:val="20"/>
          <w:color w:val="auto"/>
        </w:rPr>
      </w:pPr>
    </w:p>
    <w:p>
      <w:pPr>
        <w:ind w:right="3039" w:firstLine="581"/>
        <w:spacing w:after="0" w:line="367"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380" w:type="dxa"/>
            <w:vAlign w:val="bottom"/>
          </w:tcPr>
          <w:p>
            <w:pPr>
              <w:spacing w:after="0"/>
              <w:rPr>
                <w:sz w:val="16"/>
                <w:szCs w:val="16"/>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COUNTRY OF INCORPORATION</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80" w:type="dxa"/>
            <w:vAlign w:val="bottom"/>
            <w:vMerge w:val="restart"/>
          </w:tcPr>
          <w:p>
            <w:pPr>
              <w:spacing w:after="0"/>
              <w:rPr>
                <w:sz w:val="20"/>
                <w:szCs w:val="20"/>
                <w:color w:val="auto"/>
              </w:rPr>
            </w:pPr>
            <w:r>
              <w:rPr>
                <w:rFonts w:ascii="Courier New" w:cs="Courier New" w:eastAsia="Courier New" w:hAnsi="Courier New"/>
                <w:sz w:val="16"/>
                <w:szCs w:val="16"/>
                <w:color w:val="auto"/>
              </w:rPr>
              <w:t>Research S.A. ...................</w:t>
            </w:r>
          </w:p>
        </w:tc>
        <w:tc>
          <w:tcPr>
            <w:tcW w:w="2720" w:type="dxa"/>
            <w:vAlign w:val="bottom"/>
          </w:tcPr>
          <w:p>
            <w:pPr>
              <w:ind w:left="4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vMerge w:val="continue"/>
          </w:tcPr>
          <w:p>
            <w:pPr>
              <w:spacing w:after="0"/>
              <w:rPr>
                <w:sz w:val="16"/>
                <w:szCs w:val="16"/>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Argentina</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Pty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Australia</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(Canada)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Canada</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SARL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Protocole SAS</w:t>
            </w:r>
          </w:p>
        </w:tc>
        <w:tc>
          <w:tcPr>
            <w:tcW w:w="338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Research</w:t>
            </w:r>
            <w:r>
              <w:rPr>
                <w:rFonts w:ascii="Courier New" w:cs="Courier New" w:eastAsia="Courier New" w:hAnsi="Courier New"/>
                <w:sz w:val="12"/>
                <w:szCs w:val="12"/>
                <w:color w:val="auto"/>
                <w:w w:val="70"/>
              </w:rPr>
              <w:t>.................................</w:t>
            </w:r>
            <w:r>
              <w:rPr>
                <w:rFonts w:ascii="Courier New" w:cs="Courier New" w:eastAsia="Courier New" w:hAnsi="Courier New"/>
                <w:sz w:val="19"/>
                <w:szCs w:val="19"/>
                <w:color w:val="auto"/>
                <w:w w:val="70"/>
                <w:vertAlign w:val="subscript"/>
              </w:rPr>
              <w:t>GmbH...................</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vMerge w:val="continue"/>
          </w:tcPr>
          <w:p>
            <w:pPr>
              <w:spacing w:after="0"/>
              <w:rPr>
                <w:sz w:val="16"/>
                <w:szCs w:val="16"/>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Germany</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Israel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Israel</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ICON Japan K.K</w:t>
            </w:r>
          </w:p>
        </w:tc>
        <w:tc>
          <w:tcPr>
            <w:tcW w:w="3380" w:type="dxa"/>
            <w:vAlign w:val="bottom"/>
            <w:vMerge w:val="restart"/>
          </w:tcPr>
          <w:p>
            <w:pPr>
              <w:spacing w:after="0"/>
              <w:rPr>
                <w:sz w:val="20"/>
                <w:szCs w:val="20"/>
                <w:color w:val="auto"/>
              </w:rPr>
            </w:pPr>
            <w:r>
              <w:rPr>
                <w:rFonts w:ascii="Courier New" w:cs="Courier New" w:eastAsia="Courier New" w:hAnsi="Courier New"/>
                <w:sz w:val="20"/>
                <w:szCs w:val="20"/>
                <w:color w:val="auto"/>
                <w:w w:val="70"/>
                <w:vertAlign w:val="subscript"/>
              </w:rPr>
              <w:t>Research</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Limited................</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Japan</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vMerge w:val="continue"/>
          </w:tcPr>
          <w:p>
            <w:pPr>
              <w:spacing w:after="0"/>
              <w:rPr>
                <w:sz w:val="16"/>
                <w:szCs w:val="16"/>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Republic of Ireland</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Pte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Singapore</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South Africa</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(UK)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Medeval Group</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YRCR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ICON Laboratories,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273"/>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SYSTEMS</w:t>
      </w:r>
    </w:p>
    <w:p>
      <w:pPr>
        <w:spacing w:after="0" w:line="191" w:lineRule="exact"/>
        <w:rPr>
          <w:sz w:val="20"/>
          <w:szCs w:val="20"/>
          <w:color w:val="auto"/>
        </w:rPr>
      </w:pPr>
    </w:p>
    <w:p>
      <w:pPr>
        <w:jc w:val="both"/>
        <w:ind w:right="2759" w:firstLine="581"/>
        <w:spacing w:after="0" w:line="287"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6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82" w:lineRule="exact"/>
        <w:rPr>
          <w:sz w:val="20"/>
          <w:szCs w:val="20"/>
          <w:color w:val="auto"/>
        </w:rPr>
      </w:pPr>
    </w:p>
    <w:p>
      <w:pPr>
        <w:ind w:right="2559" w:firstLine="581"/>
        <w:spacing w:after="0" w:line="258"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46" w:right="1440" w:bottom="1440" w:gutter="0" w:footer="0" w:header="0"/>
        </w:sectPr>
      </w:pPr>
    </w:p>
    <w:bookmarkStart w:id="35" w:name="page36"/>
    <w:bookmarkEnd w:id="35"/>
    <w:p>
      <w:pPr>
        <w:ind w:right="2659" w:firstLine="581"/>
        <w:spacing w:after="0" w:line="307"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50"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81" w:lineRule="exact"/>
        <w:rPr>
          <w:sz w:val="20"/>
          <w:szCs w:val="20"/>
          <w:color w:val="auto"/>
        </w:rPr>
      </w:pPr>
    </w:p>
    <w:p>
      <w:pPr>
        <w:ind w:right="2659" w:firstLine="581"/>
        <w:spacing w:after="0" w:line="276"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76" w:lineRule="exact"/>
        <w:rPr>
          <w:sz w:val="20"/>
          <w:szCs w:val="20"/>
          <w:color w:val="auto"/>
        </w:rPr>
      </w:pPr>
    </w:p>
    <w:p>
      <w:pPr>
        <w:ind w:right="2659" w:firstLine="581"/>
        <w:spacing w:after="0" w:line="270"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1"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271" w:lineRule="exact"/>
        <w:rPr>
          <w:sz w:val="20"/>
          <w:szCs w:val="20"/>
          <w:color w:val="auto"/>
        </w:rPr>
      </w:pPr>
    </w:p>
    <w:p>
      <w:pPr>
        <w:ind w:right="2559" w:firstLine="581"/>
        <w:spacing w:after="0" w:line="257"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93" w:lineRule="exact"/>
        <w:rPr>
          <w:sz w:val="20"/>
          <w:szCs w:val="20"/>
          <w:color w:val="auto"/>
        </w:rPr>
      </w:pPr>
    </w:p>
    <w:p>
      <w:pPr>
        <w:ind w:right="2559" w:firstLine="581"/>
        <w:spacing w:after="0" w:line="276"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1" w:lineRule="exact"/>
        <w:rPr>
          <w:sz w:val="20"/>
          <w:szCs w:val="20"/>
          <w:color w:val="auto"/>
        </w:rPr>
      </w:pPr>
    </w:p>
    <w:p>
      <w:pPr>
        <w:ind w:right="2459" w:firstLine="581"/>
        <w:spacing w:after="0" w:line="367"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46" w:right="1440" w:bottom="1440" w:gutter="0" w:footer="0" w:header="0"/>
        </w:sectPr>
      </w:pPr>
    </w:p>
    <w:bookmarkStart w:id="36" w:name="page37"/>
    <w:bookmarkEnd w:id="36"/>
    <w:p>
      <w:pPr>
        <w:ind w:right="2459" w:firstLine="581"/>
        <w:spacing w:after="0" w:line="260"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86"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96"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1"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251"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1" w:lineRule="exact"/>
        <w:rPr>
          <w:sz w:val="20"/>
          <w:szCs w:val="20"/>
          <w:color w:val="auto"/>
        </w:rPr>
      </w:pPr>
    </w:p>
    <w:p>
      <w:pPr>
        <w:ind w:right="2459" w:firstLine="581"/>
        <w:spacing w:after="0" w:line="253"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w:t>
      </w:r>
    </w:p>
    <w:p>
      <w:pPr>
        <w:spacing w:after="0" w:line="2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46" w:right="1440" w:bottom="1440" w:gutter="0" w:footer="0" w:header="0"/>
        </w:sectPr>
      </w:pPr>
    </w:p>
    <w:bookmarkStart w:id="37" w:name="page38"/>
    <w:bookmarkEnd w:id="37"/>
    <w:p>
      <w:pPr>
        <w:ind w:right="2659"/>
        <w:spacing w:after="0" w:line="367"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1"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93"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93"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85" w:lineRule="exact"/>
        <w:rPr>
          <w:sz w:val="20"/>
          <w:szCs w:val="20"/>
          <w:color w:val="auto"/>
        </w:rPr>
      </w:pPr>
    </w:p>
    <w:p>
      <w:pPr>
        <w:ind w:right="2659" w:firstLine="581"/>
        <w:spacing w:after="0" w:line="266"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8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76" w:lineRule="exact"/>
        <w:rPr>
          <w:sz w:val="20"/>
          <w:szCs w:val="20"/>
          <w:color w:val="auto"/>
        </w:rPr>
      </w:pPr>
    </w:p>
    <w:p>
      <w:pPr>
        <w:ind w:left="580" w:right="2559"/>
        <w:spacing w:after="0" w:line="276"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26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46" w:right="1440" w:bottom="1440" w:gutter="0" w:footer="0" w:header="0"/>
        </w:sectPr>
      </w:pPr>
    </w:p>
    <w:bookmarkStart w:id="38" w:name="page39"/>
    <w:bookmarkEnd w:id="38"/>
    <w:p>
      <w:pPr>
        <w:ind w:left="580" w:right="2559"/>
        <w:spacing w:after="0" w:line="367"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CLINICAL TRIALS (3.5 TO 6 YEARS)</w:t>
      </w:r>
    </w:p>
    <w:p>
      <w:pPr>
        <w:spacing w:after="0" w:line="191" w:lineRule="exact"/>
        <w:rPr>
          <w:sz w:val="20"/>
          <w:szCs w:val="20"/>
          <w:color w:val="auto"/>
        </w:rPr>
      </w:pPr>
    </w:p>
    <w:p>
      <w:pPr>
        <w:ind w:left="1160" w:right="2559"/>
        <w:spacing w:after="0" w:line="270"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81" w:lineRule="exact"/>
        <w:rPr>
          <w:sz w:val="20"/>
          <w:szCs w:val="20"/>
          <w:color w:val="auto"/>
        </w:rPr>
      </w:pPr>
    </w:p>
    <w:p>
      <w:pPr>
        <w:ind w:left="1160" w:right="2459"/>
        <w:spacing w:after="0" w:line="287"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65" w:lineRule="exact"/>
        <w:rPr>
          <w:sz w:val="20"/>
          <w:szCs w:val="20"/>
          <w:color w:val="auto"/>
        </w:rPr>
      </w:pPr>
    </w:p>
    <w:p>
      <w:pPr>
        <w:ind w:left="1160" w:right="2459"/>
        <w:spacing w:after="0" w:line="270"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81" w:lineRule="exact"/>
        <w:rPr>
          <w:sz w:val="20"/>
          <w:szCs w:val="20"/>
          <w:color w:val="auto"/>
        </w:rPr>
      </w:pPr>
    </w:p>
    <w:p>
      <w:pPr>
        <w:ind w:left="580" w:right="2459"/>
        <w:spacing w:after="0" w:line="261"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89" w:lineRule="exact"/>
        <w:rPr>
          <w:sz w:val="20"/>
          <w:szCs w:val="20"/>
          <w:color w:val="auto"/>
        </w:rPr>
      </w:pPr>
    </w:p>
    <w:p>
      <w:pPr>
        <w:jc w:val="both"/>
        <w:ind w:left="580" w:right="2559"/>
        <w:spacing w:after="0" w:line="287"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65" w:lineRule="exact"/>
        <w:rPr>
          <w:sz w:val="20"/>
          <w:szCs w:val="20"/>
          <w:color w:val="auto"/>
        </w:rPr>
      </w:pPr>
    </w:p>
    <w:p>
      <w:pPr>
        <w:ind w:left="580" w:right="2659"/>
        <w:spacing w:after="0" w:line="287"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65" w:lineRule="exact"/>
        <w:rPr>
          <w:sz w:val="20"/>
          <w:szCs w:val="20"/>
          <w:color w:val="auto"/>
        </w:rPr>
      </w:pPr>
    </w:p>
    <w:p>
      <w:pPr>
        <w:ind w:left="580" w:right="2559"/>
        <w:spacing w:after="0" w:line="261"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1"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89"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832" w:right="1440" w:bottom="1440" w:gutter="0" w:footer="0" w:header="0"/>
        </w:sectPr>
      </w:pPr>
    </w:p>
    <w:bookmarkStart w:id="39" w:name="page40"/>
    <w:bookmarkEnd w:id="39"/>
    <w:p>
      <w:pPr>
        <w:ind w:right="2459"/>
        <w:spacing w:after="0" w:line="287"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65" w:lineRule="exact"/>
        <w:rPr>
          <w:sz w:val="20"/>
          <w:szCs w:val="20"/>
          <w:color w:val="auto"/>
        </w:rPr>
      </w:pPr>
    </w:p>
    <w:p>
      <w:pPr>
        <w:ind w:right="2459" w:firstLine="581"/>
        <w:spacing w:after="0" w:line="254"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1"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267"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and Riga, Latvia. Our Rest of World offices are located in Tokyo, Japan; Sydney, Australia; Bangalore, India; Buenos Aires, Argentina; Johannesburg, South Africa; Montreal, Canada and Singapore.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46" w:right="1440" w:bottom="1440" w:gutter="0" w:footer="0" w:header="0"/>
        </w:sectPr>
      </w:pPr>
    </w:p>
    <w:bookmarkStart w:id="40" w:name="page41"/>
    <w:bookmarkEnd w:id="40"/>
    <w:p>
      <w:pPr>
        <w:jc w:val="center"/>
        <w:ind w:right="2459"/>
        <w:spacing w:after="0"/>
        <w:rPr>
          <w:sz w:val="20"/>
          <w:szCs w:val="20"/>
          <w:color w:val="auto"/>
        </w:rPr>
      </w:pPr>
      <w:r>
        <w:rPr>
          <w:rFonts w:ascii="Courier New" w:cs="Courier New" w:eastAsia="Courier New" w:hAnsi="Courier New"/>
          <w:sz w:val="16"/>
          <w:szCs w:val="16"/>
          <w:color w:val="auto"/>
        </w:rPr>
        <w:t>MANAGEMENT</w:t>
      </w:r>
    </w:p>
    <w:p>
      <w:pPr>
        <w:spacing w:after="0" w:line="191" w:lineRule="exact"/>
        <w:rPr>
          <w:sz w:val="20"/>
          <w:szCs w:val="20"/>
          <w:color w:val="auto"/>
        </w:rPr>
      </w:pPr>
    </w:p>
    <w:p>
      <w:pPr>
        <w:ind w:left="1" w:right="2459" w:firstLine="581"/>
        <w:spacing w:after="0" w:line="287"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65"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4600" w:type="dxa"/>
            <w:vAlign w:val="bottom"/>
          </w:tcPr>
          <w:p>
            <w:pPr>
              <w:ind w:left="1600"/>
              <w:spacing w:after="0"/>
              <w:rPr>
                <w:sz w:val="20"/>
                <w:szCs w:val="20"/>
                <w:color w:val="auto"/>
              </w:rPr>
            </w:pPr>
            <w:r>
              <w:rPr>
                <w:rFonts w:ascii="Courier New" w:cs="Courier New" w:eastAsia="Courier New" w:hAnsi="Courier New"/>
                <w:sz w:val="16"/>
                <w:szCs w:val="16"/>
                <w:color w:val="auto"/>
              </w:rPr>
              <w:t>POSITION</w:t>
            </w:r>
          </w:p>
        </w:tc>
        <w:tc>
          <w:tcPr>
            <w:tcW w:w="0" w:type="dxa"/>
            <w:vAlign w:val="bottom"/>
          </w:tcPr>
          <w:p>
            <w:pPr>
              <w:spacing w:after="0"/>
              <w:rPr>
                <w:sz w:val="1"/>
                <w:szCs w:val="1"/>
                <w:color w:val="auto"/>
              </w:rPr>
            </w:pPr>
          </w:p>
        </w:tc>
      </w:tr>
      <w:tr>
        <w:trPr>
          <w:trHeight w:val="186"/>
        </w:trPr>
        <w:tc>
          <w:tcPr>
            <w:tcW w:w="276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Dr.</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JohnClimax(1)(2)</w:t>
            </w: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6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760" w:type="dxa"/>
            <w:vAlign w:val="bottom"/>
            <w:vMerge w:val="continue"/>
          </w:tcPr>
          <w:p>
            <w:pPr>
              <w:ind w:left="2140"/>
              <w:spacing w:after="0" w:line="164" w:lineRule="exact"/>
              <w:rPr>
                <w:sz w:val="20"/>
                <w:szCs w:val="20"/>
                <w:color w:val="auto"/>
              </w:rPr>
            </w:pPr>
            <w:r>
              <w:rPr>
                <w:rFonts w:ascii="Courier New" w:cs="Courier New" w:eastAsia="Courier New" w:hAnsi="Courier New"/>
                <w:sz w:val="16"/>
                <w:szCs w:val="16"/>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50</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Chairman of the Board</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 Director</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32</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Financial Officer and Secretary</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62</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68</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Lee Jones(2)(3)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47</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Medical Officer, Director ICON Clinical</w:t>
            </w:r>
          </w:p>
        </w:tc>
        <w:tc>
          <w:tcPr>
            <w:tcW w:w="0" w:type="dxa"/>
            <w:vAlign w:val="bottom"/>
          </w:tcPr>
          <w:p>
            <w:pPr>
              <w:spacing w:after="0"/>
              <w:rPr>
                <w:sz w:val="1"/>
                <w:szCs w:val="1"/>
                <w:color w:val="auto"/>
              </w:rPr>
            </w:pPr>
          </w:p>
        </w:tc>
      </w:tr>
      <w:tr>
        <w:trPr>
          <w:trHeight w:val="186"/>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William Taaffe ...........</w:t>
            </w:r>
          </w:p>
        </w:tc>
        <w:tc>
          <w:tcPr>
            <w:tcW w:w="5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54</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Research (UK) Limited</w:t>
            </w:r>
          </w:p>
        </w:tc>
        <w:tc>
          <w:tcPr>
            <w:tcW w:w="0" w:type="dxa"/>
            <w:vAlign w:val="bottom"/>
          </w:tcPr>
          <w:p>
            <w:pPr>
              <w:spacing w:after="0"/>
              <w:rPr>
                <w:sz w:val="1"/>
                <w:szCs w:val="1"/>
                <w:color w:val="auto"/>
              </w:rPr>
            </w:pPr>
          </w:p>
        </w:tc>
      </w:tr>
      <w:tr>
        <w:trPr>
          <w:trHeight w:val="186"/>
        </w:trPr>
        <w:tc>
          <w:tcPr>
            <w:tcW w:w="27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 and President, ICON</w:t>
            </w:r>
          </w:p>
        </w:tc>
        <w:tc>
          <w:tcPr>
            <w:tcW w:w="0" w:type="dxa"/>
            <w:vAlign w:val="bottom"/>
          </w:tcPr>
          <w:p>
            <w:pPr>
              <w:spacing w:after="0"/>
              <w:rPr>
                <w:sz w:val="1"/>
                <w:szCs w:val="1"/>
                <w:color w:val="auto"/>
              </w:rPr>
            </w:pPr>
          </w:p>
        </w:tc>
      </w:tr>
      <w:tr>
        <w:trPr>
          <w:trHeight w:val="27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Research - U.S.</w:t>
            </w:r>
          </w:p>
        </w:tc>
        <w:tc>
          <w:tcPr>
            <w:tcW w:w="58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Clinical</w:t>
            </w:r>
          </w:p>
        </w:tc>
        <w:tc>
          <w:tcPr>
            <w:tcW w:w="0" w:type="dxa"/>
            <w:vAlign w:val="bottom"/>
          </w:tcPr>
          <w:p>
            <w:pPr>
              <w:spacing w:after="0"/>
              <w:rPr>
                <w:sz w:val="1"/>
                <w:szCs w:val="1"/>
                <w:color w:val="auto"/>
              </w:rPr>
            </w:pPr>
          </w:p>
        </w:tc>
      </w:tr>
      <w:tr>
        <w:trPr>
          <w:trHeight w:val="100"/>
        </w:trPr>
        <w:tc>
          <w:tcPr>
            <w:tcW w:w="2760" w:type="dxa"/>
            <w:vAlign w:val="bottom"/>
            <w:vMerge w:val="continue"/>
          </w:tcPr>
          <w:p>
            <w:pPr>
              <w:spacing w:after="0"/>
              <w:rPr>
                <w:sz w:val="8"/>
                <w:szCs w:val="8"/>
                <w:color w:val="auto"/>
              </w:rPr>
            </w:pPr>
          </w:p>
        </w:tc>
        <w:tc>
          <w:tcPr>
            <w:tcW w:w="5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50</w:t>
            </w:r>
          </w:p>
        </w:tc>
        <w:tc>
          <w:tcPr>
            <w:tcW w:w="46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Chief Operating Officer, Europe</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Thomas Frey ..........</w:t>
            </w:r>
          </w:p>
        </w:tc>
        <w:tc>
          <w:tcPr>
            <w:tcW w:w="580" w:type="dxa"/>
            <w:vAlign w:val="bottom"/>
            <w:vMerge w:val="continue"/>
          </w:tcPr>
          <w:p>
            <w:pPr>
              <w:spacing w:after="0"/>
              <w:rPr>
                <w:sz w:val="16"/>
                <w:szCs w:val="16"/>
                <w:color w:val="auto"/>
              </w:rPr>
            </w:pPr>
          </w:p>
        </w:tc>
        <w:tc>
          <w:tcPr>
            <w:tcW w:w="4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Markus Weissbach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47</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President of ICON Clinical Research - Europe</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49</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President of ICON Laboratories</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Operating Officer, ICON Clinical</w:t>
            </w:r>
          </w:p>
        </w:tc>
        <w:tc>
          <w:tcPr>
            <w:tcW w:w="0" w:type="dxa"/>
            <w:vAlign w:val="bottom"/>
          </w:tcPr>
          <w:p>
            <w:pPr>
              <w:spacing w:after="0"/>
              <w:rPr>
                <w:sz w:val="1"/>
                <w:szCs w:val="1"/>
                <w:color w:val="auto"/>
              </w:rPr>
            </w:pPr>
          </w:p>
        </w:tc>
      </w:tr>
      <w:tr>
        <w:trPr>
          <w:trHeight w:val="186"/>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Josephine Coyle ..........</w:t>
            </w:r>
          </w:p>
        </w:tc>
        <w:tc>
          <w:tcPr>
            <w:tcW w:w="5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44</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Research - U.S.</w:t>
            </w:r>
          </w:p>
        </w:tc>
        <w:tc>
          <w:tcPr>
            <w:tcW w:w="0" w:type="dxa"/>
            <w:vAlign w:val="bottom"/>
          </w:tcPr>
          <w:p>
            <w:pPr>
              <w:spacing w:after="0"/>
              <w:rPr>
                <w:sz w:val="1"/>
                <w:szCs w:val="1"/>
                <w:color w:val="auto"/>
              </w:rPr>
            </w:pPr>
          </w:p>
        </w:tc>
      </w:tr>
      <w:tr>
        <w:trPr>
          <w:trHeight w:val="186"/>
        </w:trPr>
        <w:tc>
          <w:tcPr>
            <w:tcW w:w="27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Vice President for Corporate Quality</w:t>
            </w:r>
          </w:p>
        </w:tc>
        <w:tc>
          <w:tcPr>
            <w:tcW w:w="0" w:type="dxa"/>
            <w:vAlign w:val="bottom"/>
          </w:tcPr>
          <w:p>
            <w:pPr>
              <w:spacing w:after="0"/>
              <w:rPr>
                <w:sz w:val="1"/>
                <w:szCs w:val="1"/>
                <w:color w:val="auto"/>
              </w:rPr>
            </w:pPr>
          </w:p>
        </w:tc>
      </w:tr>
      <w:tr>
        <w:trPr>
          <w:trHeight w:val="273"/>
        </w:trPr>
        <w:tc>
          <w:tcPr>
            <w:tcW w:w="2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Assurance</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61" w:lineRule="exact"/>
        <w:rPr>
          <w:sz w:val="20"/>
          <w:szCs w:val="20"/>
          <w:color w:val="auto"/>
        </w:rPr>
      </w:pPr>
    </w:p>
    <w:p>
      <w:pPr>
        <w:ind w:left="1" w:right="2559" w:firstLine="581"/>
        <w:spacing w:after="0" w:line="261"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89" w:lineRule="exact"/>
        <w:rPr>
          <w:sz w:val="20"/>
          <w:szCs w:val="20"/>
          <w:color w:val="auto"/>
        </w:rPr>
      </w:pPr>
    </w:p>
    <w:p>
      <w:pPr>
        <w:ind w:left="1" w:right="2459" w:firstLine="581"/>
        <w:spacing w:after="0" w:line="264"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82" w:lineRule="exact"/>
        <w:rPr>
          <w:sz w:val="20"/>
          <w:szCs w:val="20"/>
          <w:color w:val="auto"/>
        </w:rPr>
      </w:pPr>
    </w:p>
    <w:p>
      <w:pPr>
        <w:ind w:left="1" w:right="2659" w:firstLine="581"/>
        <w:spacing w:after="0" w:line="270"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81" w:lineRule="exact"/>
        <w:rPr>
          <w:sz w:val="20"/>
          <w:szCs w:val="20"/>
          <w:color w:val="auto"/>
        </w:rPr>
      </w:pPr>
    </w:p>
    <w:p>
      <w:pPr>
        <w:ind w:left="1" w:right="2459" w:firstLine="581"/>
        <w:spacing w:after="0" w:line="266"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460" w:right="1440" w:bottom="1440" w:gutter="0" w:footer="0" w:header="0"/>
        </w:sectPr>
      </w:pPr>
    </w:p>
    <w:bookmarkStart w:id="41" w:name="page42"/>
    <w:bookmarkEnd w:id="41"/>
    <w:p>
      <w:pPr>
        <w:ind w:right="2459" w:firstLine="581"/>
        <w:spacing w:after="0" w:line="266"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8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8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35"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80" w:lineRule="exact"/>
        <w:rPr>
          <w:sz w:val="20"/>
          <w:szCs w:val="20"/>
          <w:color w:val="auto"/>
        </w:rPr>
      </w:pPr>
    </w:p>
    <w:p>
      <w:pPr>
        <w:ind w:right="2559" w:firstLine="581"/>
        <w:spacing w:after="0" w:line="287"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65"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81" w:lineRule="exact"/>
        <w:rPr>
          <w:sz w:val="20"/>
          <w:szCs w:val="20"/>
          <w:color w:val="auto"/>
        </w:rPr>
      </w:pPr>
    </w:p>
    <w:p>
      <w:pPr>
        <w:ind w:right="2559" w:firstLine="581"/>
        <w:spacing w:after="0" w:line="266"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85"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DR. MARKUS WEISSBACH served as President of ICON Clinical Research GmbH from 1996 to 1999 and currently holds the position of President of ICON Clinical Research Europe. Dr. Weissbach was the head of the Cardiovascular department of Takeda Euro R&amp;D center from January 1994 to December 1996 and the Associate Director of Clinical Cardiology/Nephrology at BASF Pharmaceuticals from January 1990 to January 1994. Dr. Weissbach received his degree in medicine from the University of Freiburg in 1982.</w:t>
      </w:r>
    </w:p>
    <w:p>
      <w:pPr>
        <w:spacing w:after="0" w:line="85"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8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832" w:right="1440" w:bottom="1440" w:gutter="0" w:footer="0" w:header="0"/>
        </w:sectPr>
      </w:pPr>
    </w:p>
    <w:bookmarkStart w:id="42" w:name="page43"/>
    <w:bookmarkEnd w:id="42"/>
    <w:p>
      <w:pPr>
        <w:ind w:right="2859" w:firstLine="581"/>
        <w:spacing w:after="0" w:line="287"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1" w:lineRule="exact"/>
        <w:rPr>
          <w:sz w:val="20"/>
          <w:szCs w:val="20"/>
          <w:color w:val="auto"/>
        </w:rPr>
      </w:pPr>
    </w:p>
    <w:p>
      <w:pPr>
        <w:ind w:right="2759" w:firstLine="581"/>
        <w:spacing w:after="0" w:line="276" w:lineRule="auto"/>
        <w:rPr>
          <w:sz w:val="20"/>
          <w:szCs w:val="20"/>
          <w:color w:val="auto"/>
        </w:rPr>
      </w:pPr>
      <w:r>
        <w:rPr>
          <w:rFonts w:ascii="Courier New" w:cs="Courier New" w:eastAsia="Courier New" w:hAnsi="Courier New"/>
          <w:sz w:val="16"/>
          <w:szCs w:val="16"/>
          <w:color w:val="auto"/>
        </w:rPr>
        <w:t>As of February 28, 2003, we had 2,291 employees worldwide. There were 2,059 employees working in our clinical research segment and 232 employees in our central laboratory segment. Globally, there were 1,390 employees in the United States, 519 employees in Europe, 300 employees in Ireland and 82 employees in the Rest of the World.</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1"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86"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832" w:right="1440" w:bottom="1440" w:gutter="0" w:footer="0" w:header="0"/>
        </w:sectPr>
      </w:pPr>
    </w:p>
    <w:bookmarkStart w:id="43" w:name="page44"/>
    <w:bookmarkEnd w:id="43"/>
    <w:p>
      <w:pPr>
        <w:ind w:left="2901"/>
        <w:spacing w:after="0"/>
        <w:rPr>
          <w:sz w:val="20"/>
          <w:szCs w:val="20"/>
          <w:color w:val="auto"/>
        </w:rPr>
      </w:pPr>
      <w:r>
        <w:rPr>
          <w:rFonts w:ascii="Courier New" w:cs="Courier New" w:eastAsia="Courier New" w:hAnsi="Courier New"/>
          <w:sz w:val="16"/>
          <w:szCs w:val="16"/>
          <w:color w:val="auto"/>
        </w:rPr>
        <w:t>SELLING SHAREHOLDERS</w:t>
      </w:r>
    </w:p>
    <w:p>
      <w:pPr>
        <w:spacing w:after="0" w:line="191" w:lineRule="exact"/>
        <w:rPr>
          <w:sz w:val="20"/>
          <w:szCs w:val="20"/>
          <w:color w:val="auto"/>
        </w:rPr>
      </w:pPr>
    </w:p>
    <w:p>
      <w:pPr>
        <w:ind w:left="1" w:right="4060" w:firstLine="581"/>
        <w:spacing w:after="0" w:line="307"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December 31, 2002 by the selling shareholders in this offering.</w:t>
      </w:r>
    </w:p>
    <w:p>
      <w:pPr>
        <w:spacing w:after="0" w:line="200" w:lineRule="exact"/>
        <w:rPr>
          <w:sz w:val="20"/>
          <w:szCs w:val="20"/>
          <w:color w:val="auto"/>
        </w:rPr>
      </w:pPr>
    </w:p>
    <w:p>
      <w:pPr>
        <w:spacing w:after="0" w:line="22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SHARES</w:t>
            </w: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BENEFICIALLY</w:t>
            </w:r>
          </w:p>
        </w:tc>
        <w:tc>
          <w:tcPr>
            <w:tcW w:w="228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rPr>
              <w:t>SHARES BENEFICIALLY</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OWNED AFTER</w:t>
            </w:r>
          </w:p>
        </w:tc>
        <w:tc>
          <w:tcPr>
            <w:tcW w:w="2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28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rPr>
              <w:t>SHARES</w:t>
            </w:r>
          </w:p>
        </w:tc>
        <w:tc>
          <w:tcPr>
            <w:tcW w:w="15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THIS OFFERING(1)</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OWNED AFTER THIS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(ASSUMING NO</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OFFERING(1) (ASSUMING</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BENEFICIALLY</w:t>
            </w:r>
          </w:p>
        </w:tc>
        <w:tc>
          <w:tcPr>
            <w:tcW w:w="15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EXERCISE OF THE</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FULL EXERCISE OF THE</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980" w:type="dxa"/>
            <w:vAlign w:val="bottom"/>
          </w:tcPr>
          <w:p>
            <w:pPr>
              <w:spacing w:after="0"/>
              <w:rPr>
                <w:sz w:val="16"/>
                <w:szCs w:val="16"/>
                <w:color w:val="auto"/>
              </w:rPr>
            </w:pPr>
          </w:p>
        </w:tc>
        <w:tc>
          <w:tcPr>
            <w:tcW w:w="154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rPr>
              <w:t>NUMBER OF</w:t>
            </w: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UNDERWRITERS'</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UNDERWRITERS' OPTION</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PRIOR TO</w:t>
            </w:r>
          </w:p>
        </w:tc>
        <w:tc>
          <w:tcPr>
            <w:tcW w:w="1540" w:type="dxa"/>
            <w:vAlign w:val="bottom"/>
            <w:vMerge w:val="continue"/>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OPTION TO PURCHASE</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 PURCHASE</w:t>
            </w:r>
          </w:p>
        </w:tc>
        <w:tc>
          <w:tcPr>
            <w:tcW w:w="0" w:type="dxa"/>
            <w:vAlign w:val="bottom"/>
          </w:tcPr>
          <w:p>
            <w:pPr>
              <w:spacing w:after="0"/>
              <w:rPr>
                <w:sz w:val="1"/>
                <w:szCs w:val="1"/>
                <w:color w:val="auto"/>
              </w:rPr>
            </w:pPr>
          </w:p>
        </w:tc>
      </w:tr>
      <w:tr>
        <w:trPr>
          <w:trHeight w:val="186"/>
        </w:trPr>
        <w:tc>
          <w:tcPr>
            <w:tcW w:w="296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NAME AND ADDRESS OF</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THIS OFFERING(1)</w:t>
            </w:r>
          </w:p>
        </w:tc>
        <w:tc>
          <w:tcPr>
            <w:tcW w:w="1540" w:type="dxa"/>
            <w:vAlign w:val="bottom"/>
          </w:tcPr>
          <w:p>
            <w:pPr>
              <w:ind w:left="180"/>
              <w:spacing w:after="0"/>
              <w:rPr>
                <w:sz w:val="20"/>
                <w:szCs w:val="20"/>
                <w:color w:val="auto"/>
              </w:rPr>
            </w:pPr>
            <w:r>
              <w:rPr>
                <w:rFonts w:ascii="Courier New" w:cs="Courier New" w:eastAsia="Courier New" w:hAnsi="Courier New"/>
                <w:sz w:val="16"/>
                <w:szCs w:val="16"/>
                <w:color w:val="auto"/>
              </w:rPr>
              <w:t>SHARES BEING</w:t>
            </w: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ADDITIONAL ADSS)</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ADDITIONAL ADSS)</w:t>
            </w: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24"/>
                <w:szCs w:val="24"/>
                <w:color w:val="auto"/>
                <w:w w:val="70"/>
                <w:vertAlign w:val="subscript"/>
              </w:rPr>
              <w:t>NUMBER</w:t>
            </w:r>
            <w:r>
              <w:rPr>
                <w:rFonts w:ascii="Courier New" w:cs="Courier New" w:eastAsia="Courier New" w:hAnsi="Courier New"/>
                <w:sz w:val="13"/>
                <w:szCs w:val="13"/>
                <w:color w:val="auto"/>
                <w:w w:val="70"/>
              </w:rPr>
              <w:t>----------------</w:t>
            </w:r>
          </w:p>
        </w:tc>
        <w:tc>
          <w:tcPr>
            <w:tcW w:w="9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w w:val="98"/>
              </w:rPr>
              <w:t>PERCENT</w:t>
            </w:r>
          </w:p>
        </w:tc>
        <w:tc>
          <w:tcPr>
            <w:tcW w:w="15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SOLD IN</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9"/>
                <w:szCs w:val="19"/>
                <w:color w:val="auto"/>
                <w:w w:val="70"/>
                <w:vertAlign w:val="subscript"/>
              </w:rPr>
              <w:t>NUMBER</w:t>
            </w:r>
            <w:r>
              <w:rPr>
                <w:rFonts w:ascii="Courier New" w:cs="Courier New" w:eastAsia="Courier New" w:hAnsi="Courier New"/>
                <w:sz w:val="12"/>
                <w:szCs w:val="12"/>
                <w:color w:val="auto"/>
                <w:w w:val="70"/>
              </w:rPr>
              <w:t>----------------</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PERCENT</w:t>
            </w:r>
          </w:p>
        </w:tc>
        <w:tc>
          <w:tcPr>
            <w:tcW w:w="2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w:t>
            </w:r>
          </w:p>
        </w:tc>
        <w:tc>
          <w:tcPr>
            <w:tcW w:w="1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6"/>
                <w:szCs w:val="16"/>
                <w:color w:val="auto"/>
              </w:rPr>
              <w:t>THIS OFFERING</w:t>
            </w:r>
          </w:p>
        </w:tc>
        <w:tc>
          <w:tcPr>
            <w:tcW w:w="11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rPr>
              <w:t>NUMBER</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273"/>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15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96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2,408,720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1,000,000</w:t>
            </w:r>
          </w:p>
        </w:tc>
        <w:tc>
          <w:tcPr>
            <w:tcW w:w="11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1,408,720</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1,183,720</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20"/>
                <w:szCs w:val="20"/>
                <w:color w:val="auto"/>
              </w:rPr>
            </w:pPr>
            <w:r>
              <w:rPr>
                <w:rFonts w:ascii="Courier New" w:cs="Courier New" w:eastAsia="Courier New" w:hAnsi="Courier New"/>
                <w:sz w:val="16"/>
                <w:szCs w:val="16"/>
                <w:color w:val="auto"/>
              </w:rPr>
              <w:t>South County Business</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20"/>
                <w:szCs w:val="20"/>
                <w:color w:val="auto"/>
              </w:rPr>
            </w:pPr>
            <w:r>
              <w:rPr>
                <w:rFonts w:ascii="Courier New" w:cs="Courier New" w:eastAsia="Courier New" w:hAnsi="Courier New"/>
                <w:sz w:val="16"/>
                <w:szCs w:val="16"/>
                <w:color w:val="auto"/>
              </w:rPr>
              <w:t>Park, Leopardstown,</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Dublin 18, Ireland</w:t>
            </w:r>
          </w:p>
        </w:tc>
        <w:tc>
          <w:tcPr>
            <w:tcW w:w="1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960" w:type="dxa"/>
            <w:vAlign w:val="bottom"/>
          </w:tcPr>
          <w:p>
            <w:pPr>
              <w:spacing w:after="0"/>
              <w:rPr>
                <w:sz w:val="20"/>
                <w:szCs w:val="20"/>
                <w:color w:val="auto"/>
              </w:rPr>
            </w:pPr>
            <w:r>
              <w:rPr>
                <w:rFonts w:ascii="Courier New" w:cs="Courier New" w:eastAsia="Courier New" w:hAnsi="Courier New"/>
                <w:sz w:val="16"/>
                <w:szCs w:val="16"/>
                <w:color w:val="auto"/>
              </w:rPr>
              <w:t>Dr. John Climax(2) ..........</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2,639,120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22.4%</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2,139,120</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1,914,120</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20"/>
                <w:szCs w:val="20"/>
                <w:color w:val="auto"/>
              </w:rPr>
            </w:pPr>
            <w:r>
              <w:rPr>
                <w:rFonts w:ascii="Courier New" w:cs="Courier New" w:eastAsia="Courier New" w:hAnsi="Courier New"/>
                <w:sz w:val="16"/>
                <w:szCs w:val="16"/>
                <w:color w:val="auto"/>
              </w:rPr>
              <w:t>South County Business</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20"/>
                <w:szCs w:val="20"/>
                <w:color w:val="auto"/>
              </w:rPr>
            </w:pPr>
            <w:r>
              <w:rPr>
                <w:rFonts w:ascii="Courier New" w:cs="Courier New" w:eastAsia="Courier New" w:hAnsi="Courier New"/>
                <w:sz w:val="16"/>
                <w:szCs w:val="16"/>
                <w:color w:val="auto"/>
              </w:rPr>
              <w:t>Park, Leopardstown,</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Dublin 18, Ireland</w:t>
            </w:r>
          </w:p>
        </w:tc>
        <w:tc>
          <w:tcPr>
            <w:tcW w:w="1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481" w:right="3480" w:hanging="481"/>
        <w:spacing w:after="0" w:line="26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87" w:lineRule="exact"/>
        <w:rPr>
          <w:rFonts w:ascii="Courier New" w:cs="Courier New" w:eastAsia="Courier New" w:hAnsi="Courier New"/>
          <w:sz w:val="16"/>
          <w:szCs w:val="16"/>
          <w:color w:val="auto"/>
        </w:rPr>
      </w:pPr>
    </w:p>
    <w:p>
      <w:pPr>
        <w:ind w:left="481" w:right="3880" w:hanging="481"/>
        <w:spacing w:after="0" w:line="27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241"/>
          </w:cols>
          <w:pgMar w:left="239" w:top="832" w:right="419" w:bottom="1440" w:gutter="0" w:footer="0" w:header="0"/>
        </w:sectPr>
      </w:pPr>
    </w:p>
    <w:bookmarkStart w:id="44" w:name="page45"/>
    <w:bookmarkEnd w:id="44"/>
    <w:p>
      <w:pPr>
        <w:ind w:left="2520"/>
        <w:spacing w:after="0"/>
        <w:rPr>
          <w:sz w:val="20"/>
          <w:szCs w:val="20"/>
          <w:color w:val="auto"/>
        </w:rPr>
      </w:pPr>
      <w:r>
        <w:rPr>
          <w:rFonts w:ascii="Courier New" w:cs="Courier New" w:eastAsia="Courier New" w:hAnsi="Courier New"/>
          <w:sz w:val="16"/>
          <w:szCs w:val="16"/>
          <w:color w:val="auto"/>
        </w:rPr>
        <w:t>U.S. TAXATION CONSIDERATIONS</w:t>
      </w:r>
    </w:p>
    <w:p>
      <w:pPr>
        <w:spacing w:after="0" w:line="191"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93"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82" w:lineRule="exact"/>
        <w:rPr>
          <w:sz w:val="20"/>
          <w:szCs w:val="20"/>
          <w:color w:val="auto"/>
        </w:rPr>
      </w:pPr>
    </w:p>
    <w:p>
      <w:pPr>
        <w:ind w:right="2559" w:firstLine="581"/>
        <w:spacing w:after="0" w:line="253"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97"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81" w:lineRule="exact"/>
        <w:rPr>
          <w:sz w:val="20"/>
          <w:szCs w:val="20"/>
          <w:color w:val="auto"/>
        </w:rPr>
      </w:pPr>
    </w:p>
    <w:p>
      <w:pPr>
        <w:ind w:left="960" w:right="2559" w:hanging="379"/>
        <w:spacing w:after="0" w:line="307"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49" w:lineRule="exact"/>
        <w:rPr>
          <w:rFonts w:ascii="Courier New" w:cs="Courier New" w:eastAsia="Courier New" w:hAnsi="Courier New"/>
          <w:sz w:val="16"/>
          <w:szCs w:val="16"/>
          <w:color w:val="auto"/>
        </w:rPr>
      </w:pPr>
    </w:p>
    <w:p>
      <w:pPr>
        <w:ind w:left="960" w:right="3239" w:hanging="379"/>
        <w:spacing w:after="0" w:line="367"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5" w:lineRule="exact"/>
        <w:rPr>
          <w:sz w:val="20"/>
          <w:szCs w:val="20"/>
          <w:color w:val="auto"/>
        </w:rPr>
      </w:pPr>
    </w:p>
    <w:p>
      <w:pPr>
        <w:ind w:right="2559" w:firstLine="581"/>
        <w:spacing w:after="0" w:line="367"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200" w:lineRule="exact"/>
        <w:rPr>
          <w:sz w:val="20"/>
          <w:szCs w:val="20"/>
          <w:color w:val="auto"/>
        </w:rPr>
      </w:pPr>
    </w:p>
    <w:p>
      <w:pPr>
        <w:spacing w:after="0" w:line="33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3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93" w:lineRule="exact"/>
        <w:rPr>
          <w:sz w:val="20"/>
          <w:szCs w:val="20"/>
          <w:color w:val="auto"/>
        </w:rPr>
      </w:pPr>
    </w:p>
    <w:p>
      <w:pPr>
        <w:ind w:right="2559" w:firstLine="581"/>
        <w:spacing w:after="0" w:line="261"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89"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1" w:lineRule="exact"/>
        <w:rPr>
          <w:sz w:val="20"/>
          <w:szCs w:val="20"/>
          <w:color w:val="auto"/>
        </w:rPr>
      </w:pPr>
    </w:p>
    <w:p>
      <w:pPr>
        <w:ind w:right="2459" w:firstLine="581"/>
        <w:spacing w:after="0" w:line="253"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2003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2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46" w:right="1440" w:bottom="1440" w:gutter="0" w:footer="0" w:header="0"/>
        </w:sectPr>
      </w:pPr>
    </w:p>
    <w:bookmarkStart w:id="46" w:name="page47"/>
    <w:bookmarkEnd w:id="46"/>
    <w:p>
      <w:pPr>
        <w:ind w:right="2659"/>
        <w:spacing w:after="0" w:line="307"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1"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89"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82"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82"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200" w:lineRule="exact"/>
        <w:rPr>
          <w:sz w:val="20"/>
          <w:szCs w:val="20"/>
          <w:color w:val="auto"/>
        </w:rPr>
      </w:pPr>
    </w:p>
    <w:p>
      <w:pPr>
        <w:spacing w:after="0" w:line="2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83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1" w:lineRule="exact"/>
        <w:rPr>
          <w:sz w:val="20"/>
          <w:szCs w:val="20"/>
          <w:color w:val="auto"/>
        </w:rPr>
      </w:pPr>
    </w:p>
    <w:p>
      <w:pPr>
        <w:ind w:right="2559" w:firstLine="581"/>
        <w:spacing w:after="0" w:line="287"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65" w:lineRule="exact"/>
        <w:rPr>
          <w:sz w:val="20"/>
          <w:szCs w:val="20"/>
          <w:color w:val="auto"/>
        </w:rPr>
      </w:pPr>
    </w:p>
    <w:p>
      <w:pPr>
        <w:ind w:left="880" w:right="2659" w:hanging="299"/>
        <w:spacing w:after="0" w:line="367" w:lineRule="auto"/>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spacing w:after="0" w:line="4" w:lineRule="exact"/>
        <w:rPr>
          <w:rFonts w:ascii="Courier New" w:cs="Courier New" w:eastAsia="Courier New" w:hAnsi="Courier New"/>
          <w:sz w:val="16"/>
          <w:szCs w:val="16"/>
          <w:color w:val="auto"/>
        </w:rPr>
      </w:pPr>
    </w:p>
    <w:p>
      <w:pPr>
        <w:ind w:left="880" w:right="2459" w:hanging="299"/>
        <w:spacing w:after="0" w:line="307" w:lineRule="auto"/>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50"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6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9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9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880" w:hanging="299"/>
        <w:spacing w:after="0"/>
        <w:tabs>
          <w:tab w:leader="none" w:pos="8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1" w:lineRule="exact"/>
        <w:rPr>
          <w:rFonts w:ascii="Courier New" w:cs="Courier New" w:eastAsia="Courier New" w:hAnsi="Courier New"/>
          <w:sz w:val="16"/>
          <w:szCs w:val="16"/>
          <w:color w:val="auto"/>
        </w:rPr>
      </w:pPr>
    </w:p>
    <w:p>
      <w:pPr>
        <w:ind w:left="880" w:right="2759" w:hanging="299"/>
        <w:spacing w:after="0" w:line="367" w:lineRule="auto"/>
        <w:tabs>
          <w:tab w:leader="none" w:pos="8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4" w:lineRule="exact"/>
        <w:rPr>
          <w:rFonts w:ascii="Courier New" w:cs="Courier New" w:eastAsia="Courier New" w:hAnsi="Courier New"/>
          <w:sz w:val="16"/>
          <w:szCs w:val="16"/>
          <w:color w:val="auto"/>
        </w:rPr>
      </w:pPr>
    </w:p>
    <w:p>
      <w:pPr>
        <w:ind w:left="880" w:right="2759" w:hanging="299"/>
        <w:spacing w:after="0" w:line="307" w:lineRule="auto"/>
        <w:tabs>
          <w:tab w:leader="none" w:pos="8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832" w:right="1440" w:bottom="1440" w:gutter="0" w:footer="0" w:header="0"/>
        </w:sectPr>
      </w:pPr>
    </w:p>
    <w:bookmarkStart w:id="48" w:name="page49"/>
    <w:bookmarkEnd w:id="48"/>
    <w:p>
      <w:pPr>
        <w:ind w:left="880" w:right="2759" w:hanging="299"/>
        <w:spacing w:after="0" w:line="307" w:lineRule="auto"/>
        <w:tabs>
          <w:tab w:leader="none" w:pos="8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50" w:lineRule="exact"/>
        <w:rPr>
          <w:sz w:val="20"/>
          <w:szCs w:val="20"/>
          <w:color w:val="auto"/>
        </w:rPr>
      </w:pPr>
    </w:p>
    <w:p>
      <w:pPr>
        <w:ind w:right="2659" w:firstLine="581"/>
        <w:spacing w:after="0" w:line="367"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5" w:lineRule="exact"/>
        <w:rPr>
          <w:sz w:val="20"/>
          <w:szCs w:val="20"/>
          <w:color w:val="auto"/>
        </w:rPr>
      </w:pPr>
    </w:p>
    <w:p>
      <w:pPr>
        <w:ind w:right="2759" w:firstLine="581"/>
        <w:spacing w:after="0" w:line="276"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76"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65" w:lineRule="exact"/>
        <w:rPr>
          <w:sz w:val="20"/>
          <w:szCs w:val="20"/>
          <w:color w:val="auto"/>
        </w:rPr>
      </w:pPr>
    </w:p>
    <w:p>
      <w:pPr>
        <w:ind w:left="880" w:right="2559" w:hanging="299"/>
        <w:spacing w:after="0" w:line="307"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49" w:lineRule="exact"/>
        <w:rPr>
          <w:rFonts w:ascii="Courier New" w:cs="Courier New" w:eastAsia="Courier New" w:hAnsi="Courier New"/>
          <w:sz w:val="16"/>
          <w:szCs w:val="16"/>
          <w:color w:val="auto"/>
        </w:rPr>
      </w:pPr>
    </w:p>
    <w:p>
      <w:pPr>
        <w:ind w:left="880" w:right="2559" w:hanging="299"/>
        <w:spacing w:after="0" w:line="367"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4" w:lineRule="exact"/>
        <w:rPr>
          <w:rFonts w:ascii="Courier New" w:cs="Courier New" w:eastAsia="Courier New" w:hAnsi="Courier New"/>
          <w:sz w:val="16"/>
          <w:szCs w:val="16"/>
          <w:color w:val="auto"/>
        </w:rPr>
      </w:pPr>
    </w:p>
    <w:p>
      <w:pPr>
        <w:ind w:left="880" w:right="2559" w:hanging="299"/>
        <w:spacing w:after="0" w:line="287"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65"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50" w:lineRule="exact"/>
        <w:rPr>
          <w:sz w:val="20"/>
          <w:szCs w:val="20"/>
          <w:color w:val="auto"/>
        </w:rPr>
      </w:pPr>
    </w:p>
    <w:p>
      <w:pPr>
        <w:ind w:left="880" w:hanging="299"/>
        <w:spacing w:after="0"/>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1" w:lineRule="exact"/>
        <w:rPr>
          <w:rFonts w:ascii="Courier New" w:cs="Courier New" w:eastAsia="Courier New" w:hAnsi="Courier New"/>
          <w:sz w:val="16"/>
          <w:szCs w:val="16"/>
          <w:color w:val="auto"/>
        </w:rPr>
      </w:pPr>
    </w:p>
    <w:p>
      <w:pPr>
        <w:ind w:left="880" w:right="2559" w:hanging="299"/>
        <w:spacing w:after="0" w:line="36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4" w:lineRule="exact"/>
        <w:rPr>
          <w:rFonts w:ascii="Courier New" w:cs="Courier New" w:eastAsia="Courier New" w:hAnsi="Courier New"/>
          <w:sz w:val="16"/>
          <w:szCs w:val="16"/>
          <w:color w:val="auto"/>
        </w:rPr>
      </w:pPr>
    </w:p>
    <w:p>
      <w:pPr>
        <w:ind w:left="880" w:right="2759" w:hanging="299"/>
        <w:spacing w:after="0" w:line="28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64" w:lineRule="exact"/>
        <w:rPr>
          <w:rFonts w:ascii="Courier New" w:cs="Courier New" w:eastAsia="Courier New" w:hAnsi="Courier New"/>
          <w:sz w:val="16"/>
          <w:szCs w:val="16"/>
          <w:color w:val="auto"/>
        </w:rPr>
      </w:pPr>
    </w:p>
    <w:p>
      <w:pPr>
        <w:ind w:left="880" w:right="2559" w:hanging="299"/>
        <w:spacing w:after="0" w:line="30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49" w:lineRule="exact"/>
        <w:rPr>
          <w:rFonts w:ascii="Courier New" w:cs="Courier New" w:eastAsia="Courier New" w:hAnsi="Courier New"/>
          <w:sz w:val="16"/>
          <w:szCs w:val="16"/>
          <w:color w:val="auto"/>
        </w:rPr>
      </w:pPr>
    </w:p>
    <w:p>
      <w:pPr>
        <w:ind w:left="880" w:right="2459" w:hanging="299"/>
        <w:spacing w:after="0" w:line="28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65" w:lineRule="exact"/>
        <w:rPr>
          <w:sz w:val="20"/>
          <w:szCs w:val="20"/>
          <w:color w:val="auto"/>
        </w:rPr>
      </w:pPr>
    </w:p>
    <w:p>
      <w:pPr>
        <w:ind w:right="2559" w:firstLine="581"/>
        <w:spacing w:after="0" w:line="307"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46" w:right="1440" w:bottom="1440" w:gutter="0" w:footer="0" w:header="0"/>
        </w:sectPr>
      </w:pPr>
    </w:p>
    <w:bookmarkStart w:id="49" w:name="page50"/>
    <w:bookmarkEnd w:id="49"/>
    <w:p>
      <w:pPr>
        <w:ind w:right="2559"/>
        <w:spacing w:after="0" w:line="367"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93" w:lineRule="exact"/>
        <w:rPr>
          <w:sz w:val="20"/>
          <w:szCs w:val="20"/>
          <w:color w:val="auto"/>
        </w:rPr>
      </w:pPr>
    </w:p>
    <w:p>
      <w:pPr>
        <w:ind w:left="880" w:hanging="299"/>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1" w:lineRule="exact"/>
        <w:rPr>
          <w:rFonts w:ascii="Courier New" w:cs="Courier New" w:eastAsia="Courier New" w:hAnsi="Courier New"/>
          <w:sz w:val="16"/>
          <w:szCs w:val="16"/>
          <w:color w:val="auto"/>
        </w:rPr>
      </w:pPr>
    </w:p>
    <w:p>
      <w:pPr>
        <w:ind w:left="880" w:hanging="299"/>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880" w:hanging="299"/>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880" w:right="3819" w:hanging="299"/>
        <w:spacing w:after="0" w:line="367" w:lineRule="auto"/>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pacing w:after="0" w:line="4" w:lineRule="exact"/>
        <w:rPr>
          <w:rFonts w:ascii="Courier New" w:cs="Courier New" w:eastAsia="Courier New" w:hAnsi="Courier New"/>
          <w:sz w:val="16"/>
          <w:szCs w:val="16"/>
          <w:color w:val="auto"/>
        </w:rPr>
      </w:pPr>
    </w:p>
    <w:p>
      <w:pPr>
        <w:ind w:left="880" w:right="2559" w:hanging="299"/>
        <w:spacing w:after="0" w:line="367" w:lineRule="auto"/>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(euro)500,000.</w:t>
      </w:r>
    </w:p>
    <w:p>
      <w:pPr>
        <w:spacing w:after="0" w:line="5"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1"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93" w:lineRule="exact"/>
        <w:rPr>
          <w:sz w:val="20"/>
          <w:szCs w:val="20"/>
          <w:color w:val="auto"/>
        </w:rPr>
      </w:pPr>
    </w:p>
    <w:p>
      <w:pPr>
        <w:ind w:right="2559" w:firstLine="581"/>
        <w:spacing w:after="0" w:line="264"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(euro)12.50 (the nominal rate) will apply.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1"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832" w:right="1440" w:bottom="1440" w:gutter="0" w:footer="0" w:header="0"/>
        </w:sectPr>
      </w:pPr>
    </w:p>
    <w:bookmarkStart w:id="50" w:name="page51"/>
    <w:bookmarkEnd w:id="50"/>
    <w:p>
      <w:pPr>
        <w:ind w:right="2459"/>
        <w:spacing w:after="0" w:line="266"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(euro)12.50 applies.</w:t>
      </w:r>
    </w:p>
    <w:p>
      <w:pPr>
        <w:spacing w:after="0" w:line="85"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50" w:lineRule="exact"/>
        <w:rPr>
          <w:sz w:val="20"/>
          <w:szCs w:val="20"/>
          <w:color w:val="auto"/>
        </w:rPr>
      </w:pPr>
    </w:p>
    <w:p>
      <w:pPr>
        <w:jc w:val="both"/>
        <w:ind w:right="2559" w:firstLine="581"/>
        <w:spacing w:after="0" w:line="28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93"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0" w:lineRule="exact"/>
        <w:rPr>
          <w:sz w:val="20"/>
          <w:szCs w:val="20"/>
          <w:color w:val="auto"/>
        </w:rPr>
      </w:pPr>
    </w:p>
    <w:p>
      <w:pPr>
        <w:spacing w:after="0" w:line="25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832" w:right="1440" w:bottom="1440" w:gutter="0" w:footer="0" w:header="0"/>
        </w:sectPr>
      </w:pPr>
    </w:p>
    <w:bookmarkStart w:id="51" w:name="page52"/>
    <w:bookmarkEnd w:id="51"/>
    <w:p>
      <w:pPr>
        <w:ind w:left="3300"/>
        <w:spacing w:after="0"/>
        <w:rPr>
          <w:sz w:val="20"/>
          <w:szCs w:val="20"/>
          <w:color w:val="auto"/>
        </w:rPr>
      </w:pPr>
      <w:r>
        <w:rPr>
          <w:rFonts w:ascii="Courier New" w:cs="Courier New" w:eastAsia="Courier New" w:hAnsi="Courier New"/>
          <w:sz w:val="16"/>
          <w:szCs w:val="16"/>
          <w:color w:val="auto"/>
        </w:rPr>
        <w:t>UNDERWRITING</w:t>
      </w:r>
    </w:p>
    <w:p>
      <w:pPr>
        <w:spacing w:after="0" w:line="191" w:lineRule="exact"/>
        <w:rPr>
          <w:sz w:val="20"/>
          <w:szCs w:val="20"/>
          <w:color w:val="auto"/>
        </w:rPr>
      </w:pPr>
    </w:p>
    <w:p>
      <w:pPr>
        <w:ind w:right="860" w:firstLine="581"/>
        <w:spacing w:after="0" w:line="287"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6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480" w:type="dxa"/>
            <w:vAlign w:val="bottom"/>
          </w:tcPr>
          <w:p>
            <w:pPr>
              <w:jc w:val="right"/>
              <w:ind w:right="1519"/>
              <w:spacing w:after="0"/>
              <w:rPr>
                <w:sz w:val="20"/>
                <w:szCs w:val="20"/>
                <w:color w:val="auto"/>
              </w:rPr>
            </w:pPr>
            <w:r>
              <w:rPr>
                <w:rFonts w:ascii="Courier New" w:cs="Courier New" w:eastAsia="Courier New" w:hAnsi="Courier New"/>
                <w:sz w:val="16"/>
                <w:szCs w:val="16"/>
                <w:color w:val="auto"/>
              </w:rPr>
              <w:t>Underwriters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Number of ADSs</w:t>
            </w:r>
          </w:p>
        </w:tc>
        <w:tc>
          <w:tcPr>
            <w:tcW w:w="0" w:type="dxa"/>
            <w:vAlign w:val="bottom"/>
          </w:tcPr>
          <w:p>
            <w:pPr>
              <w:spacing w:after="0"/>
              <w:rPr>
                <w:sz w:val="1"/>
                <w:szCs w:val="1"/>
                <w:color w:val="auto"/>
              </w:rPr>
            </w:pPr>
          </w:p>
        </w:tc>
      </w:tr>
      <w:tr>
        <w:trPr>
          <w:trHeight w:val="273"/>
        </w:trPr>
        <w:tc>
          <w:tcPr>
            <w:tcW w:w="54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76"/>
              </w:rPr>
              <w:t>Goldman, Sachs &amp; Co. .................................</w:t>
            </w:r>
            <w:r>
              <w:rPr>
                <w:rFonts w:ascii="Courier New" w:cs="Courier New" w:eastAsia="Courier New" w:hAnsi="Courier New"/>
                <w:sz w:val="32"/>
                <w:szCs w:val="32"/>
                <w:color w:val="auto"/>
                <w:w w:val="76"/>
                <w:vertAlign w:val="superscript"/>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548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54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William Blair &amp; Company, L.L.C. ......................</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Bear, Stearns &amp; Co. Inc. .............................</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4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J&amp;E Davy (trading as Davy Stockbrokers) ..............</w:t>
            </w:r>
          </w:p>
        </w:tc>
        <w:tc>
          <w:tcPr>
            <w:tcW w:w="160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54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Total ............................................</w:t>
            </w: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5480" w:type="dxa"/>
            <w:vAlign w:val="bottom"/>
            <w:vMerge w:val="continue"/>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3,000,000</w:t>
            </w:r>
          </w:p>
        </w:tc>
        <w:tc>
          <w:tcPr>
            <w:tcW w:w="0" w:type="dxa"/>
            <w:vAlign w:val="bottom"/>
          </w:tcPr>
          <w:p>
            <w:pPr>
              <w:spacing w:after="0"/>
              <w:rPr>
                <w:sz w:val="1"/>
                <w:szCs w:val="1"/>
                <w:color w:val="auto"/>
              </w:rPr>
            </w:pPr>
          </w:p>
        </w:tc>
      </w:tr>
      <w:tr>
        <w:trPr>
          <w:trHeight w:val="273"/>
        </w:trPr>
        <w:tc>
          <w:tcPr>
            <w:tcW w:w="5480" w:type="dxa"/>
            <w:vAlign w:val="bottom"/>
          </w:tcPr>
          <w:p>
            <w:pPr>
              <w:spacing w:after="0"/>
              <w:rPr>
                <w:sz w:val="23"/>
                <w:szCs w:val="23"/>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1060" w:firstLine="581"/>
        <w:spacing w:after="0" w:line="307"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50" w:lineRule="exact"/>
        <w:rPr>
          <w:sz w:val="20"/>
          <w:szCs w:val="20"/>
          <w:color w:val="auto"/>
        </w:rPr>
      </w:pPr>
    </w:p>
    <w:p>
      <w:pPr>
        <w:ind w:right="960" w:firstLine="581"/>
        <w:spacing w:after="0" w:line="270"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81" w:lineRule="exact"/>
        <w:rPr>
          <w:sz w:val="20"/>
          <w:szCs w:val="20"/>
          <w:color w:val="auto"/>
        </w:rPr>
      </w:pPr>
    </w:p>
    <w:p>
      <w:pPr>
        <w:ind w:right="860" w:firstLine="581"/>
        <w:spacing w:after="0" w:line="287"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251" w:lineRule="exact"/>
        <w:rPr>
          <w:sz w:val="20"/>
          <w:szCs w:val="20"/>
          <w:color w:val="auto"/>
        </w:rPr>
      </w:pPr>
    </w:p>
    <w:p>
      <w:pPr>
        <w:jc w:val="right"/>
        <w:ind w:right="200"/>
        <w:spacing w:after="0"/>
        <w:tabs>
          <w:tab w:leader="none" w:pos="124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35" w:lineRule="exact"/>
        <w:rPr>
          <w:sz w:val="20"/>
          <w:szCs w:val="20"/>
          <w:color w:val="auto"/>
        </w:rPr>
      </w:pPr>
    </w:p>
    <w:p>
      <w:pPr>
        <w:ind w:left="1360"/>
        <w:spacing w:after="0"/>
        <w:tabs>
          <w:tab w:leader="none" w:pos="7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1" w:lineRule="exact"/>
        <w:rPr>
          <w:sz w:val="20"/>
          <w:szCs w:val="20"/>
          <w:color w:val="auto"/>
        </w:rPr>
      </w:pPr>
    </w:p>
    <w:p>
      <w:pPr>
        <w:ind w:left="580"/>
        <w:spacing w:after="0"/>
        <w:tabs>
          <w:tab w:leader="none" w:pos="724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p>
    <w:p>
      <w:pPr>
        <w:spacing w:after="0" w:line="35" w:lineRule="exact"/>
        <w:rPr>
          <w:sz w:val="20"/>
          <w:szCs w:val="20"/>
          <w:color w:val="auto"/>
        </w:rPr>
      </w:pPr>
    </w:p>
    <w:p>
      <w:pPr>
        <w:ind w:left="580"/>
        <w:spacing w:after="0"/>
        <w:tabs>
          <w:tab w:leader="none" w:pos="724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p>
    <w:p>
      <w:pPr>
        <w:spacing w:after="0" w:line="161" w:lineRule="exact"/>
        <w:rPr>
          <w:sz w:val="20"/>
          <w:szCs w:val="20"/>
          <w:color w:val="auto"/>
        </w:rPr>
      </w:pPr>
    </w:p>
    <w:p>
      <w:pPr>
        <w:ind w:right="860" w:firstLine="581"/>
        <w:spacing w:after="0" w:line="264" w:lineRule="auto"/>
        <w:rPr>
          <w:sz w:val="20"/>
          <w:szCs w:val="20"/>
          <w:color w:val="auto"/>
        </w:rPr>
      </w:pPr>
      <w:r>
        <w:rPr>
          <w:rFonts w:ascii="Courier New" w:cs="Courier New" w:eastAsia="Courier New" w:hAnsi="Courier New"/>
          <w:sz w:val="16"/>
          <w:szCs w:val="16"/>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 a discount of up to $ per ADS from the initial price to public. If all the ADSs are not sold at the initial price to public, the underwriters may change this offering price and the other selling terms.</w:t>
      </w:r>
    </w:p>
    <w:p>
      <w:pPr>
        <w:spacing w:after="0" w:line="82" w:lineRule="exact"/>
        <w:rPr>
          <w:sz w:val="20"/>
          <w:szCs w:val="20"/>
          <w:color w:val="auto"/>
        </w:rPr>
      </w:pPr>
    </w:p>
    <w:p>
      <w:pPr>
        <w:ind w:right="1160" w:firstLine="581"/>
        <w:spacing w:after="0" w:line="367"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5" w:lineRule="exact"/>
        <w:rPr>
          <w:sz w:val="20"/>
          <w:szCs w:val="20"/>
          <w:color w:val="auto"/>
        </w:rPr>
      </w:pPr>
    </w:p>
    <w:p>
      <w:pPr>
        <w:ind w:right="860" w:firstLine="581"/>
        <w:spacing w:after="0" w:line="257" w:lineRule="auto"/>
        <w:rPr>
          <w:sz w:val="20"/>
          <w:szCs w:val="20"/>
          <w:color w:val="auto"/>
        </w:rPr>
      </w:pPr>
      <w:r>
        <w:rPr>
          <w:rFonts w:ascii="Courier New" w:cs="Courier New" w:eastAsia="Courier New" w:hAnsi="Courier New"/>
          <w:sz w:val="16"/>
          <w:szCs w:val="16"/>
          <w:color w:val="auto"/>
        </w:rPr>
        <w:t>We, and our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93" w:lineRule="exact"/>
        <w:rPr>
          <w:sz w:val="20"/>
          <w:szCs w:val="20"/>
          <w:color w:val="auto"/>
        </w:rPr>
      </w:pPr>
    </w:p>
    <w:p>
      <w:pPr>
        <w:ind w:right="860" w:firstLine="581"/>
        <w:spacing w:after="0" w:line="270"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Full Exercise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620" w:space="480"/>
            <w:col w:w="1360"/>
          </w:cols>
          <w:pgMar w:left="240" w:top="832" w:right="1199" w:bottom="1440" w:gutter="0" w:footer="0" w:header="0"/>
        </w:sectPr>
      </w:pPr>
    </w:p>
    <w:bookmarkStart w:id="52" w:name="page53"/>
    <w:bookmarkEnd w:id="52"/>
    <w:p>
      <w:pPr>
        <w:ind w:right="2459"/>
        <w:spacing w:after="0" w:line="255"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93"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76"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8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1" w:lineRule="exact"/>
        <w:rPr>
          <w:sz w:val="20"/>
          <w:szCs w:val="20"/>
          <w:color w:val="auto"/>
        </w:rPr>
      </w:pPr>
    </w:p>
    <w:p>
      <w:pPr>
        <w:ind w:left="880" w:right="2759" w:hanging="299"/>
        <w:spacing w:after="0" w:line="276" w:lineRule="auto"/>
        <w:tabs>
          <w:tab w:leader="none" w:pos="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75" w:lineRule="exact"/>
        <w:rPr>
          <w:rFonts w:ascii="Courier New" w:cs="Courier New" w:eastAsia="Courier New" w:hAnsi="Courier New"/>
          <w:sz w:val="16"/>
          <w:szCs w:val="16"/>
          <w:color w:val="auto"/>
        </w:rPr>
      </w:pPr>
    </w:p>
    <w:p>
      <w:pPr>
        <w:ind w:left="880" w:right="2459" w:hanging="299"/>
        <w:spacing w:after="0" w:line="287" w:lineRule="auto"/>
        <w:tabs>
          <w:tab w:leader="none" w:pos="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65" w:lineRule="exact"/>
        <w:rPr>
          <w:sz w:val="20"/>
          <w:szCs w:val="20"/>
          <w:color w:val="auto"/>
        </w:rPr>
      </w:pPr>
    </w:p>
    <w:p>
      <w:pPr>
        <w:ind w:right="2459" w:firstLine="581"/>
        <w:spacing w:after="0" w:line="254"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99"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832" w:right="1440" w:bottom="1440" w:gutter="0" w:footer="0" w:header="0"/>
        </w:sectPr>
      </w:pPr>
    </w:p>
    <w:bookmarkStart w:id="53" w:name="page54"/>
    <w:bookmarkEnd w:id="53"/>
    <w:p>
      <w:pPr>
        <w:ind w:right="3239"/>
        <w:spacing w:after="0" w:line="367"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5"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96" w:lineRule="exact"/>
        <w:rPr>
          <w:sz w:val="20"/>
          <w:szCs w:val="20"/>
          <w:color w:val="auto"/>
        </w:rPr>
      </w:pPr>
    </w:p>
    <w:p>
      <w:pPr>
        <w:ind w:right="2559" w:firstLine="581"/>
        <w:spacing w:after="0" w:line="260"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86"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82"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86"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85" w:lineRule="exact"/>
        <w:rPr>
          <w:sz w:val="20"/>
          <w:szCs w:val="20"/>
          <w:color w:val="auto"/>
        </w:rPr>
      </w:pPr>
    </w:p>
    <w:p>
      <w:pPr>
        <w:ind w:right="2859" w:firstLine="581"/>
        <w:spacing w:after="0" w:line="307"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50" w:lineRule="exact"/>
        <w:rPr>
          <w:sz w:val="20"/>
          <w:szCs w:val="20"/>
          <w:color w:val="auto"/>
        </w:rPr>
      </w:pPr>
    </w:p>
    <w:p>
      <w:pPr>
        <w:ind w:right="3039" w:firstLine="581"/>
        <w:spacing w:after="0" w:line="307"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50" w:lineRule="exact"/>
        <w:rPr>
          <w:sz w:val="20"/>
          <w:szCs w:val="20"/>
          <w:color w:val="auto"/>
        </w:rPr>
      </w:pPr>
    </w:p>
    <w:p>
      <w:pPr>
        <w:jc w:val="both"/>
        <w:ind w:right="2559" w:firstLine="581"/>
        <w:spacing w:after="0" w:line="276"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832" w:right="1440" w:bottom="1440" w:gutter="0" w:footer="0" w:header="0"/>
        </w:sectPr>
      </w:pPr>
    </w:p>
    <w:bookmarkStart w:id="54" w:name="page55"/>
    <w:bookmarkEnd w:id="54"/>
    <w:p>
      <w:pPr>
        <w:ind w:right="2459" w:firstLine="581"/>
        <w:spacing w:after="0" w:line="287"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65"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7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1"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81" w:lineRule="exact"/>
        <w:rPr>
          <w:sz w:val="20"/>
          <w:szCs w:val="20"/>
          <w:color w:val="auto"/>
        </w:rPr>
      </w:pPr>
    </w:p>
    <w:p>
      <w:pPr>
        <w:ind w:right="2459" w:firstLine="581"/>
        <w:spacing w:after="0" w:line="256"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89" w:lineRule="exact"/>
        <w:rPr>
          <w:sz w:val="20"/>
          <w:szCs w:val="20"/>
          <w:color w:val="auto"/>
        </w:rPr>
      </w:pPr>
    </w:p>
    <w:p>
      <w:pPr>
        <w:ind w:right="2559" w:firstLine="581"/>
        <w:spacing w:after="0" w:line="258"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9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8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The consolidated financial statements of ICON plc as of May 31, 2002 and 2001 and for each of the years in the three-year period ended May 31, 2002, have been incorporated by reference herein in reliance upon the report of KPMG, independent chartered accountants, incorporated by reference herein, and upon the authority of said firm as experts in accounting and auditing.</w:t>
      </w:r>
    </w:p>
    <w:p>
      <w:pPr>
        <w:spacing w:after="0" w:line="76" w:lineRule="exact"/>
        <w:rPr>
          <w:sz w:val="20"/>
          <w:szCs w:val="20"/>
          <w:color w:val="auto"/>
        </w:rPr>
      </w:pPr>
    </w:p>
    <w:p>
      <w:pPr>
        <w:jc w:val="both"/>
        <w:ind w:right="2959" w:firstLine="581"/>
        <w:spacing w:after="0" w:line="307"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832" w:right="1440" w:bottom="1440" w:gutter="0" w:footer="0" w:header="0"/>
        </w:sectPr>
      </w:pPr>
    </w:p>
    <w:bookmarkStart w:id="55" w:name="page56"/>
    <w:bookmarkEnd w:id="55"/>
    <w:p>
      <w:pPr>
        <w:ind w:left="214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1" w:lineRule="exact"/>
        <w:rPr>
          <w:sz w:val="20"/>
          <w:szCs w:val="20"/>
          <w:color w:val="auto"/>
        </w:rPr>
      </w:pPr>
    </w:p>
    <w:p>
      <w:pPr>
        <w:ind w:right="2559" w:firstLine="581"/>
        <w:spacing w:after="0" w:line="287"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Nasdaq National Market fees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Legal fees and expenses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475,000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Accounting fees and expenses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Printing expenses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Transfer and Registrar fee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Miscellaneous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Subtotal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1,557,055</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Capital duty (Company only)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431,550</w:t>
            </w:r>
          </w:p>
        </w:tc>
      </w:tr>
      <w:tr>
        <w:trPr>
          <w:trHeight w:val="273"/>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1,988,605</w:t>
            </w:r>
          </w:p>
        </w:tc>
      </w:tr>
    </w:tbl>
    <w:p>
      <w:pPr>
        <w:spacing w:after="0" w:line="10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3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61" w:lineRule="exact"/>
        <w:rPr>
          <w:sz w:val="20"/>
          <w:szCs w:val="20"/>
          <w:color w:val="auto"/>
        </w:rPr>
      </w:pPr>
    </w:p>
    <w:p>
      <w:pPr>
        <w:ind w:right="2459" w:firstLine="581"/>
        <w:spacing w:after="0" w:line="252"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95"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81"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267"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46"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1"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85" w:lineRule="exact"/>
        <w:rPr>
          <w:sz w:val="20"/>
          <w:szCs w:val="20"/>
          <w:color w:val="auto"/>
        </w:rPr>
      </w:pPr>
    </w:p>
    <w:p>
      <w:pPr>
        <w:ind w:right="2659" w:firstLine="581"/>
        <w:spacing w:after="0" w:line="287"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65" w:lineRule="exact"/>
        <w:rPr>
          <w:sz w:val="20"/>
          <w:szCs w:val="20"/>
          <w:color w:val="auto"/>
        </w:rPr>
      </w:pPr>
    </w:p>
    <w:p>
      <w:pPr>
        <w:ind w:right="3239" w:firstLine="581"/>
        <w:spacing w:after="0" w:line="367"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5" w:lineRule="exact"/>
        <w:rPr>
          <w:sz w:val="20"/>
          <w:szCs w:val="20"/>
          <w:color w:val="auto"/>
        </w:rPr>
      </w:pPr>
    </w:p>
    <w:p>
      <w:pPr>
        <w:ind w:right="2759" w:firstLine="581"/>
        <w:spacing w:after="0" w:line="266"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85" w:lineRule="exact"/>
        <w:rPr>
          <w:sz w:val="20"/>
          <w:szCs w:val="20"/>
          <w:color w:val="auto"/>
        </w:rPr>
      </w:pPr>
    </w:p>
    <w:p>
      <w:pPr>
        <w:ind w:right="2559" w:firstLine="581"/>
        <w:spacing w:after="0" w:line="276"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76" w:lineRule="exact"/>
        <w:rPr>
          <w:sz w:val="20"/>
          <w:szCs w:val="20"/>
          <w:color w:val="auto"/>
        </w:rPr>
      </w:pPr>
    </w:p>
    <w:p>
      <w:pPr>
        <w:jc w:val="both"/>
        <w:ind w:right="2459" w:firstLine="581"/>
        <w:spacing w:after="0" w:line="259"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2" w:lineRule="exact"/>
        <w:rPr>
          <w:sz w:val="20"/>
          <w:szCs w:val="20"/>
          <w:color w:val="auto"/>
        </w:rPr>
      </w:pPr>
    </w:p>
    <w:p>
      <w:pPr>
        <w:ind w:right="3439"/>
        <w:spacing w:after="0" w:line="327"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3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82"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82"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832" w:right="1440" w:bottom="1440" w:gutter="0" w:footer="0" w:header="0"/>
        </w:sectPr>
      </w:pPr>
    </w:p>
    <w:bookmarkStart w:id="57" w:name="page58"/>
    <w:bookmarkEnd w:id="57"/>
    <w:p>
      <w:pPr>
        <w:jc w:val="center"/>
        <w:ind w:right="235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82" w:lineRule="exact"/>
        <w:rPr>
          <w:sz w:val="20"/>
          <w:szCs w:val="20"/>
          <w:color w:val="auto"/>
        </w:rPr>
      </w:pPr>
    </w:p>
    <w:p>
      <w:pPr>
        <w:ind w:right="2559" w:firstLine="581"/>
        <w:spacing w:after="0" w:line="276"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76" w:lineRule="exact"/>
        <w:rPr>
          <w:sz w:val="20"/>
          <w:szCs w:val="20"/>
          <w:color w:val="auto"/>
        </w:rPr>
      </w:pPr>
    </w:p>
    <w:p>
      <w:pPr>
        <w:ind w:left="880" w:hanging="299"/>
        <w:spacing w:after="0"/>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spacing w:after="0" w:line="191" w:lineRule="exact"/>
        <w:rPr>
          <w:rFonts w:ascii="Courier New" w:cs="Courier New" w:eastAsia="Courier New" w:hAnsi="Courier New"/>
          <w:sz w:val="16"/>
          <w:szCs w:val="16"/>
          <w:color w:val="auto"/>
        </w:rPr>
      </w:pPr>
    </w:p>
    <w:p>
      <w:pPr>
        <w:ind w:left="880" w:right="29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spacing w:after="0" w:line="4" w:lineRule="exact"/>
        <w:rPr>
          <w:rFonts w:ascii="Courier New" w:cs="Courier New" w:eastAsia="Courier New" w:hAnsi="Courier New"/>
          <w:sz w:val="16"/>
          <w:szCs w:val="16"/>
          <w:color w:val="auto"/>
        </w:rPr>
      </w:pPr>
    </w:p>
    <w:p>
      <w:pPr>
        <w:ind w:left="880" w:right="29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spacing w:after="0" w:line="4" w:lineRule="exact"/>
        <w:rPr>
          <w:rFonts w:ascii="Courier New" w:cs="Courier New" w:eastAsia="Courier New" w:hAnsi="Courier New"/>
          <w:sz w:val="16"/>
          <w:szCs w:val="16"/>
          <w:color w:val="auto"/>
        </w:rPr>
      </w:pPr>
    </w:p>
    <w:p>
      <w:pPr>
        <w:ind w:left="880" w:right="26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spacing w:after="0" w:line="4" w:lineRule="exact"/>
        <w:rPr>
          <w:rFonts w:ascii="Courier New" w:cs="Courier New" w:eastAsia="Courier New" w:hAnsi="Courier New"/>
          <w:sz w:val="16"/>
          <w:szCs w:val="16"/>
          <w:color w:val="auto"/>
        </w:rPr>
      </w:pPr>
    </w:p>
    <w:p>
      <w:pPr>
        <w:ind w:left="880" w:right="27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spacing w:after="0" w:line="4" w:lineRule="exact"/>
        <w:rPr>
          <w:rFonts w:ascii="Courier New" w:cs="Courier New" w:eastAsia="Courier New" w:hAnsi="Courier New"/>
          <w:sz w:val="16"/>
          <w:szCs w:val="16"/>
          <w:color w:val="auto"/>
        </w:rPr>
      </w:pPr>
    </w:p>
    <w:p>
      <w:pPr>
        <w:ind w:left="880" w:right="27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spacing w:after="0" w:line="4" w:lineRule="exact"/>
        <w:rPr>
          <w:rFonts w:ascii="Courier New" w:cs="Courier New" w:eastAsia="Courier New" w:hAnsi="Courier New"/>
          <w:sz w:val="16"/>
          <w:szCs w:val="16"/>
          <w:color w:val="auto"/>
        </w:rPr>
      </w:pPr>
    </w:p>
    <w:p>
      <w:pPr>
        <w:ind w:left="880" w:right="26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spacing w:after="0" w:line="4" w:lineRule="exact"/>
        <w:rPr>
          <w:rFonts w:ascii="Courier New" w:cs="Courier New" w:eastAsia="Courier New" w:hAnsi="Courier New"/>
          <w:sz w:val="16"/>
          <w:szCs w:val="16"/>
          <w:color w:val="auto"/>
        </w:rPr>
      </w:pPr>
    </w:p>
    <w:p>
      <w:pPr>
        <w:ind w:left="880" w:right="2559" w:hanging="299"/>
        <w:spacing w:after="0" w:line="36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spacing w:after="0" w:line="4" w:lineRule="exact"/>
        <w:rPr>
          <w:rFonts w:ascii="Courier New" w:cs="Courier New" w:eastAsia="Courier New" w:hAnsi="Courier New"/>
          <w:sz w:val="16"/>
          <w:szCs w:val="16"/>
          <w:color w:val="auto"/>
        </w:rPr>
      </w:pPr>
    </w:p>
    <w:p>
      <w:pPr>
        <w:ind w:left="880" w:right="2559" w:hanging="299"/>
        <w:spacing w:after="0" w:line="30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50" w:lineRule="exact"/>
        <w:rPr>
          <w:sz w:val="20"/>
          <w:szCs w:val="20"/>
          <w:color w:val="auto"/>
        </w:rPr>
      </w:pPr>
    </w:p>
    <w:p>
      <w:pPr>
        <w:ind w:right="2859" w:firstLine="581"/>
        <w:spacing w:after="0" w:line="287"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1-216-1100.</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83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2"/>
        </w:trPr>
        <w:tc>
          <w:tcPr>
            <w:tcW w:w="5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3"/>
        </w:trPr>
        <w:tc>
          <w:tcPr>
            <w:tcW w:w="5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18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2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3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[Graphic Omitted]</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32" w:right="1440" w:bottom="352" w:gutter="0" w:footer="0" w:header="0"/>
        </w:sectPr>
      </w:pPr>
    </w:p>
    <w:bookmarkStart w:id="59" w:name="page60"/>
    <w:bookmarkEnd w:id="59"/>
    <w:p>
      <w:pPr>
        <w:ind w:left="2900"/>
        <w:spacing w:after="0"/>
        <w:rPr>
          <w:sz w:val="20"/>
          <w:szCs w:val="20"/>
          <w:color w:val="auto"/>
        </w:rPr>
      </w:pPr>
      <w:r>
        <w:rPr>
          <w:rFonts w:ascii="Courier New" w:cs="Courier New" w:eastAsia="Courier New" w:hAnsi="Courier New"/>
          <w:sz w:val="16"/>
          <w:szCs w:val="16"/>
          <w:color w:val="auto"/>
        </w:rPr>
        <w:t>GOLDMAN, SACHS &amp; CO.</w:t>
      </w:r>
    </w:p>
    <w:p>
      <w:pPr>
        <w:spacing w:after="0" w:line="3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DAVY STOCKBROKERS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 w:right="1440" w:bottom="1440" w:gutter="0" w:footer="0" w:header="0"/>
        </w:sectPr>
      </w:pPr>
    </w:p>
    <w:bookmarkStart w:id="60" w:name="page61"/>
    <w:bookmarkEnd w:id="60"/>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8.INDEMNIFICATION OF DIRECTORS AND OFFICERS.</w:t>
      </w:r>
    </w:p>
    <w:p>
      <w:pPr>
        <w:spacing w:after="0" w:line="191" w:lineRule="exact"/>
        <w:rPr>
          <w:sz w:val="20"/>
          <w:szCs w:val="20"/>
          <w:color w:val="auto"/>
        </w:rPr>
      </w:pPr>
    </w:p>
    <w:p>
      <w:pPr>
        <w:ind w:left="1" w:right="2459" w:firstLine="581"/>
        <w:spacing w:after="0" w:line="287" w:lineRule="auto"/>
        <w:rPr>
          <w:sz w:val="20"/>
          <w:szCs w:val="20"/>
          <w:color w:val="auto"/>
        </w:rPr>
      </w:pPr>
      <w:r>
        <w:rPr>
          <w:rFonts w:ascii="Courier New" w:cs="Courier New" w:eastAsia="Courier New" w:hAnsi="Courier New"/>
          <w:sz w:val="16"/>
          <w:szCs w:val="16"/>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6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Paragraph 139 of the Articles of Association of ICON provides as follows:</w:t>
      </w:r>
    </w:p>
    <w:p>
      <w:pPr>
        <w:spacing w:after="0" w:line="191" w:lineRule="exact"/>
        <w:rPr>
          <w:sz w:val="20"/>
          <w:szCs w:val="20"/>
          <w:color w:val="auto"/>
        </w:rPr>
      </w:pPr>
    </w:p>
    <w:p>
      <w:pPr>
        <w:ind w:left="1741" w:right="2459" w:firstLine="581"/>
        <w:spacing w:after="0" w:line="254" w:lineRule="auto"/>
        <w:rPr>
          <w:sz w:val="20"/>
          <w:szCs w:val="20"/>
          <w:color w:val="auto"/>
        </w:rPr>
      </w:pPr>
      <w:r>
        <w:rPr>
          <w:rFonts w:ascii="Courier New" w:cs="Courier New" w:eastAsia="Courier New" w:hAnsi="Courier New"/>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99" w:lineRule="exact"/>
        <w:rPr>
          <w:sz w:val="20"/>
          <w:szCs w:val="20"/>
          <w:color w:val="auto"/>
        </w:rPr>
      </w:pPr>
    </w:p>
    <w:p>
      <w:pPr>
        <w:ind w:left="1741" w:right="2459" w:firstLine="581"/>
        <w:spacing w:after="0" w:line="276" w:lineRule="auto"/>
        <w:rPr>
          <w:sz w:val="20"/>
          <w:szCs w:val="20"/>
          <w:color w:val="auto"/>
        </w:rPr>
      </w:pPr>
      <w:r>
        <w:rPr>
          <w:rFonts w:ascii="Courier New" w:cs="Courier New" w:eastAsia="Courier New" w:hAnsi="Courier New"/>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76" w:lineRule="exact"/>
        <w:rPr>
          <w:sz w:val="20"/>
          <w:szCs w:val="20"/>
          <w:color w:val="auto"/>
        </w:rPr>
      </w:pPr>
    </w:p>
    <w:p>
      <w:pPr>
        <w:ind w:left="1" w:right="2459" w:firstLine="581"/>
        <w:spacing w:after="0" w:line="255"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9.EXHIBITS.</w:t>
      </w:r>
    </w:p>
    <w:p>
      <w:pPr>
        <w:spacing w:after="0" w:line="191" w:lineRule="exact"/>
        <w:rPr>
          <w:sz w:val="20"/>
          <w:szCs w:val="20"/>
          <w:color w:val="auto"/>
        </w:rPr>
      </w:pPr>
    </w:p>
    <w:p>
      <w:pPr>
        <w:ind w:left="1" w:right="2859" w:hanging="1"/>
        <w:spacing w:after="0" w:line="367" w:lineRule="auto"/>
        <w:tabs>
          <w:tab w:leader="none" w:pos="4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filed herewith, or incorporated by reference herein:</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4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EXHIBIT</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4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Form of Underwriting Agreement</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Deposit Agreement, dated as of May 20, 1998, between the Company,</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The Bank of New York and the holders from time to time of the</w:t>
            </w: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3"/>
                <w:szCs w:val="23"/>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Company's ADRs</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Form of Ordinary Share certificate.</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Form of ADR certificate (included in Exhibit 4.1).</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Registration Rights Agreement, dated as of December 12, 1997.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0"/>
          </w:cols>
          <w:pgMar w:left="239" w:top="832" w:right="1440" w:bottom="1098" w:gutter="0" w:footer="0" w:header="0"/>
        </w:sectPr>
      </w:pPr>
    </w:p>
    <w:bookmarkStart w:id="61" w:name="page62"/>
    <w:bookmarkEnd w:id="61"/>
    <w:tbl>
      <w:tblPr>
        <w:tblLayout w:type="fixed"/>
        <w:tblInd w:w="1" w:type="dxa"/>
        <w:tblCellMar>
          <w:top w:w="0" w:type="dxa"/>
          <w:left w:w="0" w:type="dxa"/>
          <w:bottom w:w="0" w:type="dxa"/>
          <w:right w:w="0" w:type="dxa"/>
        </w:tblCellMar>
      </w:tblP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EXHIBIT</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3"/>
                <w:szCs w:val="23"/>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matters and the validity of the ordinary shares.</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3"/>
                <w:szCs w:val="23"/>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Deposit Agreement.</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Cahill Gordon &amp; Reindel LLP as to certain matters of U.S.</w:t>
            </w: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3"/>
                <w:szCs w:val="23"/>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taxation.</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3"/>
                <w:szCs w:val="23"/>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taxation.</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KPMG, Chartered Accountants for the Company.</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KPMG, Tax Advisors (included in Exhibit 8.2).</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Power of Attorney (included on a signature page).</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161" w:hanging="1161"/>
        <w:spacing w:after="0"/>
        <w:tabs>
          <w:tab w:leader="none" w:pos="11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191" w:lineRule="exact"/>
        <w:rPr>
          <w:sz w:val="20"/>
          <w:szCs w:val="20"/>
          <w:color w:val="auto"/>
        </w:rPr>
      </w:pPr>
    </w:p>
    <w:p>
      <w:pPr>
        <w:ind w:left="1161" w:right="2759" w:hanging="1161"/>
        <w:spacing w:after="0" w:line="307" w:lineRule="auto"/>
        <w:tabs>
          <w:tab w:leader="none" w:pos="11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49" w:lineRule="exact"/>
        <w:rPr>
          <w:rFonts w:ascii="Courier New" w:cs="Courier New" w:eastAsia="Courier New" w:hAnsi="Courier New"/>
          <w:sz w:val="16"/>
          <w:szCs w:val="16"/>
          <w:color w:val="auto"/>
        </w:rPr>
      </w:pPr>
    </w:p>
    <w:p>
      <w:pPr>
        <w:ind w:left="1361" w:hanging="1361"/>
        <w:spacing w:after="0"/>
        <w:tabs>
          <w:tab w:leader="none" w:pos="13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10.UNDERTAKINGS.</w:t>
      </w:r>
    </w:p>
    <w:p>
      <w:pPr>
        <w:spacing w:after="0" w:line="191" w:lineRule="exact"/>
        <w:rPr>
          <w:sz w:val="20"/>
          <w:szCs w:val="20"/>
          <w:color w:val="auto"/>
        </w:rPr>
      </w:pPr>
    </w:p>
    <w:p>
      <w:pPr>
        <w:ind w:left="481" w:hanging="481"/>
        <w:spacing w:after="0"/>
        <w:tabs>
          <w:tab w:leader="none" w:pos="4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961" w:right="2659" w:hanging="379"/>
        <w:spacing w:after="0" w:line="270"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80" w:lineRule="exact"/>
        <w:rPr>
          <w:rFonts w:ascii="Courier New" w:cs="Courier New" w:eastAsia="Courier New" w:hAnsi="Courier New"/>
          <w:sz w:val="16"/>
          <w:szCs w:val="16"/>
          <w:color w:val="auto"/>
        </w:rPr>
      </w:pPr>
    </w:p>
    <w:p>
      <w:pPr>
        <w:ind w:left="961" w:right="2459" w:hanging="379"/>
        <w:spacing w:after="0" w:line="260"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86" w:lineRule="exact"/>
        <w:rPr>
          <w:rFonts w:ascii="Courier New" w:cs="Courier New" w:eastAsia="Courier New" w:hAnsi="Courier New"/>
          <w:sz w:val="16"/>
          <w:szCs w:val="16"/>
          <w:color w:val="auto"/>
        </w:rPr>
      </w:pPr>
    </w:p>
    <w:p>
      <w:pPr>
        <w:ind w:left="961" w:right="2659" w:hanging="379"/>
        <w:spacing w:after="0" w:line="258"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200" w:lineRule="exact"/>
        <w:rPr>
          <w:sz w:val="20"/>
          <w:szCs w:val="20"/>
          <w:color w:val="auto"/>
        </w:rPr>
      </w:pPr>
    </w:p>
    <w:p>
      <w:pPr>
        <w:spacing w:after="0" w:line="26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832" w:right="1440" w:bottom="1440" w:gutter="0" w:footer="0" w:header="0"/>
        </w:sectPr>
      </w:pPr>
    </w:p>
    <w:bookmarkStart w:id="62" w:name="page63"/>
    <w:bookmarkEnd w:id="62"/>
    <w:p>
      <w:pPr>
        <w:ind w:left="960" w:right="2459" w:hanging="379"/>
        <w:spacing w:after="0" w:line="266" w:lineRule="auto"/>
        <w:tabs>
          <w:tab w:leader="none" w:pos="9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46" w:right="1440" w:bottom="1440" w:gutter="0" w:footer="0" w:header="0"/>
        </w:sectPr>
      </w:pPr>
    </w:p>
    <w:bookmarkStart w:id="63" w:name="page64"/>
    <w:bookmarkEnd w:id="63"/>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Pursuant to the requirements of the Securities Act of 1933, the registrant</w:t>
      </w:r>
    </w:p>
    <w:p>
      <w:pPr>
        <w:spacing w:after="0" w:line="1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certifies</w:t>
            </w:r>
          </w:p>
        </w:tc>
        <w:tc>
          <w:tcPr>
            <w:tcW w:w="3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that it has reasonable grounds to</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believe that it meets all of the</w:t>
            </w:r>
          </w:p>
        </w:tc>
      </w:tr>
      <w:tr>
        <w:trPr>
          <w:trHeight w:val="186"/>
        </w:trPr>
        <w:tc>
          <w:tcPr>
            <w:tcW w:w="3440" w:type="dxa"/>
            <w:vAlign w:val="bottom"/>
            <w:gridSpan w:val="3"/>
          </w:tcPr>
          <w:p>
            <w:pPr>
              <w:spacing w:after="0"/>
              <w:rPr>
                <w:sz w:val="20"/>
                <w:szCs w:val="20"/>
                <w:color w:val="auto"/>
              </w:rPr>
            </w:pPr>
            <w:r>
              <w:rPr>
                <w:rFonts w:ascii="Courier New" w:cs="Courier New" w:eastAsia="Courier New" w:hAnsi="Courier New"/>
                <w:sz w:val="16"/>
                <w:szCs w:val="16"/>
                <w:color w:val="auto"/>
              </w:rPr>
              <w:t>requirements for filing on Form F-3</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has</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duly caused this Registration</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Statement</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to be signed on its</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behalf by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undersigned, thereunto duly</w:t>
            </w:r>
          </w:p>
        </w:tc>
      </w:tr>
      <w:tr>
        <w:trPr>
          <w:trHeight w:val="273"/>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authorized, on the 3rd day of</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June,</w:t>
            </w:r>
          </w:p>
        </w:tc>
        <w:tc>
          <w:tcPr>
            <w:tcW w:w="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2003.</w:t>
            </w:r>
          </w:p>
        </w:tc>
        <w:tc>
          <w:tcPr>
            <w:tcW w:w="3140" w:type="dxa"/>
            <w:vAlign w:val="bottom"/>
          </w:tcPr>
          <w:p>
            <w:pPr>
              <w:spacing w:after="0"/>
              <w:rPr>
                <w:sz w:val="23"/>
                <w:szCs w:val="23"/>
                <w:color w:val="auto"/>
              </w:rPr>
            </w:pPr>
          </w:p>
        </w:tc>
      </w:tr>
    </w:tbl>
    <w:p>
      <w:pPr>
        <w:spacing w:after="0" w:line="287" w:lineRule="exact"/>
        <w:rPr>
          <w:sz w:val="20"/>
          <w:szCs w:val="20"/>
          <w:color w:val="auto"/>
        </w:rPr>
      </w:pPr>
    </w:p>
    <w:p>
      <w:pPr>
        <w:ind w:left="4161"/>
        <w:spacing w:after="0"/>
        <w:rPr>
          <w:sz w:val="20"/>
          <w:szCs w:val="20"/>
          <w:color w:val="auto"/>
        </w:rPr>
      </w:pPr>
      <w:r>
        <w:rPr>
          <w:rFonts w:ascii="Courier New" w:cs="Courier New" w:eastAsia="Courier New" w:hAnsi="Courier New"/>
          <w:sz w:val="16"/>
          <w:szCs w:val="16"/>
          <w:color w:val="auto"/>
        </w:rPr>
        <w:t>ICON PLC</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By:/s/ Sean Leech</w:t>
      </w:r>
    </w:p>
    <w:p>
      <w:pPr>
        <w:spacing w:after="0" w:line="35" w:lineRule="exact"/>
        <w:rPr>
          <w:sz w:val="20"/>
          <w:szCs w:val="20"/>
          <w:color w:val="auto"/>
        </w:rPr>
      </w:pPr>
    </w:p>
    <w:p>
      <w:pPr>
        <w:ind w:left="44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Chief Financial Officer</w:t>
      </w:r>
    </w:p>
    <w:p>
      <w:pPr>
        <w:spacing w:after="0" w:line="161" w:lineRule="exact"/>
        <w:rPr>
          <w:sz w:val="20"/>
          <w:szCs w:val="20"/>
          <w:color w:val="auto"/>
        </w:rPr>
      </w:pPr>
    </w:p>
    <w:p>
      <w:pPr>
        <w:ind w:left="1" w:right="3239" w:firstLine="581"/>
        <w:spacing w:after="0" w:line="30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their respective capacities on the 3rd day of June, 2003.</w:t>
      </w:r>
    </w:p>
    <w:p>
      <w:pPr>
        <w:sectPr>
          <w:pgSz w:w="11900" w:h="16838" w:orient="portrait"/>
          <w:cols w:equalWidth="0" w:num="1">
            <w:col w:w="10220"/>
          </w:cols>
          <w:pgMar w:left="239" w:top="83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72" w:lineRule="exact"/>
        <w:rPr>
          <w:sz w:val="20"/>
          <w:szCs w:val="20"/>
          <w:color w:val="auto"/>
        </w:rPr>
      </w:pPr>
    </w:p>
    <w:p>
      <w:pPr>
        <w:sectPr>
          <w:pgSz w:w="11900" w:h="16838" w:orient="portrait"/>
          <w:cols w:equalWidth="0" w:num="2">
            <w:col w:w="4321" w:space="720"/>
            <w:col w:w="5179"/>
          </w:cols>
          <w:pgMar w:left="239" w:top="832"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Director</w:t>
      </w:r>
    </w:p>
    <w:p>
      <w:pPr>
        <w:spacing w:after="0" w:line="40" w:lineRule="exact"/>
        <w:rPr>
          <w:sz w:val="20"/>
          <w:szCs w:val="20"/>
          <w:color w:val="auto"/>
        </w:rPr>
      </w:pPr>
    </w:p>
    <w:p>
      <w:pPr>
        <w:sectPr>
          <w:pgSz w:w="11900" w:h="16838" w:orient="portrait"/>
          <w:cols w:equalWidth="0" w:num="2">
            <w:col w:w="3641" w:space="720"/>
            <w:col w:w="5859"/>
          </w:cols>
          <w:pgMar w:left="239" w:top="832" w:right="1440" w:bottom="1440" w:gutter="0" w:footer="0" w:header="0"/>
          <w:type w:val="continuous"/>
        </w:sectPr>
      </w:pPr>
    </w:p>
    <w:p>
      <w:pPr>
        <w:ind w:left="201" w:hanging="201"/>
        <w:spacing w:after="0"/>
        <w:tabs>
          <w:tab w:leader="none" w:pos="2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John Climax</w:t>
      </w:r>
    </w:p>
    <w:p>
      <w:pPr>
        <w:spacing w:after="0" w:line="348"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Chief Executive Officer, Director</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Peter Gray</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Sean Leech</w:t>
            </w: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Chief Financial Officer, Chief</w:t>
            </w:r>
          </w:p>
        </w:tc>
        <w:tc>
          <w:tcPr>
            <w:tcW w:w="0" w:type="dxa"/>
            <w:vAlign w:val="bottom"/>
          </w:tcPr>
          <w:p>
            <w:pPr>
              <w:spacing w:after="0"/>
              <w:rPr>
                <w:sz w:val="1"/>
                <w:szCs w:val="1"/>
                <w:color w:val="auto"/>
              </w:rPr>
            </w:pPr>
          </w:p>
        </w:tc>
      </w:tr>
      <w:tr>
        <w:trPr>
          <w:trHeight w:val="273"/>
        </w:trPr>
        <w:tc>
          <w:tcPr>
            <w:tcW w:w="4020" w:type="dxa"/>
            <w:vAlign w:val="bottom"/>
            <w:gridSpan w:val="2"/>
            <w:vMerge w:val="restart"/>
          </w:tcPr>
          <w:p>
            <w:pPr>
              <w:spacing w:after="0"/>
              <w:rPr>
                <w:sz w:val="20"/>
                <w:szCs w:val="20"/>
                <w:color w:val="auto"/>
              </w:rPr>
            </w:pPr>
            <w:r>
              <w:rPr>
                <w:rFonts w:ascii="Courier New" w:cs="Courier New" w:eastAsia="Courier New" w:hAnsi="Courier New"/>
                <w:sz w:val="32"/>
                <w:szCs w:val="32"/>
                <w:color w:val="auto"/>
                <w:w w:val="85"/>
                <w:vertAlign w:val="subscript"/>
              </w:rPr>
              <w:t>Sean</w:t>
            </w:r>
            <w:r>
              <w:rPr>
                <w:rFonts w:ascii="Courier New" w:cs="Courier New" w:eastAsia="Courier New" w:hAnsi="Courier New"/>
                <w:sz w:val="16"/>
                <w:szCs w:val="16"/>
                <w:color w:val="auto"/>
                <w:w w:val="85"/>
              </w:rPr>
              <w:t>-------------------------------------</w:t>
            </w:r>
            <w:r>
              <w:rPr>
                <w:rFonts w:ascii="Courier New" w:cs="Courier New" w:eastAsia="Courier New" w:hAnsi="Courier New"/>
                <w:sz w:val="32"/>
                <w:szCs w:val="32"/>
                <w:color w:val="auto"/>
                <w:w w:val="85"/>
                <w:vertAlign w:val="subscript"/>
              </w:rPr>
              <w:t>Leech</w:t>
            </w:r>
          </w:p>
        </w:tc>
        <w:tc>
          <w:tcPr>
            <w:tcW w:w="3540" w:type="dxa"/>
            <w:vAlign w:val="bottom"/>
          </w:tcPr>
          <w:p>
            <w:pPr>
              <w:ind w:left="540"/>
              <w:spacing w:after="0"/>
              <w:rPr>
                <w:sz w:val="20"/>
                <w:szCs w:val="20"/>
                <w:color w:val="auto"/>
              </w:rPr>
            </w:pPr>
            <w:r>
              <w:rPr>
                <w:rFonts w:ascii="Courier New" w:cs="Courier New" w:eastAsia="Courier New" w:hAnsi="Courier New"/>
                <w:sz w:val="16"/>
                <w:szCs w:val="16"/>
                <w:color w:val="auto"/>
              </w:rPr>
              <w:t>Accounting Officer</w:t>
            </w:r>
          </w:p>
        </w:tc>
        <w:tc>
          <w:tcPr>
            <w:tcW w:w="0" w:type="dxa"/>
            <w:vAlign w:val="bottom"/>
          </w:tcPr>
          <w:p>
            <w:pPr>
              <w:spacing w:after="0"/>
              <w:rPr>
                <w:sz w:val="1"/>
                <w:szCs w:val="1"/>
                <w:color w:val="auto"/>
              </w:rPr>
            </w:pPr>
          </w:p>
        </w:tc>
      </w:tr>
      <w:tr>
        <w:trPr>
          <w:trHeight w:val="202"/>
        </w:trPr>
        <w:tc>
          <w:tcPr>
            <w:tcW w:w="4020" w:type="dxa"/>
            <w:vAlign w:val="bottom"/>
            <w:gridSpan w:val="2"/>
            <w:vMerge w:val="continue"/>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Dr. Ronan Lambe</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Thomas Lynch</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Edward Roberts</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0" w:type="dxa"/>
            <w:vAlign w:val="bottom"/>
          </w:tcPr>
          <w:p>
            <w:pPr>
              <w:spacing w:after="0"/>
              <w:rPr>
                <w:sz w:val="20"/>
                <w:szCs w:val="20"/>
                <w:color w:val="auto"/>
              </w:rPr>
            </w:pPr>
            <w:r>
              <w:rPr>
                <w:rFonts w:ascii="Courier New" w:cs="Courier New" w:eastAsia="Courier New" w:hAnsi="Courier New"/>
                <w:sz w:val="16"/>
                <w:szCs w:val="16"/>
                <w:color w:val="auto"/>
              </w:rPr>
              <w:t>Lee</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Jones</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William Taaffe</w:t>
            </w: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Authorized Representative in the</w:t>
            </w:r>
          </w:p>
        </w:tc>
        <w:tc>
          <w:tcPr>
            <w:tcW w:w="0" w:type="dxa"/>
            <w:vAlign w:val="bottom"/>
          </w:tcPr>
          <w:p>
            <w:pPr>
              <w:spacing w:after="0"/>
              <w:rPr>
                <w:sz w:val="1"/>
                <w:szCs w:val="1"/>
                <w:color w:val="auto"/>
              </w:rPr>
            </w:pPr>
          </w:p>
        </w:tc>
      </w:tr>
      <w:tr>
        <w:trPr>
          <w:trHeight w:val="273"/>
        </w:trPr>
        <w:tc>
          <w:tcPr>
            <w:tcW w:w="4020" w:type="dxa"/>
            <w:vAlign w:val="bottom"/>
            <w:gridSpan w:val="2"/>
            <w:vMerge w:val="restart"/>
          </w:tcPr>
          <w:p>
            <w:pPr>
              <w:spacing w:after="0"/>
              <w:rPr>
                <w:sz w:val="20"/>
                <w:szCs w:val="20"/>
                <w:color w:val="auto"/>
              </w:rPr>
            </w:pPr>
            <w:r>
              <w:rPr>
                <w:rFonts w:ascii="Courier New" w:cs="Courier New" w:eastAsia="Courier New" w:hAnsi="Courier New"/>
                <w:sz w:val="32"/>
                <w:szCs w:val="32"/>
                <w:color w:val="auto"/>
                <w:w w:val="76"/>
                <w:vertAlign w:val="subscript"/>
              </w:rPr>
              <w:t>William</w:t>
            </w:r>
            <w:r>
              <w:rPr>
                <w:rFonts w:ascii="Courier New" w:cs="Courier New" w:eastAsia="Courier New" w:hAnsi="Courier New"/>
                <w:sz w:val="16"/>
                <w:szCs w:val="16"/>
                <w:color w:val="auto"/>
                <w:w w:val="76"/>
              </w:rPr>
              <w:t>-------------------------------------</w:t>
            </w:r>
            <w:r>
              <w:rPr>
                <w:rFonts w:ascii="Courier New" w:cs="Courier New" w:eastAsia="Courier New" w:hAnsi="Courier New"/>
                <w:sz w:val="32"/>
                <w:szCs w:val="32"/>
                <w:color w:val="auto"/>
                <w:w w:val="76"/>
                <w:vertAlign w:val="subscript"/>
              </w:rPr>
              <w:t>Taaffe</w:t>
            </w:r>
          </w:p>
        </w:tc>
        <w:tc>
          <w:tcPr>
            <w:tcW w:w="3540" w:type="dxa"/>
            <w:vAlign w:val="bottom"/>
          </w:tcPr>
          <w:p>
            <w:pPr>
              <w:ind w:left="5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202"/>
        </w:trPr>
        <w:tc>
          <w:tcPr>
            <w:tcW w:w="4020" w:type="dxa"/>
            <w:vAlign w:val="bottom"/>
            <w:gridSpan w:val="2"/>
            <w:vMerge w:val="continue"/>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81" w:right="6059" w:hanging="3681"/>
        <w:spacing w:after="0" w:line="1354" w:lineRule="auto"/>
        <w:tabs>
          <w:tab w:leader="none" w:pos="1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Signed by Sean Leech as Attorney-in-Fact. II-4</w:t>
      </w:r>
    </w:p>
    <w:p>
      <w:pPr>
        <w:sectPr>
          <w:pgSz w:w="11900" w:h="16838" w:orient="portrait"/>
          <w:cols w:equalWidth="0" w:num="1">
            <w:col w:w="10220"/>
          </w:cols>
          <w:pgMar w:left="239" w:top="832" w:right="1440" w:bottom="1440" w:gutter="0" w:footer="0" w:header="0"/>
          <w:type w:val="continuous"/>
        </w:sectPr>
      </w:pPr>
    </w:p>
    <w:bookmarkStart w:id="64" w:name="page65"/>
    <w:bookmarkEnd w:id="64"/>
    <w:tbl>
      <w:tblPr>
        <w:tblLayout w:type="fixed"/>
        <w:tblInd w:w="1" w:type="dxa"/>
        <w:tblCellMar>
          <w:top w:w="0" w:type="dxa"/>
          <w:left w:w="0" w:type="dxa"/>
          <w:bottom w:w="0" w:type="dxa"/>
          <w:right w:w="0" w:type="dxa"/>
        </w:tblCellMar>
      </w:tblPr>
      <w:tr>
        <w:trPr>
          <w:trHeight w:val="273"/>
        </w:trPr>
        <w:tc>
          <w:tcPr>
            <w:tcW w:w="920" w:type="dxa"/>
            <w:vAlign w:val="bottom"/>
          </w:tcPr>
          <w:p>
            <w:pPr>
              <w:spacing w:after="0"/>
              <w:rPr>
                <w:sz w:val="23"/>
                <w:szCs w:val="23"/>
                <w:color w:val="auto"/>
              </w:rPr>
            </w:pPr>
          </w:p>
        </w:tc>
        <w:tc>
          <w:tcPr>
            <w:tcW w:w="6740" w:type="dxa"/>
            <w:vAlign w:val="bottom"/>
          </w:tcPr>
          <w:p>
            <w:pPr>
              <w:ind w:left="238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287"/>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EXHIBIT</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 Agreement</w:t>
            </w:r>
          </w:p>
        </w:tc>
        <w:tc>
          <w:tcPr>
            <w:tcW w:w="0" w:type="dxa"/>
            <w:vAlign w:val="bottom"/>
          </w:tcPr>
          <w:p>
            <w:pPr>
              <w:spacing w:after="0"/>
              <w:rPr>
                <w:sz w:val="1"/>
                <w:szCs w:val="1"/>
                <w:color w:val="auto"/>
              </w:rPr>
            </w:pPr>
          </w:p>
        </w:tc>
      </w:tr>
      <w:tr>
        <w:trPr>
          <w:trHeight w:val="287"/>
        </w:trPr>
        <w:tc>
          <w:tcPr>
            <w:tcW w:w="9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Deposit Agreement, dated as of May 20, 1998, between the Company, The</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Bank of New York and the holders from time to time of the Company's</w:t>
            </w: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ADRs</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Form of Ordinary Share certificate.</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Form of ADR certificate (included in Exhibit 4.1).</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Registration Rights Agreement, dated as of December 12, 1997.</w:t>
            </w:r>
          </w:p>
        </w:tc>
        <w:tc>
          <w:tcPr>
            <w:tcW w:w="0" w:type="dxa"/>
            <w:vAlign w:val="bottom"/>
          </w:tcPr>
          <w:p>
            <w:pPr>
              <w:spacing w:after="0"/>
              <w:rPr>
                <w:sz w:val="1"/>
                <w:szCs w:val="1"/>
                <w:color w:val="auto"/>
              </w:rPr>
            </w:pPr>
          </w:p>
        </w:tc>
      </w:tr>
      <w:tr>
        <w:trPr>
          <w:trHeight w:val="287"/>
        </w:trPr>
        <w:tc>
          <w:tcPr>
            <w:tcW w:w="9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matters.</w:t>
            </w:r>
          </w:p>
        </w:tc>
        <w:tc>
          <w:tcPr>
            <w:tcW w:w="0" w:type="dxa"/>
            <w:vAlign w:val="bottom"/>
          </w:tcPr>
          <w:p>
            <w:pPr>
              <w:spacing w:after="0"/>
              <w:rPr>
                <w:sz w:val="1"/>
                <w:szCs w:val="1"/>
                <w:color w:val="auto"/>
              </w:rPr>
            </w:pPr>
          </w:p>
        </w:tc>
      </w:tr>
      <w:tr>
        <w:trPr>
          <w:trHeight w:val="287"/>
        </w:trPr>
        <w:tc>
          <w:tcPr>
            <w:tcW w:w="9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Deposit Agreement</w:t>
            </w:r>
          </w:p>
        </w:tc>
        <w:tc>
          <w:tcPr>
            <w:tcW w:w="0" w:type="dxa"/>
            <w:vAlign w:val="bottom"/>
          </w:tcPr>
          <w:p>
            <w:pPr>
              <w:spacing w:after="0"/>
              <w:rPr>
                <w:sz w:val="1"/>
                <w:szCs w:val="1"/>
                <w:color w:val="auto"/>
              </w:rPr>
            </w:pPr>
          </w:p>
        </w:tc>
      </w:tr>
      <w:tr>
        <w:trPr>
          <w:trHeight w:val="287"/>
        </w:trPr>
        <w:tc>
          <w:tcPr>
            <w:tcW w:w="9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Cahill Gordon &amp; Reindel LLP as to certain matters of U.S.</w:t>
            </w: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taxation.</w:t>
            </w:r>
          </w:p>
        </w:tc>
        <w:tc>
          <w:tcPr>
            <w:tcW w:w="0" w:type="dxa"/>
            <w:vAlign w:val="bottom"/>
          </w:tcPr>
          <w:p>
            <w:pPr>
              <w:spacing w:after="0"/>
              <w:rPr>
                <w:sz w:val="1"/>
                <w:szCs w:val="1"/>
                <w:color w:val="auto"/>
              </w:rPr>
            </w:pPr>
          </w:p>
        </w:tc>
      </w:tr>
      <w:tr>
        <w:trPr>
          <w:trHeight w:val="287"/>
        </w:trPr>
        <w:tc>
          <w:tcPr>
            <w:tcW w:w="9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taxation.</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Chartered Accountants for the Company.</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Tax Advisors (included in Exhibit 8.2).</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c>
          <w:tcPr>
            <w:tcW w:w="0" w:type="dxa"/>
            <w:vAlign w:val="bottom"/>
          </w:tcPr>
          <w:p>
            <w:pPr>
              <w:spacing w:after="0"/>
              <w:rPr>
                <w:sz w:val="1"/>
                <w:szCs w:val="1"/>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Power of Attorney (included on a signature page).</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961" w:hanging="961"/>
        <w:spacing w:after="0"/>
        <w:tabs>
          <w:tab w:leader="none" w:pos="9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191" w:lineRule="exact"/>
        <w:rPr>
          <w:sz w:val="20"/>
          <w:szCs w:val="20"/>
          <w:color w:val="auto"/>
        </w:rPr>
      </w:pPr>
    </w:p>
    <w:p>
      <w:pPr>
        <w:ind w:left="961" w:right="2459" w:hanging="961"/>
        <w:spacing w:after="0" w:line="307" w:lineRule="auto"/>
        <w:tabs>
          <w:tab w:leader="none" w:pos="96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49" w:lineRule="exact"/>
        <w:rPr>
          <w:rFonts w:ascii="Courier New" w:cs="Courier New" w:eastAsia="Courier New" w:hAnsi="Courier New"/>
          <w:sz w:val="16"/>
          <w:szCs w:val="16"/>
          <w:color w:val="auto"/>
        </w:rPr>
      </w:pPr>
    </w:p>
    <w:p>
      <w:pPr>
        <w:ind w:left="961" w:hanging="961"/>
        <w:spacing w:after="0"/>
        <w:tabs>
          <w:tab w:leader="none" w:pos="96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ectPr>
          <w:pgSz w:w="11900" w:h="16838" w:orient="portrait"/>
          <w:cols w:equalWidth="0" w:num="1">
            <w:col w:w="10220"/>
          </w:cols>
          <w:pgMar w:left="239" w:top="1019" w:right="1440" w:bottom="1440" w:gutter="0" w:footer="0" w:header="0"/>
        </w:sectPr>
      </w:pPr>
    </w:p>
    <w:bookmarkStart w:id="65" w:name="page66"/>
    <w:bookmarkEnd w:id="65"/>
    <w:p>
      <w:pPr>
        <w:spacing w:after="0" w:line="170"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[Letterhead of A&amp;L Goodbody]</w:t>
      </w:r>
    </w:p>
    <w:p>
      <w:pPr>
        <w:sectPr>
          <w:pgSz w:w="11900" w:h="17009" w:orient="portrait"/>
          <w:cols w:equalWidth="0" w:num="1">
            <w:col w:w="10220"/>
          </w:cols>
          <w:pgMar w:left="239" w:top="671" w:right="1440" w:bottom="0" w:gutter="0" w:footer="0" w:header="0"/>
        </w:sectPr>
      </w:pP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our ref | GMT/JTG 01318262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ref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2003]</w:t>
      </w:r>
    </w:p>
    <w:p>
      <w:pPr>
        <w:spacing w:after="0" w:line="200" w:lineRule="exact"/>
        <w:rPr>
          <w:sz w:val="20"/>
          <w:szCs w:val="20"/>
          <w:color w:val="auto"/>
        </w:rPr>
      </w:pPr>
    </w:p>
    <w:p>
      <w:pPr>
        <w:sectPr>
          <w:pgSz w:w="11900" w:h="17009" w:orient="portrait"/>
          <w:cols w:equalWidth="0" w:num="4">
            <w:col w:w="2681" w:space="720"/>
            <w:col w:w="1800" w:space="720"/>
            <w:col w:w="660" w:space="200"/>
            <w:col w:w="3439"/>
          </w:cols>
          <w:pgMar w:left="239" w:top="671" w:right="1440" w:bottom="0" w:gutter="0" w:footer="0" w:header="0"/>
          <w:type w:val="continuous"/>
        </w:sect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DRAFT 2</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416" w:lineRule="exact"/>
        <w:rPr>
          <w:sz w:val="20"/>
          <w:szCs w:val="20"/>
          <w:color w:val="auto"/>
        </w:rPr>
      </w:pPr>
    </w:p>
    <w:p>
      <w:pPr>
        <w:sectPr>
          <w:pgSz w:w="11900" w:h="17009" w:orient="portrait"/>
          <w:cols w:equalWidth="0" w:num="2">
            <w:col w:w="5381" w:space="720"/>
            <w:col w:w="4119"/>
          </w:cols>
          <w:pgMar w:left="239" w:top="671" w:right="1440" w:bottom="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ICON PLC ("ICON")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559"/>
        <w:spacing w:after="0" w:line="270" w:lineRule="auto"/>
        <w:rPr>
          <w:sz w:val="20"/>
          <w:szCs w:val="20"/>
          <w:color w:val="auto"/>
        </w:rPr>
      </w:pPr>
      <w:r>
        <w:rPr>
          <w:rFonts w:ascii="Courier New" w:cs="Courier New" w:eastAsia="Courier New" w:hAnsi="Courier New"/>
          <w:sz w:val="16"/>
          <w:szCs w:val="16"/>
          <w:color w:val="auto"/>
        </w:rPr>
        <w:t>We have acted as Irish counsel to Icon, a public limited company incorporated under the laws of Ireland in connection with the proposed issue of up to [1,500,000] American Depositary Shares ("ADS") each evidenced by 1 American Depositary Receipt ("ADR") representing 1 Ordinary Share, par value 6 euro cent of Icon ("Ordinary Share"), to be represented on issue by 1 ADS evidenced by 1 ADR.</w:t>
      </w:r>
    </w:p>
    <w:p>
      <w:pPr>
        <w:spacing w:after="0" w:line="81" w:lineRule="exact"/>
        <w:rPr>
          <w:sz w:val="20"/>
          <w:szCs w:val="20"/>
          <w:color w:val="auto"/>
        </w:rPr>
      </w:pPr>
    </w:p>
    <w:p>
      <w:pPr>
        <w:ind w:left="1" w:right="2459"/>
        <w:spacing w:after="0" w:line="287" w:lineRule="auto"/>
        <w:rPr>
          <w:sz w:val="20"/>
          <w:szCs w:val="20"/>
          <w:color w:val="auto"/>
        </w:rPr>
      </w:pPr>
      <w:r>
        <w:rPr>
          <w:rFonts w:ascii="Courier New" w:cs="Courier New" w:eastAsia="Courier New" w:hAnsi="Courier New"/>
          <w:sz w:val="16"/>
          <w:szCs w:val="16"/>
          <w:color w:val="auto"/>
        </w:rPr>
        <w:t>We refer to the Registration Statement Number 333-102893 and the related prospectus (respectively the "Registration Statement" and the "Prospectus") filed by Icon under the Securities Act, 1933 (as amended) ("the Act") in respect of the foregoing.</w:t>
      </w:r>
    </w:p>
    <w:p>
      <w:pPr>
        <w:spacing w:after="0" w:line="65" w:lineRule="exact"/>
        <w:rPr>
          <w:sz w:val="20"/>
          <w:szCs w:val="20"/>
          <w:color w:val="auto"/>
        </w:rPr>
      </w:pPr>
    </w:p>
    <w:p>
      <w:pPr>
        <w:ind w:left="1" w:right="2459"/>
        <w:spacing w:after="0" w:line="253" w:lineRule="auto"/>
        <w:rPr>
          <w:sz w:val="20"/>
          <w:szCs w:val="20"/>
          <w:color w:val="auto"/>
        </w:rPr>
      </w:pPr>
      <w:r>
        <w:rPr>
          <w:rFonts w:ascii="Courier New" w:cs="Courier New" w:eastAsia="Courier New" w:hAnsi="Courier New"/>
          <w:sz w:val="16"/>
          <w:szCs w:val="16"/>
          <w:color w:val="auto"/>
        </w:rPr>
        <w:t>In connection with this opinion, we have examined and have assumed the truth and accuracy of the contents of such documents and certificates of officers of and advisers to Icon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genuineness of all signatures, the authenticity of all documents submitted to us as originals, the conformity to original documents of all documents submitted to us as certified or photostatic copies and the authenticity of the originals of such documents. We have further assumed that none of the resolutions and authorities of the shareholders or Directors of Icon upon which we have relied has been varied, amended or revoked in any respect or has expired and that the Ordinary Shares will be issued in accordance with such resolutions and authorities and as contemplated by and described in the Registration Statement a form of which is exhibited to the Registration Statement. We further assume that Icon will comply with its obligations under and the representations and warranties contained in the Agreements referred to in the Registration Statement.</w:t>
      </w:r>
    </w:p>
    <w:p>
      <w:pPr>
        <w:spacing w:after="0" w:line="101" w:lineRule="exact"/>
        <w:rPr>
          <w:sz w:val="20"/>
          <w:szCs w:val="20"/>
          <w:color w:val="auto"/>
        </w:rPr>
      </w:pPr>
    </w:p>
    <w:p>
      <w:pPr>
        <w:ind w:left="1" w:right="2659"/>
        <w:spacing w:after="0" w:line="287" w:lineRule="auto"/>
        <w:rPr>
          <w:sz w:val="20"/>
          <w:szCs w:val="20"/>
          <w:color w:val="auto"/>
        </w:rPr>
      </w:pPr>
      <w:r>
        <w:rPr>
          <w:rFonts w:ascii="Courier New" w:cs="Courier New" w:eastAsia="Courier New" w:hAnsi="Courier New"/>
          <w:sz w:val="16"/>
          <w:szCs w:val="16"/>
          <w:color w:val="auto"/>
        </w:rPr>
        <w:t>We are admitted to practise law only in Ireland and accordingly, we express no opinion on the laws of any jurisdiction other than the laws (and the interpretation thereof) of Ireland in force as at the date hereof. We assume that the transactions contemplated by the Registration Statement are lawful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
        <w:spacing w:after="0"/>
        <w:tabs>
          <w:tab w:leader="none" w:pos="860" w:val="left"/>
          <w:tab w:leader="none" w:pos="1720" w:val="left"/>
          <w:tab w:leader="none" w:pos="2600" w:val="left"/>
          <w:tab w:leader="none" w:pos="3660" w:val="left"/>
        </w:tabs>
        <w:rPr>
          <w:sz w:val="20"/>
          <w:szCs w:val="20"/>
          <w:color w:val="auto"/>
        </w:rPr>
      </w:pPr>
      <w:r>
        <w:rPr>
          <w:rFonts w:ascii="Courier New" w:cs="Courier New" w:eastAsia="Courier New" w:hAnsi="Courier New"/>
          <w:sz w:val="16"/>
          <w:szCs w:val="16"/>
          <w:color w:val="auto"/>
        </w:rPr>
        <w:t>Dublin</w:t>
      </w:r>
      <w:r>
        <w:rPr>
          <w:sz w:val="20"/>
          <w:szCs w:val="20"/>
          <w:color w:val="auto"/>
        </w:rPr>
        <w:tab/>
      </w:r>
      <w:r>
        <w:rPr>
          <w:rFonts w:ascii="Courier New" w:cs="Courier New" w:eastAsia="Courier New" w:hAnsi="Courier New"/>
          <w:sz w:val="16"/>
          <w:szCs w:val="16"/>
          <w:color w:val="auto"/>
        </w:rPr>
        <w:t>London</w:t>
        <w:tab/>
        <w:t>Boston</w:t>
      </w:r>
      <w:r>
        <w:rPr>
          <w:sz w:val="20"/>
          <w:szCs w:val="20"/>
          <w:color w:val="auto"/>
        </w:rPr>
        <w:tab/>
      </w:r>
      <w:r>
        <w:rPr>
          <w:rFonts w:ascii="Courier New" w:cs="Courier New" w:eastAsia="Courier New" w:hAnsi="Courier New"/>
          <w:sz w:val="16"/>
          <w:szCs w:val="16"/>
          <w:color w:val="auto"/>
        </w:rPr>
        <w:t>New York</w:t>
        <w:tab/>
        <w:t>Brussels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right="2459"/>
        <w:spacing w:after="0" w:line="254" w:lineRule="auto"/>
        <w:rPr>
          <w:sz w:val="20"/>
          <w:szCs w:val="20"/>
          <w:color w:val="auto"/>
        </w:rPr>
      </w:pPr>
      <w:r>
        <w:rPr>
          <w:rFonts w:ascii="Courier New" w:cs="Courier New" w:eastAsia="Courier New" w:hAnsi="Courier New"/>
          <w:sz w:val="16"/>
          <w:szCs w:val="16"/>
          <w:color w:val="auto"/>
        </w:rPr>
        <w:t>under the United States federal law, New York State law and all other applicable laws (if any). As the transactions contemplated by the Registration Statement are governed by the United States federal law and/or New York State law, we have relied upon the opinion of Cahill Gordon &amp; Reindel LLP as to matters relating to those laws.</w:t>
      </w:r>
    </w:p>
    <w:p>
      <w:pPr>
        <w:spacing w:after="0" w:line="3"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[Graphic Omitted]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Based upon the foregoing we are of the opinion that:</w:t>
      </w:r>
    </w:p>
    <w:p>
      <w:pPr>
        <w:spacing w:after="0" w:line="161" w:lineRule="exact"/>
        <w:rPr>
          <w:sz w:val="20"/>
          <w:szCs w:val="20"/>
          <w:color w:val="auto"/>
        </w:rPr>
      </w:pPr>
    </w:p>
    <w:p>
      <w:pPr>
        <w:ind w:left="961" w:right="3039" w:hanging="961"/>
        <w:spacing w:after="0" w:line="367" w:lineRule="auto"/>
        <w:tabs>
          <w:tab w:leader="none" w:pos="9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Icon is duly incorporated and validly existing under the laws of Ireland.</w:t>
      </w:r>
    </w:p>
    <w:p>
      <w:pPr>
        <w:spacing w:after="0" w:line="4" w:lineRule="exact"/>
        <w:rPr>
          <w:rFonts w:ascii="Courier New" w:cs="Courier New" w:eastAsia="Courier New" w:hAnsi="Courier New"/>
          <w:sz w:val="16"/>
          <w:szCs w:val="16"/>
          <w:color w:val="auto"/>
        </w:rPr>
      </w:pPr>
    </w:p>
    <w:p>
      <w:pPr>
        <w:ind w:left="961" w:right="2559" w:hanging="961"/>
        <w:spacing w:after="0" w:line="270" w:lineRule="auto"/>
        <w:tabs>
          <w:tab w:leader="none" w:pos="9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Ordinary Shares issuable pursuant to the Underwriting Agreement referred to in the Prospectus have been duly authorised and, when issued upon such exercise and upon payment of the exercise price in accordance with the terms of the Underwriting Agreement, will be duly authorised, legally issued, fully paid and not subject to calls for any additional payments.</w:t>
      </w:r>
    </w:p>
    <w:p>
      <w:pPr>
        <w:spacing w:after="0" w:line="80" w:lineRule="exact"/>
        <w:rPr>
          <w:rFonts w:ascii="Courier New" w:cs="Courier New" w:eastAsia="Courier New" w:hAnsi="Courier New"/>
          <w:sz w:val="16"/>
          <w:szCs w:val="16"/>
          <w:color w:val="auto"/>
        </w:rPr>
      </w:pPr>
    </w:p>
    <w:p>
      <w:pPr>
        <w:ind w:left="961" w:right="2559" w:hanging="961"/>
        <w:spacing w:after="0" w:line="307" w:lineRule="auto"/>
        <w:tabs>
          <w:tab w:leader="none" w:pos="9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Registration Statement and the Prospectus under the headings "Price Range of ADSs and Dividend Policy", "Business - Government Regulation", "Management", "Selling Shareholders", and</w:t>
      </w:r>
    </w:p>
    <w:p>
      <w:pPr>
        <w:sectPr>
          <w:pgSz w:w="11900" w:h="17009" w:orient="portrait"/>
          <w:cols w:equalWidth="0" w:num="1">
            <w:col w:w="10220"/>
          </w:cols>
          <w:pgMar w:left="239" w:top="671" w:right="1440" w:bottom="0" w:gutter="0" w:footer="0" w:header="0"/>
          <w:type w:val="continuous"/>
        </w:sectPr>
      </w:pPr>
    </w:p>
    <w:bookmarkStart w:id="66" w:name="page67"/>
    <w:bookmarkEnd w:id="66"/>
    <w:p>
      <w:pPr>
        <w:ind w:left="960" w:right="2459"/>
        <w:spacing w:after="0" w:line="287" w:lineRule="auto"/>
        <w:rPr>
          <w:sz w:val="20"/>
          <w:szCs w:val="20"/>
          <w:color w:val="auto"/>
        </w:rPr>
      </w:pPr>
      <w:r>
        <w:rPr>
          <w:rFonts w:ascii="Courier New" w:cs="Courier New" w:eastAsia="Courier New" w:hAnsi="Courier New"/>
          <w:sz w:val="16"/>
          <w:szCs w:val="16"/>
          <w:color w:val="auto"/>
        </w:rPr>
        <w:t>"Exchange Controls and Other Limitations Affecting Security Holders", to the extent that they constitute matters of law or legal conclusions with respect thereto, have been prepared or reviewed by us and are correct in all material respects.</w:t>
      </w:r>
    </w:p>
    <w:p>
      <w:pPr>
        <w:spacing w:after="0" w:line="65"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We hereby consent to the filing of this opinion with the United States Securities and Exchange Commission as an exhibit to the Registration Statement and to the references to our firm under the captions "Enforceability of Civil Liabilities Provisions of Federal Securities Laws against Foreign Persons" and "Validity of ADSs and Ordinary Shares in the Registration Statement and the Prospectus".</w:t>
      </w:r>
    </w:p>
    <w:p>
      <w:pPr>
        <w:spacing w:after="0" w:line="8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This opinion is being delivered to you and may not be relied upon or distributed to any other person, without our consent. This opinion is to be construed in accordance with and governed by the laws of Ireland.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faithfully,</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M-410598-1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2" w:right="1440" w:bottom="1440" w:gutter="0" w:footer="0" w:header="0"/>
        </w:sectPr>
      </w:pPr>
    </w:p>
    <w:bookmarkStart w:id="67" w:name="page68"/>
    <w:bookmarkEnd w:id="67"/>
    <w:p>
      <w:pPr>
        <w:spacing w:after="0" w:line="199"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161" w:lineRule="exact"/>
        <w:rPr>
          <w:sz w:val="20"/>
          <w:szCs w:val="20"/>
          <w:color w:val="auto"/>
        </w:rPr>
      </w:pPr>
    </w:p>
    <w:p>
      <w:pPr>
        <w:ind w:left="4840"/>
        <w:spacing w:after="0"/>
        <w:tabs>
          <w:tab w:leader="none" w:pos="5300" w:val="left"/>
        </w:tabs>
        <w:rPr>
          <w:sz w:val="20"/>
          <w:szCs w:val="20"/>
          <w:color w:val="auto"/>
        </w:rPr>
      </w:pPr>
      <w:r>
        <w:rPr>
          <w:rFonts w:ascii="Courier New" w:cs="Courier New" w:eastAsia="Courier New" w:hAnsi="Courier New"/>
          <w:sz w:val="16"/>
          <w:szCs w:val="16"/>
          <w:color w:val="auto"/>
        </w:rPr>
        <w:t>Re:</w:t>
        <w:tab/>
        <w:t>ICON PLC</w:t>
      </w:r>
    </w:p>
    <w:p>
      <w:pPr>
        <w:spacing w:after="0" w:line="3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1260"/>
        <w:spacing w:after="0" w:line="249" w:lineRule="auto"/>
        <w:rPr>
          <w:sz w:val="20"/>
          <w:szCs w:val="20"/>
          <w:color w:val="auto"/>
        </w:rPr>
      </w:pPr>
      <w:r>
        <w:rPr>
          <w:rFonts w:ascii="Courier New" w:cs="Courier New" w:eastAsia="Courier New" w:hAnsi="Courier New"/>
          <w:sz w:val="16"/>
          <w:szCs w:val="16"/>
          <w:color w:val="auto"/>
        </w:rPr>
        <w:t>We have acted as special United States counsel to ICON plc, a public limited company established under the laws of Ireland (the "Company"), and Dr. John Climax and Dr. Ronan Lambe (the "Selling Shareholders") in connection with the offering (the "Offering") of 3,000,000 Ordinary Shares, nominal value (euro) 0.06 per Ordinary Share (the "Firm Shares"), and 450,000 Ordinary Shares, nominal value (euro) 0.06 per Ordinary Share, that may be sold by the Selling Shareholders pursuant to the over-allotment option granted to the Underwriters (as defined below) (the "Optional Shares" and, together with the Firm Shares, the "Ordinary Shares") in the form of American Depositary Shares, each representing one Ordinary Share ("ADSs"). A Registration Statement on Form F-3 (333-102893) relating to the Offering was filed with the Securities and Exchange Commission (the "Commission") by the Company under the Securities Act of 1933, as amended (the "Securities Act" or the "1933 Act"), and, as amended</w:t>
      </w:r>
    </w:p>
    <w:p>
      <w:pPr>
        <w:spacing w:after="0" w:line="8" w:lineRule="exact"/>
        <w:rPr>
          <w:sz w:val="20"/>
          <w:szCs w:val="20"/>
          <w:color w:val="auto"/>
        </w:rPr>
      </w:pPr>
    </w:p>
    <w:p>
      <w:pPr>
        <w:ind w:right="2559"/>
        <w:spacing w:after="0" w:line="273" w:lineRule="auto"/>
        <w:rPr>
          <w:sz w:val="20"/>
          <w:szCs w:val="20"/>
          <w:color w:val="auto"/>
        </w:rPr>
      </w:pPr>
      <w:r>
        <w:rPr>
          <w:rFonts w:ascii="Courier New" w:cs="Courier New" w:eastAsia="Courier New" w:hAnsi="Courier New"/>
          <w:sz w:val="16"/>
          <w:szCs w:val="16"/>
          <w:color w:val="auto"/>
        </w:rPr>
        <w:t>was declared effective by the Commission on [ ], 2003 (such registration statement, as amended and in the form it became effective, the "Registration Statement"). This opinion is being furnished to you in connection with the Registration Statement.</w:t>
      </w:r>
    </w:p>
    <w:p>
      <w:pPr>
        <w:spacing w:after="0" w:line="77" w:lineRule="exact"/>
        <w:rPr>
          <w:sz w:val="20"/>
          <w:szCs w:val="20"/>
          <w:color w:val="auto"/>
        </w:rPr>
      </w:pPr>
    </w:p>
    <w:p>
      <w:pPr>
        <w:ind w:right="2459" w:firstLine="1260"/>
        <w:spacing w:after="0" w:line="261" w:lineRule="auto"/>
        <w:rPr>
          <w:sz w:val="20"/>
          <w:szCs w:val="20"/>
          <w:color w:val="auto"/>
        </w:rPr>
      </w:pPr>
      <w:r>
        <w:rPr>
          <w:rFonts w:ascii="Courier New" w:cs="Courier New" w:eastAsia="Courier New" w:hAnsi="Courier New"/>
          <w:sz w:val="16"/>
          <w:szCs w:val="16"/>
          <w:color w:val="auto"/>
        </w:rPr>
        <w:t>In connection with this opinion, we have examined such records of the Company and the Selling Shareholders as we have deemed material and the Registration Statement together with the Exhibits thereto, each as filed with the Commission. We have also examined certificates of public officials and directors and officers of the Company, as to factual matters as we have deemed necessary or appropriate for the purpose of this opinion, but have made no independent investigation regarding such factual matters. In our examination, we have assumed the genuineness of all signatures, the authenticity of all documents submitted to us as originals, the conformity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64" w:lineRule="exact"/>
        <w:rPr>
          <w:sz w:val="20"/>
          <w:szCs w:val="20"/>
          <w:color w:val="auto"/>
        </w:rPr>
      </w:pPr>
    </w:p>
    <w:p>
      <w:pPr>
        <w:ind w:right="2959"/>
        <w:spacing w:after="0" w:line="367" w:lineRule="auto"/>
        <w:rPr>
          <w:sz w:val="20"/>
          <w:szCs w:val="20"/>
          <w:color w:val="auto"/>
        </w:rPr>
      </w:pPr>
      <w:r>
        <w:rPr>
          <w:rFonts w:ascii="Courier New" w:cs="Courier New" w:eastAsia="Courier New" w:hAnsi="Courier New"/>
          <w:sz w:val="16"/>
          <w:szCs w:val="16"/>
          <w:color w:val="auto"/>
        </w:rPr>
        <w:t>to original documents of all documents submitted to us as certified or photostatic copies and the authenticity of the originals of such documents.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Based upon the foregoing, we are of the opinion that:</w:t>
      </w:r>
    </w:p>
    <w:p>
      <w:pPr>
        <w:spacing w:after="0" w:line="191" w:lineRule="exact"/>
        <w:rPr>
          <w:sz w:val="20"/>
          <w:szCs w:val="20"/>
          <w:color w:val="auto"/>
        </w:rPr>
      </w:pPr>
    </w:p>
    <w:p>
      <w:pPr>
        <w:ind w:left="1260" w:right="2459" w:firstLine="580"/>
        <w:spacing w:after="0" w:line="254" w:lineRule="auto"/>
        <w:tabs>
          <w:tab w:leader="none" w:pos="242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 Agreement has been duly executed and delivered by the Company to the extent that execution and delivery are governed by New York law and, assuming due authorization, execution and delivery of the Deposit Agreement by the Depositary and that each of the Depositary and the Company has full power, authority and legal right (under Irish law) to enter into and perform its obligations thereunder, constitutes a valid and legally binding agreement of the Company, enforceable in accordance with its terms, subject to bankruptcy, insolvency, reorganization and similar laws of general applicability relating to or affecting creditors' rights generally and to general principles of equity; and the statements set forth under the heading "Description of American Depositary Shares" in the Form 6-K/A filed by the Company with the Commission on March 7, 2003 (File No. 333-08704), insofar as such statements purport to summarize certain provisions of the Deposit Agreement, fairly summarize, in all material respects, such provisions.</w:t>
      </w:r>
    </w:p>
    <w:p>
      <w:pPr>
        <w:spacing w:after="0" w:line="93" w:lineRule="exact"/>
        <w:rPr>
          <w:rFonts w:ascii="Courier New" w:cs="Courier New" w:eastAsia="Courier New" w:hAnsi="Courier New"/>
          <w:sz w:val="16"/>
          <w:szCs w:val="16"/>
          <w:color w:val="auto"/>
        </w:rPr>
      </w:pPr>
    </w:p>
    <w:p>
      <w:pPr>
        <w:ind w:left="1260" w:right="2459" w:firstLine="580"/>
        <w:spacing w:after="0" w:line="261" w:lineRule="auto"/>
        <w:tabs>
          <w:tab w:leader="none" w:pos="242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authority of the Depositary to execute the Deposit Agreement and issue the American Depositary Receipts (the "ADRs"), upon due issuance by the Depositary of the ADRs evidencing ADSs being delivered on the date hereof against the deposit of Shares to be deposited by the Company in respect thereof in accordance with the provisions of the Deposit Agreement, such ADRs will be duly and validly issued and the person in whose name the ADRs are registered will be entitled to the rights specified therein and in the Deposit Agreement.</w:t>
      </w:r>
    </w:p>
    <w:p>
      <w:pPr>
        <w:spacing w:after="0" w:line="89" w:lineRule="exact"/>
        <w:rPr>
          <w:rFonts w:ascii="Courier New" w:cs="Courier New" w:eastAsia="Courier New" w:hAnsi="Courier New"/>
          <w:sz w:val="16"/>
          <w:szCs w:val="16"/>
          <w:color w:val="auto"/>
        </w:rPr>
      </w:pPr>
    </w:p>
    <w:p>
      <w:pPr>
        <w:ind w:left="1260" w:right="2459" w:firstLine="580"/>
        <w:spacing w:after="0" w:line="356" w:lineRule="auto"/>
        <w:tabs>
          <w:tab w:leader="none" w:pos="242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ADSs being delivered on the date hereof by the Company, the issue of the Shares represented by such ADSs,</w:t>
      </w:r>
    </w:p>
    <w:p>
      <w:pPr>
        <w:sectPr>
          <w:pgSz w:w="11900" w:h="17037" w:orient="portrait"/>
          <w:cols w:equalWidth="0" w:num="1">
            <w:col w:w="10219"/>
          </w:cols>
          <w:pgMar w:left="240" w:top="298" w:right="1440" w:bottom="0" w:gutter="0" w:footer="0" w:header="0"/>
        </w:sectPr>
      </w:pPr>
    </w:p>
    <w:bookmarkStart w:id="68" w:name="page69"/>
    <w:bookmarkEnd w:id="68"/>
    <w:p>
      <w:pPr>
        <w:ind w:left="60" w:right="2459"/>
        <w:spacing w:after="0" w:line="253" w:lineRule="auto"/>
        <w:rPr>
          <w:sz w:val="20"/>
          <w:szCs w:val="20"/>
          <w:color w:val="auto"/>
        </w:rPr>
      </w:pPr>
      <w:r>
        <w:rPr>
          <w:rFonts w:ascii="Courier New" w:cs="Courier New" w:eastAsia="Courier New" w:hAnsi="Courier New"/>
          <w:sz w:val="16"/>
          <w:szCs w:val="16"/>
          <w:color w:val="auto"/>
        </w:rPr>
        <w:t>the deposit of the Shares being deposited by the Company with the Depositary against issuance of the ADRs with respect to such Shares to be delivered on the date hereof, the compliance by the Company with all the provisions of the Underwriting Agreements and the Deposit Agreement and the consummation of the transactions contemplated thereby will not conflict with or result in a breach or violation of any of the terms or provisions of, or constitute a default under (A) any existing applicable statutory law, order, rule or regulation of any federal court or governmental agency or body in the United States or the State of New York having jurisdiction over the Company or any of its subsidiaries or any of their properties or (B) any indenture, mortgage, deed of trust, loan agreement or other agreement or instrument known to us to which the Company or any of its subsidiaries is a party or by which the Company or any of its subsidiaries is bound or to which any of the property or assets of the Company or any of its subsidiaries is subject, except as such conflicts, breaches or defaults that individually or in the aggregate</w:t>
      </w:r>
    </w:p>
    <w:p>
      <w:pPr>
        <w:sectPr>
          <w:pgSz w:w="11900" w:h="16838" w:orient="portrait"/>
          <w:cols w:equalWidth="0" w:num="1">
            <w:col w:w="9019"/>
          </w:cols>
          <w:pgMar w:left="1440" w:top="112" w:right="1440" w:bottom="1440" w:gutter="0" w:footer="0" w:header="0"/>
        </w:sectPr>
      </w:pPr>
    </w:p>
    <w:bookmarkStart w:id="69" w:name="page70"/>
    <w:bookmarkEnd w:id="69"/>
    <w:p>
      <w:pPr>
        <w:ind w:left="36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64" w:lineRule="exact"/>
        <w:rPr>
          <w:sz w:val="20"/>
          <w:szCs w:val="20"/>
          <w:color w:val="auto"/>
        </w:rPr>
      </w:pPr>
    </w:p>
    <w:p>
      <w:pPr>
        <w:ind w:left="1260" w:right="2859"/>
        <w:spacing w:after="0" w:line="367" w:lineRule="auto"/>
        <w:rPr>
          <w:sz w:val="20"/>
          <w:szCs w:val="20"/>
          <w:color w:val="auto"/>
        </w:rPr>
      </w:pPr>
      <w:r>
        <w:rPr>
          <w:rFonts w:ascii="Courier New" w:cs="Courier New" w:eastAsia="Courier New" w:hAnsi="Courier New"/>
          <w:sz w:val="16"/>
          <w:szCs w:val="16"/>
          <w:color w:val="auto"/>
        </w:rPr>
        <w:t>would not have a material adverse effect on the Company and its subsidiaries, taken as a whole.</w:t>
      </w:r>
    </w:p>
    <w:p>
      <w:pPr>
        <w:spacing w:after="0" w:line="5" w:lineRule="exact"/>
        <w:rPr>
          <w:sz w:val="20"/>
          <w:szCs w:val="20"/>
          <w:color w:val="auto"/>
        </w:rPr>
      </w:pPr>
    </w:p>
    <w:p>
      <w:pPr>
        <w:ind w:left="1260" w:right="2659" w:firstLine="580"/>
        <w:spacing w:after="0" w:line="257" w:lineRule="auto"/>
        <w:tabs>
          <w:tab w:leader="none" w:pos="242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consents, approvals, authorizations, orders, registrations, notifications, certificates, permits, licenses, clearances or qualifications of the United States or the State of New York is required for the issue of the Shares, the sale and delivery of the ADSs or the consummation by the Company and the Selling Shareholders of the transactions contemplated by the Underwriting Agreements and the Deposit Agreement, except the registration under the 1933 Act of the Shares and the ADSs, and such consents, approvals, authorizations, registrations or qualifications as may be required under state securities or Blue Sky laws in connection with the purchase and distribution of the ADSs by the Underwriters.</w:t>
      </w:r>
    </w:p>
    <w:p>
      <w:pPr>
        <w:spacing w:after="0" w:line="93" w:lineRule="exact"/>
        <w:rPr>
          <w:sz w:val="20"/>
          <w:szCs w:val="20"/>
          <w:color w:val="auto"/>
        </w:rPr>
      </w:pPr>
    </w:p>
    <w:p>
      <w:pPr>
        <w:ind w:right="2559" w:firstLine="1260"/>
        <w:spacing w:after="0" w:line="307" w:lineRule="auto"/>
        <w:rPr>
          <w:sz w:val="20"/>
          <w:szCs w:val="20"/>
          <w:color w:val="auto"/>
        </w:rPr>
      </w:pPr>
      <w:r>
        <w:rPr>
          <w:rFonts w:ascii="Courier New" w:cs="Courier New" w:eastAsia="Courier New" w:hAnsi="Courier New"/>
          <w:sz w:val="16"/>
          <w:szCs w:val="16"/>
          <w:color w:val="auto"/>
        </w:rPr>
        <w:t>We are admitted to practice law only in the State of New York, and accordingly, we express no opinion on the laws of any jurisdiction other than those of the State of New York and the federal laws of the United States.</w:t>
      </w:r>
    </w:p>
    <w:p>
      <w:pPr>
        <w:spacing w:after="0" w:line="50" w:lineRule="exact"/>
        <w:rPr>
          <w:sz w:val="20"/>
          <w:szCs w:val="20"/>
          <w:color w:val="auto"/>
        </w:rPr>
      </w:pPr>
    </w:p>
    <w:p>
      <w:pPr>
        <w:ind w:right="2559" w:firstLine="1260"/>
        <w:spacing w:after="0" w:line="276" w:lineRule="auto"/>
        <w:rPr>
          <w:sz w:val="20"/>
          <w:szCs w:val="20"/>
          <w:color w:val="auto"/>
        </w:rPr>
      </w:pPr>
      <w:r>
        <w:rPr>
          <w:rFonts w:ascii="Courier New" w:cs="Courier New" w:eastAsia="Courier New" w:hAnsi="Courier New"/>
          <w:sz w:val="16"/>
          <w:szCs w:val="16"/>
          <w:color w:val="auto"/>
        </w:rPr>
        <w:t>This opinion letter may not be relied upon, other than by A&amp;L Goodbody for the purpose of the opinion to be given by them in connection with the Registration Statement, or distributed to any person other than you without our prior written consent. We hereby consent to the filing of this letter as Exhibit 5.2 to the Registration Statement.</w:t>
      </w:r>
    </w:p>
    <w:p>
      <w:pPr>
        <w:spacing w:after="0" w:line="76"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19"/>
          </w:cols>
          <w:pgMar w:left="240" w:top="832" w:right="1440" w:bottom="1440" w:gutter="0" w:footer="0" w:header="0"/>
        </w:sectPr>
      </w:pPr>
    </w:p>
    <w:bookmarkStart w:id="70" w:name="page71"/>
    <w:bookmarkEnd w:id="70"/>
    <w:p>
      <w:pPr>
        <w:spacing w:after="0" w:line="29"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PRIVATE AND CONFIDENTIAL</w:t>
            </w:r>
          </w:p>
        </w:tc>
        <w:tc>
          <w:tcPr>
            <w:tcW w:w="3700" w:type="dxa"/>
            <w:vAlign w:val="bottom"/>
            <w:vMerge w:val="restart"/>
          </w:tcPr>
          <w:p>
            <w:pPr>
              <w:ind w:left="1560"/>
              <w:spacing w:after="0"/>
              <w:rPr>
                <w:sz w:val="20"/>
                <w:szCs w:val="20"/>
                <w:color w:val="auto"/>
              </w:rPr>
            </w:pPr>
            <w:r>
              <w:rPr>
                <w:rFonts w:ascii="Courier New" w:cs="Courier New" w:eastAsia="Courier New" w:hAnsi="Courier New"/>
                <w:sz w:val="16"/>
                <w:szCs w:val="16"/>
                <w:color w:val="auto"/>
              </w:rPr>
              <w:t>Our ref  COS/EM/318683</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Mr S Leech</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ICON plc</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South County Business Park</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Leopardstown</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Dublin 18.</w:t>
            </w: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2"/>
        </w:trPr>
        <w:tc>
          <w:tcPr>
            <w:tcW w:w="4060" w:type="dxa"/>
            <w:vAlign w:val="bottom"/>
          </w:tcPr>
          <w:p>
            <w:pPr>
              <w:spacing w:after="0"/>
              <w:rPr>
                <w:sz w:val="20"/>
                <w:szCs w:val="20"/>
                <w:color w:val="auto"/>
              </w:rPr>
            </w:pPr>
            <w:r>
              <w:rPr>
                <w:rFonts w:ascii="Courier New" w:cs="Courier New" w:eastAsia="Courier New" w:hAnsi="Courier New"/>
                <w:sz w:val="16"/>
                <w:szCs w:val="16"/>
                <w:color w:val="auto"/>
              </w:rPr>
              <w:t>[  ] 2003</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Dear Sean</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ICON PLC</w:t>
      </w:r>
    </w:p>
    <w:p>
      <w:pPr>
        <w:spacing w:after="0" w:line="35" w:lineRule="exact"/>
        <w:rPr>
          <w:sz w:val="20"/>
          <w:szCs w:val="20"/>
          <w:color w:val="auto"/>
        </w:rPr>
      </w:pPr>
    </w:p>
    <w:p>
      <w:pPr>
        <w:ind w:left="1" w:right="2759"/>
        <w:spacing w:after="0" w:line="327" w:lineRule="auto"/>
        <w:rPr>
          <w:sz w:val="20"/>
          <w:szCs w:val="20"/>
          <w:color w:val="auto"/>
        </w:rPr>
      </w:pPr>
      <w:r>
        <w:rPr>
          <w:rFonts w:ascii="Courier New" w:cs="Courier New" w:eastAsia="Courier New" w:hAnsi="Courier New"/>
          <w:sz w:val="16"/>
          <w:szCs w:val="16"/>
          <w:color w:val="auto"/>
        </w:rPr>
        <w:t>TAX CONSEQUENCES OF THE OWNERSHIP AND DISPOSITION OF ADS'S AND ORDINARY SHARE BY US HOLDERS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 attach for your attention an extract from the prospectus of ICON plc dated</w:t>
      </w:r>
    </w:p>
    <w:p>
      <w:pPr>
        <w:spacing w:after="0" w:line="35" w:lineRule="exact"/>
        <w:rPr>
          <w:sz w:val="20"/>
          <w:szCs w:val="20"/>
          <w:color w:val="auto"/>
        </w:rPr>
      </w:pPr>
    </w:p>
    <w:p>
      <w:pPr>
        <w:ind w:left="1" w:right="2459" w:hanging="1"/>
        <w:spacing w:after="0" w:line="287" w:lineRule="auto"/>
        <w:tabs>
          <w:tab w:leader="none" w:pos="77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2003 which is our opinion in relation to Irish taxation matters ("our opinion"). The terms used in this letter shall have the same meanings assigned to them in the said prospectus.</w:t>
      </w:r>
    </w:p>
    <w:p>
      <w:pPr>
        <w:spacing w:after="0" w:line="65" w:lineRule="exact"/>
        <w:rPr>
          <w:sz w:val="20"/>
          <w:szCs w:val="20"/>
          <w:color w:val="auto"/>
        </w:rPr>
      </w:pPr>
    </w:p>
    <w:p>
      <w:pPr>
        <w:ind w:left="1" w:right="2459"/>
        <w:spacing w:after="0" w:line="307" w:lineRule="auto"/>
        <w:rPr>
          <w:sz w:val="20"/>
          <w:szCs w:val="20"/>
          <w:color w:val="auto"/>
        </w:rPr>
      </w:pPr>
      <w:r>
        <w:rPr>
          <w:rFonts w:ascii="Courier New" w:cs="Courier New" w:eastAsia="Courier New" w:hAnsi="Courier New"/>
          <w:sz w:val="16"/>
          <w:szCs w:val="16"/>
          <w:color w:val="auto"/>
        </w:rPr>
        <w:t>Our opinion accurately summarises the material Irish taxation consequences to US holders of the acquisition, ownership and disposition of ordinary shares and ADS's.</w:t>
      </w:r>
    </w:p>
    <w:p>
      <w:pPr>
        <w:spacing w:after="0" w:line="50" w:lineRule="exact"/>
        <w:rPr>
          <w:sz w:val="20"/>
          <w:szCs w:val="20"/>
          <w:color w:val="auto"/>
        </w:rPr>
      </w:pPr>
    </w:p>
    <w:p>
      <w:pPr>
        <w:ind w:left="1" w:right="2459"/>
        <w:spacing w:after="0" w:line="307" w:lineRule="auto"/>
        <w:rPr>
          <w:sz w:val="20"/>
          <w:szCs w:val="20"/>
          <w:color w:val="auto"/>
        </w:rPr>
      </w:pPr>
      <w:r>
        <w:rPr>
          <w:rFonts w:ascii="Courier New" w:cs="Courier New" w:eastAsia="Courier New" w:hAnsi="Courier New"/>
          <w:sz w:val="16"/>
          <w:szCs w:val="16"/>
          <w:color w:val="auto"/>
        </w:rPr>
        <w:t>The opinion is qualified in its entirety by the fact that it may not address all such potential consequences based upon specific circumstances which may be relevant to particular non-resident holders.</w:t>
      </w:r>
    </w:p>
    <w:p>
      <w:pPr>
        <w:spacing w:after="0" w:line="50" w:lineRule="exact"/>
        <w:rPr>
          <w:sz w:val="20"/>
          <w:szCs w:val="20"/>
          <w:color w:val="auto"/>
        </w:rPr>
      </w:pPr>
    </w:p>
    <w:p>
      <w:pPr>
        <w:ind w:left="1" w:right="2659"/>
        <w:spacing w:after="0" w:line="307" w:lineRule="auto"/>
        <w:rPr>
          <w:sz w:val="20"/>
          <w:szCs w:val="20"/>
          <w:color w:val="auto"/>
        </w:rPr>
      </w:pPr>
      <w:r>
        <w:rPr>
          <w:rFonts w:ascii="Courier New" w:cs="Courier New" w:eastAsia="Courier New" w:hAnsi="Courier New"/>
          <w:sz w:val="16"/>
          <w:szCs w:val="16"/>
          <w:color w:val="auto"/>
        </w:rPr>
        <w:t>This opinion is given as of the date hereof and is based on current Irish legislation, judicial interpretations thereof and known practices of the Irish Revenue Commissioners, all of which are subject to change.</w:t>
      </w:r>
    </w:p>
    <w:p>
      <w:pPr>
        <w:spacing w:after="0" w:line="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Yours faithfully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left="1" w:right="2459"/>
        <w:spacing w:after="0" w:line="255" w:lineRule="auto"/>
        <w:rPr>
          <w:sz w:val="20"/>
          <w:szCs w:val="20"/>
          <w:color w:val="auto"/>
        </w:rPr>
      </w:pPr>
      <w:r>
        <w:rPr>
          <w:rFonts w:ascii="Courier New" w:cs="Courier New" w:eastAsia="Courier New" w:hAnsi="Courier New"/>
          <w:sz w:val="16"/>
          <w:szCs w:val="16"/>
          <w:color w:val="auto"/>
        </w:rPr>
        <w:t>Set forth below is the opinion of KPMG, Tax Advisers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1997, a general anti-avoidance section, enabling the Irish Revenue Commissioners to recharacterise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left="1" w:right="2459" w:firstLine="872"/>
        <w:spacing w:after="0" w:line="25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9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881"/>
        <w:spacing w:after="0"/>
        <w:tabs>
          <w:tab w:leader="none" w:pos="1140" w:val="left"/>
        </w:tabs>
        <w:rPr>
          <w:sz w:val="20"/>
          <w:szCs w:val="20"/>
          <w:color w:val="auto"/>
        </w:rPr>
      </w:pPr>
      <w:r>
        <w:rPr>
          <w:rFonts w:ascii="Courier New" w:cs="Courier New" w:eastAsia="Courier New" w:hAnsi="Courier New"/>
          <w:sz w:val="16"/>
          <w:szCs w:val="16"/>
          <w:color w:val="auto"/>
        </w:rPr>
        <w:t>o</w:t>
        <w:tab/>
        <w:t>are ultimately controlled by residents of a Relevant Territory;</w:t>
      </w:r>
    </w:p>
    <w:p>
      <w:pPr>
        <w:sectPr>
          <w:pgSz w:w="11900" w:h="16867" w:orient="portrait"/>
          <w:cols w:equalWidth="0" w:num="1">
            <w:col w:w="10220"/>
          </w:cols>
          <w:pgMar w:left="239" w:top="112" w:right="1440" w:bottom="0" w:gutter="0" w:footer="0" w:header="0"/>
        </w:sectPr>
      </w:pPr>
    </w:p>
    <w:bookmarkStart w:id="71" w:name="page72"/>
    <w:bookmarkEnd w:id="71"/>
    <w:p>
      <w:pPr>
        <w:ind w:left="289" w:right="2459" w:hanging="289"/>
        <w:spacing w:after="0" w:line="367" w:lineRule="auto"/>
        <w:tabs>
          <w:tab w:leader="none" w:pos="28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4" w:lineRule="exact"/>
        <w:rPr>
          <w:rFonts w:ascii="Courier New" w:cs="Courier New" w:eastAsia="Courier New" w:hAnsi="Courier New"/>
          <w:sz w:val="16"/>
          <w:szCs w:val="16"/>
          <w:color w:val="auto"/>
        </w:rPr>
      </w:pPr>
    </w:p>
    <w:p>
      <w:pPr>
        <w:ind w:left="289" w:right="2459" w:hanging="289"/>
        <w:spacing w:after="0" w:line="307" w:lineRule="auto"/>
        <w:tabs>
          <w:tab w:leader="none" w:pos="28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ectPr>
          <w:pgSz w:w="11900" w:h="16838" w:orient="portrait"/>
          <w:cols w:equalWidth="0" w:num="1">
            <w:col w:w="9348"/>
          </w:cols>
          <w:pgMar w:left="1111" w:top="298" w:right="1440" w:bottom="1440" w:gutter="0" w:footer="0" w:header="0"/>
        </w:sectPr>
      </w:pPr>
    </w:p>
    <w:bookmarkStart w:id="72" w:name="page73"/>
    <w:bookmarkEnd w:id="72"/>
    <w:p>
      <w:pPr>
        <w:ind w:left="1160" w:right="2459" w:hanging="289"/>
        <w:spacing w:after="0" w:line="307" w:lineRule="auto"/>
        <w:tabs>
          <w:tab w:leader="none" w:pos="11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50" w:lineRule="exact"/>
        <w:rPr>
          <w:sz w:val="20"/>
          <w:szCs w:val="20"/>
          <w:color w:val="auto"/>
        </w:rPr>
      </w:pPr>
    </w:p>
    <w:p>
      <w:pPr>
        <w:ind w:right="3539" w:firstLine="872"/>
        <w:spacing w:after="0" w:line="367"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5" w:lineRule="exact"/>
        <w:rPr>
          <w:sz w:val="20"/>
          <w:szCs w:val="20"/>
          <w:color w:val="auto"/>
        </w:rPr>
      </w:pPr>
    </w:p>
    <w:p>
      <w:pPr>
        <w:ind w:right="2959"/>
        <w:spacing w:after="0" w:line="276"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of ordinary shares (as opposed to ADSs: see below) should note, however, that these documentation requirements may be burdensome. As described below, these documentation requirements do not apply in the case of ADSs.</w:t>
      </w:r>
    </w:p>
    <w:p>
      <w:pPr>
        <w:spacing w:after="0" w:line="76"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65" w:lineRule="exact"/>
        <w:rPr>
          <w:sz w:val="20"/>
          <w:szCs w:val="20"/>
          <w:color w:val="auto"/>
        </w:rPr>
      </w:pPr>
    </w:p>
    <w:p>
      <w:pPr>
        <w:ind w:left="1160" w:right="2759" w:hanging="289"/>
        <w:spacing w:after="0" w:line="307" w:lineRule="auto"/>
        <w:tabs>
          <w:tab w:leader="none" w:pos="11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revoked; and either</w:t>
      </w:r>
    </w:p>
    <w:p>
      <w:pPr>
        <w:spacing w:after="0" w:line="49" w:lineRule="exact"/>
        <w:rPr>
          <w:rFonts w:ascii="Courier New" w:cs="Courier New" w:eastAsia="Courier New" w:hAnsi="Courier New"/>
          <w:sz w:val="16"/>
          <w:szCs w:val="16"/>
          <w:color w:val="auto"/>
        </w:rPr>
      </w:pPr>
    </w:p>
    <w:p>
      <w:pPr>
        <w:ind w:left="1160" w:right="2659" w:hanging="289"/>
        <w:spacing w:after="0" w:line="367" w:lineRule="auto"/>
        <w:tabs>
          <w:tab w:leader="none" w:pos="11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4" w:lineRule="exact"/>
        <w:rPr>
          <w:rFonts w:ascii="Courier New" w:cs="Courier New" w:eastAsia="Courier New" w:hAnsi="Courier New"/>
          <w:sz w:val="16"/>
          <w:szCs w:val="16"/>
          <w:color w:val="auto"/>
        </w:rPr>
      </w:pPr>
    </w:p>
    <w:p>
      <w:pPr>
        <w:ind w:left="1160" w:right="2659" w:hanging="289"/>
        <w:spacing w:after="0" w:line="287" w:lineRule="auto"/>
        <w:tabs>
          <w:tab w:leader="none" w:pos="11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6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65" w:lineRule="exact"/>
        <w:rPr>
          <w:sz w:val="20"/>
          <w:szCs w:val="20"/>
          <w:color w:val="auto"/>
        </w:rPr>
      </w:pPr>
    </w:p>
    <w:p>
      <w:pPr>
        <w:ind w:right="2459" w:firstLine="872"/>
        <w:spacing w:after="0" w:line="30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50" w:lineRule="exact"/>
        <w:rPr>
          <w:sz w:val="20"/>
          <w:szCs w:val="20"/>
          <w:color w:val="auto"/>
        </w:rPr>
      </w:pPr>
    </w:p>
    <w:p>
      <w:pPr>
        <w:ind w:left="880"/>
        <w:spacing w:after="0"/>
        <w:tabs>
          <w:tab w:leader="none" w:pos="1140" w:val="left"/>
        </w:tabs>
        <w:rPr>
          <w:sz w:val="20"/>
          <w:szCs w:val="20"/>
          <w:color w:val="auto"/>
        </w:rPr>
      </w:pPr>
      <w:r>
        <w:rPr>
          <w:rFonts w:ascii="Courier New" w:cs="Courier New" w:eastAsia="Courier New" w:hAnsi="Courier New"/>
          <w:sz w:val="16"/>
          <w:szCs w:val="16"/>
          <w:color w:val="auto"/>
        </w:rPr>
        <w:t>o</w:t>
        <w:tab/>
        <w:t>an individual resident in the U.S. (or several other countries);</w:t>
      </w:r>
    </w:p>
    <w:p>
      <w:pPr>
        <w:sectPr>
          <w:pgSz w:w="11900" w:h="16838" w:orient="portrait"/>
          <w:cols w:equalWidth="0" w:num="1">
            <w:col w:w="10219"/>
          </w:cols>
          <w:pgMar w:left="240" w:top="832" w:right="1440" w:bottom="1440" w:gutter="0" w:footer="0" w:header="0"/>
        </w:sectPr>
      </w:pPr>
    </w:p>
    <w:bookmarkStart w:id="73" w:name="page74"/>
    <w:bookmarkEnd w:id="73"/>
    <w:p>
      <w:pPr>
        <w:ind w:left="1160" w:right="2659" w:hanging="289"/>
        <w:spacing w:after="0" w:line="367" w:lineRule="auto"/>
        <w:tabs>
          <w:tab w:leader="none" w:pos="11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4" w:lineRule="exact"/>
        <w:rPr>
          <w:rFonts w:ascii="Courier New" w:cs="Courier New" w:eastAsia="Courier New" w:hAnsi="Courier New"/>
          <w:sz w:val="16"/>
          <w:szCs w:val="16"/>
          <w:color w:val="auto"/>
        </w:rPr>
      </w:pPr>
    </w:p>
    <w:p>
      <w:pPr>
        <w:ind w:left="1160" w:right="2459" w:hanging="289"/>
        <w:spacing w:after="0" w:line="287" w:lineRule="auto"/>
        <w:tabs>
          <w:tab w:leader="none" w:pos="11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64" w:lineRule="exact"/>
        <w:rPr>
          <w:rFonts w:ascii="Courier New" w:cs="Courier New" w:eastAsia="Courier New" w:hAnsi="Courier New"/>
          <w:sz w:val="16"/>
          <w:szCs w:val="16"/>
          <w:color w:val="auto"/>
        </w:rPr>
      </w:pPr>
    </w:p>
    <w:p>
      <w:pPr>
        <w:ind w:left="1160" w:right="2559" w:hanging="289"/>
        <w:spacing w:after="0" w:line="307" w:lineRule="auto"/>
        <w:tabs>
          <w:tab w:leader="none" w:pos="11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49" w:lineRule="exact"/>
        <w:rPr>
          <w:rFonts w:ascii="Courier New" w:cs="Courier New" w:eastAsia="Courier New" w:hAnsi="Courier New"/>
          <w:sz w:val="16"/>
          <w:szCs w:val="16"/>
          <w:color w:val="auto"/>
        </w:rPr>
      </w:pPr>
    </w:p>
    <w:p>
      <w:pPr>
        <w:ind w:left="1160" w:right="2559" w:hanging="289"/>
        <w:spacing w:after="0" w:line="287" w:lineRule="auto"/>
        <w:tabs>
          <w:tab w:leader="none" w:pos="11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65" w:lineRule="exact"/>
        <w:rPr>
          <w:sz w:val="20"/>
          <w:szCs w:val="20"/>
          <w:color w:val="auto"/>
        </w:rPr>
      </w:pPr>
    </w:p>
    <w:p>
      <w:pPr>
        <w:ind w:right="2559" w:firstLine="872"/>
        <w:spacing w:after="0" w:line="276"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872"/>
        <w:spacing w:after="0" w:line="260"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Finance Act, 2003, has introduced provisions to subject a person who disposes of an interest in a company while temporarily non-resident in the Republic of Ireland, to Irish capital gains tax. This treatment will apply to individuals who:</w:t>
      </w:r>
    </w:p>
    <w:p>
      <w:pPr>
        <w:spacing w:after="0" w:line="86" w:lineRule="exact"/>
        <w:rPr>
          <w:sz w:val="20"/>
          <w:szCs w:val="20"/>
          <w:color w:val="auto"/>
        </w:rPr>
      </w:pPr>
    </w:p>
    <w:p>
      <w:pPr>
        <w:ind w:left="1160" w:hanging="289"/>
        <w:spacing w:after="0"/>
        <w:tabs>
          <w:tab w:leader="none" w:pos="11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w:t>
      </w:r>
    </w:p>
    <w:p>
      <w:pPr>
        <w:spacing w:after="0" w:line="191" w:lineRule="exact"/>
        <w:rPr>
          <w:rFonts w:ascii="Courier New" w:cs="Courier New" w:eastAsia="Courier New" w:hAnsi="Courier New"/>
          <w:sz w:val="16"/>
          <w:szCs w:val="16"/>
          <w:color w:val="auto"/>
        </w:rPr>
      </w:pPr>
    </w:p>
    <w:p>
      <w:pPr>
        <w:ind w:left="1160" w:hanging="289"/>
        <w:spacing w:after="0"/>
        <w:tabs>
          <w:tab w:leader="none" w:pos="11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1160" w:hanging="289"/>
        <w:spacing w:after="0"/>
        <w:tabs>
          <w:tab w:leader="none" w:pos="11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1160" w:right="3539" w:hanging="289"/>
        <w:spacing w:after="0" w:line="367" w:lineRule="auto"/>
        <w:tabs>
          <w:tab w:leader="none" w:pos="11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ectPr>
          <w:pgSz w:w="11900" w:h="16838" w:orient="portrait"/>
          <w:cols w:equalWidth="0" w:num="1">
            <w:col w:w="10219"/>
          </w:cols>
          <w:pgMar w:left="240" w:top="832" w:right="1440" w:bottom="1440" w:gutter="0" w:footer="0" w:header="0"/>
        </w:sectPr>
      </w:pPr>
    </w:p>
    <w:bookmarkStart w:id="74" w:name="page75"/>
    <w:bookmarkEnd w:id="74"/>
    <w:p>
      <w:pPr>
        <w:ind w:left="1160" w:right="3039" w:hanging="289"/>
        <w:spacing w:after="0" w:line="367" w:lineRule="auto"/>
        <w:tabs>
          <w:tab w:leader="none" w:pos="11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e500,000.</w:t>
      </w:r>
    </w:p>
    <w:p>
      <w:pPr>
        <w:spacing w:after="0" w:line="5"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 - ORDINARY SHARES</w:t>
      </w:r>
    </w:p>
    <w:p>
      <w:pPr>
        <w:spacing w:after="0" w:line="191" w:lineRule="exact"/>
        <w:rPr>
          <w:sz w:val="20"/>
          <w:szCs w:val="20"/>
          <w:color w:val="auto"/>
        </w:rPr>
      </w:pPr>
    </w:p>
    <w:p>
      <w:pPr>
        <w:ind w:right="2459" w:firstLine="872"/>
        <w:spacing w:after="0" w:line="258"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93" w:lineRule="exact"/>
        <w:rPr>
          <w:sz w:val="20"/>
          <w:szCs w:val="20"/>
          <w:color w:val="auto"/>
        </w:rPr>
      </w:pPr>
    </w:p>
    <w:p>
      <w:pPr>
        <w:ind w:right="2559" w:firstLine="872"/>
        <w:spacing w:after="0" w:line="264" w:lineRule="auto"/>
        <w:rPr>
          <w:sz w:val="20"/>
          <w:szCs w:val="20"/>
          <w:color w:val="auto"/>
        </w:rPr>
      </w:pPr>
      <w:r>
        <w:rPr>
          <w:rFonts w:ascii="Courier New" w:cs="Courier New" w:eastAsia="Courier New" w:hAnsi="Courier New"/>
          <w:sz w:val="16"/>
          <w:szCs w:val="16"/>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e12.50 (the nominal rate) will apply.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 - ADSS</w:t>
      </w:r>
    </w:p>
    <w:p>
      <w:pPr>
        <w:spacing w:after="0" w:line="191" w:lineRule="exact"/>
        <w:rPr>
          <w:sz w:val="20"/>
          <w:szCs w:val="20"/>
          <w:color w:val="auto"/>
        </w:rPr>
      </w:pPr>
    </w:p>
    <w:p>
      <w:pPr>
        <w:ind w:right="2459" w:firstLine="872"/>
        <w:spacing w:after="0" w:line="255"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e12.50 applies.</w:t>
      </w:r>
    </w:p>
    <w:p>
      <w:pPr>
        <w:sectPr>
          <w:pgSz w:w="11900" w:h="16838" w:orient="portrait"/>
          <w:cols w:equalWidth="0" w:num="1">
            <w:col w:w="10219"/>
          </w:cols>
          <w:pgMar w:left="240" w:top="832" w:right="1440" w:bottom="1440" w:gutter="0" w:footer="0" w:header="0"/>
        </w:sectPr>
      </w:pPr>
    </w:p>
    <w:bookmarkStart w:id="75" w:name="page76"/>
    <w:bookmarkEnd w:id="75"/>
    <w:p>
      <w:pPr>
        <w:jc w:val="both"/>
        <w:ind w:right="2559" w:firstLine="872"/>
        <w:spacing w:after="0" w:line="30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50"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ectPr>
          <w:pgSz w:w="11900" w:h="16838" w:orient="portrait"/>
          <w:cols w:equalWidth="0" w:num="1">
            <w:col w:w="10219"/>
          </w:cols>
          <w:pgMar w:left="240" w:top="832"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559" w:firstLine="872"/>
        <w:spacing w:after="0" w:line="258"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93" w:lineRule="exact"/>
        <w:rPr>
          <w:sz w:val="20"/>
          <w:szCs w:val="20"/>
          <w:color w:val="auto"/>
        </w:rPr>
      </w:pPr>
    </w:p>
    <w:p>
      <w:pPr>
        <w:ind w:right="2559" w:firstLine="872"/>
        <w:spacing w:after="0" w:line="266"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ectPr>
          <w:pgSz w:w="11900" w:h="16838" w:orient="portrait"/>
          <w:cols w:equalWidth="0" w:num="1">
            <w:col w:w="10219"/>
          </w:cols>
          <w:pgMar w:left="240" w:top="1205"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[Graphic Omitted]</w:t>
            </w:r>
          </w:p>
        </w:tc>
        <w:tc>
          <w:tcPr>
            <w:tcW w:w="1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559"/>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Chartered Accountants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7"/>
        </w:trPr>
        <w:tc>
          <w:tcPr>
            <w:tcW w:w="2480" w:type="dxa"/>
            <w:vAlign w:val="bottom"/>
          </w:tcPr>
          <w:p>
            <w:pPr>
              <w:spacing w:after="0"/>
              <w:rPr>
                <w:sz w:val="20"/>
                <w:szCs w:val="20"/>
                <w:color w:val="auto"/>
              </w:rPr>
            </w:pPr>
            <w:r>
              <w:rPr>
                <w:rFonts w:ascii="Courier New" w:cs="Courier New" w:eastAsia="Courier New" w:hAnsi="Courier New"/>
                <w:sz w:val="16"/>
                <w:szCs w:val="16"/>
                <w:color w:val="auto"/>
              </w:rPr>
              <w:t>5 George's Dock</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Telephone</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1000</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IFSC</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Fax</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1470</w:t>
            </w:r>
          </w:p>
        </w:tc>
      </w:tr>
      <w:tr>
        <w:trPr>
          <w:trHeight w:val="216"/>
        </w:trPr>
        <w:tc>
          <w:tcPr>
            <w:tcW w:w="2480" w:type="dxa"/>
            <w:vAlign w:val="bottom"/>
          </w:tcPr>
          <w:p>
            <w:pPr>
              <w:spacing w:after="0"/>
              <w:rPr>
                <w:sz w:val="20"/>
                <w:szCs w:val="20"/>
                <w:color w:val="auto"/>
              </w:rPr>
            </w:pPr>
            <w:r>
              <w:rPr>
                <w:rFonts w:ascii="Courier New" w:cs="Courier New" w:eastAsia="Courier New" w:hAnsi="Courier New"/>
                <w:sz w:val="16"/>
                <w:szCs w:val="16"/>
                <w:color w:val="auto"/>
              </w:rPr>
              <w:t>Dublin 1</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Internet</w:t>
            </w:r>
          </w:p>
        </w:tc>
        <w:tc>
          <w:tcPr>
            <w:tcW w:w="11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www.kpmg.ie</w:t>
            </w:r>
          </w:p>
        </w:tc>
        <w:tc>
          <w:tcPr>
            <w:tcW w:w="380" w:type="dxa"/>
            <w:vAlign w:val="bottom"/>
          </w:tcPr>
          <w:p>
            <w:pPr>
              <w:spacing w:after="0"/>
              <w:rPr>
                <w:sz w:val="18"/>
                <w:szCs w:val="18"/>
                <w:color w:val="auto"/>
              </w:rPr>
            </w:pPr>
          </w:p>
        </w:tc>
      </w:tr>
    </w:tbl>
    <w:p>
      <w:pPr>
        <w:spacing w:after="0"/>
        <w:rPr>
          <w:sz w:val="20"/>
          <w:szCs w:val="20"/>
          <w:color w:val="auto"/>
        </w:rPr>
      </w:pPr>
      <w:r>
        <w:rPr>
          <w:rFonts w:ascii="Courier New" w:cs="Courier New" w:eastAsia="Courier New" w:hAnsi="Courier New"/>
          <w:sz w:val="16"/>
          <w:szCs w:val="16"/>
          <w:color w:val="auto"/>
        </w:rPr>
        <w:t>Ireland</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348"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We consent to the use of our report dated July 26, 2002, with respect to the consolidated balance sheets of ICON plc as of May 31, 2001 and 2002, and the related consolidated statements of operations, shareholders' equity and comprehensive income and cash flows for each of the years in the three-year period ended May 31, 2002, incorporated herein by reference and to the reference to our firm under the heading "Experts" in Amendment No. 3 to Form F-3 (Registration number 333-102893).</w:t>
      </w: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 2003</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lvl w:ilvl="1">
      <w:lvlJc w:val="left"/>
      <w:lvlText w:val="(%2)"/>
      <w:numFmt w:val="decimal"/>
      <w:start w:val="1"/>
    </w:lvl>
  </w:abstractNum>
  <w:abstractNum w:abstractNumId="2">
    <w:nsid w:val="721DA317"/>
    <w:multiLevelType w:val="hybridMultilevel"/>
    <w:lvl w:ilvl="0">
      <w:lvlJc w:val="left"/>
      <w:lvlText w:val="(%1)"/>
      <w:numFmt w:val="decimal"/>
      <w:start w:val="4"/>
    </w:lvl>
  </w:abstractNum>
  <w:abstractNum w:abstractNumId="3">
    <w:nsid w:val="2443A858"/>
    <w:multiLevelType w:val="hybridMultilevel"/>
    <w:lvl w:ilvl="0">
      <w:lvlJc w:val="left"/>
      <w:lvlText w:val="o"/>
      <w:numFmt w:val="bullet"/>
      <w:start w:val="1"/>
    </w:lvl>
  </w:abstractNum>
  <w:abstractNum w:abstractNumId="4">
    <w:nsid w:val="2D1D5AE9"/>
    <w:multiLevelType w:val="hybridMultilevel"/>
    <w:lvl w:ilvl="0">
      <w:lvlJc w:val="left"/>
      <w:lvlText w:val="o"/>
      <w:numFmt w:val="bullet"/>
      <w:start w:val="1"/>
    </w:lvl>
  </w:abstractNum>
  <w:abstractNum w:abstractNumId="5">
    <w:nsid w:val="6763845E"/>
    <w:multiLevelType w:val="hybridMultilevel"/>
    <w:lvl w:ilvl="0">
      <w:lvlJc w:val="left"/>
      <w:lvlText w:val="o"/>
      <w:numFmt w:val="bullet"/>
      <w:start w:val="1"/>
    </w:lvl>
  </w:abstractNum>
  <w:abstractNum w:abstractNumId="6">
    <w:nsid w:val="75A2A8D4"/>
    <w:multiLevelType w:val="hybridMultilevel"/>
    <w:lvl w:ilvl="0">
      <w:lvlJc w:val="left"/>
      <w:lvlText w:val="-"/>
      <w:numFmt w:val="bullet"/>
      <w:start w:val="1"/>
    </w:lvl>
    <w:lvl w:ilvl="1">
      <w:lvlJc w:val="left"/>
      <w:lvlText w:val="(%2)"/>
      <w:numFmt w:val="decimal"/>
      <w:start w:val="1"/>
    </w:lvl>
  </w:abstractNum>
  <w:abstractNum w:abstractNumId="7">
    <w:nsid w:val="8EDBDAB"/>
    <w:multiLevelType w:val="hybridMultilevel"/>
    <w:lvl w:ilvl="0">
      <w:lvlJc w:val="left"/>
      <w:lvlText w:val="-"/>
      <w:numFmt w:val="bullet"/>
      <w:start w:val="1"/>
    </w:lvl>
    <w:lvl w:ilvl="1">
      <w:lvlJc w:val="left"/>
      <w:lvlText w:val="(%2)"/>
      <w:numFmt w:val="decimal"/>
      <w:start w:val="1"/>
    </w:lvl>
  </w:abstractNum>
  <w:abstractNum w:abstractNumId="8">
    <w:nsid w:val="79838CB2"/>
    <w:multiLevelType w:val="hybridMultilevel"/>
    <w:lvl w:ilvl="0">
      <w:lvlJc w:val="left"/>
      <w:lvlText w:val="o"/>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o"/>
      <w:numFmt w:val="bullet"/>
      <w:start w:val="1"/>
    </w:lvl>
  </w:abstractNum>
  <w:abstractNum w:abstractNumId="12">
    <w:nsid w:val="54E49EB4"/>
    <w:multiLevelType w:val="hybridMultilevel"/>
    <w:lvl w:ilvl="0">
      <w:lvlJc w:val="left"/>
      <w:lvlText w:val="o"/>
      <w:numFmt w:val="bullet"/>
      <w:start w:val="1"/>
    </w:lvl>
  </w:abstractNum>
  <w:abstractNum w:abstractNumId="13">
    <w:nsid w:val="71F32454"/>
    <w:multiLevelType w:val="hybridMultilevel"/>
    <w:lvl w:ilvl="0">
      <w:lvlJc w:val="left"/>
      <w:lvlText w:val="o"/>
      <w:numFmt w:val="bullet"/>
      <w:start w:val="1"/>
    </w:lvl>
  </w:abstractNum>
  <w:abstractNum w:abstractNumId="14">
    <w:nsid w:val="2CA88611"/>
    <w:multiLevelType w:val="hybridMultilevel"/>
    <w:lvl w:ilvl="0">
      <w:lvlJc w:val="left"/>
      <w:lvlText w:val="o"/>
      <w:numFmt w:val="bullet"/>
      <w:start w:val="1"/>
    </w:lvl>
  </w:abstractNum>
  <w:abstractNum w:abstractNumId="15">
    <w:nsid w:val="836C40E"/>
    <w:multiLevelType w:val="hybridMultilevel"/>
    <w:lvl w:ilvl="0">
      <w:lvlJc w:val="left"/>
      <w:lvlText w:val="o"/>
      <w:numFmt w:val="bullet"/>
      <w:start w:val="1"/>
    </w:lvl>
  </w:abstractNum>
  <w:abstractNum w:abstractNumId="16">
    <w:nsid w:val="2901D82"/>
    <w:multiLevelType w:val="hybridMultilevel"/>
    <w:lvl w:ilvl="0">
      <w:lvlJc w:val="left"/>
      <w:lvlText w:val="o"/>
      <w:numFmt w:val="bullet"/>
      <w:start w:val="1"/>
    </w:lvl>
  </w:abstractNum>
  <w:abstractNum w:abstractNumId="17">
    <w:nsid w:val="3A95F874"/>
    <w:multiLevelType w:val="hybridMultilevel"/>
    <w:lvl w:ilvl="0">
      <w:lvlJc w:val="left"/>
      <w:lvlText w:val="o"/>
      <w:numFmt w:val="bullet"/>
      <w:start w:val="1"/>
    </w:lvl>
  </w:abstractNum>
  <w:abstractNum w:abstractNumId="18">
    <w:nsid w:val="8138641"/>
    <w:multiLevelType w:val="hybridMultilevel"/>
    <w:lvl w:ilvl="0">
      <w:lvlJc w:val="left"/>
      <w:lvlText w:val="o"/>
      <w:numFmt w:val="bullet"/>
      <w:start w:val="1"/>
    </w:lvl>
  </w:abstractNum>
  <w:abstractNum w:abstractNumId="19">
    <w:nsid w:val="1E7FF521"/>
    <w:multiLevelType w:val="hybridMultilevel"/>
    <w:lvl w:ilvl="0">
      <w:lvlJc w:val="left"/>
      <w:lvlText w:val="o"/>
      <w:numFmt w:val="bullet"/>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upperLetter"/>
      <w:start w:val="1"/>
    </w:lvl>
    <w:lvl w:ilvl="1">
      <w:lvlJc w:val="left"/>
      <w:lvlText w:val="%2."/>
      <w:numFmt w:val="decimal"/>
      <w:start w:val="1"/>
    </w:lvl>
  </w:abstractNum>
  <w:abstractNum w:abstractNumId="25">
    <w:nsid w:val="3006C83E"/>
    <w:multiLevelType w:val="hybridMultilevel"/>
    <w:lvl w:ilvl="0">
      <w:lvlJc w:val="left"/>
      <w:lvlText w:val="%1."/>
      <w:numFmt w:val="decimal"/>
      <w:start w:val="4"/>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Roman"/>
      <w:start w:val="1"/>
    </w:lvl>
  </w:abstractNum>
  <w:abstractNum w:abstractNumId="32">
    <w:nsid w:val="77465F01"/>
    <w:multiLevelType w:val="hybridMultilevel"/>
    <w:lvl w:ilvl="0">
      <w:lvlJc w:val="left"/>
      <w:lvlText w:val="(%1)"/>
      <w:numFmt w:val="lowerRoman"/>
      <w:start w:val="1"/>
    </w:lvl>
  </w:abstractNum>
  <w:abstractNum w:abstractNumId="33">
    <w:nsid w:val="7724C67E"/>
    <w:multiLevelType w:val="hybridMultilevel"/>
    <w:lvl w:ilvl="0">
      <w:lvlJc w:val="left"/>
      <w:lvlText w:val="(%1)"/>
      <w:numFmt w:val="lowerRoman"/>
      <w:start w:val="4"/>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o"/>
      <w:numFmt w:val="bullet"/>
      <w:start w:val="1"/>
    </w:lvl>
  </w:abstractNum>
  <w:abstractNum w:abstractNumId="36">
    <w:nsid w:val="5E884ADC"/>
    <w:multiLevelType w:val="hybridMultilevel"/>
    <w:lvl w:ilvl="0">
      <w:lvlJc w:val="left"/>
      <w:lvlText w:val="o"/>
      <w:numFmt w:val="bullet"/>
      <w:start w:val="1"/>
    </w:lvl>
  </w:abstractNum>
  <w:abstractNum w:abstractNumId="37">
    <w:nsid w:val="51EAD36B"/>
    <w:multiLevelType w:val="hybridMultilevel"/>
    <w:lvl w:ilvl="0">
      <w:lvlJc w:val="left"/>
      <w:lvlText w:val="o"/>
      <w:numFmt w:val="bullet"/>
      <w:start w:val="1"/>
    </w:lvl>
  </w:abstractNum>
  <w:abstractNum w:abstractNumId="38">
    <w:nsid w:val="2D517796"/>
    <w:multiLevelType w:val="hybridMultilevel"/>
    <w:lvl w:ilvl="0">
      <w:lvlJc w:val="left"/>
      <w:lvlText w:val="o"/>
      <w:numFmt w:val="bullet"/>
      <w:start w:val="1"/>
    </w:lvl>
  </w:abstractNum>
  <w:abstractNum w:abstractNumId="39">
    <w:nsid w:val="580BD78F"/>
    <w:multiLevelType w:val="hybridMultilevel"/>
    <w:lvl w:ilvl="0">
      <w:lvlJc w:val="left"/>
      <w:lvlText w:val="o"/>
      <w:numFmt w:val="bullet"/>
      <w:start w:val="1"/>
    </w:lvl>
  </w:abstractNum>
  <w:abstractNum w:abstractNumId="40">
    <w:nsid w:val="153EA43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2019-12-14T20:33:35Z</dcterms:created>
  <dcterms:modified xsi:type="dcterms:W3CDTF">2019-12-14T20:33:35Z</dcterms:modified>
</cp:coreProperties>
</file>