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79"/>
        <w:spacing w:after="0"/>
        <w:rPr>
          <w:sz w:val="20"/>
          <w:szCs w:val="20"/>
          <w:color w:val="auto"/>
        </w:rPr>
      </w:pPr>
      <w:r>
        <w:rPr>
          <w:rFonts w:ascii="Arial" w:cs="Arial" w:eastAsia="Arial" w:hAnsi="Arial"/>
          <w:sz w:val="28"/>
          <w:szCs w:val="28"/>
          <w:b w:val="1"/>
          <w:bCs w:val="1"/>
          <w:color w:val="auto"/>
        </w:rPr>
        <w:drawing>
          <wp:anchor simplePos="0" relativeHeight="251657728" behindDoc="1" locked="0" layoutInCell="0" allowOverlap="1">
            <wp:simplePos x="0" y="0"/>
            <wp:positionH relativeFrom="page">
              <wp:posOffset>200025</wp:posOffset>
            </wp:positionH>
            <wp:positionV relativeFrom="page">
              <wp:posOffset>479425</wp:posOffset>
            </wp:positionV>
            <wp:extent cx="7149465" cy="2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page">
              <wp:posOffset>200025</wp:posOffset>
            </wp:positionH>
            <wp:positionV relativeFrom="page">
              <wp:posOffset>584835</wp:posOffset>
            </wp:positionV>
            <wp:extent cx="7149465" cy="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49465" cy="7620"/>
                    </a:xfrm>
                    <a:prstGeom prst="rect">
                      <a:avLst/>
                    </a:prstGeom>
                    <a:noFill/>
                  </pic:spPr>
                </pic:pic>
              </a:graphicData>
            </a:graphic>
          </wp:anchor>
        </w:drawing>
        <w:t>FORM 6-K</w:t>
      </w:r>
    </w:p>
    <w:p>
      <w:pPr>
        <w:spacing w:after="0" w:line="22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SECURITIES AND EXCHANGE COMMISSION</w:t>
      </w:r>
    </w:p>
    <w:p>
      <w:pPr>
        <w:spacing w:after="0" w:line="221"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Washington, D.C. 20549</w:t>
      </w:r>
    </w:p>
    <w:p>
      <w:pPr>
        <w:spacing w:after="0" w:line="201" w:lineRule="exact"/>
        <w:rPr>
          <w:sz w:val="24"/>
          <w:szCs w:val="24"/>
          <w:color w:val="auto"/>
        </w:rPr>
      </w:pPr>
    </w:p>
    <w:p>
      <w:pPr>
        <w:jc w:val="center"/>
        <w:ind w:right="-379"/>
        <w:spacing w:after="0"/>
        <w:rPr>
          <w:sz w:val="20"/>
          <w:szCs w:val="20"/>
          <w:color w:val="auto"/>
        </w:rPr>
      </w:pPr>
      <w:r>
        <w:rPr>
          <w:rFonts w:ascii="Arial" w:cs="Arial" w:eastAsia="Arial" w:hAnsi="Arial"/>
          <w:sz w:val="19"/>
          <w:szCs w:val="19"/>
          <w:b w:val="1"/>
          <w:bCs w:val="1"/>
          <w:color w:val="auto"/>
        </w:rPr>
        <w:t>Report of Foreign Private Issuer</w:t>
      </w:r>
    </w:p>
    <w:p>
      <w:pPr>
        <w:spacing w:after="0" w:line="11" w:lineRule="exact"/>
        <w:rPr>
          <w:sz w:val="24"/>
          <w:szCs w:val="24"/>
          <w:color w:val="auto"/>
        </w:rPr>
      </w:pPr>
    </w:p>
    <w:p>
      <w:pPr>
        <w:jc w:val="center"/>
        <w:ind w:right="-379"/>
        <w:spacing w:after="0"/>
        <w:rPr>
          <w:sz w:val="20"/>
          <w:szCs w:val="20"/>
          <w:color w:val="auto"/>
        </w:rPr>
      </w:pPr>
      <w:r>
        <w:rPr>
          <w:rFonts w:ascii="Arial" w:cs="Arial" w:eastAsia="Arial" w:hAnsi="Arial"/>
          <w:sz w:val="19"/>
          <w:szCs w:val="19"/>
          <w:b w:val="1"/>
          <w:bCs w:val="1"/>
          <w:color w:val="auto"/>
        </w:rPr>
        <w:t>Pursuant to Rule 13a-16 under</w:t>
      </w:r>
    </w:p>
    <w:p>
      <w:pPr>
        <w:jc w:val="center"/>
        <w:ind w:right="-379"/>
        <w:spacing w:after="0"/>
        <w:rPr>
          <w:sz w:val="20"/>
          <w:szCs w:val="20"/>
          <w:color w:val="auto"/>
        </w:rPr>
      </w:pPr>
      <w:r>
        <w:rPr>
          <w:rFonts w:ascii="Arial" w:cs="Arial" w:eastAsia="Arial" w:hAnsi="Arial"/>
          <w:sz w:val="19"/>
          <w:szCs w:val="19"/>
          <w:b w:val="1"/>
          <w:bCs w:val="1"/>
          <w:color w:val="auto"/>
        </w:rPr>
        <w:t>the Securities Exchange Act of 1934</w:t>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For the month ended May, 2021</w:t>
      </w:r>
    </w:p>
    <w:p>
      <w:pPr>
        <w:spacing w:after="0" w:line="188" w:lineRule="exact"/>
        <w:rPr>
          <w:sz w:val="24"/>
          <w:szCs w:val="24"/>
          <w:color w:val="auto"/>
        </w:rPr>
      </w:pPr>
    </w:p>
    <w:p>
      <w:pPr>
        <w:jc w:val="center"/>
        <w:ind w:right="-379"/>
        <w:spacing w:after="0"/>
        <w:rPr>
          <w:sz w:val="20"/>
          <w:szCs w:val="20"/>
          <w:color w:val="auto"/>
        </w:rPr>
      </w:pPr>
      <w:r>
        <w:rPr>
          <w:rFonts w:ascii="Arial" w:cs="Arial" w:eastAsia="Arial" w:hAnsi="Arial"/>
          <w:sz w:val="38"/>
          <w:szCs w:val="38"/>
          <w:b w:val="1"/>
          <w:bCs w:val="1"/>
          <w:color w:val="auto"/>
        </w:rPr>
        <w:t>ICON plc</w:t>
      </w:r>
    </w:p>
    <w:p>
      <w:pPr>
        <w:spacing w:after="0" w:line="36"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(Registrant's name)</w:t>
      </w: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jc w:val="center"/>
        <w:ind w:right="-379"/>
        <w:spacing w:after="0"/>
        <w:rPr>
          <w:sz w:val="20"/>
          <w:szCs w:val="20"/>
          <w:color w:val="auto"/>
        </w:rPr>
      </w:pPr>
      <w:r>
        <w:rPr>
          <w:rFonts w:ascii="Arial" w:cs="Arial" w:eastAsia="Arial" w:hAnsi="Arial"/>
          <w:sz w:val="19"/>
          <w:szCs w:val="19"/>
          <w:b w:val="1"/>
          <w:bCs w:val="1"/>
          <w:color w:val="auto"/>
        </w:rPr>
        <w:t>333-08704</w:t>
      </w:r>
    </w:p>
    <w:p>
      <w:pPr>
        <w:spacing w:after="0" w:line="16"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(Commission file number)</w:t>
      </w:r>
    </w:p>
    <w:p>
      <w:pPr>
        <w:spacing w:after="0" w:line="200" w:lineRule="exact"/>
        <w:rPr>
          <w:sz w:val="24"/>
          <w:szCs w:val="24"/>
          <w:color w:val="auto"/>
        </w:rPr>
      </w:pPr>
    </w:p>
    <w:p>
      <w:pPr>
        <w:spacing w:after="0" w:line="204"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South County Business Park, Leopardstown, Dublin 18, Ireland</w:t>
      </w:r>
    </w:p>
    <w:p>
      <w:pPr>
        <w:spacing w:after="0" w:line="10"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(Address of principal executive offices)</w:t>
      </w:r>
    </w:p>
    <w:p>
      <w:pPr>
        <w:spacing w:after="0" w:line="200" w:lineRule="exact"/>
        <w:rPr>
          <w:sz w:val="24"/>
          <w:szCs w:val="24"/>
          <w:color w:val="auto"/>
        </w:rPr>
      </w:pPr>
    </w:p>
    <w:p>
      <w:pPr>
        <w:spacing w:after="0" w:line="204"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Brendan Brennan, CFOSouth County Business Park, Leopardstown, Dublin 18, Ireland.</w:t>
      </w:r>
    </w:p>
    <w:p>
      <w:pPr>
        <w:spacing w:after="0" w:line="5"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Brendan.Brennan@iconplc.com</w:t>
      </w:r>
    </w:p>
    <w:p>
      <w:pPr>
        <w:jc w:val="center"/>
        <w:ind w:right="-379"/>
        <w:spacing w:after="0" w:line="233" w:lineRule="auto"/>
        <w:rPr>
          <w:sz w:val="20"/>
          <w:szCs w:val="20"/>
          <w:color w:val="auto"/>
        </w:rPr>
      </w:pPr>
      <w:r>
        <w:rPr>
          <w:rFonts w:ascii="Arial" w:cs="Arial" w:eastAsia="Arial" w:hAnsi="Arial"/>
          <w:sz w:val="19"/>
          <w:szCs w:val="19"/>
          <w:color w:val="auto"/>
        </w:rPr>
        <w:t>00-353-1-291-2000</w:t>
      </w:r>
    </w:p>
    <w:p>
      <w:pPr>
        <w:spacing w:after="0" w:line="1" w:lineRule="exact"/>
        <w:rPr>
          <w:sz w:val="24"/>
          <w:szCs w:val="24"/>
          <w:color w:val="auto"/>
        </w:rPr>
      </w:pPr>
    </w:p>
    <w:p>
      <w:pPr>
        <w:jc w:val="center"/>
        <w:ind w:right="-379"/>
        <w:spacing w:after="0"/>
        <w:rPr>
          <w:sz w:val="20"/>
          <w:szCs w:val="20"/>
          <w:color w:val="auto"/>
        </w:rPr>
      </w:pPr>
      <w:r>
        <w:rPr>
          <w:rFonts w:ascii="Arial" w:cs="Arial" w:eastAsia="Arial" w:hAnsi="Arial"/>
          <w:sz w:val="19"/>
          <w:szCs w:val="19"/>
          <w:color w:val="auto"/>
        </w:rPr>
        <w:t>(Name, telephone number, email and/or facsimile number and address of Company contact person)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files or will file annual reports under cover Form 20-F or Form 40-F.</w:t>
      </w:r>
    </w:p>
    <w:p>
      <w:pPr>
        <w:spacing w:after="0" w:line="16"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6"/>
          <w:szCs w:val="16"/>
          <w:color w:val="auto"/>
        </w:rPr>
        <w:t>Form 20-F __</w:t>
      </w:r>
      <w:r>
        <w:rPr>
          <w:rFonts w:ascii="Arial" w:cs="Arial" w:eastAsia="Arial" w:hAnsi="Arial"/>
          <w:sz w:val="16"/>
          <w:szCs w:val="16"/>
          <w:b w:val="1"/>
          <w:bCs w:val="1"/>
          <w:color w:val="auto"/>
        </w:rPr>
        <w:t>X</w:t>
      </w:r>
      <w:r>
        <w:rPr>
          <w:rFonts w:ascii="Arial" w:cs="Arial" w:eastAsia="Arial" w:hAnsi="Arial"/>
          <w:sz w:val="16"/>
          <w:szCs w:val="16"/>
          <w:color w:val="auto"/>
        </w:rPr>
        <w:t>___</w:t>
      </w:r>
      <w:r>
        <w:rPr>
          <w:sz w:val="20"/>
          <w:szCs w:val="20"/>
          <w:color w:val="auto"/>
        </w:rPr>
        <w:tab/>
      </w:r>
      <w:r>
        <w:rPr>
          <w:rFonts w:ascii="Arial" w:cs="Arial" w:eastAsia="Arial" w:hAnsi="Arial"/>
          <w:sz w:val="14"/>
          <w:szCs w:val="14"/>
          <w:color w:val="auto"/>
        </w:rPr>
        <w:t>Form 40-F ______</w:t>
      </w:r>
    </w:p>
    <w:p>
      <w:pPr>
        <w:spacing w:after="0" w:line="183"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101(b)(1):</w:t>
      </w:r>
    </w:p>
    <w:p>
      <w:pPr>
        <w:spacing w:after="0" w:line="16"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4"/>
          <w:szCs w:val="14"/>
          <w:color w:val="auto"/>
        </w:rPr>
        <w:t>No___</w:t>
      </w:r>
      <w:r>
        <w:rPr>
          <w:rFonts w:ascii="Arial" w:cs="Arial" w:eastAsia="Arial" w:hAnsi="Arial"/>
          <w:sz w:val="14"/>
          <w:szCs w:val="14"/>
          <w:b w:val="1"/>
          <w:bCs w:val="1"/>
          <w:color w:val="auto"/>
        </w:rPr>
        <w:t>X</w:t>
      </w:r>
      <w:r>
        <w:rPr>
          <w:rFonts w:ascii="Arial" w:cs="Arial" w:eastAsia="Arial" w:hAnsi="Arial"/>
          <w:sz w:val="14"/>
          <w:szCs w:val="14"/>
          <w:color w:val="auto"/>
        </w:rPr>
        <w:t>___</w:t>
      </w:r>
    </w:p>
    <w:p>
      <w:pPr>
        <w:spacing w:after="0" w:line="183"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101(b)(7):</w:t>
      </w:r>
    </w:p>
    <w:p>
      <w:pPr>
        <w:spacing w:after="0" w:line="16" w:lineRule="exact"/>
        <w:rPr>
          <w:sz w:val="24"/>
          <w:szCs w:val="24"/>
          <w:color w:val="auto"/>
        </w:rPr>
      </w:pPr>
    </w:p>
    <w:p>
      <w:pPr>
        <w:ind w:left="4500"/>
        <w:spacing w:after="0"/>
        <w:tabs>
          <w:tab w:leader="none" w:pos="64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4"/>
          <w:szCs w:val="14"/>
          <w:color w:val="auto"/>
        </w:rPr>
        <w:t>No___</w:t>
      </w:r>
      <w:r>
        <w:rPr>
          <w:rFonts w:ascii="Arial" w:cs="Arial" w:eastAsia="Arial" w:hAnsi="Arial"/>
          <w:sz w:val="14"/>
          <w:szCs w:val="14"/>
          <w:b w:val="1"/>
          <w:bCs w:val="1"/>
          <w:color w:val="auto"/>
        </w:rPr>
        <w:t>X</w:t>
      </w:r>
      <w:r>
        <w:rPr>
          <w:rFonts w:ascii="Arial" w:cs="Arial" w:eastAsia="Arial" w:hAnsi="Arial"/>
          <w:sz w:val="14"/>
          <w:szCs w:val="14"/>
          <w:color w:val="auto"/>
        </w:rPr>
        <w:t>___</w:t>
      </w:r>
    </w:p>
    <w:p>
      <w:pPr>
        <w:spacing w:after="0" w:line="183" w:lineRule="exact"/>
        <w:rPr>
          <w:sz w:val="24"/>
          <w:szCs w:val="24"/>
          <w:color w:val="auto"/>
        </w:rPr>
      </w:pPr>
    </w:p>
    <w:p>
      <w:pPr>
        <w:spacing w:after="0" w:line="254" w:lineRule="auto"/>
        <w:rPr>
          <w:sz w:val="20"/>
          <w:szCs w:val="20"/>
          <w:color w:val="auto"/>
        </w:rPr>
      </w:pPr>
      <w:r>
        <w:rPr>
          <w:rFonts w:ascii="Arial" w:cs="Arial" w:eastAsia="Arial" w:hAnsi="Arial"/>
          <w:sz w:val="16"/>
          <w:szCs w:val="16"/>
          <w:color w:val="auto"/>
        </w:rPr>
        <w:t>Indicate by check mark whether the registrant by furnishing the information contained in this Form is also thereby furnishing the information to the Commission pursuant to Rule12g3-2(b) under the Securities Exchange Act of 1934.</w:t>
      </w:r>
    </w:p>
    <w:p>
      <w:pPr>
        <w:ind w:left="4500"/>
        <w:spacing w:after="0"/>
        <w:tabs>
          <w:tab w:leader="none" w:pos="64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4"/>
          <w:szCs w:val="14"/>
          <w:color w:val="auto"/>
        </w:rPr>
        <w:t>No___</w:t>
      </w:r>
      <w:r>
        <w:rPr>
          <w:rFonts w:ascii="Arial" w:cs="Arial" w:eastAsia="Arial" w:hAnsi="Arial"/>
          <w:sz w:val="14"/>
          <w:szCs w:val="14"/>
          <w:b w:val="1"/>
          <w:bCs w:val="1"/>
          <w:color w:val="auto"/>
        </w:rPr>
        <w:t>X</w:t>
      </w:r>
      <w:r>
        <w:rPr>
          <w:rFonts w:ascii="Arial" w:cs="Arial" w:eastAsia="Arial" w:hAnsi="Arial"/>
          <w:sz w:val="14"/>
          <w:szCs w:val="14"/>
          <w:color w:val="auto"/>
        </w:rPr>
        <w:t>___</w:t>
      </w:r>
    </w:p>
    <w:p>
      <w:pPr>
        <w:spacing w:after="0" w:line="179" w:lineRule="exact"/>
        <w:rPr>
          <w:sz w:val="24"/>
          <w:szCs w:val="24"/>
          <w:color w:val="auto"/>
        </w:rPr>
      </w:pPr>
    </w:p>
    <w:p>
      <w:pPr>
        <w:spacing w:after="0"/>
        <w:rPr>
          <w:sz w:val="20"/>
          <w:szCs w:val="20"/>
          <w:color w:val="auto"/>
        </w:rPr>
      </w:pPr>
      <w:r>
        <w:rPr>
          <w:rFonts w:ascii="Arial" w:cs="Arial" w:eastAsia="Arial" w:hAnsi="Arial"/>
          <w:sz w:val="16"/>
          <w:szCs w:val="16"/>
          <w:color w:val="auto"/>
        </w:rPr>
        <w:t xml:space="preserve">If "Yes" is marked, indicate below the file number assigned to the registrant in connection with Rule 12g3-2(b):82 </w:t>
      </w:r>
      <w:r>
        <w:rPr>
          <w:rFonts w:ascii="Arial" w:cs="Arial" w:eastAsia="Arial" w:hAnsi="Arial"/>
          <w:sz w:val="16"/>
          <w:szCs w:val="16"/>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73660</wp:posOffset>
            </wp:positionV>
            <wp:extent cx="7149465" cy="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49465" cy="7620"/>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156210</wp:posOffset>
            </wp:positionV>
            <wp:extent cx="7149465"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49465" cy="29845"/>
                    </a:xfrm>
                    <a:prstGeom prst="rect">
                      <a:avLst/>
                    </a:prstGeom>
                    <a:noFill/>
                  </pic:spPr>
                </pic:pic>
              </a:graphicData>
            </a:graphic>
          </wp:anchor>
        </w:drawing>
        <w:drawing>
          <wp:anchor simplePos="0" relativeHeight="251657728" behindDoc="1" locked="0" layoutInCell="0" allowOverlap="1">
            <wp:simplePos x="0" y="0"/>
            <wp:positionH relativeFrom="column">
              <wp:posOffset>-2540</wp:posOffset>
            </wp:positionH>
            <wp:positionV relativeFrom="paragraph">
              <wp:posOffset>284480</wp:posOffset>
            </wp:positionV>
            <wp:extent cx="7149465" cy="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0880"/>
          </w:cols>
          <w:pgMar w:left="320" w:top="990" w:right="699" w:bottom="1440" w:gutter="0" w:footer="0" w:header="0"/>
        </w:sectPr>
      </w:pPr>
    </w:p>
    <w:bookmarkStart w:id="1" w:name="page2"/>
    <w:bookmarkEnd w:id="1"/>
    <w:p>
      <w:pPr>
        <w:ind w:left="40"/>
        <w:spacing w:after="0"/>
        <w:rPr>
          <w:sz w:val="20"/>
          <w:szCs w:val="20"/>
          <w:color w:val="auto"/>
        </w:rPr>
      </w:pPr>
      <w:r>
        <w:rPr>
          <w:rFonts w:ascii="Arial" w:cs="Arial" w:eastAsia="Arial" w:hAnsi="Arial"/>
          <w:sz w:val="19"/>
          <w:szCs w:val="19"/>
          <w:b w:val="1"/>
          <w:bCs w:val="1"/>
          <w:color w:val="auto"/>
        </w:rPr>
        <w:t>ICON plc</w:t>
      </w:r>
    </w:p>
    <w:p>
      <w:pPr>
        <w:spacing w:after="0" w:line="213" w:lineRule="exact"/>
        <w:rPr>
          <w:sz w:val="20"/>
          <w:szCs w:val="20"/>
          <w:color w:val="auto"/>
        </w:rPr>
      </w:pPr>
    </w:p>
    <w:p>
      <w:pPr>
        <w:ind w:firstLine="186"/>
        <w:spacing w:after="0" w:line="239" w:lineRule="auto"/>
        <w:rPr>
          <w:sz w:val="20"/>
          <w:szCs w:val="20"/>
          <w:color w:val="auto"/>
        </w:rPr>
      </w:pPr>
      <w:r>
        <w:rPr>
          <w:rFonts w:ascii="Arial" w:cs="Arial" w:eastAsia="Arial" w:hAnsi="Arial"/>
          <w:sz w:val="19"/>
          <w:szCs w:val="19"/>
          <w:color w:val="auto"/>
        </w:rPr>
        <w:t>This report on Form 6-K is hereby incorporated by reference in the registration statement on Form F-3 (Registration No. 333-133371) of ICON plc and in the prospectus contained therein and in the registration statement on Form F-4 (Registration No. 333-254891) of ICON plc and in the prospectus contained therein, and this report on Form 6-K shall be deemed a part of each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189" w:lineRule="exact"/>
        <w:rPr>
          <w:sz w:val="20"/>
          <w:szCs w:val="20"/>
          <w:color w:val="auto"/>
        </w:rPr>
      </w:pPr>
    </w:p>
    <w:p>
      <w:pPr>
        <w:ind w:right="40" w:firstLine="568"/>
        <w:spacing w:after="0" w:line="256" w:lineRule="auto"/>
        <w:rPr>
          <w:sz w:val="20"/>
          <w:szCs w:val="20"/>
          <w:color w:val="auto"/>
        </w:rPr>
      </w:pPr>
      <w:r>
        <w:rPr>
          <w:rFonts w:ascii="Arial" w:cs="Arial" w:eastAsia="Arial" w:hAnsi="Arial"/>
          <w:sz w:val="18"/>
          <w:szCs w:val="18"/>
          <w:color w:val="auto"/>
        </w:rPr>
        <w:t>As previously disclosed, on February 24, 2021, ICON plc, a public limited company in Ireland (“ICON”), ICON US Holdings Inc., a Delaware corporation and subsidiary of ICON (“US HoldCo”), and Indigo Merger Sub, Inc., a Delaware corporation and subsidiary of ICON and US HoldCo (“Merger Subsidiary”) entered into an Agreement and Plan of Merger (the “Merger Agreement”) with PRA Health Sciences, Inc., a Delaware corporation (“PRA”). Upon the terms and subject to the conditions of the Merger Agreement, Merger Subsidiary will merge with and into PRA (the “Merger”), with PRA surviving as a subsidiary of ICON and US HoldCo.</w:t>
      </w:r>
    </w:p>
    <w:p>
      <w:pPr>
        <w:spacing w:after="0" w:line="173" w:lineRule="exact"/>
        <w:rPr>
          <w:sz w:val="20"/>
          <w:szCs w:val="20"/>
          <w:color w:val="auto"/>
        </w:rPr>
      </w:pPr>
    </w:p>
    <w:p>
      <w:pPr>
        <w:ind w:right="420" w:firstLine="568"/>
        <w:spacing w:after="0" w:line="258" w:lineRule="auto"/>
        <w:rPr>
          <w:sz w:val="20"/>
          <w:szCs w:val="20"/>
          <w:color w:val="auto"/>
        </w:rPr>
      </w:pPr>
      <w:r>
        <w:rPr>
          <w:rFonts w:ascii="Arial" w:cs="Arial" w:eastAsia="Arial" w:hAnsi="Arial"/>
          <w:sz w:val="19"/>
          <w:szCs w:val="19"/>
          <w:color w:val="auto"/>
        </w:rPr>
        <w:t>The completion of the Merger is conditioned upon, among other things, the clearance of the Merger having been granted by the Federal Antimonopoly Service of Russia (the “FAS”), relating to the consummation of the Merger.</w:t>
      </w:r>
    </w:p>
    <w:p>
      <w:pPr>
        <w:spacing w:after="0" w:line="169" w:lineRule="exact"/>
        <w:rPr>
          <w:sz w:val="20"/>
          <w:szCs w:val="20"/>
          <w:color w:val="auto"/>
        </w:rPr>
      </w:pPr>
    </w:p>
    <w:p>
      <w:pPr>
        <w:ind w:right="80" w:firstLine="568"/>
        <w:spacing w:after="0" w:line="258" w:lineRule="auto"/>
        <w:rPr>
          <w:sz w:val="20"/>
          <w:szCs w:val="20"/>
          <w:color w:val="auto"/>
        </w:rPr>
      </w:pPr>
      <w:r>
        <w:rPr>
          <w:rFonts w:ascii="Arial" w:cs="Arial" w:eastAsia="Arial" w:hAnsi="Arial"/>
          <w:sz w:val="19"/>
          <w:szCs w:val="19"/>
          <w:color w:val="auto"/>
        </w:rPr>
        <w:t>On May 13, 2021, the FAS granted clearance of the Merger. We have now obtained all required antitrust approvals necessary for the closing of the transaction.</w:t>
      </w:r>
    </w:p>
    <w:p>
      <w:pPr>
        <w:spacing w:after="0" w:line="169" w:lineRule="exact"/>
        <w:rPr>
          <w:sz w:val="20"/>
          <w:szCs w:val="20"/>
          <w:color w:val="auto"/>
        </w:rPr>
      </w:pPr>
    </w:p>
    <w:p>
      <w:pPr>
        <w:ind w:right="140" w:firstLine="568"/>
        <w:spacing w:after="0" w:line="245" w:lineRule="auto"/>
        <w:rPr>
          <w:sz w:val="20"/>
          <w:szCs w:val="20"/>
          <w:color w:val="auto"/>
        </w:rPr>
      </w:pPr>
      <w:r>
        <w:rPr>
          <w:rFonts w:ascii="Arial" w:cs="Arial" w:eastAsia="Arial" w:hAnsi="Arial"/>
          <w:sz w:val="19"/>
          <w:szCs w:val="19"/>
          <w:color w:val="auto"/>
        </w:rPr>
        <w:t>The completion of the Merger remains subject to other customary closing conditions, including the adoption of the Merger Agreement by PRA’s stockholders and the approval by ICON’s shareholders of the issuance of ICON ordinary shares in the Merger and foreign direct investment approval in Austria and France. ICON expects the merger to close on July 1, 2021.</w:t>
      </w:r>
    </w:p>
    <w:p>
      <w:pPr>
        <w:spacing w:after="0" w:line="17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Cautionary Note Regarding Forward-Looking Statements</w:t>
      </w:r>
    </w:p>
    <w:p>
      <w:pPr>
        <w:spacing w:after="0" w:line="213" w:lineRule="exact"/>
        <w:rPr>
          <w:sz w:val="20"/>
          <w:szCs w:val="20"/>
          <w:color w:val="auto"/>
        </w:rPr>
      </w:pPr>
    </w:p>
    <w:p>
      <w:pPr>
        <w:ind w:right="40" w:firstLine="568"/>
        <w:spacing w:after="0" w:line="264" w:lineRule="auto"/>
        <w:rPr>
          <w:sz w:val="20"/>
          <w:szCs w:val="20"/>
          <w:color w:val="auto"/>
        </w:rPr>
      </w:pPr>
      <w:r>
        <w:rPr>
          <w:rFonts w:ascii="Arial" w:cs="Arial" w:eastAsia="Arial" w:hAnsi="Arial"/>
          <w:sz w:val="17"/>
          <w:szCs w:val="17"/>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and PRA,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litigation relating to the potential transaction that has been or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82550</wp:posOffset>
            </wp:positionV>
            <wp:extent cx="7149465" cy="152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240"/>
          </w:cols>
          <w:pgMar w:left="320" w:top="540" w:right="339" w:bottom="1440" w:gutter="0" w:footer="0" w:header="0"/>
        </w:sectPr>
      </w:pPr>
    </w:p>
    <w:bookmarkStart w:id="2" w:name="page3"/>
    <w:bookmarkEnd w:id="2"/>
    <w:p>
      <w:pPr>
        <w:ind w:right="20"/>
        <w:spacing w:after="0" w:line="268" w:lineRule="auto"/>
        <w:rPr>
          <w:sz w:val="20"/>
          <w:szCs w:val="20"/>
          <w:color w:val="auto"/>
        </w:rPr>
      </w:pPr>
      <w:r>
        <w:rPr>
          <w:rFonts w:ascii="Arial" w:cs="Arial" w:eastAsia="Arial" w:hAnsi="Arial"/>
          <w:sz w:val="17"/>
          <w:szCs w:val="17"/>
          <w:color w:val="auto"/>
        </w:rPr>
        <w:t>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most recent Quarterly Report on Form 10-Q,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158"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No Offer or Solicitation</w:t>
      </w:r>
    </w:p>
    <w:p>
      <w:pPr>
        <w:spacing w:after="0" w:line="213" w:lineRule="exact"/>
        <w:rPr>
          <w:sz w:val="20"/>
          <w:szCs w:val="20"/>
          <w:color w:val="auto"/>
        </w:rPr>
      </w:pPr>
    </w:p>
    <w:p>
      <w:pPr>
        <w:ind w:right="40" w:firstLine="568"/>
        <w:spacing w:after="0" w:line="241"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18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Important Information for Investors and Stockholders</w:t>
      </w:r>
    </w:p>
    <w:p>
      <w:pPr>
        <w:spacing w:after="0" w:line="213" w:lineRule="exact"/>
        <w:rPr>
          <w:sz w:val="20"/>
          <w:szCs w:val="20"/>
          <w:color w:val="auto"/>
        </w:rPr>
      </w:pPr>
    </w:p>
    <w:p>
      <w:pPr>
        <w:ind w:right="160" w:firstLine="568"/>
        <w:spacing w:after="0" w:line="264" w:lineRule="auto"/>
        <w:rPr>
          <w:sz w:val="20"/>
          <w:szCs w:val="20"/>
          <w:color w:val="auto"/>
        </w:rPr>
      </w:pPr>
      <w:r>
        <w:rPr>
          <w:rFonts w:ascii="Arial" w:cs="Arial" w:eastAsia="Arial" w:hAnsi="Arial"/>
          <w:sz w:val="17"/>
          <w:szCs w:val="17"/>
          <w:color w:val="auto"/>
        </w:rPr>
        <w:t>In connection with the potential transaction, ICON has filed a registration statement on Form F-4 (File No. 333-254891) with the SEC containing a prospectus of ICON that also constitutes a proxy statement of each of ICON and PRA. The registration statement, as amended, was declared effective, by the SEC on April 28, 2021. Each of ICON and PRA commenced mailing copies of the definitive joint proxy statement/prospectus to stockholders of ICON and PRA, respectively, on or about April 28, 2021. ICON and PRA may also file other documents with the SEC regarding the potential transaction. This communication is not a substitute for the joint proxy statement/prospectus or registration statement or for any other document that ICON or PRA have filed or may file with the SEC in connection with the potential transaction.</w:t>
      </w:r>
    </w:p>
    <w:p>
      <w:pPr>
        <w:spacing w:after="0" w:line="3" w:lineRule="exact"/>
        <w:rPr>
          <w:sz w:val="20"/>
          <w:szCs w:val="20"/>
          <w:color w:val="auto"/>
        </w:rPr>
      </w:pPr>
    </w:p>
    <w:p>
      <w:pPr>
        <w:ind w:right="80"/>
        <w:spacing w:after="0" w:line="235" w:lineRule="auto"/>
        <w:rPr>
          <w:sz w:val="20"/>
          <w:szCs w:val="20"/>
          <w:color w:val="auto"/>
        </w:rPr>
      </w:pPr>
      <w:r>
        <w:rPr>
          <w:rFonts w:ascii="Arial" w:cs="Arial" w:eastAsia="Arial" w:hAnsi="Arial"/>
          <w:sz w:val="19"/>
          <w:szCs w:val="19"/>
          <w:color w:val="auto"/>
        </w:rPr>
        <w:t>INVESTORS AND SECURITY HOLDERS OF ICON AND PRA ARE URGED TO READ THE JOINT PROXY STATEMENT/PROSPECTUS AND OTHER DOCUMENTS THAT ARE FILED OR WILL BE FILED WITH THE SEC, AS WELL AS ANY AMENDMENTS OR SUPPLEMENTS TO THESE DOCUMENTS, CAREFULLY AND IN THEIR ENTIRETY BECAUSE THEY CONTAIN IMPORTANT INFORMATION. Investors and security holders are able to obtain free copies of the joint proxy statement/prospectus and other documents filed with the SEC by ICON or PRA through the website maintained by the SEC at http://www.sec.gov. Copies of the documents filed with the SEC by ICON are available free of charge on ICON’s website at https://www.iconplc.com and copies of the documents filed with the SEC by PRA are available free of charge on PRA’s website at https://www.prahs.com/. Additionally, copies may be obtained by contacting the investor relations departments of ICON or PRA.</w:t>
      </w:r>
    </w:p>
    <w:p>
      <w:pPr>
        <w:spacing w:after="0" w:line="188"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164" w:lineRule="exact"/>
        <w:rPr>
          <w:sz w:val="20"/>
          <w:szCs w:val="20"/>
          <w:color w:val="auto"/>
        </w:rPr>
      </w:pPr>
    </w:p>
    <w:p>
      <w:pPr>
        <w:jc w:val="both"/>
        <w:ind w:right="340"/>
        <w:spacing w:after="0" w:line="245" w:lineRule="auto"/>
        <w:rPr>
          <w:sz w:val="20"/>
          <w:szCs w:val="20"/>
          <w:color w:val="auto"/>
        </w:rPr>
      </w:pPr>
      <w:r>
        <w:rPr>
          <w:rFonts w:ascii="Arial" w:cs="Arial" w:eastAsia="Arial" w:hAnsi="Arial"/>
          <w:sz w:val="19"/>
          <w:szCs w:val="19"/>
          <w:color w:val="auto"/>
        </w:rPr>
        <w:t>The term “ICON” and such terms as “the company,” “our,” “we,” “us” and “its” may refer to ICON public limited company,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90170</wp:posOffset>
            </wp:positionV>
            <wp:extent cx="7149465" cy="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49465" cy="15240"/>
                    </a:xfrm>
                    <a:prstGeom prst="rect">
                      <a:avLst/>
                    </a:prstGeom>
                    <a:noFill/>
                  </pic:spPr>
                </pic:pic>
              </a:graphicData>
            </a:graphic>
          </wp:anchor>
        </w:drawing>
      </w:r>
    </w:p>
    <w:p>
      <w:pPr>
        <w:sectPr>
          <w:pgSz w:w="11900" w:h="16838" w:orient="portrait"/>
          <w:cols w:equalWidth="0" w:num="1">
            <w:col w:w="11160"/>
          </w:cols>
          <w:pgMar w:left="320" w:top="333" w:right="419" w:bottom="1440" w:gutter="0" w:footer="0" w:header="0"/>
        </w:sectPr>
      </w:pPr>
    </w:p>
    <w:bookmarkStart w:id="3" w:name="page4"/>
    <w:bookmarkEnd w:id="3"/>
    <w:p>
      <w:pPr>
        <w:jc w:val="center"/>
        <w:spacing w:after="0"/>
        <w:rPr>
          <w:sz w:val="20"/>
          <w:szCs w:val="20"/>
          <w:color w:val="auto"/>
        </w:rPr>
      </w:pPr>
      <w:r>
        <w:rPr>
          <w:rFonts w:ascii="Arial" w:cs="Arial" w:eastAsia="Arial" w:hAnsi="Arial"/>
          <w:sz w:val="19"/>
          <w:szCs w:val="19"/>
          <w:b w:val="1"/>
          <w:bCs w:val="1"/>
          <w:color w:val="auto"/>
        </w:rPr>
        <w:t>SIGNATURES</w:t>
      </w:r>
    </w:p>
    <w:p>
      <w:pPr>
        <w:spacing w:after="0" w:line="213" w:lineRule="exact"/>
        <w:rPr>
          <w:sz w:val="20"/>
          <w:szCs w:val="20"/>
          <w:color w:val="auto"/>
        </w:rPr>
      </w:pPr>
    </w:p>
    <w:p>
      <w:pPr>
        <w:ind w:right="400"/>
        <w:spacing w:after="0" w:line="258" w:lineRule="auto"/>
        <w:rPr>
          <w:sz w:val="20"/>
          <w:szCs w:val="20"/>
          <w:color w:val="auto"/>
        </w:rPr>
      </w:pPr>
      <w:r>
        <w:rPr>
          <w:rFonts w:ascii="Arial" w:cs="Arial" w:eastAsia="Arial" w:hAnsi="Arial"/>
          <w:sz w:val="19"/>
          <w:szCs w:val="19"/>
          <w:color w:val="auto"/>
        </w:rPr>
        <w:t>Pursuant to the requirements of the Securities Exchange Act of 1934, the Registrant has duly caused this report to be signed on its behalf by the undersigned thereunto duly authorized.</w:t>
      </w:r>
    </w:p>
    <w:p>
      <w:pPr>
        <w:spacing w:after="0" w:line="38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5640" w:type="dxa"/>
            <w:vAlign w:val="bottom"/>
          </w:tcPr>
          <w:p>
            <w:pPr>
              <w:spacing w:after="0"/>
              <w:rPr>
                <w:sz w:val="17"/>
                <w:szCs w:val="17"/>
                <w:color w:val="auto"/>
              </w:rPr>
            </w:pPr>
          </w:p>
        </w:tc>
        <w:tc>
          <w:tcPr>
            <w:tcW w:w="5620" w:type="dxa"/>
            <w:vAlign w:val="bottom"/>
          </w:tcPr>
          <w:p>
            <w:pPr>
              <w:spacing w:after="0"/>
              <w:rPr>
                <w:sz w:val="20"/>
                <w:szCs w:val="20"/>
                <w:color w:val="auto"/>
              </w:rPr>
            </w:pPr>
            <w:r>
              <w:rPr>
                <w:rFonts w:ascii="Arial" w:cs="Arial" w:eastAsia="Arial" w:hAnsi="Arial"/>
                <w:sz w:val="16"/>
                <w:szCs w:val="16"/>
                <w:b w:val="1"/>
                <w:bCs w:val="1"/>
                <w:color w:val="auto"/>
              </w:rPr>
              <w:t>ICON plc</w:t>
            </w:r>
          </w:p>
        </w:tc>
      </w:tr>
      <w:tr>
        <w:trPr>
          <w:trHeight w:val="762"/>
        </w:trPr>
        <w:tc>
          <w:tcPr>
            <w:tcW w:w="5640" w:type="dxa"/>
            <w:vAlign w:val="bottom"/>
          </w:tcPr>
          <w:p>
            <w:pPr>
              <w:spacing w:after="0"/>
              <w:rPr>
                <w:sz w:val="24"/>
                <w:szCs w:val="24"/>
                <w:color w:val="auto"/>
              </w:rPr>
            </w:pPr>
          </w:p>
        </w:tc>
        <w:tc>
          <w:tcPr>
            <w:tcW w:w="562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/s/ Brendan Brennan</w:t>
            </w:r>
          </w:p>
        </w:tc>
      </w:tr>
      <w:tr>
        <w:trPr>
          <w:trHeight w:val="200"/>
        </w:trPr>
        <w:tc>
          <w:tcPr>
            <w:tcW w:w="5640" w:type="dxa"/>
            <w:vAlign w:val="bottom"/>
          </w:tcPr>
          <w:p>
            <w:pPr>
              <w:spacing w:after="0" w:line="176" w:lineRule="exact"/>
              <w:rPr>
                <w:sz w:val="20"/>
                <w:szCs w:val="20"/>
                <w:color w:val="auto"/>
              </w:rPr>
            </w:pPr>
            <w:r>
              <w:rPr>
                <w:rFonts w:ascii="Arial" w:cs="Arial" w:eastAsia="Arial" w:hAnsi="Arial"/>
                <w:sz w:val="16"/>
                <w:szCs w:val="16"/>
                <w:color w:val="auto"/>
              </w:rPr>
              <w:t>Date: May 17, 2021</w:t>
            </w:r>
          </w:p>
        </w:tc>
        <w:tc>
          <w:tcPr>
            <w:tcW w:w="5620" w:type="dxa"/>
            <w:vAlign w:val="bottom"/>
          </w:tcPr>
          <w:p>
            <w:pPr>
              <w:spacing w:after="0"/>
              <w:rPr>
                <w:sz w:val="20"/>
                <w:szCs w:val="20"/>
                <w:color w:val="auto"/>
              </w:rPr>
            </w:pPr>
            <w:r>
              <w:rPr>
                <w:rFonts w:ascii="Arial" w:cs="Arial" w:eastAsia="Arial" w:hAnsi="Arial"/>
                <w:sz w:val="16"/>
                <w:szCs w:val="16"/>
                <w:color w:val="auto"/>
              </w:rPr>
              <w:t>Brendan Brennan</w:t>
            </w:r>
          </w:p>
        </w:tc>
      </w:tr>
      <w:tr>
        <w:trPr>
          <w:trHeight w:val="366"/>
        </w:trPr>
        <w:tc>
          <w:tcPr>
            <w:tcW w:w="5640" w:type="dxa"/>
            <w:vAlign w:val="bottom"/>
          </w:tcPr>
          <w:p>
            <w:pPr>
              <w:spacing w:after="0"/>
              <w:rPr>
                <w:sz w:val="24"/>
                <w:szCs w:val="24"/>
                <w:color w:val="auto"/>
              </w:rPr>
            </w:pPr>
          </w:p>
        </w:tc>
        <w:tc>
          <w:tcPr>
            <w:tcW w:w="5620" w:type="dxa"/>
            <w:vAlign w:val="bottom"/>
          </w:tcPr>
          <w:p>
            <w:pPr>
              <w:spacing w:after="0"/>
              <w:rPr>
                <w:sz w:val="20"/>
                <w:szCs w:val="20"/>
                <w:color w:val="auto"/>
              </w:rPr>
            </w:pPr>
            <w:r>
              <w:rPr>
                <w:rFonts w:ascii="Arial" w:cs="Arial" w:eastAsia="Arial" w:hAnsi="Arial"/>
                <w:sz w:val="16"/>
                <w:szCs w:val="16"/>
                <w:color w:val="auto"/>
              </w:rPr>
              <w:t>Chief Financial Officer</w:t>
            </w:r>
          </w:p>
        </w:tc>
      </w:tr>
      <w:tr>
        <w:trPr>
          <w:trHeight w:val="100"/>
        </w:trPr>
        <w:tc>
          <w:tcPr>
            <w:tcW w:w="5640" w:type="dxa"/>
            <w:vAlign w:val="bottom"/>
            <w:tcBorders>
              <w:bottom w:val="single" w:sz="8" w:color="auto"/>
            </w:tcBorders>
          </w:tcPr>
          <w:p>
            <w:pPr>
              <w:spacing w:after="0"/>
              <w:rPr>
                <w:sz w:val="8"/>
                <w:szCs w:val="8"/>
                <w:color w:val="auto"/>
              </w:rPr>
            </w:pPr>
          </w:p>
        </w:tc>
        <w:tc>
          <w:tcPr>
            <w:tcW w:w="5620" w:type="dxa"/>
            <w:vAlign w:val="bottom"/>
            <w:tcBorders>
              <w:bottom w:val="single" w:sz="8" w:color="auto"/>
            </w:tcBorders>
          </w:tcPr>
          <w:p>
            <w:pPr>
              <w:spacing w:after="0"/>
              <w:rPr>
                <w:sz w:val="8"/>
                <w:szCs w:val="8"/>
                <w:color w:val="auto"/>
              </w:rPr>
            </w:pPr>
          </w:p>
        </w:tc>
      </w:tr>
    </w:tbl>
    <w:p>
      <w:pPr>
        <w:spacing w:after="0" w:line="1" w:lineRule="exact"/>
        <w:rPr>
          <w:sz w:val="20"/>
          <w:szCs w:val="20"/>
          <w:color w:val="auto"/>
        </w:rPr>
      </w:pPr>
    </w:p>
    <w:sectPr>
      <w:pgSz w:w="11900" w:h="16838" w:orient="portrait"/>
      <w:cols w:equalWidth="0" w:num="1">
        <w:col w:w="11260"/>
      </w:cols>
      <w:pgMar w:left="320" w:top="327"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2021-05-17T07:33:36Z</dcterms:created>
  <dcterms:modified xsi:type="dcterms:W3CDTF">2021-05-17T07:33:36Z</dcterms:modified>
</cp:coreProperties>
</file>