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479425</wp:posOffset>
            </wp:positionV>
            <wp:extent cx="714946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584835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FORM 6-K</w:t>
      </w:r>
    </w:p>
    <w:p>
      <w:pPr>
        <w:spacing w:after="0" w:line="22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21"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Washington, D.C. 20549</w:t>
      </w:r>
    </w:p>
    <w:p>
      <w:pPr>
        <w:spacing w:after="0" w:line="201" w:lineRule="exact"/>
        <w:rPr>
          <w:sz w:val="24"/>
          <w:szCs w:val="24"/>
          <w:color w:val="auto"/>
        </w:rPr>
      </w:pPr>
    </w:p>
    <w:p>
      <w:pPr>
        <w:jc w:val="center"/>
        <w:ind w:right="-379"/>
        <w:spacing w:after="0"/>
        <w:rPr>
          <w:sz w:val="20"/>
          <w:szCs w:val="20"/>
          <w:color w:val="auto"/>
        </w:rPr>
      </w:pPr>
      <w:r>
        <w:rPr>
          <w:rFonts w:ascii="Arial" w:cs="Arial" w:eastAsia="Arial" w:hAnsi="Arial"/>
          <w:sz w:val="19"/>
          <w:szCs w:val="19"/>
          <w:b w:val="1"/>
          <w:bCs w:val="1"/>
          <w:color w:val="auto"/>
        </w:rPr>
        <w:t>Report of Foreign Private Issuer</w:t>
      </w:r>
    </w:p>
    <w:p>
      <w:pPr>
        <w:spacing w:after="0" w:line="11" w:lineRule="exact"/>
        <w:rPr>
          <w:sz w:val="24"/>
          <w:szCs w:val="24"/>
          <w:color w:val="auto"/>
        </w:rPr>
      </w:pPr>
    </w:p>
    <w:p>
      <w:pPr>
        <w:jc w:val="center"/>
        <w:ind w:right="-379"/>
        <w:spacing w:after="0"/>
        <w:rPr>
          <w:sz w:val="20"/>
          <w:szCs w:val="20"/>
          <w:color w:val="auto"/>
        </w:rPr>
      </w:pPr>
      <w:r>
        <w:rPr>
          <w:rFonts w:ascii="Arial" w:cs="Arial" w:eastAsia="Arial" w:hAnsi="Arial"/>
          <w:sz w:val="19"/>
          <w:szCs w:val="19"/>
          <w:b w:val="1"/>
          <w:bCs w:val="1"/>
          <w:color w:val="auto"/>
        </w:rPr>
        <w:t>Pursuant to Rule 13a-16 under</w:t>
      </w:r>
    </w:p>
    <w:p>
      <w:pPr>
        <w:jc w:val="center"/>
        <w:ind w:right="-379"/>
        <w:spacing w:after="0"/>
        <w:rPr>
          <w:sz w:val="20"/>
          <w:szCs w:val="20"/>
          <w:color w:val="auto"/>
        </w:rPr>
      </w:pPr>
      <w:r>
        <w:rPr>
          <w:rFonts w:ascii="Arial" w:cs="Arial" w:eastAsia="Arial" w:hAnsi="Arial"/>
          <w:sz w:val="19"/>
          <w:szCs w:val="19"/>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For the month ended May, 2021</w:t>
      </w:r>
    </w:p>
    <w:p>
      <w:pPr>
        <w:spacing w:after="0" w:line="188" w:lineRule="exact"/>
        <w:rPr>
          <w:sz w:val="24"/>
          <w:szCs w:val="24"/>
          <w:color w:val="auto"/>
        </w:rPr>
      </w:pPr>
    </w:p>
    <w:p>
      <w:pPr>
        <w:jc w:val="center"/>
        <w:ind w:right="-379"/>
        <w:spacing w:after="0"/>
        <w:rPr>
          <w:sz w:val="20"/>
          <w:szCs w:val="20"/>
          <w:color w:val="auto"/>
        </w:rPr>
      </w:pPr>
      <w:r>
        <w:rPr>
          <w:rFonts w:ascii="Arial" w:cs="Arial" w:eastAsia="Arial" w:hAnsi="Arial"/>
          <w:sz w:val="38"/>
          <w:szCs w:val="38"/>
          <w:b w:val="1"/>
          <w:bCs w:val="1"/>
          <w:color w:val="auto"/>
        </w:rPr>
        <w:t>ICON plc</w:t>
      </w:r>
    </w:p>
    <w:p>
      <w:pPr>
        <w:spacing w:after="0" w:line="36"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(Registrant's name)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79"/>
        <w:spacing w:after="0"/>
        <w:rPr>
          <w:sz w:val="20"/>
          <w:szCs w:val="20"/>
          <w:color w:val="auto"/>
        </w:rPr>
      </w:pPr>
      <w:r>
        <w:rPr>
          <w:rFonts w:ascii="Arial" w:cs="Arial" w:eastAsia="Arial" w:hAnsi="Arial"/>
          <w:sz w:val="19"/>
          <w:szCs w:val="19"/>
          <w:b w:val="1"/>
          <w:bCs w:val="1"/>
          <w:color w:val="auto"/>
        </w:rPr>
        <w:t>333-08704</w:t>
      </w:r>
    </w:p>
    <w:p>
      <w:pPr>
        <w:spacing w:after="0" w:line="16"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(Commission file number)</w:t>
      </w:r>
    </w:p>
    <w:p>
      <w:pPr>
        <w:spacing w:after="0" w:line="200" w:lineRule="exact"/>
        <w:rPr>
          <w:sz w:val="24"/>
          <w:szCs w:val="24"/>
          <w:color w:val="auto"/>
        </w:rPr>
      </w:pPr>
    </w:p>
    <w:p>
      <w:pPr>
        <w:spacing w:after="0" w:line="204"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South County Business Park, Leopardstown, Dublin 18, Ireland</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Brendan Brennan, CFOSouth County Business Park, Leopardstown, Dublin 18, Ireland.</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Brendan.Brennan@iconplc.com</w:t>
      </w:r>
    </w:p>
    <w:p>
      <w:pPr>
        <w:jc w:val="center"/>
        <w:ind w:right="-379"/>
        <w:spacing w:after="0" w:line="233" w:lineRule="auto"/>
        <w:rPr>
          <w:sz w:val="20"/>
          <w:szCs w:val="20"/>
          <w:color w:val="auto"/>
        </w:rPr>
      </w:pPr>
      <w:r>
        <w:rPr>
          <w:rFonts w:ascii="Arial" w:cs="Arial" w:eastAsia="Arial" w:hAnsi="Arial"/>
          <w:sz w:val="19"/>
          <w:szCs w:val="19"/>
          <w:color w:val="auto"/>
        </w:rPr>
        <w:t>00-353-1-291-2000</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6"/>
          <w:szCs w:val="16"/>
          <w:color w:val="auto"/>
        </w:rPr>
        <w:t>Form 20-F 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4"/>
          <w:szCs w:val="14"/>
          <w:color w:val="auto"/>
        </w:rPr>
        <w:t>Form 40-F ______</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1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1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p>
      <w:pPr>
        <w:spacing w:after="0" w:line="183" w:lineRule="exact"/>
        <w:rPr>
          <w:sz w:val="24"/>
          <w:szCs w:val="24"/>
          <w:color w:val="auto"/>
        </w:rPr>
      </w:pPr>
    </w:p>
    <w:p>
      <w:pPr>
        <w:spacing w:after="0" w:line="254"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156210</wp:posOffset>
            </wp:positionV>
            <wp:extent cx="714946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284480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880"/>
          </w:cols>
          <w:pgMar w:left="320" w:top="990" w:right="699" w:bottom="1440" w:gutter="0" w:footer="0" w:header="0"/>
        </w:sectPr>
      </w:pPr>
    </w:p>
    <w:bookmarkStart w:id="1" w:name="page2"/>
    <w:bookmarkEnd w:id="1"/>
    <w:p>
      <w:pPr>
        <w:ind w:left="40"/>
        <w:spacing w:after="0"/>
        <w:rPr>
          <w:sz w:val="20"/>
          <w:szCs w:val="20"/>
          <w:color w:val="auto"/>
        </w:rPr>
      </w:pPr>
      <w:r>
        <w:rPr>
          <w:rFonts w:ascii="Arial" w:cs="Arial" w:eastAsia="Arial" w:hAnsi="Arial"/>
          <w:sz w:val="19"/>
          <w:szCs w:val="19"/>
          <w:b w:val="1"/>
          <w:bCs w:val="1"/>
          <w:color w:val="auto"/>
        </w:rPr>
        <w:t>ICON plc</w:t>
      </w:r>
    </w:p>
    <w:p>
      <w:pPr>
        <w:spacing w:after="0" w:line="213" w:lineRule="exact"/>
        <w:rPr>
          <w:sz w:val="20"/>
          <w:szCs w:val="20"/>
          <w:color w:val="auto"/>
        </w:rPr>
      </w:pPr>
    </w:p>
    <w:p>
      <w:pPr>
        <w:ind w:firstLine="186"/>
        <w:spacing w:after="0" w:line="239"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89" w:lineRule="exact"/>
        <w:rPr>
          <w:sz w:val="20"/>
          <w:szCs w:val="20"/>
          <w:color w:val="auto"/>
        </w:rPr>
      </w:pPr>
    </w:p>
    <w:p>
      <w:pPr>
        <w:ind w:right="40" w:firstLine="568"/>
        <w:spacing w:after="0" w:line="256" w:lineRule="auto"/>
        <w:rPr>
          <w:sz w:val="20"/>
          <w:szCs w:val="20"/>
          <w:color w:val="auto"/>
        </w:rPr>
      </w:pPr>
      <w:r>
        <w:rPr>
          <w:rFonts w:ascii="Arial" w:cs="Arial" w:eastAsia="Arial" w:hAnsi="Arial"/>
          <w:sz w:val="18"/>
          <w:szCs w:val="18"/>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w:t>
      </w:r>
    </w:p>
    <w:p>
      <w:pPr>
        <w:spacing w:after="0" w:line="173" w:lineRule="exact"/>
        <w:rPr>
          <w:sz w:val="20"/>
          <w:szCs w:val="20"/>
          <w:color w:val="auto"/>
        </w:rPr>
      </w:pPr>
    </w:p>
    <w:p>
      <w:pPr>
        <w:ind w:right="420" w:firstLine="568"/>
        <w:spacing w:after="0" w:line="258" w:lineRule="auto"/>
        <w:rPr>
          <w:sz w:val="20"/>
          <w:szCs w:val="20"/>
          <w:color w:val="auto"/>
        </w:rPr>
      </w:pPr>
      <w:r>
        <w:rPr>
          <w:rFonts w:ascii="Arial" w:cs="Arial" w:eastAsia="Arial" w:hAnsi="Arial"/>
          <w:sz w:val="19"/>
          <w:szCs w:val="19"/>
          <w:color w:val="auto"/>
        </w:rPr>
        <w:t>The completion of the Merger is conditioned upon, among other things, the clearance of the Merger having been granted by the Federal Antimonopoly Service of Russia (the “FAS”), relating to the consummation of the Merger.</w:t>
      </w:r>
    </w:p>
    <w:p>
      <w:pPr>
        <w:spacing w:after="0" w:line="169" w:lineRule="exact"/>
        <w:rPr>
          <w:sz w:val="20"/>
          <w:szCs w:val="20"/>
          <w:color w:val="auto"/>
        </w:rPr>
      </w:pPr>
    </w:p>
    <w:p>
      <w:pPr>
        <w:ind w:right="80" w:firstLine="568"/>
        <w:spacing w:after="0" w:line="258" w:lineRule="auto"/>
        <w:rPr>
          <w:sz w:val="20"/>
          <w:szCs w:val="20"/>
          <w:color w:val="auto"/>
        </w:rPr>
      </w:pPr>
      <w:r>
        <w:rPr>
          <w:rFonts w:ascii="Arial" w:cs="Arial" w:eastAsia="Arial" w:hAnsi="Arial"/>
          <w:sz w:val="19"/>
          <w:szCs w:val="19"/>
          <w:color w:val="auto"/>
        </w:rPr>
        <w:t>On May 13, 2021, the FAS granted clearance of the Merger. We have now obtained all required antitrust approvals necessary for the closing of the transaction.</w:t>
      </w:r>
    </w:p>
    <w:p>
      <w:pPr>
        <w:spacing w:after="0" w:line="169" w:lineRule="exact"/>
        <w:rPr>
          <w:sz w:val="20"/>
          <w:szCs w:val="20"/>
          <w:color w:val="auto"/>
        </w:rPr>
      </w:pPr>
    </w:p>
    <w:p>
      <w:pPr>
        <w:ind w:right="140" w:firstLine="568"/>
        <w:spacing w:after="0" w:line="245" w:lineRule="auto"/>
        <w:rPr>
          <w:sz w:val="20"/>
          <w:szCs w:val="20"/>
          <w:color w:val="auto"/>
        </w:rPr>
      </w:pPr>
      <w:r>
        <w:rPr>
          <w:rFonts w:ascii="Arial" w:cs="Arial" w:eastAsia="Arial" w:hAnsi="Arial"/>
          <w:sz w:val="19"/>
          <w:szCs w:val="19"/>
          <w:color w:val="auto"/>
        </w:rPr>
        <w:t>The completion of the Merger remains subject to other customary closing conditions, including the adoption of the Merger Agreement by PRA’s stockholders and the approval by ICON’s shareholders of the issuance of ICON ordinary shares in the Merger and foreign direct investment approval in Austria and France. ICON expects the merger to close on July 1, 2021.</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213" w:lineRule="exact"/>
        <w:rPr>
          <w:sz w:val="20"/>
          <w:szCs w:val="20"/>
          <w:color w:val="auto"/>
        </w:rPr>
      </w:pPr>
    </w:p>
    <w:p>
      <w:pPr>
        <w:ind w:right="40" w:firstLine="568"/>
        <w:spacing w:after="0" w:line="264"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ind w:right="20"/>
        <w:spacing w:after="0" w:line="268" w:lineRule="auto"/>
        <w:rPr>
          <w:sz w:val="20"/>
          <w:szCs w:val="20"/>
          <w:color w:val="auto"/>
        </w:rPr>
      </w:pPr>
      <w:r>
        <w:rPr>
          <w:rFonts w:ascii="Arial" w:cs="Arial" w:eastAsia="Arial" w:hAnsi="Arial"/>
          <w:sz w:val="17"/>
          <w:szCs w:val="17"/>
          <w:color w:val="auto"/>
        </w:rPr>
        <w:t>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Offer or Solicitation</w:t>
      </w:r>
    </w:p>
    <w:p>
      <w:pPr>
        <w:spacing w:after="0" w:line="213" w:lineRule="exact"/>
        <w:rPr>
          <w:sz w:val="20"/>
          <w:szCs w:val="20"/>
          <w:color w:val="auto"/>
        </w:rPr>
      </w:pPr>
    </w:p>
    <w:p>
      <w:pPr>
        <w:ind w:right="40" w:firstLine="568"/>
        <w:spacing w:after="0" w:line="241"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Important Information for Investors and Stockholders</w:t>
      </w:r>
    </w:p>
    <w:p>
      <w:pPr>
        <w:spacing w:after="0" w:line="213" w:lineRule="exact"/>
        <w:rPr>
          <w:sz w:val="20"/>
          <w:szCs w:val="20"/>
          <w:color w:val="auto"/>
        </w:rPr>
      </w:pPr>
    </w:p>
    <w:p>
      <w:pPr>
        <w:ind w:right="160" w:firstLine="568"/>
        <w:spacing w:after="0" w:line="264" w:lineRule="auto"/>
        <w:rPr>
          <w:sz w:val="20"/>
          <w:szCs w:val="20"/>
          <w:color w:val="auto"/>
        </w:rPr>
      </w:pPr>
      <w:r>
        <w:rPr>
          <w:rFonts w:ascii="Arial" w:cs="Arial" w:eastAsia="Arial" w:hAnsi="Arial"/>
          <w:sz w:val="17"/>
          <w:szCs w:val="17"/>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w:t>
      </w:r>
    </w:p>
    <w:p>
      <w:pPr>
        <w:spacing w:after="0" w:line="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64" w:lineRule="exact"/>
        <w:rPr>
          <w:sz w:val="20"/>
          <w:szCs w:val="20"/>
          <w:color w:val="auto"/>
        </w:rPr>
      </w:pPr>
    </w:p>
    <w:p>
      <w:pPr>
        <w:jc w:val="both"/>
        <w:ind w:right="340"/>
        <w:spacing w:after="0" w:line="245"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ind w:right="400"/>
        <w:spacing w:after="0" w:line="25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b w:val="1"/>
                <w:bCs w:val="1"/>
                <w:color w:val="auto"/>
              </w:rPr>
              <w:t>ICON plc</w:t>
            </w:r>
          </w:p>
        </w:tc>
      </w:tr>
      <w:tr>
        <w:trPr>
          <w:trHeight w:val="762"/>
        </w:trPr>
        <w:tc>
          <w:tcPr>
            <w:tcW w:w="56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Brendan Brennan</w:t>
            </w:r>
          </w:p>
        </w:tc>
      </w:tr>
      <w:tr>
        <w:trPr>
          <w:trHeight w:val="200"/>
        </w:trPr>
        <w:tc>
          <w:tcPr>
            <w:tcW w:w="5640" w:type="dxa"/>
            <w:vAlign w:val="bottom"/>
          </w:tcPr>
          <w:p>
            <w:pPr>
              <w:spacing w:after="0" w:line="176" w:lineRule="exact"/>
              <w:rPr>
                <w:sz w:val="20"/>
                <w:szCs w:val="20"/>
                <w:color w:val="auto"/>
              </w:rPr>
            </w:pPr>
            <w:r>
              <w:rPr>
                <w:rFonts w:ascii="Arial" w:cs="Arial" w:eastAsia="Arial" w:hAnsi="Arial"/>
                <w:sz w:val="16"/>
                <w:szCs w:val="16"/>
                <w:color w:val="auto"/>
              </w:rPr>
              <w:t>Date: May 17, 2021</w:t>
            </w:r>
          </w:p>
        </w:tc>
        <w:tc>
          <w:tcPr>
            <w:tcW w:w="5620" w:type="dxa"/>
            <w:vAlign w:val="bottom"/>
          </w:tcPr>
          <w:p>
            <w:pPr>
              <w:spacing w:after="0"/>
              <w:rPr>
                <w:sz w:val="20"/>
                <w:szCs w:val="20"/>
                <w:color w:val="auto"/>
              </w:rPr>
            </w:pPr>
            <w:r>
              <w:rPr>
                <w:rFonts w:ascii="Arial" w:cs="Arial" w:eastAsia="Arial" w:hAnsi="Arial"/>
                <w:sz w:val="16"/>
                <w:szCs w:val="16"/>
                <w:color w:val="auto"/>
              </w:rPr>
              <w:t>Brendan Brennan</w:t>
            </w:r>
          </w:p>
        </w:tc>
      </w:tr>
      <w:tr>
        <w:trPr>
          <w:trHeight w:val="366"/>
        </w:trPr>
        <w:tc>
          <w:tcPr>
            <w:tcW w:w="56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100"/>
        </w:trPr>
        <w:tc>
          <w:tcPr>
            <w:tcW w:w="5640" w:type="dxa"/>
            <w:vAlign w:val="bottom"/>
            <w:tcBorders>
              <w:bottom w:val="single" w:sz="8" w:color="auto"/>
            </w:tcBorders>
          </w:tcPr>
          <w:p>
            <w:pPr>
              <w:spacing w:after="0"/>
              <w:rPr>
                <w:sz w:val="8"/>
                <w:szCs w:val="8"/>
                <w:color w:val="auto"/>
              </w:rPr>
            </w:pPr>
          </w:p>
        </w:tc>
        <w:tc>
          <w:tcPr>
            <w:tcW w:w="562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60"/>
      </w:cols>
      <w:pgMar w:left="320" w:top="3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2021-05-17T07:33:36Z</dcterms:created>
  <dcterms:modified xsi:type="dcterms:W3CDTF">2021-05-17T07:33:36Z</dcterms:modified>
</cp:coreProperties>
</file>