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FORM 6-K</w:t>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Report of Foreign Private Issuer</w:t>
      </w:r>
    </w:p>
    <w:p>
      <w:pPr>
        <w:jc w:val="center"/>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March 31, 2007</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0-29714</w:t>
      </w:r>
    </w:p>
    <w:p>
      <w:pPr>
        <w:jc w:val="center"/>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South County Business Park, Leopardstown, Dublin 18, Ireland.</w:t>
      </w: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140"/>
        <w:spacing w:after="0"/>
        <w:tabs>
          <w:tab w:leader="none" w:pos="660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_</w:t>
      </w:r>
      <w:r>
        <w:rPr>
          <w:rFonts w:ascii="Arial" w:cs="Arial" w:eastAsia="Arial" w:hAnsi="Arial"/>
          <w:sz w:val="12"/>
          <w:szCs w:val="12"/>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ind w:left="4140"/>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p>
        </w:tc>
        <w:tc>
          <w:tcPr>
            <w:tcW w:w="5700" w:type="dxa"/>
            <w:vAlign w:val="bottom"/>
            <w:gridSpan w:val="3"/>
          </w:tcPr>
          <w:p>
            <w:pPr>
              <w:ind w:left="860"/>
              <w:spacing w:after="0"/>
              <w:rPr>
                <w:sz w:val="20"/>
                <w:szCs w:val="20"/>
                <w:color w:val="auto"/>
              </w:rPr>
            </w:pP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tc>
      </w:tr>
      <w:tr>
        <w:trPr>
          <w:trHeight w:val="400"/>
        </w:trPr>
        <w:tc>
          <w:tcPr>
            <w:tcW w:w="6960" w:type="dxa"/>
            <w:vAlign w:val="bottom"/>
            <w:gridSpan w:val="2"/>
          </w:tcPr>
          <w:p>
            <w:pPr>
              <w:spacing w:after="0"/>
              <w:rPr>
                <w:sz w:val="20"/>
                <w:szCs w:val="20"/>
                <w:color w:val="auto"/>
              </w:rPr>
            </w:pPr>
            <w:r>
              <w:rPr>
                <w:rFonts w:ascii="Arial" w:cs="Arial" w:eastAsia="Arial" w:hAnsi="Arial"/>
                <w:sz w:val="14"/>
                <w:szCs w:val="14"/>
                <w:color w:val="auto"/>
                <w:w w:val="99"/>
              </w:rPr>
              <w:t>If “Yes” is marked, indicate below the file number assigned to the registrant in connection with Rule 12g3-2(b):82</w:t>
            </w:r>
          </w:p>
        </w:tc>
        <w:tc>
          <w:tcPr>
            <w:tcW w:w="120" w:type="dxa"/>
            <w:vAlign w:val="bottom"/>
            <w:tcBorders>
              <w:top w:val="single" w:sz="8" w:color="auto"/>
            </w:tcBorders>
          </w:tcPr>
          <w:p>
            <w:pPr>
              <w:spacing w:after="0"/>
              <w:rPr>
                <w:sz w:val="24"/>
                <w:szCs w:val="24"/>
                <w:color w:val="auto"/>
              </w:rPr>
            </w:pPr>
          </w:p>
        </w:tc>
        <w:tc>
          <w:tcPr>
            <w:tcW w:w="4340" w:type="dxa"/>
            <w:vAlign w:val="bottom"/>
          </w:tcPr>
          <w:p>
            <w:pPr>
              <w:ind w:left="140"/>
              <w:spacing w:after="0"/>
              <w:rPr>
                <w:sz w:val="20"/>
                <w:szCs w:val="20"/>
                <w:color w:val="auto"/>
              </w:rPr>
            </w:pPr>
            <w:r>
              <w:rPr>
                <w:rFonts w:ascii="Arial" w:cs="Arial" w:eastAsia="Arial" w:hAnsi="Arial"/>
                <w:sz w:val="14"/>
                <w:szCs w:val="14"/>
                <w:b w:val="1"/>
                <w:bCs w:val="1"/>
                <w:color w:val="auto"/>
              </w:rPr>
              <w:t>N/A</w:t>
            </w:r>
          </w:p>
        </w:tc>
      </w:tr>
      <w:tr>
        <w:trPr>
          <w:trHeight w:val="589"/>
        </w:trPr>
        <w:tc>
          <w:tcPr>
            <w:tcW w:w="57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9620" w:type="dxa"/>
            <w:vAlign w:val="bottom"/>
          </w:tcPr>
          <w:p>
            <w:pPr>
              <w:ind w:left="5420"/>
              <w:spacing w:after="0"/>
              <w:rPr>
                <w:sz w:val="20"/>
                <w:szCs w:val="20"/>
                <w:color w:val="auto"/>
              </w:rPr>
            </w:pPr>
            <w:r>
              <w:rPr>
                <w:rFonts w:ascii="Arial" w:cs="Arial" w:eastAsia="Arial" w:hAnsi="Arial"/>
                <w:sz w:val="14"/>
                <w:szCs w:val="14"/>
                <w:b w:val="1"/>
                <w:bCs w:val="1"/>
                <w:color w:val="auto"/>
              </w:rPr>
              <w:t>ICON plc</w:t>
            </w:r>
          </w:p>
        </w:tc>
        <w:tc>
          <w:tcPr>
            <w:tcW w:w="1800" w:type="dxa"/>
            <w:vAlign w:val="bottom"/>
          </w:tcPr>
          <w:p>
            <w:pPr>
              <w:spacing w:after="0"/>
              <w:rPr>
                <w:sz w:val="16"/>
                <w:szCs w:val="16"/>
                <w:color w:val="auto"/>
              </w:rPr>
            </w:pPr>
          </w:p>
        </w:tc>
      </w:tr>
      <w:tr>
        <w:trPr>
          <w:trHeight w:val="392"/>
        </w:trPr>
        <w:tc>
          <w:tcPr>
            <w:tcW w:w="9620" w:type="dxa"/>
            <w:vAlign w:val="bottom"/>
          </w:tcPr>
          <w:p>
            <w:pPr>
              <w:ind w:left="4480"/>
              <w:spacing w:after="0"/>
              <w:rPr>
                <w:sz w:val="20"/>
                <w:szCs w:val="20"/>
                <w:color w:val="auto"/>
              </w:rPr>
            </w:pPr>
            <w:r>
              <w:rPr>
                <w:rFonts w:ascii="Arial" w:cs="Arial" w:eastAsia="Arial" w:hAnsi="Arial"/>
                <w:sz w:val="14"/>
                <w:szCs w:val="14"/>
                <w:b w:val="1"/>
                <w:bCs w:val="1"/>
                <w:color w:val="auto"/>
              </w:rPr>
              <w:t>Quarterly Period Ended March 31, 2007</w:t>
            </w:r>
          </w:p>
        </w:tc>
        <w:tc>
          <w:tcPr>
            <w:tcW w:w="1800" w:type="dxa"/>
            <w:vAlign w:val="bottom"/>
          </w:tcPr>
          <w:p>
            <w:pPr>
              <w:spacing w:after="0"/>
              <w:rPr>
                <w:sz w:val="24"/>
                <w:szCs w:val="24"/>
                <w:color w:val="auto"/>
              </w:rPr>
            </w:pPr>
          </w:p>
        </w:tc>
      </w:tr>
      <w:tr>
        <w:trPr>
          <w:trHeight w:val="392"/>
        </w:trPr>
        <w:tc>
          <w:tcPr>
            <w:tcW w:w="9620" w:type="dxa"/>
            <w:vAlign w:val="bottom"/>
          </w:tcPr>
          <w:p>
            <w:pPr>
              <w:spacing w:after="0"/>
              <w:rPr>
                <w:sz w:val="20"/>
                <w:szCs w:val="20"/>
                <w:color w:val="auto"/>
              </w:rPr>
            </w:pPr>
            <w:r>
              <w:rPr>
                <w:rFonts w:ascii="Arial" w:cs="Arial" w:eastAsia="Arial" w:hAnsi="Arial"/>
                <w:sz w:val="14"/>
                <w:szCs w:val="14"/>
                <w:b w:val="1"/>
                <w:bCs w:val="1"/>
                <w:color w:val="auto"/>
              </w:rPr>
              <w:t>CONTENTS</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32"/>
        </w:trPr>
        <w:tc>
          <w:tcPr>
            <w:tcW w:w="9620" w:type="dxa"/>
            <w:vAlign w:val="bottom"/>
          </w:tcPr>
          <w:p>
            <w:pPr>
              <w:spacing w:after="0"/>
              <w:rPr>
                <w:sz w:val="20"/>
                <w:szCs w:val="20"/>
                <w:color w:val="auto"/>
              </w:rPr>
            </w:pPr>
            <w:r>
              <w:rPr>
                <w:rFonts w:ascii="Arial" w:cs="Arial" w:eastAsia="Arial" w:hAnsi="Arial"/>
                <w:sz w:val="14"/>
                <w:szCs w:val="14"/>
                <w:color w:val="auto"/>
              </w:rPr>
              <w:t>General</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459"/>
        </w:trPr>
        <w:tc>
          <w:tcPr>
            <w:tcW w:w="9620" w:type="dxa"/>
            <w:vAlign w:val="bottom"/>
          </w:tcPr>
          <w:p>
            <w:pPr>
              <w:spacing w:after="0"/>
              <w:rPr>
                <w:sz w:val="20"/>
                <w:szCs w:val="20"/>
                <w:color w:val="auto"/>
              </w:rPr>
            </w:pPr>
            <w:r>
              <w:rPr>
                <w:rFonts w:ascii="Arial" w:cs="Arial" w:eastAsia="Arial" w:hAnsi="Arial"/>
                <w:sz w:val="14"/>
                <w:szCs w:val="14"/>
                <w:color w:val="auto"/>
              </w:rPr>
              <w:t>Condensed Consolidated Balance Sheets as at March 31, 2007 and December 31, 2006</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459"/>
        </w:trPr>
        <w:tc>
          <w:tcPr>
            <w:tcW w:w="9620" w:type="dxa"/>
            <w:vAlign w:val="bottom"/>
          </w:tcPr>
          <w:p>
            <w:pPr>
              <w:spacing w:after="0"/>
              <w:rPr>
                <w:sz w:val="20"/>
                <w:szCs w:val="20"/>
                <w:color w:val="auto"/>
              </w:rPr>
            </w:pPr>
            <w:r>
              <w:rPr>
                <w:rFonts w:ascii="Arial" w:cs="Arial" w:eastAsia="Arial" w:hAnsi="Arial"/>
                <w:sz w:val="14"/>
                <w:szCs w:val="14"/>
                <w:color w:val="auto"/>
              </w:rPr>
              <w:t>Condensed Consolidated Statements of Operations for the three months ended March 31, 2007 and the three months ended March 31, 2006.</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459"/>
        </w:trPr>
        <w:tc>
          <w:tcPr>
            <w:tcW w:w="9620" w:type="dxa"/>
            <w:vAlign w:val="bottom"/>
          </w:tcPr>
          <w:p>
            <w:pPr>
              <w:spacing w:after="0"/>
              <w:rPr>
                <w:sz w:val="20"/>
                <w:szCs w:val="20"/>
                <w:color w:val="auto"/>
              </w:rPr>
            </w:pPr>
            <w:r>
              <w:rPr>
                <w:rFonts w:ascii="Arial" w:cs="Arial" w:eastAsia="Arial" w:hAnsi="Arial"/>
                <w:sz w:val="14"/>
                <w:szCs w:val="14"/>
                <w:color w:val="auto"/>
              </w:rPr>
              <w:t>Condensed Consolidated Statements of Cash Flows for the three months ended March 31, 2007 and the three months ended March 31, 2006.</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59"/>
        </w:trPr>
        <w:tc>
          <w:tcPr>
            <w:tcW w:w="9620" w:type="dxa"/>
            <w:vAlign w:val="bottom"/>
          </w:tcPr>
          <w:p>
            <w:pPr>
              <w:spacing w:after="0"/>
              <w:rPr>
                <w:sz w:val="20"/>
                <w:szCs w:val="20"/>
                <w:color w:val="auto"/>
              </w:rPr>
            </w:pPr>
            <w:r>
              <w:rPr>
                <w:rFonts w:ascii="Arial" w:cs="Arial" w:eastAsia="Arial" w:hAnsi="Arial"/>
                <w:sz w:val="14"/>
                <w:szCs w:val="14"/>
                <w:color w:val="auto"/>
              </w:rPr>
              <w:t>Condensed Consolidated Statements of Shareholders’ Equity and Comprehensive Income</w:t>
            </w:r>
          </w:p>
        </w:tc>
        <w:tc>
          <w:tcPr>
            <w:tcW w:w="18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59"/>
        </w:trPr>
        <w:tc>
          <w:tcPr>
            <w:tcW w:w="9620" w:type="dxa"/>
            <w:vAlign w:val="bottom"/>
          </w:tcPr>
          <w:p>
            <w:pPr>
              <w:spacing w:after="0"/>
              <w:rPr>
                <w:sz w:val="20"/>
                <w:szCs w:val="20"/>
                <w:color w:val="auto"/>
              </w:rPr>
            </w:pPr>
            <w:r>
              <w:rPr>
                <w:rFonts w:ascii="Arial" w:cs="Arial" w:eastAsia="Arial" w:hAnsi="Arial"/>
                <w:sz w:val="14"/>
                <w:szCs w:val="14"/>
                <w:color w:val="auto"/>
              </w:rPr>
              <w:t>Notes to the Condensed Consolidated Financial Statements</w:t>
            </w: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59"/>
        </w:trPr>
        <w:tc>
          <w:tcPr>
            <w:tcW w:w="9620" w:type="dxa"/>
            <w:vAlign w:val="bottom"/>
          </w:tcPr>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18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459"/>
        </w:trPr>
        <w:tc>
          <w:tcPr>
            <w:tcW w:w="9620" w:type="dxa"/>
            <w:vAlign w:val="bottom"/>
          </w:tcPr>
          <w:p>
            <w:pPr>
              <w:spacing w:after="0"/>
              <w:rPr>
                <w:sz w:val="20"/>
                <w:szCs w:val="20"/>
                <w:color w:val="auto"/>
              </w:rPr>
            </w:pPr>
            <w:r>
              <w:rPr>
                <w:rFonts w:ascii="Arial" w:cs="Arial" w:eastAsia="Arial" w:hAnsi="Arial"/>
                <w:sz w:val="14"/>
                <w:szCs w:val="14"/>
                <w:color w:val="auto"/>
              </w:rPr>
              <w:t>Signature Page</w:t>
            </w:r>
          </w:p>
        </w:tc>
        <w:tc>
          <w:tcPr>
            <w:tcW w:w="18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684"/>
        </w:trPr>
        <w:tc>
          <w:tcPr>
            <w:tcW w:w="962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4"/>
          <w:szCs w:val="14"/>
          <w:b w:val="1"/>
          <w:bCs w:val="1"/>
          <w:color w:val="auto"/>
        </w:rPr>
        <w:t>ICON plc</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Rider A</w:t>
      </w: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GENERAL</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4,477 employees worldwide, with operations in 52 locations in 30 countries, including the United States and major markets in Europe and Rest of World. For the three months ended March 31, 2007, we derived approximately 53.6%, 40.3%, and 6.1% of our net revenue in the United States, Europe and Rest of World,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35"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On September 29, 2006, ICON’s shareholders approved a bonus issue of ordinary shares (the “Bonus Issue”) to shareholders of record as of the close of business on October 13, 2006 (the “Record Date”). The Bonus Issue provides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following unaudited condensed consolidated financial statements and the notes thereto give effect to the Bonus Issue as if had occurred as of the date referenced.</w:t>
      </w: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760" w:type="dxa"/>
            <w:vAlign w:val="bottom"/>
          </w:tcPr>
          <w:p>
            <w:pPr>
              <w:jc w:val="center"/>
              <w:ind w:left="3568"/>
              <w:spacing w:after="0"/>
              <w:rPr>
                <w:sz w:val="20"/>
                <w:szCs w:val="20"/>
                <w:color w:val="auto"/>
              </w:rPr>
            </w:pPr>
            <w:r>
              <w:rPr>
                <w:rFonts w:ascii="Arial" w:cs="Arial" w:eastAsia="Arial" w:hAnsi="Arial"/>
                <w:sz w:val="14"/>
                <w:szCs w:val="14"/>
                <w:b w:val="1"/>
                <w:bCs w:val="1"/>
                <w:color w:val="auto"/>
              </w:rPr>
              <w:t>ICON plc</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760" w:type="dxa"/>
            <w:vAlign w:val="bottom"/>
          </w:tcPr>
          <w:p>
            <w:pPr>
              <w:jc w:val="center"/>
              <w:ind w:left="3568"/>
              <w:spacing w:after="0"/>
              <w:rPr>
                <w:sz w:val="20"/>
                <w:szCs w:val="20"/>
                <w:color w:val="auto"/>
              </w:rPr>
            </w:pPr>
            <w:r>
              <w:rPr>
                <w:rFonts w:ascii="Arial" w:cs="Arial" w:eastAsia="Arial" w:hAnsi="Arial"/>
                <w:sz w:val="14"/>
                <w:szCs w:val="14"/>
                <w:b w:val="1"/>
                <w:bCs w:val="1"/>
                <w:color w:val="auto"/>
              </w:rPr>
              <w:t>CONDENSED CONSOLIDATED BALANCE SHEETS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60" w:type="dxa"/>
            <w:vAlign w:val="bottom"/>
          </w:tcPr>
          <w:p>
            <w:pPr>
              <w:jc w:val="center"/>
              <w:ind w:left="3548"/>
              <w:spacing w:after="0"/>
              <w:rPr>
                <w:sz w:val="20"/>
                <w:szCs w:val="20"/>
                <w:color w:val="auto"/>
              </w:rPr>
            </w:pPr>
            <w:r>
              <w:rPr>
                <w:rFonts w:ascii="Arial" w:cs="Arial" w:eastAsia="Arial" w:hAnsi="Arial"/>
                <w:sz w:val="14"/>
                <w:szCs w:val="14"/>
                <w:b w:val="1"/>
                <w:bCs w:val="1"/>
                <w:color w:val="auto"/>
                <w:w w:val="99"/>
              </w:rPr>
              <w:t>AS AT MARCH 31, 2007 AND DECEMBER 31, 2006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(Audited)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2007</w:t>
            </w:r>
          </w:p>
        </w:tc>
        <w:tc>
          <w:tcPr>
            <w:tcW w:w="3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2006</w:t>
            </w:r>
          </w:p>
        </w:tc>
        <w:tc>
          <w:tcPr>
            <w:tcW w:w="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8"/>
          </w:tcPr>
          <w:p>
            <w:pPr>
              <w:ind w:left="8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15"/>
        </w:trPr>
        <w:tc>
          <w:tcPr>
            <w:tcW w:w="77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77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and cash equivalents</w:t>
            </w:r>
          </w:p>
        </w:tc>
        <w:tc>
          <w:tcPr>
            <w:tcW w:w="62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49,612</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Short term investments - available for sale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39,822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110,211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Unbilled revenue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90,065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89,977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receivables</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9,381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Deferred tax asset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4,355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Prepayments and other current assets</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319,995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328,885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60" w:type="dxa"/>
            <w:vAlign w:val="bottom"/>
          </w:tcPr>
          <w:p>
            <w:pPr>
              <w:ind w:left="16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77,231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4"/>
                <w:szCs w:val="14"/>
                <w:color w:val="auto"/>
              </w:rPr>
              <w:t>68,208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78,795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78,717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Non-current deferred tax asset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6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476,131</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Accounts payable</w:t>
            </w:r>
          </w:p>
        </w:tc>
        <w:tc>
          <w:tcPr>
            <w:tcW w:w="6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11,967</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Payments on account</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Other liabilities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46,025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51,956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 liability</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Bank credit lines and loan facilities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152,279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168,564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Long term government grants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Long term finance leases</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Non-current deferred tax liability</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156,280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173,603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Ordinary shares, par value 6 euro cents per share; 40,000,000 shares authorized,</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320"/>
              <w:spacing w:after="0" w:line="149" w:lineRule="exact"/>
              <w:rPr>
                <w:sz w:val="20"/>
                <w:szCs w:val="20"/>
                <w:color w:val="auto"/>
              </w:rPr>
            </w:pPr>
            <w:r>
              <w:rPr>
                <w:rFonts w:ascii="Arial" w:cs="Arial" w:eastAsia="Arial" w:hAnsi="Arial"/>
                <w:sz w:val="14"/>
                <w:szCs w:val="14"/>
                <w:color w:val="auto"/>
              </w:rPr>
              <w:t>28,641,821 shares issued and outstanding at March 31, 2007 and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28,517,852 shares issued and outstanding at December 31, 2006</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137,742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133,996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Accumulated other comprehensive income</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164,393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152,127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319,851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302,738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476,131</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80" w:right="5680" w:hanging="5669"/>
        <w:spacing w:after="0" w:line="383" w:lineRule="auto"/>
        <w:rPr>
          <w:sz w:val="20"/>
          <w:szCs w:val="20"/>
          <w:color w:val="auto"/>
        </w:rPr>
      </w:pPr>
      <w:r>
        <w:rPr>
          <w:rFonts w:ascii="Arial" w:cs="Arial" w:eastAsia="Arial" w:hAnsi="Arial"/>
          <w:sz w:val="9"/>
          <w:szCs w:val="9"/>
          <w:color w:val="auto"/>
        </w:rPr>
        <w:t>The accompanying notes are an integral part of these condensed consolidated financial statements.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3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ICON plc</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3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3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rPr>
              <w:t>FOR THE THREE MONTHS ENDED MARCH 31, 2007 AND MARCH 31, 2006</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3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gridSpan w:val="10"/>
          </w:tcPr>
          <w:p>
            <w:pPr>
              <w:jc w:val="right"/>
              <w:ind w:right="11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4"/>
              </w:rPr>
              <w:t>March 31, 2007</w:t>
            </w:r>
          </w:p>
        </w:tc>
        <w:tc>
          <w:tcPr>
            <w:tcW w:w="4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March 31, 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940" w:type="dxa"/>
            <w:vAlign w:val="bottom"/>
            <w:gridSpan w:val="2"/>
            <w:vMerge w:val="restart"/>
          </w:tcPr>
          <w:p>
            <w:pPr>
              <w:spacing w:after="0"/>
              <w:rPr>
                <w:sz w:val="20"/>
                <w:szCs w:val="20"/>
                <w:color w:val="auto"/>
              </w:rPr>
            </w:pPr>
            <w:r>
              <w:rPr>
                <w:rFonts w:ascii="Arial" w:cs="Arial" w:eastAsia="Arial" w:hAnsi="Arial"/>
                <w:sz w:val="14"/>
                <w:szCs w:val="14"/>
                <w:color w:val="auto"/>
              </w:rPr>
              <w:t>Revenue:</w:t>
            </w: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12"/>
          </w:tcPr>
          <w:p>
            <w:pPr>
              <w:jc w:val="right"/>
              <w:ind w:right="280"/>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0" w:type="dxa"/>
            <w:vAlign w:val="bottom"/>
          </w:tcPr>
          <w:p>
            <w:pPr>
              <w:spacing w:after="0"/>
              <w:rPr>
                <w:sz w:val="1"/>
                <w:szCs w:val="1"/>
                <w:color w:val="auto"/>
              </w:rPr>
            </w:pPr>
          </w:p>
        </w:tc>
      </w:tr>
      <w:tr>
        <w:trPr>
          <w:trHeight w:val="134"/>
        </w:trPr>
        <w:tc>
          <w:tcPr>
            <w:tcW w:w="2940" w:type="dxa"/>
            <w:vAlign w:val="bottom"/>
            <w:gridSpan w:val="2"/>
            <w:vMerge w:val="continue"/>
          </w:tcPr>
          <w:p>
            <w:pPr>
              <w:spacing w:after="0"/>
              <w:rPr>
                <w:sz w:val="11"/>
                <w:szCs w:val="11"/>
                <w:color w:val="auto"/>
              </w:rPr>
            </w:pPr>
          </w:p>
        </w:tc>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Gross revenue</w:t>
            </w:r>
          </w:p>
        </w:tc>
        <w:tc>
          <w:tcPr>
            <w:tcW w:w="5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186,740</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140,644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Subcontractor costs</w:t>
            </w:r>
          </w:p>
        </w:tc>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(50,651)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(42,149)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Net revenue</w:t>
            </w: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136,089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98,495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Direct costs</w:t>
            </w:r>
          </w:p>
        </w:tc>
        <w:tc>
          <w:tcPr>
            <w:tcW w:w="5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78,557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38,684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30,280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5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4,156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Borders>
              <w:top w:val="single" w:sz="8" w:color="CCEEFF"/>
            </w:tcBorders>
          </w:tcPr>
          <w:p>
            <w:pPr>
              <w:spacing w:after="0"/>
              <w:rPr>
                <w:sz w:val="15"/>
                <w:szCs w:val="15"/>
                <w:color w:val="auto"/>
              </w:rPr>
            </w:pPr>
          </w:p>
        </w:tc>
        <w:tc>
          <w:tcPr>
            <w:tcW w:w="5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Total costs and expenses</w:t>
            </w:r>
          </w:p>
        </w:tc>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121,397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88,429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Income from operations</w:t>
            </w: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14,692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10,066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5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15,736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10,713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5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12,266</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7,541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per Ordinary Share:</w:t>
            </w:r>
          </w:p>
        </w:tc>
        <w:tc>
          <w:tcPr>
            <w:tcW w:w="5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Basic</w:t>
            </w:r>
          </w:p>
        </w:tc>
        <w:tc>
          <w:tcPr>
            <w:tcW w:w="5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0.43</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rPr>
              <w:t>Diluted</w:t>
            </w:r>
          </w:p>
        </w:tc>
        <w:tc>
          <w:tcPr>
            <w:tcW w:w="53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500" w:type="dxa"/>
            <w:vAlign w:val="bottom"/>
            <w:gridSpan w:val="5"/>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0.42</w:t>
            </w:r>
          </w:p>
        </w:tc>
        <w:tc>
          <w:tcPr>
            <w:tcW w:w="2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420" w:type="dxa"/>
            <w:vAlign w:val="bottom"/>
            <w:gridSpan w:val="5"/>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100" w:type="dxa"/>
            <w:vAlign w:val="bottom"/>
            <w:tcBorders>
              <w:top w:val="single" w:sz="8" w:color="CCEEFF"/>
            </w:tcBorders>
            <w:gridSpan w:val="2"/>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outstanding:</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Arial" w:cs="Arial" w:eastAsia="Arial" w:hAnsi="Arial"/>
                <w:sz w:val="14"/>
                <w:szCs w:val="14"/>
                <w:color w:val="auto"/>
              </w:rPr>
              <w:t>Basic</w:t>
            </w:r>
          </w:p>
        </w:tc>
        <w:tc>
          <w:tcPr>
            <w:tcW w:w="5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5"/>
          </w:tcPr>
          <w:p>
            <w:pPr>
              <w:jc w:val="right"/>
              <w:ind w:right="140"/>
              <w:spacing w:after="0"/>
              <w:rPr>
                <w:sz w:val="20"/>
                <w:szCs w:val="20"/>
                <w:color w:val="auto"/>
              </w:rPr>
            </w:pPr>
            <w:r>
              <w:rPr>
                <w:rFonts w:ascii="Arial" w:cs="Arial" w:eastAsia="Arial" w:hAnsi="Arial"/>
                <w:sz w:val="14"/>
                <w:szCs w:val="14"/>
                <w:color w:val="auto"/>
              </w:rPr>
              <w:t>28,564,498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5"/>
          </w:tcPr>
          <w:p>
            <w:pPr>
              <w:jc w:val="right"/>
              <w:ind w:right="100"/>
              <w:spacing w:after="0"/>
              <w:rPr>
                <w:sz w:val="20"/>
                <w:szCs w:val="20"/>
                <w:color w:val="auto"/>
              </w:rPr>
            </w:pPr>
            <w:r>
              <w:rPr>
                <w:rFonts w:ascii="Arial" w:cs="Arial" w:eastAsia="Arial" w:hAnsi="Arial"/>
                <w:sz w:val="14"/>
                <w:szCs w:val="14"/>
                <w:color w:val="auto"/>
              </w:rPr>
              <w:t>28,084,034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5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29,508,662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28,219,068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80" w:right="5680" w:hanging="5669"/>
        <w:spacing w:after="0" w:line="383" w:lineRule="auto"/>
        <w:rPr>
          <w:sz w:val="20"/>
          <w:szCs w:val="20"/>
          <w:color w:val="auto"/>
        </w:rPr>
      </w:pPr>
      <w:r>
        <w:rPr>
          <w:rFonts w:ascii="Arial" w:cs="Arial" w:eastAsia="Arial" w:hAnsi="Arial"/>
          <w:sz w:val="9"/>
          <w:szCs w:val="9"/>
          <w:color w:val="auto"/>
        </w:rPr>
        <w:t>The accompanying notes are an integral part of these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980" w:type="dxa"/>
            <w:vAlign w:val="bottom"/>
          </w:tcPr>
          <w:p>
            <w:pPr>
              <w:jc w:val="center"/>
              <w:ind w:left="3348"/>
              <w:spacing w:after="0"/>
              <w:rPr>
                <w:sz w:val="20"/>
                <w:szCs w:val="20"/>
                <w:color w:val="auto"/>
              </w:rPr>
            </w:pPr>
            <w:r>
              <w:rPr>
                <w:rFonts w:ascii="Arial" w:cs="Arial" w:eastAsia="Arial" w:hAnsi="Arial"/>
                <w:sz w:val="14"/>
                <w:szCs w:val="14"/>
                <w:b w:val="1"/>
                <w:bCs w:val="1"/>
                <w:color w:val="auto"/>
              </w:rPr>
              <w:t>ICON plc</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980" w:type="dxa"/>
            <w:vAlign w:val="bottom"/>
          </w:tcPr>
          <w:p>
            <w:pPr>
              <w:jc w:val="center"/>
              <w:ind w:left="3348"/>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3"/>
          </w:tcPr>
          <w:p>
            <w:pPr>
              <w:jc w:val="center"/>
              <w:ind w:left="2928"/>
              <w:spacing w:after="0" w:line="149" w:lineRule="exact"/>
              <w:rPr>
                <w:sz w:val="20"/>
                <w:szCs w:val="20"/>
                <w:color w:val="auto"/>
              </w:rPr>
            </w:pPr>
            <w:r>
              <w:rPr>
                <w:rFonts w:ascii="Arial" w:cs="Arial" w:eastAsia="Arial" w:hAnsi="Arial"/>
                <w:sz w:val="14"/>
                <w:szCs w:val="14"/>
                <w:b w:val="1"/>
                <w:bCs w:val="1"/>
                <w:color w:val="auto"/>
              </w:rPr>
              <w:t>FOR THE THREE MONTHS ENDED MARCH 31, 2007 AND MARCH 31, 2006</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980" w:type="dxa"/>
            <w:vAlign w:val="bottom"/>
          </w:tcPr>
          <w:p>
            <w:pPr>
              <w:jc w:val="center"/>
              <w:ind w:left="334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gridSpan w:val="9"/>
          </w:tcPr>
          <w:p>
            <w:pPr>
              <w:jc w:val="right"/>
              <w:ind w:right="11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31, 2007</w:t>
            </w:r>
          </w:p>
        </w:tc>
        <w:tc>
          <w:tcPr>
            <w:tcW w:w="4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March 31, 2006</w:t>
            </w:r>
          </w:p>
        </w:tc>
        <w:tc>
          <w:tcPr>
            <w:tcW w:w="3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0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4"/>
          </w:tcPr>
          <w:p>
            <w:pPr>
              <w:jc w:val="right"/>
              <w:ind w:right="140"/>
              <w:spacing w:after="0"/>
              <w:rPr>
                <w:sz w:val="20"/>
                <w:szCs w:val="20"/>
                <w:color w:val="auto"/>
              </w:rPr>
            </w:pPr>
            <w:r>
              <w:rPr>
                <w:rFonts w:ascii="Arial" w:cs="Arial" w:eastAsia="Arial" w:hAnsi="Arial"/>
                <w:sz w:val="14"/>
                <w:szCs w:val="14"/>
                <w:color w:val="auto"/>
              </w:rPr>
              <w:t>12,266</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4"/>
          </w:tcPr>
          <w:p>
            <w:pPr>
              <w:jc w:val="right"/>
              <w:ind w:right="100"/>
              <w:spacing w:after="0"/>
              <w:rPr>
                <w:sz w:val="20"/>
                <w:szCs w:val="20"/>
                <w:color w:val="auto"/>
              </w:rPr>
            </w:pPr>
            <w:r>
              <w:rPr>
                <w:rFonts w:ascii="Arial" w:cs="Arial" w:eastAsia="Arial" w:hAnsi="Arial"/>
                <w:sz w:val="14"/>
                <w:szCs w:val="14"/>
                <w:color w:val="auto"/>
              </w:rPr>
              <w:t>7,541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4,156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grants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 compensation expense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Deferred taxes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907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accounts receivable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(1,454)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Increase in unbilled revenue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Decrease in other receivables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Increase in prepayments and other current assets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(2,030)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(Decrease)/increase in payments on account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(12,996)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Decrease in other liabilities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(10,117)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income taxes payable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Increase in accounts payable</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2,224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Net cash used in/provided by operating activities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(2,794)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10,544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of property, plant and equipment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(12,534)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(12,534)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(4,516)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bank credit lines and loan facilities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Proceeds from exercise of share 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1,974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issuance costs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Repayment of other liabilities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Effect of exchange rate movements on cash</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(13,427)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2,960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63,039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59,509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49,612</w:t>
            </w: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62,469</w:t>
            </w:r>
          </w:p>
        </w:tc>
        <w:tc>
          <w:tcPr>
            <w:tcW w:w="0" w:type="dxa"/>
            <w:vAlign w:val="bottom"/>
          </w:tcPr>
          <w:p>
            <w:pPr>
              <w:spacing w:after="0"/>
              <w:rPr>
                <w:sz w:val="1"/>
                <w:szCs w:val="1"/>
                <w:color w:val="auto"/>
              </w:rPr>
            </w:pPr>
          </w:p>
        </w:tc>
      </w:tr>
      <w:tr>
        <w:trPr>
          <w:trHeight w:val="21"/>
        </w:trPr>
        <w:tc>
          <w:tcPr>
            <w:tcW w:w="8000" w:type="dxa"/>
            <w:vAlign w:val="bottom"/>
            <w:gridSpan w:val="2"/>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6"/>
        </w:trPr>
        <w:tc>
          <w:tcPr>
            <w:tcW w:w="8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00" w:type="dxa"/>
            <w:vAlign w:val="bottom"/>
            <w:gridSpan w:val="2"/>
          </w:tcPr>
          <w:p>
            <w:pPr>
              <w:jc w:val="center"/>
              <w:ind w:left="3348"/>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9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2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Paid</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jc w:val="right"/>
              <w:ind w:right="420"/>
              <w:spacing w:after="0" w:line="158"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Income</w:t>
            </w:r>
          </w:p>
        </w:tc>
        <w:tc>
          <w:tcPr>
            <w:tcW w:w="340" w:type="dxa"/>
            <w:vAlign w:val="bottom"/>
          </w:tcPr>
          <w:p>
            <w:pPr>
              <w:spacing w:after="0"/>
              <w:rPr>
                <w:sz w:val="13"/>
                <w:szCs w:val="13"/>
                <w:color w:val="auto"/>
              </w:rPr>
            </w:pPr>
          </w:p>
        </w:tc>
        <w:tc>
          <w:tcPr>
            <w:tcW w:w="900" w:type="dxa"/>
            <w:vAlign w:val="bottom"/>
            <w:gridSpan w:val="3"/>
          </w:tcPr>
          <w:p>
            <w:pPr>
              <w:jc w:val="right"/>
              <w:ind w:right="340"/>
              <w:spacing w:after="0" w:line="158" w:lineRule="exact"/>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40" w:type="dxa"/>
            <w:vAlign w:val="bottom"/>
            <w:gridSpan w:val="13"/>
          </w:tcPr>
          <w:p>
            <w:pPr>
              <w:jc w:val="center"/>
              <w:ind w:right="380"/>
              <w:spacing w:after="0"/>
              <w:rPr>
                <w:sz w:val="20"/>
                <w:szCs w:val="20"/>
                <w:color w:val="auto"/>
              </w:rPr>
            </w:pPr>
            <w:r>
              <w:rPr>
                <w:rFonts w:ascii="Arial" w:cs="Arial" w:eastAsia="Arial" w:hAnsi="Arial"/>
                <w:sz w:val="14"/>
                <w:szCs w:val="14"/>
                <w:b w:val="1"/>
                <w:bCs w:val="1"/>
                <w:color w:val="auto"/>
                <w:w w:val="91"/>
              </w:rPr>
              <w:t>(dollars in thousands, except share data)</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28,517,852</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2,100</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133,996</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14,515</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152,127</w:t>
            </w:r>
          </w:p>
        </w:tc>
        <w:tc>
          <w:tcPr>
            <w:tcW w:w="5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12,266</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12,266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Currency translation adjustment</w:t>
            </w:r>
          </w:p>
        </w:tc>
        <w:tc>
          <w:tcPr>
            <w:tcW w:w="4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1,091</w:t>
            </w:r>
          </w:p>
        </w:tc>
        <w:tc>
          <w:tcPr>
            <w:tcW w:w="3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Total comprehensive income</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316,095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 issuance costs</w:t>
            </w:r>
          </w:p>
        </w:tc>
        <w:tc>
          <w:tcPr>
            <w:tcW w:w="4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Exercise of share options</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color w:val="auto"/>
              </w:rPr>
              <w:t>123,969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8"/>
                <w:szCs w:val="18"/>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color w:val="auto"/>
              </w:rPr>
              <w:t>1,964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Non-cash stock compensation expense</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1,180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Tax benefit on exercise of options</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color w:val="auto"/>
              </w:rPr>
              <w:t>666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2007</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28,641,821</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2,110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4"/>
          </w:tcPr>
          <w:p>
            <w:pPr>
              <w:jc w:val="right"/>
              <w:ind w:right="140"/>
              <w:spacing w:after="0"/>
              <w:rPr>
                <w:sz w:val="20"/>
                <w:szCs w:val="20"/>
                <w:color w:val="auto"/>
              </w:rPr>
            </w:pPr>
            <w:r>
              <w:rPr>
                <w:rFonts w:ascii="Arial" w:cs="Arial" w:eastAsia="Arial" w:hAnsi="Arial"/>
                <w:sz w:val="14"/>
                <w:szCs w:val="14"/>
                <w:color w:val="auto"/>
              </w:rPr>
              <w:t>137,742</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4"/>
          </w:tcPr>
          <w:p>
            <w:pPr>
              <w:jc w:val="right"/>
              <w:ind w:right="200"/>
              <w:spacing w:after="0"/>
              <w:rPr>
                <w:sz w:val="20"/>
                <w:szCs w:val="20"/>
                <w:color w:val="auto"/>
              </w:rPr>
            </w:pPr>
            <w:r>
              <w:rPr>
                <w:rFonts w:ascii="Arial" w:cs="Arial" w:eastAsia="Arial" w:hAnsi="Arial"/>
                <w:sz w:val="14"/>
                <w:szCs w:val="14"/>
                <w:color w:val="auto"/>
              </w:rPr>
              <w:t>15,606</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164,393</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319,851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680" w:right="5680" w:hanging="5669"/>
        <w:spacing w:after="0" w:line="383" w:lineRule="auto"/>
        <w:rPr>
          <w:sz w:val="20"/>
          <w:szCs w:val="20"/>
          <w:color w:val="auto"/>
        </w:rPr>
      </w:pPr>
      <w:r>
        <w:rPr>
          <w:rFonts w:ascii="Arial" w:cs="Arial" w:eastAsia="Arial" w:hAnsi="Arial"/>
          <w:sz w:val="9"/>
          <w:szCs w:val="9"/>
          <w:color w:val="auto"/>
        </w:rPr>
        <w:t>The accompanying notes are an integral part of these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ICON plc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jc w:val="center"/>
        <w:spacing w:after="0" w:line="22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2007</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35" w:lineRule="exact"/>
        <w:rPr>
          <w:sz w:val="20"/>
          <w:szCs w:val="20"/>
          <w:color w:val="auto"/>
        </w:rPr>
      </w:pPr>
    </w:p>
    <w:p>
      <w:pPr>
        <w:jc w:val="both"/>
        <w:ind w:right="20"/>
        <w:spacing w:after="0" w:line="234"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2006. Operating results for the three months ended March 31, 2007 are not necessarily indicative of the results that may be expected for the fiscal period ending December 31, 2007.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2. Goodwill</w:t>
            </w:r>
          </w:p>
        </w:tc>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March 31, 2007</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December 31, 2006</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ind w:left="980"/>
              <w:spacing w:after="0"/>
              <w:rPr>
                <w:sz w:val="20"/>
                <w:szCs w:val="20"/>
                <w:color w:val="auto"/>
              </w:rPr>
            </w:pPr>
            <w:r>
              <w:rPr>
                <w:rFonts w:ascii="Arial" w:cs="Arial" w:eastAsia="Arial" w:hAnsi="Arial"/>
                <w:sz w:val="14"/>
                <w:szCs w:val="14"/>
                <w:b w:val="1"/>
                <w:bCs w:val="1"/>
                <w:color w:val="auto"/>
              </w:rPr>
              <w:t>(in</w:t>
            </w:r>
          </w:p>
        </w:tc>
        <w:tc>
          <w:tcPr>
            <w:tcW w:w="1700" w:type="dxa"/>
            <w:vAlign w:val="bottom"/>
            <w:gridSpan w:val="4"/>
          </w:tcPr>
          <w:p>
            <w:pPr>
              <w:jc w:val="center"/>
              <w:ind w:right="1088"/>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Opening balance</w:t>
            </w:r>
          </w:p>
        </w:tc>
        <w:tc>
          <w:tcPr>
            <w:tcW w:w="2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78,717</w:t>
            </w:r>
          </w:p>
        </w:tc>
        <w:tc>
          <w:tcPr>
            <w:tcW w:w="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Payments made in respect of current period acquisitions</w:t>
            </w: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made in respect of prior period acquisitions</w:t>
            </w:r>
          </w:p>
        </w:tc>
        <w:tc>
          <w:tcPr>
            <w:tcW w:w="2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Foreign exchange movement</w:t>
            </w: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Closing balance</w:t>
            </w:r>
          </w:p>
        </w:tc>
        <w:tc>
          <w:tcPr>
            <w:tcW w:w="24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78,795</w:t>
            </w:r>
          </w:p>
        </w:tc>
        <w:tc>
          <w:tcPr>
            <w:tcW w:w="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78,717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 goodwill balance relates entirely to the clinical research segment.</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10, 2006, the Company acquired 100% of the common stock of Ovation Healthcare Research 2 Inc. (“Ovation”), based in Illinois, USA, for an initial cash consideration of U.S.$6.6 million, excluding costs of acquisition. Working capital provisions had been built into the acquisition contract requiring the potential payment of additional deferred consideration up to a maximum of U.S.$1.4 million. On October 27, 2006, $0.18 million was paid to the former shareholders of Ovation in full and final settlement of the working capital provisions.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acquisition of Ovation has been accounted for as a purchase in accordance with SFAS No. 141, “Business Combinations”. The following table summarises the fair values of the assets acquired and the liabilities assumed at the date of acquisition.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(in thousands)</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6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384</w:t>
            </w: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656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9,005</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5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w:t>
            </w: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656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4,381</w:t>
            </w: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65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(6,952)</w:t>
            </w:r>
          </w:p>
        </w:tc>
      </w:tr>
      <w:tr>
        <w:trPr>
          <w:trHeight w:val="156"/>
        </w:trPr>
        <w:tc>
          <w:tcPr>
            <w:tcW w:w="20" w:type="dxa"/>
            <w:vAlign w:val="bottom"/>
          </w:tcPr>
          <w:p>
            <w:pPr>
              <w:spacing w:after="0"/>
              <w:rPr>
                <w:sz w:val="13"/>
                <w:szCs w:val="13"/>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Long term liabilities</w:t>
            </w:r>
          </w:p>
        </w:tc>
        <w:tc>
          <w:tcPr>
            <w:tcW w:w="6560" w:type="dxa"/>
            <w:vAlign w:val="bottom"/>
          </w:tcPr>
          <w:p>
            <w:pPr>
              <w:spacing w:after="0"/>
              <w:rPr>
                <w:sz w:val="13"/>
                <w:szCs w:val="13"/>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(124)</w:t>
            </w:r>
          </w:p>
        </w:tc>
      </w:tr>
      <w:tr>
        <w:trPr>
          <w:trHeight w:val="149"/>
        </w:trPr>
        <w:tc>
          <w:tcPr>
            <w:tcW w:w="20" w:type="dxa"/>
            <w:vAlign w:val="bottom"/>
          </w:tcPr>
          <w:p>
            <w:pPr>
              <w:spacing w:after="0"/>
              <w:rPr>
                <w:sz w:val="12"/>
                <w:szCs w:val="12"/>
                <w:color w:val="auto"/>
              </w:rPr>
            </w:pPr>
          </w:p>
        </w:tc>
        <w:tc>
          <w:tcPr>
            <w:tcW w:w="37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6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7,035</w:t>
            </w:r>
          </w:p>
        </w:tc>
        <w:tc>
          <w:tcPr>
            <w:tcW w:w="100" w:type="dxa"/>
            <w:vAlign w:val="bottom"/>
            <w:shd w:val="clear" w:color="auto" w:fill="CCEEFF"/>
          </w:tcPr>
          <w:p>
            <w:pPr>
              <w:spacing w:after="0"/>
              <w:rPr>
                <w:sz w:val="12"/>
                <w:szCs w:val="12"/>
                <w:color w:val="auto"/>
              </w:rPr>
            </w:pPr>
          </w:p>
        </w:tc>
      </w:tr>
      <w:tr>
        <w:trPr>
          <w:trHeight w:val="40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560" w:type="dxa"/>
            <w:vAlign w:val="bottom"/>
          </w:tcPr>
          <w:p>
            <w:pPr>
              <w:jc w:val="right"/>
              <w:ind w:right="4468"/>
              <w:spacing w:after="0"/>
              <w:rPr>
                <w:sz w:val="20"/>
                <w:szCs w:val="20"/>
                <w:color w:val="auto"/>
              </w:rPr>
            </w:pPr>
            <w:r>
              <w:rPr>
                <w:rFonts w:ascii="Arial" w:cs="Arial" w:eastAsia="Arial" w:hAnsi="Arial"/>
                <w:sz w:val="14"/>
                <w:szCs w:val="14"/>
                <w:color w:val="auto"/>
              </w:rPr>
              <w:t>7</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65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both"/>
        <w:spacing w:after="0" w:line="231" w:lineRule="auto"/>
        <w:rPr>
          <w:sz w:val="20"/>
          <w:szCs w:val="20"/>
          <w:color w:val="auto"/>
        </w:rPr>
      </w:pPr>
      <w:r>
        <w:rPr>
          <w:rFonts w:ascii="Arial" w:cs="Arial" w:eastAsia="Arial" w:hAnsi="Arial"/>
          <w:sz w:val="14"/>
          <w:szCs w:val="14"/>
          <w:color w:val="auto"/>
        </w:rPr>
        <w:t>On September 9, 2003, the Company acquired 100% of the outstanding shares of GloboMax LLC (“GloboMax”), based in Maryland, USA, for an initial cash consideration of $10.9 million, excluding costs of acquisition. Earn out provisions were built into the acquisition contract requiring the potential payment of additional deferred consideration up to a maximum of US$4 million depending on the performance of GloboMax over the period from date of acquisition to May 31, 2006. On August 26, 2005, cash consideration of US$1.4 million was paid to the former shareholders of GloboMax in respect of the first earn out target which was reached on May 31, 2005. On May 31, 2006, a final payment of $96,131 was made to the former shareholders of GloboMax. No further payments are anticipated.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 Adoption of the provisions of FASB Interpretation No. 48 </w:t>
      </w:r>
      <w:r>
        <w:rPr>
          <w:rFonts w:ascii="Arial" w:cs="Arial" w:eastAsia="Arial" w:hAnsi="Arial"/>
          <w:sz w:val="14"/>
          <w:szCs w:val="14"/>
          <w:b w:val="1"/>
          <w:bCs w:val="1"/>
          <w:i w:val="1"/>
          <w:iCs w:val="1"/>
          <w:color w:val="auto"/>
        </w:rPr>
        <w:t>Accounting for Uncertainty in Income Taxes</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4"/>
          <w:szCs w:val="14"/>
          <w:color w:val="auto"/>
        </w:rPr>
        <w:t xml:space="preserve">In June 2006, the FASB issued FIN 48, </w:t>
      </w:r>
      <w:r>
        <w:rPr>
          <w:rFonts w:ascii="Arial" w:cs="Arial" w:eastAsia="Arial" w:hAnsi="Arial"/>
          <w:sz w:val="14"/>
          <w:szCs w:val="14"/>
          <w:i w:val="1"/>
          <w:iCs w:val="1"/>
          <w:color w:val="auto"/>
        </w:rPr>
        <w:t>Accounting for Uncertainty in Income Taxes – an Interpretation of FASB Statement No. 109, Accounting for Income Taxes</w:t>
      </w:r>
      <w:r>
        <w:rPr>
          <w:rFonts w:ascii="Arial" w:cs="Arial" w:eastAsia="Arial" w:hAnsi="Arial"/>
          <w:sz w:val="14"/>
          <w:szCs w:val="14"/>
          <w:color w:val="auto"/>
        </w:rPr>
        <w:t>. The Interpretation addresses the determination of whether tax benefits claimed or expected to be claimed on a tax return should be recorded in the financial statements.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Under FIN 48, the Company may recognize the tax benefits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recognized upon ultimate settlement.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FIN 48 also provides guidance on derecognition, classification, interest and penalties on income taxes, accounting in interim periods and requires increased disclosures.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adopted the provisions of FIN 48 effective January 1, 2007. As a result of the implementation of FIN 48, the Company maintains a $11.2 million liability for unrecognized tax benefit, which is comprised of $10.2 million related to items generating unrecognized tax benefits and $1.0 million for interest and related penalties to such items. The Company recognizes interest accrued on unrecognized tax benefits as an additional income tax expense.</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Any recognition of an unrecognized tax liability would impact the Company’s effective tax rate in that period. We do not anticipate that the total unrecognized tax benefits or our effective tax rate will significantly change due to the settlement of audits and the expiration of statutes of limitations within the next 12 months.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2003 through 2006 tax years. The Company does not believe that the outcome of any examination will have a material impact on its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Net income per ordinary share</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number of shares, restated to reflect the Bonus Issue, used in the computation of basic and diluted net income per ordinary share is as follows:</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00" w:type="dxa"/>
            <w:vAlign w:val="bottom"/>
            <w:gridSpan w:val="4"/>
          </w:tcPr>
          <w:p>
            <w:pPr>
              <w:ind w:left="940"/>
              <w:spacing w:after="0" w:line="155"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500" w:type="dxa"/>
            <w:vAlign w:val="bottom"/>
            <w:tcBorders>
              <w:top w:val="single" w:sz="8" w:color="auto"/>
              <w:bottom w:val="single" w:sz="8" w:color="auto"/>
            </w:tcBorders>
          </w:tcPr>
          <w:p>
            <w:pPr>
              <w:ind w:left="280"/>
              <w:spacing w:after="0" w:line="149" w:lineRule="exact"/>
              <w:rPr>
                <w:sz w:val="20"/>
                <w:szCs w:val="20"/>
                <w:color w:val="auto"/>
              </w:rPr>
            </w:pPr>
            <w:r>
              <w:rPr>
                <w:rFonts w:ascii="Arial" w:cs="Arial" w:eastAsia="Arial" w:hAnsi="Arial"/>
                <w:sz w:val="14"/>
                <w:szCs w:val="14"/>
                <w:b w:val="1"/>
                <w:bCs w:val="1"/>
                <w:color w:val="auto"/>
              </w:rPr>
              <w:t>March 31, 2007</w:t>
            </w:r>
          </w:p>
        </w:tc>
        <w:tc>
          <w:tcPr>
            <w:tcW w:w="220" w:type="dxa"/>
            <w:vAlign w:val="bottom"/>
            <w:tcBorders>
              <w:top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March 31,2006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Weighted average number of ordinary shares outstanding for basic net income per ordinary share</w:t>
            </w:r>
          </w:p>
        </w:tc>
        <w:tc>
          <w:tcPr>
            <w:tcW w:w="4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28,564,498</w:t>
            </w:r>
          </w:p>
        </w:tc>
        <w:tc>
          <w:tcPr>
            <w:tcW w:w="1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28,084,034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Effect of dilutive share options outstanding</w:t>
            </w:r>
          </w:p>
        </w:tc>
        <w:tc>
          <w:tcPr>
            <w:tcW w:w="2480" w:type="dxa"/>
            <w:vAlign w:val="bottom"/>
          </w:tcPr>
          <w:p>
            <w:pPr>
              <w:spacing w:after="0"/>
              <w:rPr>
                <w:sz w:val="12"/>
                <w:szCs w:val="12"/>
                <w:color w:val="auto"/>
              </w:rPr>
            </w:pPr>
          </w:p>
        </w:tc>
        <w:tc>
          <w:tcPr>
            <w:tcW w:w="1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944,164</w:t>
            </w: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for diluted net income per ordinary share</w:t>
            </w:r>
          </w:p>
        </w:tc>
        <w:tc>
          <w:tcPr>
            <w:tcW w:w="24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29,508,662</w:t>
            </w:r>
          </w:p>
        </w:tc>
        <w:tc>
          <w:tcPr>
            <w:tcW w:w="1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28,219,068</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62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jc w:val="right"/>
              <w:ind w:right="2308"/>
              <w:spacing w:after="0"/>
              <w:rPr>
                <w:sz w:val="20"/>
                <w:szCs w:val="20"/>
                <w:color w:val="auto"/>
              </w:rPr>
            </w:pPr>
            <w:r>
              <w:rPr>
                <w:rFonts w:ascii="Arial" w:cs="Arial" w:eastAsia="Arial" w:hAnsi="Arial"/>
                <w:sz w:val="14"/>
                <w:szCs w:val="14"/>
                <w:color w:val="auto"/>
              </w:rPr>
              <w:t>8</w:t>
            </w:r>
          </w:p>
        </w:tc>
        <w:tc>
          <w:tcPr>
            <w:tcW w:w="1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2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5. Stock Options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An aggregate of 3.0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No options can be granted after January 17, 2013.</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In December 2004, the Financial Accounting Standards Board (“FASB”) issued Statement of Accounting Standards (“SFAS”) 123 (revised 2004), </w:t>
      </w:r>
      <w:r>
        <w:rPr>
          <w:rFonts w:ascii="Arial" w:cs="Arial" w:eastAsia="Arial" w:hAnsi="Arial"/>
          <w:sz w:val="14"/>
          <w:szCs w:val="14"/>
          <w:i w:val="1"/>
          <w:iCs w:val="1"/>
          <w:color w:val="auto"/>
        </w:rPr>
        <w:t>Share Based Payment</w:t>
      </w:r>
      <w:r>
        <w:rPr>
          <w:rFonts w:ascii="Arial" w:cs="Arial" w:eastAsia="Arial" w:hAnsi="Arial"/>
          <w:sz w:val="14"/>
          <w:szCs w:val="14"/>
          <w:color w:val="auto"/>
        </w:rPr>
        <w:t xml:space="preserve"> (“SFAS 123R”) which replaced SFAS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and supersedes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three months ended March 31, 2007,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 The following table summarizes option activity for the three months ended March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Options Outstanding</w:t>
            </w:r>
          </w:p>
        </w:tc>
        <w:tc>
          <w:tcPr>
            <w:tcW w:w="100" w:type="dxa"/>
            <w:vAlign w:val="bottom"/>
          </w:tcPr>
          <w:p>
            <w:pPr>
              <w:spacing w:after="0"/>
              <w:rPr>
                <w:sz w:val="14"/>
                <w:szCs w:val="1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80" w:type="dxa"/>
            <w:vAlign w:val="bottom"/>
          </w:tcPr>
          <w:p>
            <w:pPr>
              <w:spacing w:after="0"/>
              <w:rPr>
                <w:sz w:val="16"/>
                <w:szCs w:val="16"/>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2006</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2,321,852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8.45</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623,190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42.50</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18.21</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(124,049)</w:t>
            </w:r>
          </w:p>
        </w:tc>
        <w:tc>
          <w:tcPr>
            <w:tcW w:w="100" w:type="dxa"/>
            <w:vAlign w:val="bottom"/>
          </w:tcPr>
          <w:p>
            <w:pPr>
              <w:spacing w:after="0"/>
              <w:rPr>
                <w:sz w:val="12"/>
                <w:szCs w:val="12"/>
                <w:color w:val="auto"/>
              </w:rPr>
            </w:pPr>
          </w:p>
        </w:tc>
        <w:tc>
          <w:tcPr>
            <w:tcW w:w="1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15.92</w:t>
            </w:r>
          </w:p>
        </w:tc>
        <w:tc>
          <w:tcPr>
            <w:tcW w:w="8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7.53</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(41,780)</w:t>
            </w:r>
          </w:p>
        </w:tc>
        <w:tc>
          <w:tcPr>
            <w:tcW w:w="10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18.67</w:t>
            </w:r>
          </w:p>
        </w:tc>
        <w:tc>
          <w:tcPr>
            <w:tcW w:w="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8.45</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March 31, 2007</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2,779,213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10.68</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Exercisable at March 31, 2007</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879,765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18.69</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8.54</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2007 is eight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ind w:right="580"/>
        <w:spacing w:after="0" w:line="252" w:lineRule="auto"/>
        <w:rPr>
          <w:sz w:val="20"/>
          <w:szCs w:val="20"/>
          <w:color w:val="auto"/>
        </w:rPr>
      </w:pPr>
      <w:r>
        <w:rPr>
          <w:rFonts w:ascii="Arial" w:cs="Arial" w:eastAsia="Arial" w:hAnsi="Arial"/>
          <w:sz w:val="14"/>
          <w:szCs w:val="14"/>
          <w:color w:val="auto"/>
        </w:rPr>
        <w:t>The weighted average fair value of stock options granted during the three months ended March 31, 2007, calculated using the Black-Scholes option pricing model, was $18.21 based on the following assumptions; dividend yield - 0%, risk free interest rate – 4.7%, expected volatility - 40% and weighted average expected life – 5.11 years.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life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210"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Income from operations for the three months ended March 31, 2007, is stated after charging $1.2 million in respect of non-cash stock compensation expense. Basic and diluted earnings per share for the three months ended March 31, 2007, had SFAS 123R not been introduced would have been $0.47 and $0.46 respectively. Non-cash stock compensation expense for the three months ended March 31, 2007, has been allocated to direct costs and selling, general and administrative expenses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rPr>
              <w:t>March 31, 2007</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w w:val="98"/>
              </w:rPr>
              <w:t>March 31, 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(in</w:t>
            </w:r>
          </w:p>
        </w:tc>
        <w:tc>
          <w:tcPr>
            <w:tcW w:w="1700" w:type="dxa"/>
            <w:vAlign w:val="bottom"/>
            <w:gridSpan w:val="4"/>
          </w:tcPr>
          <w:p>
            <w:pPr>
              <w:jc w:val="center"/>
              <w:ind w:right="1088"/>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1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tcBorders>
              <w:right w:val="single" w:sz="8" w:color="CCEEFF"/>
            </w:tcBorders>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rPr>
                <w:sz w:val="12"/>
                <w:szCs w:val="12"/>
                <w:color w:val="auto"/>
              </w:rPr>
            </w:pPr>
          </w:p>
        </w:tc>
        <w:tc>
          <w:tcPr>
            <w:tcW w:w="138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1,180</w:t>
            </w:r>
          </w:p>
        </w:tc>
        <w:tc>
          <w:tcPr>
            <w:tcW w:w="1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1"/>
        </w:trPr>
        <w:tc>
          <w:tcPr>
            <w:tcW w:w="6760" w:type="dxa"/>
            <w:vAlign w:val="bottom"/>
            <w:gridSpan w:val="2"/>
            <w:vMerge w:val="restart"/>
          </w:tcPr>
          <w:p>
            <w:pPr>
              <w:spacing w:after="0"/>
              <w:rPr>
                <w:sz w:val="20"/>
                <w:szCs w:val="20"/>
                <w:color w:val="auto"/>
              </w:rPr>
            </w:pPr>
            <w:r>
              <w:rPr>
                <w:rFonts w:ascii="Arial" w:cs="Arial" w:eastAsia="Arial" w:hAnsi="Arial"/>
                <w:sz w:val="14"/>
                <w:szCs w:val="14"/>
                <w:color w:val="auto"/>
              </w:rPr>
              <w:t>Non vested shares outstanding as at March 31, 2007, are as follows:</w:t>
            </w: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676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Options Outstanding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December 31, 2006</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1,788,308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19.32</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74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623,190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42.50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Arial" w:cs="Arial" w:eastAsia="Arial" w:hAnsi="Arial"/>
                <w:sz w:val="14"/>
                <w:szCs w:val="14"/>
                <w:color w:val="auto"/>
              </w:rPr>
              <w:t>Vested</w:t>
            </w:r>
          </w:p>
        </w:tc>
        <w:tc>
          <w:tcPr>
            <w:tcW w:w="1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(470,270)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20.73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(41,780)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18.67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74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March 31, 2007</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1,899,448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26.54</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As at March 31, 2007, total unrecognized compensation cost related to unvested options, which the Company expects to recognize over a weighted average period of 2.44 years, amounted to $17.01 million. The Company has granted options with fair values ranging from $5.78 to $18.21 per option or a weighted average fair value of $9.68 per option. The Company issues new ordinary shares for all options exercised. The total amount of fully vested share options which remained outstanding at March 31, 2007 was 879,765. The fully vested options have an average remaining contractual term of 5 years and average exercise price of $18.69. The total intrinsic value of options exercised during the period was $4.09 million (three months ended March 31, 2006 was $1.02 million).</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Business Segment Information</w:t>
      </w:r>
    </w:p>
    <w:p>
      <w:pPr>
        <w:spacing w:after="0" w:line="235"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The Company's areas of operation outside of Ireland principally include the United Kingdom, United States, Germany, Australia, Argentina, Chile, France, Italy, Japan, Israel, Singapore, Canada, Sweden, The Netherlands, Latvia, Russia, Lithuania, Poland, Taiwan, Hong Kong, South Africa, Spain, Hungary, India, Mexico, Brazil, South Korea, China, Thailand and Peru. Segment information for the three month ended March 31, 2007 and March 31, 2006 are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5240" w:type="dxa"/>
            <w:vAlign w:val="bottom"/>
            <w:gridSpan w:val="2"/>
          </w:tcPr>
          <w:p>
            <w:pPr>
              <w:spacing w:after="0"/>
              <w:rPr>
                <w:sz w:val="20"/>
                <w:szCs w:val="20"/>
                <w:color w:val="auto"/>
              </w:rPr>
            </w:pPr>
            <w:r>
              <w:rPr>
                <w:rFonts w:ascii="Arial" w:cs="Arial" w:eastAsia="Arial" w:hAnsi="Arial"/>
                <w:sz w:val="14"/>
                <w:szCs w:val="14"/>
                <w:color w:val="auto"/>
              </w:rPr>
              <w:t>a) The distribution of net revenue by geographical area was as follows:</w:t>
            </w: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March 31, 2007</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March 31, 2006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ind w:left="980"/>
              <w:spacing w:after="0" w:line="149" w:lineRule="exact"/>
              <w:rPr>
                <w:sz w:val="20"/>
                <w:szCs w:val="20"/>
                <w:color w:val="auto"/>
              </w:rPr>
            </w:pPr>
            <w:r>
              <w:rPr>
                <w:rFonts w:ascii="Arial" w:cs="Arial" w:eastAsia="Arial" w:hAnsi="Arial"/>
                <w:sz w:val="14"/>
                <w:szCs w:val="14"/>
                <w:b w:val="1"/>
                <w:bCs w:val="1"/>
                <w:color w:val="auto"/>
              </w:rPr>
              <w:t>(in</w:t>
            </w:r>
          </w:p>
        </w:tc>
        <w:tc>
          <w:tcPr>
            <w:tcW w:w="1700" w:type="dxa"/>
            <w:vAlign w:val="bottom"/>
            <w:gridSpan w:val="4"/>
          </w:tcPr>
          <w:p>
            <w:pPr>
              <w:jc w:val="center"/>
              <w:ind w:right="1088"/>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3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22,703</w:t>
            </w:r>
          </w:p>
        </w:tc>
        <w:tc>
          <w:tcPr>
            <w:tcW w:w="2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7,888</w:t>
            </w: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32,096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22,951</w:t>
            </w: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2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72,970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60,850</w:t>
            </w:r>
          </w:p>
        </w:tc>
      </w:tr>
      <w:tr>
        <w:trPr>
          <w:trHeight w:val="156"/>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2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8,320</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6,806</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136,089</w:t>
            </w:r>
          </w:p>
        </w:tc>
        <w:tc>
          <w:tcPr>
            <w:tcW w:w="2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98,495</w:t>
            </w:r>
          </w:p>
        </w:tc>
      </w:tr>
      <w:tr>
        <w:trPr>
          <w:trHeight w:val="176"/>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All sales shown for Ireland are export sales.</w:t>
            </w:r>
          </w:p>
        </w:tc>
        <w:tc>
          <w:tcPr>
            <w:tcW w:w="2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373"/>
        </w:trPr>
        <w:tc>
          <w:tcPr>
            <w:tcW w:w="5240" w:type="dxa"/>
            <w:vAlign w:val="bottom"/>
            <w:gridSpan w:val="2"/>
          </w:tcPr>
          <w:p>
            <w:pPr>
              <w:spacing w:after="0"/>
              <w:rPr>
                <w:sz w:val="20"/>
                <w:szCs w:val="20"/>
                <w:color w:val="auto"/>
              </w:rPr>
            </w:pPr>
            <w:r>
              <w:rPr>
                <w:rFonts w:ascii="Arial" w:cs="Arial" w:eastAsia="Arial" w:hAnsi="Arial"/>
                <w:sz w:val="14"/>
                <w:szCs w:val="14"/>
                <w:color w:val="auto"/>
              </w:rPr>
              <w:t>b) The distribution of net revenue by business segment was as follows:</w:t>
            </w: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March 31, 2007</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March 31, 2006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6"/>
          </w:tcPr>
          <w:p>
            <w:pPr>
              <w:ind w:left="920"/>
              <w:spacing w:after="0" w:line="149" w:lineRule="exact"/>
              <w:rPr>
                <w:sz w:val="20"/>
                <w:szCs w:val="20"/>
                <w:color w:val="auto"/>
              </w:rPr>
            </w:pPr>
            <w:r>
              <w:rPr>
                <w:rFonts w:ascii="Arial" w:cs="Arial" w:eastAsia="Arial" w:hAnsi="Arial"/>
                <w:sz w:val="14"/>
                <w:szCs w:val="14"/>
                <w:b w:val="1"/>
                <w:bCs w:val="1"/>
                <w:color w:val="auto"/>
              </w:rPr>
              <w:t>(in thousands)</w:t>
            </w: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3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13,077</w:t>
            </w:r>
          </w:p>
        </w:tc>
        <w:tc>
          <w:tcPr>
            <w:tcW w:w="2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9,289</w:t>
            </w:r>
          </w:p>
        </w:tc>
      </w:tr>
      <w:tr>
        <w:trPr>
          <w:trHeight w:val="156"/>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2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123,012</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89,206</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52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136,089</w:t>
            </w:r>
          </w:p>
        </w:tc>
        <w:tc>
          <w:tcPr>
            <w:tcW w:w="260" w:type="dxa"/>
            <w:vAlign w:val="bottom"/>
            <w:tcBorders>
              <w:bottom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98,495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400"/>
        </w:trPr>
        <w:tc>
          <w:tcPr>
            <w:tcW w:w="5240" w:type="dxa"/>
            <w:vAlign w:val="bottom"/>
            <w:gridSpan w:val="2"/>
          </w:tcPr>
          <w:p>
            <w:pPr>
              <w:spacing w:after="0"/>
              <w:rPr>
                <w:sz w:val="20"/>
                <w:szCs w:val="20"/>
                <w:color w:val="auto"/>
              </w:rPr>
            </w:pPr>
            <w:r>
              <w:rPr>
                <w:rFonts w:ascii="Arial" w:cs="Arial" w:eastAsia="Arial" w:hAnsi="Arial"/>
                <w:sz w:val="14"/>
                <w:szCs w:val="14"/>
                <w:color w:val="auto"/>
              </w:rPr>
              <w:t>c) The distribution of income from operations by geographical area was as follows:</w:t>
            </w: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March 31, 2007</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March 31, 2006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ind w:left="980"/>
              <w:spacing w:after="0" w:line="149" w:lineRule="exact"/>
              <w:rPr>
                <w:sz w:val="20"/>
                <w:szCs w:val="20"/>
                <w:color w:val="auto"/>
              </w:rPr>
            </w:pPr>
            <w:r>
              <w:rPr>
                <w:rFonts w:ascii="Arial" w:cs="Arial" w:eastAsia="Arial" w:hAnsi="Arial"/>
                <w:sz w:val="14"/>
                <w:szCs w:val="14"/>
                <w:b w:val="1"/>
                <w:bCs w:val="1"/>
                <w:color w:val="auto"/>
              </w:rPr>
              <w:t>(in</w:t>
            </w:r>
          </w:p>
        </w:tc>
        <w:tc>
          <w:tcPr>
            <w:tcW w:w="1700" w:type="dxa"/>
            <w:vAlign w:val="bottom"/>
            <w:gridSpan w:val="4"/>
          </w:tcPr>
          <w:p>
            <w:pPr>
              <w:jc w:val="center"/>
              <w:ind w:right="1088"/>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3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10,832</w:t>
            </w:r>
          </w:p>
        </w:tc>
        <w:tc>
          <w:tcPr>
            <w:tcW w:w="2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(1,034)</w:t>
            </w: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5,366</w:t>
            </w: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2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4,906</w:t>
            </w:r>
          </w:p>
        </w:tc>
      </w:tr>
      <w:tr>
        <w:trPr>
          <w:trHeight w:val="156"/>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2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94</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828</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52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14,692</w:t>
            </w:r>
          </w:p>
        </w:tc>
        <w:tc>
          <w:tcPr>
            <w:tcW w:w="260" w:type="dxa"/>
            <w:vAlign w:val="bottom"/>
            <w:tcBorders>
              <w:bottom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10,066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400"/>
        </w:trPr>
        <w:tc>
          <w:tcPr>
            <w:tcW w:w="5240" w:type="dxa"/>
            <w:vAlign w:val="bottom"/>
            <w:gridSpan w:val="2"/>
          </w:tcPr>
          <w:p>
            <w:pPr>
              <w:spacing w:after="0"/>
              <w:rPr>
                <w:sz w:val="20"/>
                <w:szCs w:val="20"/>
                <w:color w:val="auto"/>
              </w:rPr>
            </w:pPr>
            <w:r>
              <w:rPr>
                <w:rFonts w:ascii="Arial" w:cs="Arial" w:eastAsia="Arial" w:hAnsi="Arial"/>
                <w:sz w:val="14"/>
                <w:szCs w:val="14"/>
                <w:color w:val="auto"/>
              </w:rPr>
              <w:t>d) The distribution of income from operations by business segment was as follows:</w:t>
            </w: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March 31, 2007</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March 31, 2006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ind w:left="980"/>
              <w:spacing w:after="0" w:line="149" w:lineRule="exact"/>
              <w:rPr>
                <w:sz w:val="20"/>
                <w:szCs w:val="20"/>
                <w:color w:val="auto"/>
              </w:rPr>
            </w:pPr>
            <w:r>
              <w:rPr>
                <w:rFonts w:ascii="Arial" w:cs="Arial" w:eastAsia="Arial" w:hAnsi="Arial"/>
                <w:sz w:val="14"/>
                <w:szCs w:val="14"/>
                <w:b w:val="1"/>
                <w:bCs w:val="1"/>
                <w:color w:val="auto"/>
              </w:rPr>
              <w:t>(in</w:t>
            </w:r>
          </w:p>
        </w:tc>
        <w:tc>
          <w:tcPr>
            <w:tcW w:w="1700" w:type="dxa"/>
            <w:vAlign w:val="bottom"/>
            <w:gridSpan w:val="4"/>
          </w:tcPr>
          <w:p>
            <w:pPr>
              <w:jc w:val="center"/>
              <w:ind w:right="1088"/>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3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948</w:t>
            </w:r>
          </w:p>
        </w:tc>
        <w:tc>
          <w:tcPr>
            <w:tcW w:w="2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(586)</w:t>
            </w:r>
          </w:p>
        </w:tc>
      </w:tr>
      <w:tr>
        <w:trPr>
          <w:trHeight w:val="156"/>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2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13,744</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10,652</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14,692</w:t>
            </w:r>
          </w:p>
        </w:tc>
        <w:tc>
          <w:tcPr>
            <w:tcW w:w="2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10,066</w:t>
            </w:r>
          </w:p>
        </w:tc>
      </w:tr>
      <w:tr>
        <w:trPr>
          <w:trHeight w:val="400"/>
        </w:trPr>
        <w:tc>
          <w:tcPr>
            <w:tcW w:w="20" w:type="dxa"/>
            <w:vAlign w:val="bottom"/>
          </w:tcPr>
          <w:p>
            <w:pPr>
              <w:spacing w:after="0"/>
              <w:rPr>
                <w:sz w:val="24"/>
                <w:szCs w:val="24"/>
                <w:color w:val="auto"/>
              </w:rPr>
            </w:pPr>
          </w:p>
        </w:tc>
        <w:tc>
          <w:tcPr>
            <w:tcW w:w="522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jc w:val="right"/>
              <w:ind w:right="2268"/>
              <w:spacing w:after="0"/>
              <w:rPr>
                <w:sz w:val="20"/>
                <w:szCs w:val="20"/>
                <w:color w:val="auto"/>
              </w:rPr>
            </w:pPr>
            <w:r>
              <w:rPr>
                <w:rFonts w:ascii="Arial" w:cs="Arial" w:eastAsia="Arial" w:hAnsi="Arial"/>
                <w:sz w:val="14"/>
                <w:szCs w:val="14"/>
                <w:color w:val="auto"/>
              </w:rPr>
              <w:t>11</w:t>
            </w: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5540" w:type="dxa"/>
            <w:vAlign w:val="bottom"/>
            <w:gridSpan w:val="2"/>
          </w:tcPr>
          <w:p>
            <w:pPr>
              <w:spacing w:after="0"/>
              <w:rPr>
                <w:sz w:val="20"/>
                <w:szCs w:val="20"/>
                <w:color w:val="auto"/>
              </w:rPr>
            </w:pPr>
            <w:r>
              <w:rPr>
                <w:rFonts w:ascii="Arial" w:cs="Arial" w:eastAsia="Arial" w:hAnsi="Arial"/>
                <w:sz w:val="14"/>
                <w:szCs w:val="14"/>
                <w:color w:val="auto"/>
                <w:w w:val="94"/>
              </w:rPr>
              <w:t>e) The distribution of property, plant and equipment, net, by geographical area was as follows:</w:t>
            </w:r>
          </w:p>
        </w:tc>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March 31, 2007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December 31, 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6"/>
          </w:tcPr>
          <w:p>
            <w:pPr>
              <w:ind w:left="920"/>
              <w:spacing w:after="0" w:line="14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2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41,419</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2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2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3,989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7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77,231</w:t>
            </w:r>
          </w:p>
        </w:tc>
        <w:tc>
          <w:tcPr>
            <w:tcW w:w="22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68,208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5540" w:type="dxa"/>
            <w:vAlign w:val="bottom"/>
            <w:gridSpan w:val="2"/>
          </w:tcPr>
          <w:p>
            <w:pPr>
              <w:spacing w:after="0"/>
              <w:rPr>
                <w:sz w:val="20"/>
                <w:szCs w:val="20"/>
                <w:color w:val="auto"/>
              </w:rPr>
            </w:pPr>
            <w:r>
              <w:rPr>
                <w:rFonts w:ascii="Arial" w:cs="Arial" w:eastAsia="Arial" w:hAnsi="Arial"/>
                <w:sz w:val="14"/>
                <w:szCs w:val="14"/>
                <w:color w:val="auto"/>
                <w:w w:val="95"/>
              </w:rPr>
              <w:t>f) The distribution of property, plant and equipment, net, by business segment was as follows:</w:t>
            </w: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March 31, 2007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December 31, 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6"/>
          </w:tcPr>
          <w:p>
            <w:pPr>
              <w:ind w:left="920"/>
              <w:spacing w:after="0" w:line="14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2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5,163</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2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72,068</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63,158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7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77,231</w:t>
            </w:r>
          </w:p>
        </w:tc>
        <w:tc>
          <w:tcPr>
            <w:tcW w:w="22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68,208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5540" w:type="dxa"/>
            <w:vAlign w:val="bottom"/>
            <w:gridSpan w:val="2"/>
          </w:tcPr>
          <w:p>
            <w:pPr>
              <w:spacing w:after="0"/>
              <w:rPr>
                <w:sz w:val="20"/>
                <w:szCs w:val="20"/>
                <w:color w:val="auto"/>
              </w:rPr>
            </w:pPr>
            <w:r>
              <w:rPr>
                <w:rFonts w:ascii="Arial" w:cs="Arial" w:eastAsia="Arial" w:hAnsi="Arial"/>
                <w:sz w:val="14"/>
                <w:szCs w:val="14"/>
                <w:color w:val="auto"/>
              </w:rPr>
              <w:t>g) The distribution of depreciation and amortization by geographical area was as follows:</w:t>
            </w: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March 31, 2007</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March 31, 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6"/>
          </w:tcPr>
          <w:p>
            <w:pPr>
              <w:ind w:left="920"/>
              <w:spacing w:after="0" w:line="14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2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1,333</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2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2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326</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7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4,156</w:t>
            </w:r>
          </w:p>
        </w:tc>
        <w:tc>
          <w:tcPr>
            <w:tcW w:w="22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5540" w:type="dxa"/>
            <w:vAlign w:val="bottom"/>
            <w:gridSpan w:val="2"/>
          </w:tcPr>
          <w:p>
            <w:pPr>
              <w:spacing w:after="0"/>
              <w:rPr>
                <w:sz w:val="20"/>
                <w:szCs w:val="20"/>
                <w:color w:val="auto"/>
              </w:rPr>
            </w:pPr>
            <w:r>
              <w:rPr>
                <w:rFonts w:ascii="Arial" w:cs="Arial" w:eastAsia="Arial" w:hAnsi="Arial"/>
                <w:sz w:val="14"/>
                <w:szCs w:val="14"/>
                <w:color w:val="auto"/>
              </w:rPr>
              <w:t>h) The distribution of depreciation and amortization by business segment was as follows:</w:t>
            </w: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vMerge w:val="restart"/>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March 31, 2007</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March 31, 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6"/>
          </w:tcPr>
          <w:p>
            <w:pPr>
              <w:ind w:left="920"/>
              <w:spacing w:after="0" w:line="14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2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429</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2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3,727</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4,156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52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jc w:val="right"/>
              <w:ind w:right="2268"/>
              <w:spacing w:after="0"/>
              <w:rPr>
                <w:sz w:val="20"/>
                <w:szCs w:val="20"/>
                <w:color w:val="auto"/>
              </w:rPr>
            </w:pPr>
            <w:r>
              <w:rPr>
                <w:rFonts w:ascii="Arial" w:cs="Arial" w:eastAsia="Arial" w:hAnsi="Arial"/>
                <w:sz w:val="14"/>
                <w:szCs w:val="14"/>
                <w:color w:val="auto"/>
              </w:rPr>
              <w:t>12</w:t>
            </w: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5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6080" w:type="dxa"/>
            <w:vAlign w:val="bottom"/>
            <w:gridSpan w:val="2"/>
          </w:tcPr>
          <w:p>
            <w:pPr>
              <w:spacing w:after="0"/>
              <w:rPr>
                <w:sz w:val="20"/>
                <w:szCs w:val="20"/>
                <w:color w:val="auto"/>
              </w:rPr>
            </w:pPr>
            <w:r>
              <w:rPr>
                <w:rFonts w:ascii="Arial" w:cs="Arial" w:eastAsia="Arial" w:hAnsi="Arial"/>
                <w:sz w:val="14"/>
                <w:szCs w:val="14"/>
                <w:color w:val="auto"/>
              </w:rPr>
              <w:t>i) The distribution of total assets by geographical area was as follows:</w:t>
            </w: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March 31, 2007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December 31, 2006</w:t>
            </w: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(in</w:t>
            </w:r>
          </w:p>
        </w:tc>
        <w:tc>
          <w:tcPr>
            <w:tcW w:w="1700" w:type="dxa"/>
            <w:vAlign w:val="bottom"/>
            <w:gridSpan w:val="4"/>
          </w:tcPr>
          <w:p>
            <w:pPr>
              <w:jc w:val="center"/>
              <w:ind w:right="1088"/>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2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122,541</w:t>
            </w:r>
          </w:p>
        </w:tc>
        <w:tc>
          <w:tcPr>
            <w:tcW w:w="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115,802</w:t>
            </w: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98,931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100,212</w:t>
            </w: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2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235,358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245,381</w:t>
            </w: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2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19,301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14,946</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20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476,131</w:t>
            </w:r>
          </w:p>
        </w:tc>
        <w:tc>
          <w:tcPr>
            <w:tcW w:w="220" w:type="dxa"/>
            <w:vAlign w:val="bottom"/>
            <w:tcBorders>
              <w:bottom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476,341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400"/>
        </w:trPr>
        <w:tc>
          <w:tcPr>
            <w:tcW w:w="6080" w:type="dxa"/>
            <w:vAlign w:val="bottom"/>
            <w:gridSpan w:val="2"/>
          </w:tcPr>
          <w:p>
            <w:pPr>
              <w:spacing w:after="0"/>
              <w:rPr>
                <w:sz w:val="20"/>
                <w:szCs w:val="20"/>
                <w:color w:val="auto"/>
              </w:rPr>
            </w:pPr>
            <w:r>
              <w:rPr>
                <w:rFonts w:ascii="Arial" w:cs="Arial" w:eastAsia="Arial" w:hAnsi="Arial"/>
                <w:sz w:val="14"/>
                <w:szCs w:val="14"/>
                <w:color w:val="auto"/>
              </w:rPr>
              <w:t>j) The distribution of total assets by business segment was as follows:</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March 31, 2007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December 31, 2006</w:t>
            </w: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(in</w:t>
            </w:r>
          </w:p>
        </w:tc>
        <w:tc>
          <w:tcPr>
            <w:tcW w:w="1700" w:type="dxa"/>
            <w:vAlign w:val="bottom"/>
            <w:gridSpan w:val="4"/>
          </w:tcPr>
          <w:p>
            <w:pPr>
              <w:jc w:val="center"/>
              <w:ind w:right="1088"/>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2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31,841</w:t>
            </w:r>
          </w:p>
        </w:tc>
        <w:tc>
          <w:tcPr>
            <w:tcW w:w="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28,272</w:t>
            </w: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2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444,290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448,069</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20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476,131</w:t>
            </w:r>
          </w:p>
        </w:tc>
        <w:tc>
          <w:tcPr>
            <w:tcW w:w="220" w:type="dxa"/>
            <w:vAlign w:val="bottom"/>
            <w:tcBorders>
              <w:bottom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476,341</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ICON plc</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2006. The Consolidated Financial Statements have been prepared in accordance with accounting principles generally accepted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4,477 employees worldwide, with operations in 52 locations in 30 countries including the United States and major markets in Europe and Rest of World. For the three months ended March 31, 2007, we derived approximately 53.6%, 40.3%, and 6.1% of our net revenue in the United States, Europe and Rest of World, respectively.</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differs from expected results, an adjustment is recorded in the period in which they become readily estimable.</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ind w:right="180"/>
        <w:spacing w:after="0" w:line="230" w:lineRule="auto"/>
        <w:rPr>
          <w:sz w:val="20"/>
          <w:szCs w:val="20"/>
          <w:color w:val="auto"/>
        </w:rPr>
      </w:pPr>
      <w:r>
        <w:rPr>
          <w:rFonts w:ascii="Arial" w:cs="Arial" w:eastAsia="Arial" w:hAnsi="Arial"/>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both"/>
        <w:spacing w:after="0" w:line="244"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18 operations operating in U.S. dollars, 6 trading in Euros, 3 in pounds Sterling, 2 each in Indian Rupee and Russian Rouble and 1 each in Australian dollars, Singapore dollars, Yen, Israeli New Shekels, Latvian Lats, Swedish Krona, Argentine Peso, South African Rand, Canadian dollar, Hungarian Forint, Hong Kong dollar, Taiwan dollar, Mexican Peso, Brazilian Real, Chilean Peso, South Korean Won, Thai Baht, Polish Zloty, Chinese Yuan Renminbi, Lithuanian Litas and Peruvian Neuvo Sol.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21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March 31, 2007, we have received $2,734,262 and $2,032,288 under the capital grants and operating grants, respectively. Pursuant to the terms of the grant agreements, we are restricted from distributing some of these amounts by way of dividend or otherwise.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March 31, 2007 compared with Three Months Ended March 31, 2006</w:t>
      </w:r>
    </w:p>
    <w:p>
      <w:pPr>
        <w:spacing w:after="0" w:line="231"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8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March 31, 2007</w:t>
            </w:r>
          </w:p>
        </w:tc>
        <w:tc>
          <w:tcPr>
            <w:tcW w:w="13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March 31, 2006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2006 to 2007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20" w:type="dxa"/>
            <w:vAlign w:val="bottom"/>
            <w:gridSpan w:val="3"/>
            <w:vMerge w:val="restart"/>
          </w:tcPr>
          <w:p>
            <w:pPr>
              <w:jc w:val="right"/>
              <w:ind w:right="380"/>
              <w:spacing w:after="0" w:line="147"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0"/>
              </w:rPr>
              <w:t>Percentage of Net Revenue</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Borders>
              <w:bottom w:val="single" w:sz="8" w:color="auto"/>
            </w:tcBorders>
            <w:gridSpan w:val="6"/>
            <w:vMerge w:val="continue"/>
          </w:tcPr>
          <w:p>
            <w:pPr>
              <w:spacing w:after="0"/>
              <w:rPr>
                <w:sz w:val="11"/>
                <w:szCs w:val="11"/>
                <w:color w:val="auto"/>
              </w:rPr>
            </w:pPr>
          </w:p>
        </w:tc>
        <w:tc>
          <w:tcPr>
            <w:tcW w:w="680" w:type="dxa"/>
            <w:vAlign w:val="bottom"/>
            <w:gridSpan w:val="2"/>
          </w:tcPr>
          <w:p>
            <w:pPr>
              <w:spacing w:after="0"/>
              <w:rPr>
                <w:sz w:val="11"/>
                <w:szCs w:val="11"/>
                <w:color w:val="auto"/>
              </w:rPr>
            </w:pPr>
          </w:p>
        </w:tc>
        <w:tc>
          <w:tcPr>
            <w:tcW w:w="1420" w:type="dxa"/>
            <w:vAlign w:val="bottom"/>
            <w:gridSpan w:val="5"/>
          </w:tcPr>
          <w:p>
            <w:pPr>
              <w:jc w:val="right"/>
              <w:ind w:right="120"/>
              <w:spacing w:after="0" w:line="125" w:lineRule="exact"/>
              <w:rPr>
                <w:sz w:val="20"/>
                <w:szCs w:val="20"/>
                <w:color w:val="auto"/>
              </w:rPr>
            </w:pPr>
            <w:r>
              <w:rPr>
                <w:rFonts w:ascii="Arial" w:cs="Arial" w:eastAsia="Arial" w:hAnsi="Arial"/>
                <w:sz w:val="14"/>
                <w:szCs w:val="14"/>
                <w:b w:val="1"/>
                <w:bCs w:val="1"/>
                <w:color w:val="auto"/>
                <w:w w:val="97"/>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484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3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14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484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57.7%</w:t>
            </w:r>
          </w:p>
        </w:tc>
        <w:tc>
          <w:tcPr>
            <w:tcW w:w="13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55.6%</w:t>
            </w:r>
          </w:p>
        </w:tc>
        <w:tc>
          <w:tcPr>
            <w:tcW w:w="14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484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13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30.7%</w:t>
            </w:r>
          </w:p>
        </w:tc>
        <w:tc>
          <w:tcPr>
            <w:tcW w:w="14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84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13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14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Income from operations</w:t>
            </w:r>
          </w:p>
        </w:tc>
        <w:tc>
          <w:tcPr>
            <w:tcW w:w="4840" w:type="dxa"/>
            <w:vAlign w:val="bottom"/>
            <w:gridSpan w:val="5"/>
          </w:tcPr>
          <w:p>
            <w:pPr>
              <w:jc w:val="right"/>
              <w:ind w:right="140"/>
              <w:spacing w:after="0"/>
              <w:rPr>
                <w:sz w:val="20"/>
                <w:szCs w:val="20"/>
                <w:color w:val="auto"/>
              </w:rPr>
            </w:pPr>
            <w:r>
              <w:rPr>
                <w:rFonts w:ascii="Arial" w:cs="Arial" w:eastAsia="Arial" w:hAnsi="Arial"/>
                <w:sz w:val="14"/>
                <w:szCs w:val="14"/>
                <w:color w:val="auto"/>
              </w:rPr>
              <w:t>10.8%</w:t>
            </w:r>
          </w:p>
        </w:tc>
        <w:tc>
          <w:tcPr>
            <w:tcW w:w="1340" w:type="dxa"/>
            <w:vAlign w:val="bottom"/>
            <w:gridSpan w:val="5"/>
          </w:tcPr>
          <w:p>
            <w:pPr>
              <w:jc w:val="right"/>
              <w:ind w:right="100"/>
              <w:spacing w:after="0"/>
              <w:rPr>
                <w:sz w:val="20"/>
                <w:szCs w:val="20"/>
                <w:color w:val="auto"/>
              </w:rPr>
            </w:pPr>
            <w:r>
              <w:rPr>
                <w:rFonts w:ascii="Arial" w:cs="Arial" w:eastAsia="Arial" w:hAnsi="Arial"/>
                <w:sz w:val="14"/>
                <w:szCs w:val="14"/>
                <w:color w:val="auto"/>
              </w:rPr>
              <w:t>10.2%</w:t>
            </w:r>
          </w:p>
        </w:tc>
        <w:tc>
          <w:tcPr>
            <w:tcW w:w="1420" w:type="dxa"/>
            <w:vAlign w:val="bottom"/>
            <w:gridSpan w:val="5"/>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00" w:type="dxa"/>
            <w:vAlign w:val="bottom"/>
          </w:tcPr>
          <w:p>
            <w:pPr>
              <w:jc w:val="right"/>
              <w:ind w:right="156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both"/>
        <w:spacing w:after="0" w:line="248" w:lineRule="auto"/>
        <w:rPr>
          <w:sz w:val="20"/>
          <w:szCs w:val="20"/>
          <w:color w:val="auto"/>
        </w:rPr>
      </w:pPr>
      <w:r>
        <w:rPr>
          <w:rFonts w:ascii="Arial" w:cs="Arial" w:eastAsia="Arial" w:hAnsi="Arial"/>
          <w:sz w:val="13"/>
          <w:szCs w:val="13"/>
          <w:color w:val="auto"/>
        </w:rPr>
        <w:t>Net revenue increased by $37.6 million, or 38.2%, from $98.5 million for the three months ended March 31, 2006, to $136.1 million for the three months ended March 31, 2007. In the three months ended March 31, 2007, net revenue from our central laboratory business increased by 40.8%, from $9.3 million, to $13.1 million, while our clinical research segment grew by 37.9%, from $89.2 million, to $123 million, in each case over the period ended March 31, 2006. The increase in net revenue in our central laboratory segment is primarily due to higher testing volumes over the comparative period. The improvement in net revenue in the clinical research segment arose through a combination of increased business from existing clients, and business won from new clients due to increased use of outsourcing by the pharmaceutical, biotechnology and medical device industries, an underlying increase in research and development spending and consolidation in the CRO industry. Revenues for the three months ended March 31, 2007 in the clinical research segment also includes revenues of $2.9 million from acquisitions not included in the comparative period.</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Direct costs increased by $23.9 million, or 43.6%, from $54.7 million for the three months ended March 31, 2006 to $78.6 million for the three months ended March 31, 2007, primarily due to increased staff numbers needed to support increased project related activity, and the direct costs from acquisitions of $1.8 million not included in the comparative period. Direct costs as a percentage of net revenue increased from 55.6% for the three months ended March 31, 2006, to 57.7% for three months ended March 31, 2007.</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Selling, general and administrative expenses increased by $8.4 million, or 27.8%, from $30.3 million for the three months ended March 31, 2006, to $38.7 million for the three months ended March 31, 2007. This increase is due to the continued expansion of our operations and the costs from acquisitions of $0.9 million not included in the comparative period. As a percentage of net revenue, selling, general and administrative expenses, decreased from 30.7% in the three months ended March 31, 2006, to 28.4% in the three months ended March 31, 2007.</w:t>
      </w:r>
    </w:p>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Depreciation and amortization expense increased by $0.7 million, or 20.6%, from $3.4 million for the three months ended March 31, 2006, to $4.2 million for the three months ended March 31, 2007. This increase is due to the continued investment in facilities and information technology to support the growth in activity and in providing for future capacity and costs from acquisition of $0.04 million not included in the comparative period. As a percentage of net revenue, depreciation and amortization decreased from 3.5% in the three months ended March 31, 2006, to 3.1% in the three months ended March 31, 2007.</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Income from operations increased by $4.6 million, or 46%, from $10.1 million for the three months ended March 31, 2006, to $14.7 million for the three months ended March 31, 2007. The operating income for the quarter is derived after the recognition of the non cash stock compensation charge of $1.2 million. As a percentage of net revenue, income from operations increased from 10.2% for the three months ended March 31, 2006, to 10.8% of net revenues for the three months ended March 31, 2007.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three months ended March 31, 2007, saw a continued improvement in the performance of the central laboratory business, from an operating loss of 6.3% for the three months ended March 31, 2006, to an operating profit of 7.3% for the three months ended March 31, 2007. The central laboratory constitutes approximately 9.6% of our business revenues for the three months ended March 31, 2007.</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Net interest income for the three months ended March 31, 2007 was $1 million, an increase of $0.4 million over the amount of net interest income for the three months ended March 31, 2006.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Higher average level of funds invested and higher interest rates over the comparative period contributed to the increased net interest income.</w:t>
      </w:r>
    </w:p>
    <w:p>
      <w:pPr>
        <w:spacing w:after="0" w:line="219"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ICON's effective tax rate for the three months ended March 31, 2007 was 21.8% compared with 29.2% for the three months ended March 31, 2006. The decrease is due mainly to the changes in the geographic distribution of pre-tax earnings.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three months ended March 31, 2007 amounted to $83.2 million, compared to $59.2 million for the three months ended March 31, 2006. Investing activities primarily reflect capital expenditures for facilities and for information systems enhancements, the sale and purchase of short-term investments and acquisitions.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As of March 31, 2007, our working capital amounted to $167.7 million, compared to $160.3 million at December 31, 2006.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59 days at March 31, 2007, compared to 53 days at December 31, 2006.</w:t>
      </w:r>
    </w:p>
    <w:p>
      <w:pPr>
        <w:spacing w:after="0" w:line="209"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Net cash used in operating activities was $2.8 million in the three months ended March 31, 2007, compared to net cash provided by operating activities of $10.5 million in the three months ended March 31, 2006. The reduction in net cash from operating activities is primarily due to the timing of cash receipts on payments on account.</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cash used in investing activities was $12.5 million in the three months ended March 31, 2007, compared to $4.5 million in the three months ended March 31, 2006. The increase in net cash used in investing activities is primarily due to the construction of the new facility head office building located in Dublin, Republic of Ireland and the ongoing investment in information technology to support the Company’s current and future growth.</w:t>
      </w:r>
    </w:p>
    <w:p>
      <w:pPr>
        <w:spacing w:after="0" w:line="210" w:lineRule="exact"/>
        <w:rPr>
          <w:sz w:val="20"/>
          <w:szCs w:val="20"/>
          <w:color w:val="auto"/>
        </w:rPr>
      </w:pPr>
    </w:p>
    <w:p>
      <w:pPr>
        <w:ind w:right="280"/>
        <w:spacing w:after="0" w:line="253" w:lineRule="auto"/>
        <w:rPr>
          <w:sz w:val="20"/>
          <w:szCs w:val="20"/>
          <w:color w:val="auto"/>
        </w:rPr>
      </w:pPr>
      <w:r>
        <w:rPr>
          <w:rFonts w:ascii="Arial" w:cs="Arial" w:eastAsia="Arial" w:hAnsi="Arial"/>
          <w:sz w:val="14"/>
          <w:szCs w:val="14"/>
          <w:color w:val="auto"/>
        </w:rPr>
        <w:t>Net cash provided by financing activities was $1.9 million in the three months ended March 31, 2007, compared to $3.0 million used in the three months ended March 31, 2006, primarily due to repayment of bank credit lines of $4.9 million in the comparative period ended March 31, 2006.</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As a result of these cash flows, cash and cash equivalents decreased by $13.4 million in the three months ended March 31, 2007, compared to an increase of $3 million in the three months ended March 31, 2006.</w:t>
      </w:r>
    </w:p>
    <w:p>
      <w:pPr>
        <w:spacing w:after="0" w:line="201" w:lineRule="exact"/>
        <w:rPr>
          <w:sz w:val="20"/>
          <w:szCs w:val="20"/>
          <w:color w:val="auto"/>
        </w:rPr>
      </w:pPr>
    </w:p>
    <w:p>
      <w:pPr>
        <w:ind w:right="20"/>
        <w:spacing w:after="0"/>
        <w:rPr>
          <w:sz w:val="20"/>
          <w:szCs w:val="20"/>
          <w:color w:val="auto"/>
        </w:rPr>
      </w:pPr>
      <w:r>
        <w:rPr>
          <w:rFonts w:ascii="Arial" w:cs="Arial" w:eastAsia="Arial" w:hAnsi="Arial"/>
          <w:sz w:val="13"/>
          <w:szCs w:val="13"/>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favor of each of the Banks. The term loan facility bears interest at an annual rate equal to the Banks’ prime rate plus one percent. The multi-currency overdraft facility and the revolving credit facility bear interest at an annual rate equal to the Banks’ prime rate plus three quarters of one percent. ICON plc and its subsidiaries are entitled to make borrowings under the term loan facility of $40 million and the multi currency overdraft facility of $5 million. As at March 31, 2007, $15 million of the term loan facility was available to be drawn down, while the entire $5 million multi-currency overdraft facility had been drawn down. The multi-currency overdraft facility will become payable on demand if the Company defaults under its obligations as specified in the loan agreement. The reduction in the term loan facility is due to amortization terms in the facility agreement. The term loan facility will reduce by a further $5 million at six monthly intervals until the facility expires on June 30, 2008. ICON Clinical Research, Inc. (a subsidiary of ICON plc) is entitled to make borrowings under the revolving credit facility of $15 million. As at March 31, 2007, the full amount of this facility was available to be drawn down.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line="252" w:lineRule="auto"/>
        <w:rPr>
          <w:sz w:val="20"/>
          <w:szCs w:val="20"/>
          <w:color w:val="auto"/>
        </w:rPr>
      </w:pPr>
      <w:r>
        <w:rPr>
          <w:rFonts w:ascii="Arial" w:cs="Arial" w:eastAsia="Arial" w:hAnsi="Arial"/>
          <w:sz w:val="14"/>
          <w:szCs w:val="14"/>
          <w:color w:val="auto"/>
        </w:rPr>
        <w:t>On April 24, 2007, the Company entered into a facility agreement for the provision of an overdraft facility of €14 million (U.S.$18.7 million) with AIB. The overdraft facility bears interest at an annual rate equal to the bank’s prime rate and is repayable on demand if the Company defaults under its obligations as specified in the loan agreement.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0" w:name="page21"/>
    <w:bookmarkEnd w:id="20"/>
    <w:p>
      <w:pPr>
        <w:ind w:left="5260"/>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6680" w:type="dxa"/>
            <w:vAlign w:val="bottom"/>
            <w:gridSpan w:val="2"/>
          </w:tcPr>
          <w:p>
            <w:pPr>
              <w:ind w:left="2340"/>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485"/>
        </w:trPr>
        <w:tc>
          <w:tcPr>
            <w:tcW w:w="3380" w:type="dxa"/>
            <w:vAlign w:val="bottom"/>
          </w:tcPr>
          <w:p>
            <w:pPr>
              <w:spacing w:after="0"/>
              <w:rPr>
                <w:sz w:val="24"/>
                <w:szCs w:val="24"/>
                <w:color w:val="auto"/>
              </w:rPr>
            </w:pPr>
          </w:p>
        </w:tc>
        <w:tc>
          <w:tcPr>
            <w:tcW w:w="6680" w:type="dxa"/>
            <w:vAlign w:val="bottom"/>
            <w:gridSpan w:val="2"/>
          </w:tcPr>
          <w:p>
            <w:pPr>
              <w:ind w:left="27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Ciaran Murray</w:t>
            </w:r>
          </w:p>
        </w:tc>
        <w:tc>
          <w:tcPr>
            <w:tcW w:w="0" w:type="dxa"/>
            <w:vAlign w:val="bottom"/>
          </w:tcPr>
          <w:p>
            <w:pPr>
              <w:spacing w:after="0"/>
              <w:rPr>
                <w:sz w:val="1"/>
                <w:szCs w:val="1"/>
                <w:color w:val="auto"/>
              </w:rPr>
            </w:pPr>
          </w:p>
        </w:tc>
      </w:tr>
      <w:tr>
        <w:trPr>
          <w:trHeight w:val="48"/>
        </w:trPr>
        <w:tc>
          <w:tcPr>
            <w:tcW w:w="3380" w:type="dxa"/>
            <w:vAlign w:val="bottom"/>
            <w:vMerge w:val="restart"/>
          </w:tcPr>
          <w:p>
            <w:pPr>
              <w:spacing w:after="0"/>
              <w:rPr>
                <w:sz w:val="20"/>
                <w:szCs w:val="20"/>
                <w:color w:val="auto"/>
              </w:rPr>
            </w:pPr>
            <w:r>
              <w:rPr>
                <w:rFonts w:ascii="Arial" w:cs="Arial" w:eastAsia="Arial" w:hAnsi="Arial"/>
                <w:sz w:val="14"/>
                <w:szCs w:val="14"/>
                <w:color w:val="auto"/>
              </w:rPr>
              <w:t>Date June 13, 2007</w:t>
            </w:r>
          </w:p>
        </w:tc>
        <w:tc>
          <w:tcPr>
            <w:tcW w:w="270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6680" w:type="dxa"/>
            <w:vAlign w:val="bottom"/>
            <w:gridSpan w:val="2"/>
            <w:vMerge w:val="restart"/>
          </w:tcPr>
          <w:p>
            <w:pPr>
              <w:ind w:left="2700"/>
              <w:spacing w:after="0"/>
              <w:rPr>
                <w:sz w:val="20"/>
                <w:szCs w:val="20"/>
                <w:color w:val="auto"/>
              </w:rPr>
            </w:pPr>
            <w:r>
              <w:rPr>
                <w:rFonts w:ascii="Arial" w:cs="Arial" w:eastAsia="Arial" w:hAnsi="Arial"/>
                <w:sz w:val="14"/>
                <w:szCs w:val="14"/>
                <w:color w:val="auto"/>
              </w:rPr>
              <w:t>Ciaran Murray</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6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tcPr>
          <w:p>
            <w:pPr>
              <w:spacing w:after="0"/>
              <w:rPr>
                <w:sz w:val="15"/>
                <w:szCs w:val="15"/>
                <w:color w:val="auto"/>
              </w:rPr>
            </w:pPr>
          </w:p>
        </w:tc>
        <w:tc>
          <w:tcPr>
            <w:tcW w:w="6680" w:type="dxa"/>
            <w:vAlign w:val="bottom"/>
            <w:gridSpan w:val="2"/>
          </w:tcPr>
          <w:p>
            <w:pPr>
              <w:ind w:left="270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702"/>
        </w:trPr>
        <w:tc>
          <w:tcPr>
            <w:tcW w:w="3380" w:type="dxa"/>
            <w:vAlign w:val="bottom"/>
          </w:tcPr>
          <w:p>
            <w:pPr>
              <w:spacing w:after="0"/>
              <w:rPr>
                <w:sz w:val="24"/>
                <w:szCs w:val="24"/>
                <w:color w:val="auto"/>
              </w:rPr>
            </w:pPr>
          </w:p>
        </w:tc>
        <w:tc>
          <w:tcPr>
            <w:tcW w:w="2700" w:type="dxa"/>
            <w:vAlign w:val="bottom"/>
          </w:tcPr>
          <w:p>
            <w:pPr>
              <w:jc w:val="right"/>
              <w:ind w:right="224"/>
              <w:spacing w:after="0"/>
              <w:rPr>
                <w:sz w:val="20"/>
                <w:szCs w:val="20"/>
                <w:color w:val="auto"/>
              </w:rPr>
            </w:pPr>
            <w:r>
              <w:rPr>
                <w:rFonts w:ascii="Arial" w:cs="Arial" w:eastAsia="Arial" w:hAnsi="Arial"/>
                <w:sz w:val="14"/>
                <w:szCs w:val="14"/>
                <w:color w:val="auto"/>
              </w:rPr>
              <w:t>19</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60"/>
      </w:cols>
      <w:pgMar w:left="240" w:top="360"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2019-12-14T20:46:32Z</dcterms:created>
  <dcterms:modified xsi:type="dcterms:W3CDTF">2019-12-14T20:46:32Z</dcterms:modified>
</cp:coreProperties>
</file>