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20"/>
        <w:spacing w:after="0"/>
        <w:rPr>
          <w:sz w:val="20"/>
          <w:szCs w:val="20"/>
          <w:color w:val="auto"/>
        </w:rPr>
      </w:pPr>
      <w:r>
        <w:rPr>
          <w:rFonts w:ascii="Arial" w:cs="Arial" w:eastAsia="Arial" w:hAnsi="Arial"/>
          <w:sz w:val="18"/>
          <w:szCs w:val="18"/>
          <w:b w:val="1"/>
          <w:bCs w:val="1"/>
          <w:color w:val="auto"/>
        </w:rPr>
        <w:t>As filed with the Securities and Exchange Commission on January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ind w:left="5700"/>
        <w:spacing w:after="0"/>
        <w:rPr>
          <w:sz w:val="20"/>
          <w:szCs w:val="20"/>
          <w:color w:val="auto"/>
        </w:rPr>
      </w:pPr>
      <w:r>
        <w:rPr>
          <w:rFonts w:ascii="Arial" w:cs="Arial" w:eastAsia="Arial" w:hAnsi="Arial"/>
          <w:sz w:val="18"/>
          <w:szCs w:val="18"/>
          <w:b w:val="1"/>
          <w:bCs w:val="1"/>
          <w:color w:val="auto"/>
        </w:rPr>
        <w:t>Registration No. 333-143546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-756285</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0"/>
        <w:spacing w:after="0"/>
        <w:rPr>
          <w:sz w:val="20"/>
          <w:szCs w:val="20"/>
          <w:color w:val="auto"/>
        </w:rPr>
      </w:pPr>
      <w:r>
        <w:rPr>
          <w:rFonts w:ascii="Arial" w:cs="Arial" w:eastAsia="Arial" w:hAnsi="Arial"/>
          <w:sz w:val="25"/>
          <w:szCs w:val="25"/>
          <w:color w:val="auto"/>
        </w:rPr>
        <w:t>UNITED STATES</w:t>
      </w: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25"/>
          <w:szCs w:val="25"/>
          <w:color w:val="auto"/>
        </w:rPr>
        <w:t>SECURITIES AND EXCHANGE COMMISSION</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25"/>
          <w:szCs w:val="25"/>
          <w:color w:val="auto"/>
        </w:rPr>
        <w:t>Washington, D.C. 20549</w:t>
      </w:r>
    </w:p>
    <w:p>
      <w:pPr>
        <w:spacing w:after="0" w:line="10" w:lineRule="exact"/>
        <w:rPr>
          <w:sz w:val="24"/>
          <w:szCs w:val="24"/>
          <w:color w:val="auto"/>
        </w:rPr>
      </w:pPr>
    </w:p>
    <w:p>
      <w:pPr>
        <w:ind w:left="3060"/>
        <w:spacing w:after="0"/>
        <w:rPr>
          <w:sz w:val="20"/>
          <w:szCs w:val="20"/>
          <w:color w:val="auto"/>
        </w:rPr>
      </w:pPr>
      <w:r>
        <w:rPr>
          <w:rFonts w:ascii="Arial" w:cs="Arial" w:eastAsia="Arial" w:hAnsi="Arial"/>
          <w:sz w:val="25"/>
          <w:szCs w:val="25"/>
          <w:color w:val="auto"/>
        </w:rPr>
        <w:t>_______________________</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25"/>
          <w:szCs w:val="25"/>
          <w:color w:val="auto"/>
        </w:rPr>
        <w:t>POST-EFFECTIVE AMENDMENT NO. 2 TO THE</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25"/>
          <w:szCs w:val="25"/>
          <w:color w:val="auto"/>
        </w:rPr>
        <w:t>FORM F-6</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25"/>
          <w:szCs w:val="25"/>
          <w:color w:val="auto"/>
        </w:rPr>
        <w:t>REGISTRATION STATEMENT</w:t>
      </w:r>
    </w:p>
    <w:p>
      <w:pPr>
        <w:jc w:val="center"/>
        <w:ind w:right="-20"/>
        <w:spacing w:after="0" w:line="231" w:lineRule="auto"/>
        <w:rPr>
          <w:sz w:val="20"/>
          <w:szCs w:val="20"/>
          <w:color w:val="auto"/>
        </w:rPr>
      </w:pPr>
      <w:r>
        <w:rPr>
          <w:rFonts w:ascii="Arial" w:cs="Arial" w:eastAsia="Arial" w:hAnsi="Arial"/>
          <w:sz w:val="22"/>
          <w:szCs w:val="22"/>
          <w:color w:val="auto"/>
        </w:rPr>
        <w:t>under</w:t>
      </w:r>
    </w:p>
    <w:p>
      <w:pPr>
        <w:jc w:val="center"/>
        <w:ind w:right="-20"/>
        <w:spacing w:after="0" w:line="236" w:lineRule="auto"/>
        <w:rPr>
          <w:sz w:val="20"/>
          <w:szCs w:val="20"/>
          <w:color w:val="auto"/>
        </w:rPr>
      </w:pPr>
      <w:r>
        <w:rPr>
          <w:rFonts w:ascii="Arial" w:cs="Arial" w:eastAsia="Arial" w:hAnsi="Arial"/>
          <w:sz w:val="22"/>
          <w:szCs w:val="22"/>
          <w:color w:val="auto"/>
        </w:rPr>
        <w:t>THE SECURITIES ACT OF 1933</w:t>
      </w:r>
    </w:p>
    <w:p>
      <w:pPr>
        <w:jc w:val="center"/>
        <w:ind w:right="-20"/>
        <w:spacing w:after="0"/>
        <w:rPr>
          <w:sz w:val="20"/>
          <w:szCs w:val="20"/>
          <w:color w:val="auto"/>
        </w:rPr>
      </w:pPr>
      <w:r>
        <w:rPr>
          <w:rFonts w:ascii="Arial" w:cs="Arial" w:eastAsia="Arial" w:hAnsi="Arial"/>
          <w:sz w:val="18"/>
          <w:szCs w:val="18"/>
          <w:color w:val="auto"/>
        </w:rPr>
        <w:t>For Depositary Shares Evidenced by American Depositary Receipts</w:t>
      </w:r>
    </w:p>
    <w:p>
      <w:pPr>
        <w:spacing w:after="0" w:line="133"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ICON plc</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issuer of deposited securities as specified in its charter)</w:t>
      </w:r>
    </w:p>
    <w:p>
      <w:pPr>
        <w:jc w:val="center"/>
        <w:ind w:right="-20"/>
        <w:spacing w:after="0" w:line="227" w:lineRule="auto"/>
        <w:rPr>
          <w:sz w:val="20"/>
          <w:szCs w:val="20"/>
          <w:color w:val="auto"/>
        </w:rPr>
      </w:pPr>
      <w:r>
        <w:rPr>
          <w:rFonts w:ascii="Arial" w:cs="Arial" w:eastAsia="Arial" w:hAnsi="Arial"/>
          <w:sz w:val="22"/>
          <w:szCs w:val="22"/>
          <w:b w:val="1"/>
          <w:bCs w:val="1"/>
          <w:color w:val="auto"/>
        </w:rPr>
        <w:t>N/A</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(Translation of issuer's name into English)</w:t>
      </w:r>
    </w:p>
    <w:p>
      <w:pPr>
        <w:spacing w:after="0" w:line="12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Republic of Ireland</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(Jurisdiction of incorporation or organization of issuer)</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THE BANK OF NEW YORK MELLON</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depositary as specified in its charter)</w:t>
      </w:r>
    </w:p>
    <w:p>
      <w:pPr>
        <w:spacing w:after="0" w:line="129"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One Wall Street</w:t>
      </w:r>
    </w:p>
    <w:p>
      <w:pPr>
        <w:spacing w:after="0" w:line="23"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New York, New York, 10286</w:t>
      </w:r>
    </w:p>
    <w:p>
      <w:pPr>
        <w:spacing w:after="0" w:line="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(212) 495-1784</w:t>
      </w:r>
    </w:p>
    <w:p>
      <w:pPr>
        <w:jc w:val="center"/>
        <w:ind w:right="-20"/>
        <w:spacing w:after="0" w:line="237" w:lineRule="auto"/>
        <w:rPr>
          <w:sz w:val="20"/>
          <w:szCs w:val="20"/>
          <w:color w:val="auto"/>
        </w:rPr>
      </w:pPr>
      <w:r>
        <w:rPr>
          <w:rFonts w:ascii="Arial" w:cs="Arial" w:eastAsia="Arial" w:hAnsi="Arial"/>
          <w:sz w:val="14"/>
          <w:szCs w:val="14"/>
          <w:color w:val="auto"/>
        </w:rPr>
        <w:t>(Address, including zip code, and telephone number, including area code, of depositary's principal executive offices)</w:t>
      </w:r>
    </w:p>
    <w:p>
      <w:pPr>
        <w:ind w:left="4060"/>
        <w:spacing w:after="0"/>
        <w:rPr>
          <w:sz w:val="20"/>
          <w:szCs w:val="20"/>
          <w:color w:val="auto"/>
        </w:rPr>
      </w:pPr>
      <w:r>
        <w:rPr>
          <w:rFonts w:ascii="Arial" w:cs="Arial" w:eastAsia="Arial" w:hAnsi="Arial"/>
          <w:sz w:val="18"/>
          <w:szCs w:val="18"/>
          <w:b w:val="1"/>
          <w:bCs w:val="1"/>
          <w:i w:val="1"/>
          <w:iCs w:val="1"/>
          <w:color w:val="auto"/>
        </w:rPr>
        <w:t>__________</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The Bank of New York Mellon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ADR Division</w:t>
      </w:r>
    </w:p>
    <w:p>
      <w:pPr>
        <w:jc w:val="center"/>
        <w:ind w:right="-20"/>
        <w:spacing w:after="0" w:line="186" w:lineRule="auto"/>
        <w:rPr>
          <w:sz w:val="20"/>
          <w:szCs w:val="20"/>
          <w:color w:val="auto"/>
        </w:rPr>
      </w:pPr>
      <w:r>
        <w:rPr>
          <w:rFonts w:ascii="Arial" w:cs="Arial" w:eastAsia="Arial" w:hAnsi="Arial"/>
          <w:sz w:val="18"/>
          <w:szCs w:val="18"/>
          <w:b w:val="1"/>
          <w:bCs w:val="1"/>
          <w:color w:val="auto"/>
        </w:rPr>
        <w:t>One Wall Street, 11</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ind w:right="-20"/>
        <w:spacing w:after="0"/>
        <w:rPr>
          <w:sz w:val="20"/>
          <w:szCs w:val="20"/>
          <w:color w:val="auto"/>
        </w:rPr>
      </w:pPr>
      <w:r>
        <w:rPr>
          <w:rFonts w:ascii="Arial" w:cs="Arial" w:eastAsia="Arial" w:hAnsi="Arial"/>
          <w:sz w:val="18"/>
          <w:szCs w:val="18"/>
          <w:b w:val="1"/>
          <w:bCs w:val="1"/>
          <w:color w:val="auto"/>
        </w:rPr>
        <w:t>New York, New York, 10286</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(212) 495-1784</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(Address, including zip code, and telephone number, including area code, of agent for service)</w:t>
      </w:r>
    </w:p>
    <w:p>
      <w:pPr>
        <w:spacing w:after="0" w:line="129"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Copies to:</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Brian D. Obergfell, Esq.</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Emmet, Marvin &amp; Martin,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120 Broadway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New York, New York, 10271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(212) 238-3010</w:t>
      </w:r>
    </w:p>
    <w:p>
      <w:pPr>
        <w:spacing w:after="0" w:line="14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It is proposed that this filing become effective under Rule 466</w:t>
      </w:r>
    </w:p>
    <w:p>
      <w:pPr>
        <w:spacing w:after="0" w:line="23" w:lineRule="exact"/>
        <w:rPr>
          <w:sz w:val="24"/>
          <w:szCs w:val="24"/>
          <w:color w:val="auto"/>
        </w:rPr>
      </w:pPr>
    </w:p>
    <w:p>
      <w:pPr>
        <w:ind w:left="3600" w:right="3479" w:hanging="103"/>
        <w:spacing w:after="0" w:line="265" w:lineRule="auto"/>
        <w:tabs>
          <w:tab w:leader="none" w:pos="3794" w:val="left"/>
        </w:tabs>
        <w:numPr>
          <w:ilvl w:val="0"/>
          <w:numId w:val="1"/>
        </w:numPr>
        <w:rPr>
          <w:rFonts w:ascii="Arial" w:cs="Arial" w:eastAsia="Arial" w:hAnsi="Arial"/>
          <w:sz w:val="17"/>
          <w:szCs w:val="17"/>
          <w:color w:val="auto"/>
        </w:rPr>
      </w:pPr>
      <w:r>
        <w:rPr>
          <w:rFonts w:ascii="Arial" w:cs="Arial" w:eastAsia="Arial" w:hAnsi="Arial"/>
          <w:sz w:val="17"/>
          <w:szCs w:val="17"/>
          <w:color w:val="auto"/>
        </w:rPr>
        <w:t>immediately upon filing [ ] on ( Date ) at ( Time ).</w:t>
      </w:r>
    </w:p>
    <w:p>
      <w:pPr>
        <w:jc w:val="center"/>
        <w:ind w:right="-20"/>
        <w:spacing w:after="0"/>
        <w:rPr>
          <w:sz w:val="20"/>
          <w:szCs w:val="20"/>
          <w:color w:val="auto"/>
        </w:rPr>
      </w:pPr>
      <w:r>
        <w:rPr>
          <w:rFonts w:ascii="Arial" w:cs="Arial" w:eastAsia="Arial" w:hAnsi="Arial"/>
          <w:sz w:val="16"/>
          <w:szCs w:val="16"/>
          <w:color w:val="auto"/>
        </w:rPr>
        <w:t>If a separate registration statement has been filed to register the deposited shares, check the following box. [ ]</w:t>
      </w:r>
    </w:p>
    <w:p>
      <w:pPr>
        <w:sectPr>
          <w:pgSz w:w="11900" w:h="16838" w:orient="portrait"/>
          <w:cols w:equalWidth="0" w:num="1">
            <w:col w:w="9019"/>
          </w:cols>
          <w:pgMar w:left="1440" w:top="229"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3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offering made under this Registration Statement has been terminated. Accordingly, the Registrant hereby deregisters all remaining American Depositary Shares previously registered by this Registration Statement that have not been issued.</w:t>
      </w:r>
    </w:p>
    <w:p>
      <w:pPr>
        <w:sectPr>
          <w:pgSz w:w="11900" w:h="16838" w:orient="portrait"/>
          <w:cols w:equalWidth="0" w:num="1">
            <w:col w:w="11420"/>
          </w:cols>
          <w:pgMar w:left="240" w:top="715" w:right="239" w:bottom="1440" w:gutter="0" w:footer="0" w:header="0"/>
        </w:sectPr>
      </w:pPr>
    </w:p>
    <w:bookmarkStart w:id="2" w:name="page3"/>
    <w:bookmarkEnd w:id="2"/>
    <w:p>
      <w:pPr>
        <w:spacing w:after="0" w:line="209" w:lineRule="auto"/>
        <w:framePr w:w="1380" w:h="160" w:wrap="auto" w:vAnchor="page" w:hAnchor="page" w:x="340" w:y="3775"/>
        <w:rPr>
          <w:rFonts w:ascii="Arial" w:cs="Arial" w:eastAsia="Arial" w:hAnsi="Arial"/>
          <w:sz w:val="16"/>
          <w:szCs w:val="16"/>
          <w:color w:val="auto"/>
        </w:rPr>
      </w:pPr>
      <w:r>
        <w:rPr>
          <w:rFonts w:ascii="Arial" w:cs="Arial" w:eastAsia="Arial" w:hAnsi="Arial"/>
          <w:sz w:val="16"/>
          <w:szCs w:val="16"/>
          <w:color w:val="auto"/>
        </w:rPr>
        <w:t>Terms of Deposit:</w:t>
      </w:r>
    </w:p>
    <w:p>
      <w:pPr>
        <w:spacing w:after="0" w:line="245" w:lineRule="auto"/>
        <w:framePr w:w="3740" w:h="376" w:wrap="auto" w:vAnchor="page" w:hAnchor="page" w:x="340" w:y="4207"/>
        <w:rPr>
          <w:rFonts w:ascii="Arial" w:cs="Arial" w:eastAsia="Arial" w:hAnsi="Arial"/>
          <w:sz w:val="16"/>
          <w:szCs w:val="16"/>
          <w:color w:val="auto"/>
        </w:rPr>
      </w:pPr>
      <w:r>
        <w:rPr>
          <w:rFonts w:ascii="Arial" w:cs="Arial" w:eastAsia="Arial" w:hAnsi="Arial"/>
          <w:sz w:val="16"/>
          <w:szCs w:val="16"/>
          <w:color w:val="auto"/>
        </w:rPr>
        <w:t>(i) The amount of deposited securities represented by one unit of American Depositary Receipts</w:t>
      </w:r>
    </w:p>
    <w:p>
      <w:pPr>
        <w:spacing w:after="0" w:line="218" w:lineRule="auto"/>
        <w:framePr w:w="3740" w:h="376" w:wrap="auto" w:vAnchor="page" w:hAnchor="page" w:x="340" w:y="4855"/>
        <w:rPr>
          <w:rFonts w:ascii="Arial" w:cs="Arial" w:eastAsia="Arial" w:hAnsi="Arial"/>
          <w:sz w:val="18"/>
          <w:szCs w:val="18"/>
          <w:color w:val="auto"/>
        </w:rPr>
      </w:pPr>
      <w:r>
        <w:rPr>
          <w:rFonts w:ascii="Arial" w:cs="Arial" w:eastAsia="Arial" w:hAnsi="Arial"/>
          <w:sz w:val="18"/>
          <w:szCs w:val="18"/>
          <w:color w:val="auto"/>
        </w:rPr>
        <w:t>(ii) The procedure for voting, if any, the deposited securities</w:t>
      </w:r>
    </w:p>
    <w:p>
      <w:pPr>
        <w:spacing w:after="0" w:line="196" w:lineRule="auto"/>
        <w:framePr w:w="3600" w:h="160" w:wrap="auto" w:vAnchor="page" w:hAnchor="page" w:x="340" w:y="5503"/>
        <w:rPr>
          <w:rFonts w:ascii="Arial" w:cs="Arial" w:eastAsia="Arial" w:hAnsi="Arial"/>
          <w:sz w:val="17"/>
          <w:szCs w:val="17"/>
          <w:color w:val="auto"/>
        </w:rPr>
      </w:pPr>
      <w:r>
        <w:rPr>
          <w:rFonts w:ascii="Arial" w:cs="Arial" w:eastAsia="Arial" w:hAnsi="Arial"/>
          <w:sz w:val="17"/>
          <w:szCs w:val="17"/>
          <w:color w:val="auto"/>
        </w:rPr>
        <w:t>(iii) The collection and distribution of dividends</w:t>
      </w:r>
    </w:p>
    <w:p>
      <w:pPr>
        <w:spacing w:after="0" w:line="218" w:lineRule="auto"/>
        <w:framePr w:w="3780" w:h="376" w:wrap="auto" w:vAnchor="page" w:hAnchor="page" w:x="340" w:y="5935"/>
        <w:rPr>
          <w:rFonts w:ascii="Arial" w:cs="Arial" w:eastAsia="Arial" w:hAnsi="Arial"/>
          <w:sz w:val="18"/>
          <w:szCs w:val="18"/>
          <w:color w:val="auto"/>
        </w:rPr>
      </w:pPr>
      <w:r>
        <w:rPr>
          <w:rFonts w:ascii="Arial" w:cs="Arial" w:eastAsia="Arial" w:hAnsi="Arial"/>
          <w:sz w:val="18"/>
          <w:szCs w:val="18"/>
          <w:color w:val="auto"/>
        </w:rPr>
        <w:t>(iv) The transmission of notices, reports and proxy soliciting material</w:t>
      </w:r>
    </w:p>
    <w:p>
      <w:pPr>
        <w:spacing w:after="0" w:line="209" w:lineRule="auto"/>
        <w:framePr w:w="2460" w:h="160" w:wrap="auto" w:vAnchor="page" w:hAnchor="page" w:x="340" w:y="6584"/>
        <w:rPr>
          <w:rFonts w:ascii="Arial" w:cs="Arial" w:eastAsia="Arial" w:hAnsi="Arial"/>
          <w:sz w:val="16"/>
          <w:szCs w:val="16"/>
          <w:color w:val="auto"/>
        </w:rPr>
      </w:pPr>
      <w:r>
        <w:rPr>
          <w:rFonts w:ascii="Arial" w:cs="Arial" w:eastAsia="Arial" w:hAnsi="Arial"/>
          <w:sz w:val="16"/>
          <w:szCs w:val="16"/>
          <w:color w:val="auto"/>
        </w:rPr>
        <w:t>(v) The sale or exercise of rights</w:t>
      </w:r>
    </w:p>
    <w:p>
      <w:pPr>
        <w:spacing w:after="0" w:line="231" w:lineRule="auto"/>
        <w:framePr w:w="3780" w:h="376" w:wrap="auto" w:vAnchor="page" w:hAnchor="page" w:x="340" w:y="7016"/>
        <w:rPr>
          <w:rFonts w:ascii="Arial" w:cs="Arial" w:eastAsia="Arial" w:hAnsi="Arial"/>
          <w:sz w:val="17"/>
          <w:szCs w:val="17"/>
          <w:color w:val="auto"/>
        </w:rPr>
      </w:pPr>
      <w:r>
        <w:rPr>
          <w:rFonts w:ascii="Arial" w:cs="Arial" w:eastAsia="Arial" w:hAnsi="Arial"/>
          <w:sz w:val="17"/>
          <w:szCs w:val="17"/>
          <w:color w:val="auto"/>
        </w:rPr>
        <w:t>(vi) The deposit or sale of securities resulting from dividends, splits or plans of reorganization</w:t>
      </w:r>
    </w:p>
    <w:p>
      <w:pPr>
        <w:spacing w:after="0" w:line="218" w:lineRule="auto"/>
        <w:framePr w:w="3680" w:h="376" w:wrap="auto" w:vAnchor="page" w:hAnchor="page" w:x="340" w:y="7664"/>
        <w:rPr>
          <w:rFonts w:ascii="Arial" w:cs="Arial" w:eastAsia="Arial" w:hAnsi="Arial"/>
          <w:sz w:val="18"/>
          <w:szCs w:val="18"/>
          <w:color w:val="auto"/>
        </w:rPr>
      </w:pPr>
      <w:r>
        <w:rPr>
          <w:rFonts w:ascii="Arial" w:cs="Arial" w:eastAsia="Arial" w:hAnsi="Arial"/>
          <w:sz w:val="18"/>
          <w:szCs w:val="18"/>
          <w:color w:val="auto"/>
        </w:rPr>
        <w:t>(vii) Amendment, extension or termination of the deposit agreement</w:t>
      </w:r>
    </w:p>
    <w:p>
      <w:pPr>
        <w:spacing w:after="0" w:line="229" w:lineRule="auto"/>
        <w:framePr w:w="3640" w:h="593" w:wrap="auto" w:vAnchor="page" w:hAnchor="page" w:x="340" w:y="8312"/>
        <w:rPr>
          <w:rFonts w:ascii="Arial" w:cs="Arial" w:eastAsia="Arial" w:hAnsi="Arial"/>
          <w:sz w:val="18"/>
          <w:szCs w:val="18"/>
          <w:color w:val="auto"/>
        </w:rPr>
      </w:pPr>
      <w:r>
        <w:rPr>
          <w:rFonts w:ascii="Arial" w:cs="Arial" w:eastAsia="Arial" w:hAnsi="Arial"/>
          <w:sz w:val="18"/>
          <w:szCs w:val="18"/>
          <w:color w:val="auto"/>
        </w:rPr>
        <w:t>(viii) Rights of holders of Receipts to inspect the transfer books of the depositary and the list of holders of Receipts</w:t>
      </w:r>
    </w:p>
    <w:p>
      <w:pPr>
        <w:spacing w:after="0" w:line="231" w:lineRule="auto"/>
        <w:framePr w:w="3300" w:h="376" w:wrap="auto" w:vAnchor="page" w:hAnchor="page" w:x="340" w:y="9177"/>
        <w:rPr>
          <w:rFonts w:ascii="Arial" w:cs="Arial" w:eastAsia="Arial" w:hAnsi="Arial"/>
          <w:sz w:val="17"/>
          <w:szCs w:val="17"/>
          <w:color w:val="auto"/>
        </w:rPr>
      </w:pPr>
      <w:r>
        <w:rPr>
          <w:rFonts w:ascii="Arial" w:cs="Arial" w:eastAsia="Arial" w:hAnsi="Arial"/>
          <w:sz w:val="17"/>
          <w:szCs w:val="17"/>
          <w:color w:val="auto"/>
        </w:rPr>
        <w:t>(ix) Restrictions upon the right to deposit or withdraw the underlying securities</w:t>
      </w:r>
    </w:p>
    <w:p>
      <w:pPr>
        <w:spacing w:after="0" w:line="343" w:lineRule="auto"/>
        <w:framePr w:w="3680" w:h="593" w:wrap="auto" w:vAnchor="page" w:hAnchor="page" w:x="340" w:y="9825"/>
        <w:rPr>
          <w:rFonts w:ascii="Arial" w:cs="Arial" w:eastAsia="Arial" w:hAnsi="Arial"/>
          <w:sz w:val="18"/>
          <w:szCs w:val="18"/>
          <w:color w:val="auto"/>
        </w:rPr>
      </w:pPr>
      <w:r>
        <w:rPr>
          <w:rFonts w:ascii="Arial" w:cs="Arial" w:eastAsia="Arial" w:hAnsi="Arial"/>
          <w:sz w:val="18"/>
          <w:szCs w:val="18"/>
          <w:color w:val="auto"/>
        </w:rPr>
        <w:t>(x) Limitation upon the liability of the depositary 3. Fees and Charges</w:t>
      </w:r>
    </w:p>
    <w:p>
      <w:pPr>
        <w:spacing w:after="0" w:line="209" w:lineRule="auto"/>
        <w:framePr w:w="740" w:h="160" w:wrap="auto" w:vAnchor="page" w:hAnchor="page" w:x="300" w:y="10730"/>
        <w:rPr>
          <w:rFonts w:ascii="Arial" w:cs="Arial" w:eastAsia="Arial" w:hAnsi="Arial"/>
          <w:sz w:val="16"/>
          <w:szCs w:val="16"/>
          <w:color w:val="auto"/>
        </w:rPr>
      </w:pPr>
      <w:r>
        <w:rPr>
          <w:rFonts w:ascii="Arial" w:cs="Arial" w:eastAsia="Arial" w:hAnsi="Arial"/>
          <w:sz w:val="16"/>
          <w:szCs w:val="16"/>
          <w:color w:val="auto"/>
        </w:rPr>
        <w:t>Item – 2.</w:t>
      </w:r>
    </w:p>
    <w:p>
      <w:pPr>
        <w:spacing w:after="0" w:line="209" w:lineRule="auto"/>
        <w:framePr w:w="2500" w:h="160" w:wrap="auto" w:vAnchor="page" w:hAnchor="page" w:x="300" w:y="11162"/>
        <w:rPr>
          <w:rFonts w:ascii="Arial" w:cs="Arial" w:eastAsia="Arial" w:hAnsi="Arial"/>
          <w:sz w:val="16"/>
          <w:szCs w:val="16"/>
          <w:color w:val="auto"/>
        </w:rPr>
      </w:pPr>
      <w:r>
        <w:rPr>
          <w:rFonts w:ascii="Arial" w:cs="Arial" w:eastAsia="Arial" w:hAnsi="Arial"/>
          <w:sz w:val="16"/>
          <w:szCs w:val="16"/>
          <w:color w:val="auto"/>
        </w:rPr>
        <w:t>Public reports furnished by issuer</w:t>
      </w:r>
    </w:p>
    <w:p>
      <w:pPr>
        <w:spacing w:after="0" w:line="218" w:lineRule="auto"/>
        <w:framePr w:w="4180" w:h="376" w:wrap="auto" w:vAnchor="page" w:hAnchor="page" w:x="340" w:y="3126"/>
        <w:rPr>
          <w:rFonts w:ascii="Arial" w:cs="Arial" w:eastAsia="Arial" w:hAnsi="Arial"/>
          <w:sz w:val="18"/>
          <w:szCs w:val="18"/>
          <w:color w:val="auto"/>
        </w:rPr>
      </w:pPr>
      <w:r>
        <w:rPr>
          <w:rFonts w:ascii="Arial" w:cs="Arial" w:eastAsia="Arial" w:hAnsi="Arial"/>
          <w:sz w:val="18"/>
          <w:szCs w:val="18"/>
          <w:color w:val="auto"/>
        </w:rPr>
        <w:t>2. Title of American Depositary Receipts and identity of deposited securities</w:t>
      </w:r>
    </w:p>
    <w:p>
      <w:pPr>
        <w:spacing w:after="0" w:line="209" w:lineRule="auto"/>
        <w:framePr w:w="700" w:h="160" w:wrap="auto" w:vAnchor="page" w:hAnchor="page" w:x="300" w:y="1357"/>
        <w:rPr>
          <w:rFonts w:ascii="Arial" w:cs="Arial" w:eastAsia="Arial" w:hAnsi="Arial"/>
          <w:sz w:val="16"/>
          <w:szCs w:val="16"/>
          <w:color w:val="auto"/>
        </w:rPr>
      </w:pPr>
      <w:r>
        <w:rPr>
          <w:rFonts w:ascii="Arial" w:cs="Arial" w:eastAsia="Arial" w:hAnsi="Arial"/>
          <w:sz w:val="16"/>
          <w:szCs w:val="16"/>
          <w:color w:val="auto"/>
        </w:rPr>
        <w:t>Item - 1.</w:t>
      </w:r>
    </w:p>
    <w:p>
      <w:pPr>
        <w:spacing w:after="0" w:line="209" w:lineRule="auto"/>
        <w:framePr w:w="2140" w:h="160" w:wrap="auto" w:vAnchor="page" w:hAnchor="page" w:x="340" w:y="2046"/>
        <w:rPr>
          <w:rFonts w:ascii="Arial" w:cs="Arial" w:eastAsia="Arial" w:hAnsi="Arial"/>
          <w:sz w:val="16"/>
          <w:szCs w:val="16"/>
          <w:color w:val="auto"/>
        </w:rPr>
      </w:pPr>
      <w:r>
        <w:rPr>
          <w:rFonts w:ascii="Arial" w:cs="Arial" w:eastAsia="Arial" w:hAnsi="Arial"/>
          <w:sz w:val="16"/>
          <w:szCs w:val="16"/>
          <w:color w:val="auto"/>
        </w:rPr>
        <w:t>Location in Form of Receipt</w:t>
      </w:r>
    </w:p>
    <w:p>
      <w:pPr>
        <w:spacing w:after="0" w:line="209" w:lineRule="auto"/>
        <w:framePr w:w="1980" w:h="160" w:wrap="auto" w:vAnchor="page" w:hAnchor="page" w:x="340" w:y="2262"/>
        <w:rPr>
          <w:rFonts w:ascii="Arial" w:cs="Arial" w:eastAsia="Arial" w:hAnsi="Arial"/>
          <w:sz w:val="16"/>
          <w:szCs w:val="16"/>
          <w:u w:val="single" w:color="auto"/>
          <w:color w:val="auto"/>
        </w:rPr>
      </w:pPr>
      <w:r>
        <w:rPr>
          <w:rFonts w:ascii="Arial" w:cs="Arial" w:eastAsia="Arial" w:hAnsi="Arial"/>
          <w:sz w:val="16"/>
          <w:szCs w:val="16"/>
          <w:u w:val="single" w:color="auto"/>
          <w:color w:val="auto"/>
        </w:rPr>
        <w:t>Item Number and Caption</w:t>
      </w:r>
    </w:p>
    <w:p>
      <w:pPr>
        <w:spacing w:after="0" w:line="209" w:lineRule="auto"/>
        <w:framePr w:w="2620" w:h="160" w:wrap="auto" w:vAnchor="page" w:hAnchor="page" w:x="340" w:y="2694"/>
        <w:rPr>
          <w:rFonts w:ascii="Arial" w:cs="Arial" w:eastAsia="Arial" w:hAnsi="Arial"/>
          <w:sz w:val="16"/>
          <w:szCs w:val="16"/>
          <w:u w:val="single" w:color="auto"/>
          <w:color w:val="auto"/>
        </w:rPr>
      </w:pPr>
      <w:r>
        <w:rPr>
          <w:rFonts w:ascii="Arial" w:cs="Arial" w:eastAsia="Arial" w:hAnsi="Arial"/>
          <w:sz w:val="16"/>
          <w:szCs w:val="16"/>
          <w:u w:val="single" w:color="auto"/>
          <w:color w:val="auto"/>
        </w:rPr>
        <w:t>1. Name and address of depositary</w:t>
      </w:r>
    </w:p>
    <w:p>
      <w:pPr>
        <w:jc w:val="center"/>
        <w:ind w:right="-20"/>
        <w:spacing w:after="0"/>
        <w:rPr>
          <w:sz w:val="20"/>
          <w:szCs w:val="20"/>
          <w:color w:val="auto"/>
        </w:rPr>
      </w:pPr>
      <w:r>
        <w:rPr>
          <w:rFonts w:ascii="Arial" w:cs="Arial" w:eastAsia="Arial" w:hAnsi="Arial"/>
          <w:sz w:val="18"/>
          <w:szCs w:val="18"/>
          <w:color w:val="auto"/>
        </w:rPr>
        <w:t>PART I</w:t>
      </w:r>
    </w:p>
    <w:p>
      <w:pPr>
        <w:spacing w:after="0" w:line="225" w:lineRule="exact"/>
        <w:rPr>
          <w:rFonts w:ascii="Arial" w:cs="Arial" w:eastAsia="Arial" w:hAnsi="Arial"/>
          <w:sz w:val="16"/>
          <w:szCs w:val="16"/>
          <w:u w:val="single" w:color="auto"/>
          <w:color w:val="auto"/>
        </w:rPr>
      </w:pPr>
    </w:p>
    <w:p>
      <w:pPr>
        <w:jc w:val="center"/>
        <w:ind w:right="-20"/>
        <w:spacing w:after="0"/>
        <w:rPr>
          <w:sz w:val="20"/>
          <w:szCs w:val="20"/>
          <w:color w:val="auto"/>
        </w:rPr>
      </w:pPr>
      <w:r>
        <w:rPr>
          <w:rFonts w:ascii="Arial" w:cs="Arial" w:eastAsia="Arial" w:hAnsi="Arial"/>
          <w:sz w:val="17"/>
          <w:szCs w:val="17"/>
          <w:color w:val="auto"/>
        </w:rPr>
        <w:t>INFORMATION REQUIRED IN PROSPECTUS</w:t>
      </w:r>
    </w:p>
    <w:p>
      <w:pPr>
        <w:spacing w:after="0" w:line="237" w:lineRule="exact"/>
        <w:rPr>
          <w:rFonts w:ascii="Arial" w:cs="Arial" w:eastAsia="Arial" w:hAnsi="Arial"/>
          <w:sz w:val="16"/>
          <w:szCs w:val="16"/>
          <w:u w:val="single" w:color="auto"/>
          <w:color w:val="auto"/>
        </w:rPr>
      </w:pPr>
    </w:p>
    <w:p>
      <w:pPr>
        <w:ind w:left="4620"/>
        <w:spacing w:after="0"/>
        <w:rPr>
          <w:sz w:val="20"/>
          <w:szCs w:val="20"/>
          <w:color w:val="auto"/>
        </w:rPr>
      </w:pPr>
      <w:r>
        <w:rPr>
          <w:rFonts w:ascii="Arial" w:cs="Arial" w:eastAsia="Arial" w:hAnsi="Arial"/>
          <w:sz w:val="16"/>
          <w:szCs w:val="16"/>
          <w:u w:val="single" w:color="auto"/>
          <w:color w:val="auto"/>
        </w:rPr>
        <w:t>Description of Securities to be Registered</w:t>
      </w:r>
    </w:p>
    <w:p>
      <w:pPr>
        <w:spacing w:after="0" w:line="248" w:lineRule="exact"/>
        <w:rPr>
          <w:rFonts w:ascii="Arial" w:cs="Arial" w:eastAsia="Arial" w:hAnsi="Arial"/>
          <w:sz w:val="16"/>
          <w:szCs w:val="16"/>
          <w:u w:val="single" w:color="auto"/>
          <w:color w:val="auto"/>
        </w:rPr>
      </w:pPr>
    </w:p>
    <w:p>
      <w:pPr>
        <w:ind w:left="3700"/>
        <w:spacing w:after="0"/>
        <w:rPr>
          <w:sz w:val="20"/>
          <w:szCs w:val="20"/>
          <w:color w:val="auto"/>
        </w:rPr>
      </w:pPr>
      <w:r>
        <w:rPr>
          <w:rFonts w:ascii="Arial" w:cs="Arial" w:eastAsia="Arial" w:hAnsi="Arial"/>
          <w:sz w:val="18"/>
          <w:szCs w:val="18"/>
          <w:color w:val="auto"/>
        </w:rPr>
        <w:t>Cross Reference Sheet</w:t>
      </w:r>
    </w:p>
    <w:p>
      <w:pPr>
        <w:spacing w:after="0" w:line="266" w:lineRule="exact"/>
        <w:rPr>
          <w:rFonts w:ascii="Arial" w:cs="Arial" w:eastAsia="Arial" w:hAnsi="Arial"/>
          <w:sz w:val="16"/>
          <w:szCs w:val="16"/>
          <w:u w:val="single" w:color="auto"/>
          <w:color w:val="auto"/>
        </w:rPr>
      </w:pPr>
    </w:p>
    <w:p>
      <w:pPr>
        <w:ind w:left="4600"/>
        <w:spacing w:after="0"/>
        <w:rPr>
          <w:sz w:val="20"/>
          <w:szCs w:val="20"/>
          <w:color w:val="auto"/>
        </w:rPr>
      </w:pPr>
      <w:r>
        <w:rPr>
          <w:rFonts w:ascii="Arial" w:cs="Arial" w:eastAsia="Arial" w:hAnsi="Arial"/>
          <w:sz w:val="18"/>
          <w:szCs w:val="18"/>
          <w:u w:val="single" w:color="auto"/>
          <w:color w:val="auto"/>
        </w:rPr>
        <w:t>Filed Herewith as Prospectus</w:t>
      </w:r>
    </w:p>
    <w:p>
      <w:pPr>
        <w:spacing w:after="0" w:line="225" w:lineRule="exact"/>
        <w:rPr>
          <w:rFonts w:ascii="Arial" w:cs="Arial" w:eastAsia="Arial" w:hAnsi="Arial"/>
          <w:sz w:val="16"/>
          <w:szCs w:val="16"/>
          <w:u w:val="single" w:color="auto"/>
          <w:color w:val="auto"/>
        </w:rPr>
      </w:pPr>
    </w:p>
    <w:p>
      <w:pPr>
        <w:ind w:left="4600"/>
        <w:spacing w:after="0"/>
        <w:rPr>
          <w:sz w:val="20"/>
          <w:szCs w:val="20"/>
          <w:color w:val="auto"/>
        </w:rPr>
      </w:pPr>
      <w:r>
        <w:rPr>
          <w:rFonts w:ascii="Arial" w:cs="Arial" w:eastAsia="Arial" w:hAnsi="Arial"/>
          <w:sz w:val="18"/>
          <w:szCs w:val="18"/>
          <w:color w:val="auto"/>
        </w:rPr>
        <w:t>Introductory Article</w:t>
      </w:r>
    </w:p>
    <w:p>
      <w:pPr>
        <w:spacing w:after="0" w:line="225" w:lineRule="exact"/>
        <w:rPr>
          <w:rFonts w:ascii="Arial" w:cs="Arial" w:eastAsia="Arial" w:hAnsi="Arial"/>
          <w:sz w:val="16"/>
          <w:szCs w:val="16"/>
          <w:u w:val="single" w:color="auto"/>
          <w:color w:val="auto"/>
        </w:rPr>
      </w:pPr>
    </w:p>
    <w:p>
      <w:pPr>
        <w:ind w:left="4600"/>
        <w:spacing w:after="0"/>
        <w:rPr>
          <w:sz w:val="20"/>
          <w:szCs w:val="20"/>
          <w:color w:val="auto"/>
        </w:rPr>
      </w:pPr>
      <w:r>
        <w:rPr>
          <w:rFonts w:ascii="Arial" w:cs="Arial" w:eastAsia="Arial" w:hAnsi="Arial"/>
          <w:sz w:val="18"/>
          <w:szCs w:val="18"/>
          <w:color w:val="auto"/>
        </w:rPr>
        <w:t>Face of Receipt, top center</w:t>
      </w:r>
    </w:p>
    <w:p>
      <w:pPr>
        <w:spacing w:after="0" w:line="200" w:lineRule="exact"/>
        <w:rPr>
          <w:rFonts w:ascii="Arial" w:cs="Arial" w:eastAsia="Arial" w:hAnsi="Arial"/>
          <w:sz w:val="16"/>
          <w:szCs w:val="16"/>
          <w:u w:val="single" w:color="auto"/>
          <w:color w:val="auto"/>
        </w:rPr>
      </w:pPr>
    </w:p>
    <w:p>
      <w:pPr>
        <w:spacing w:after="0" w:line="200" w:lineRule="exact"/>
        <w:rPr>
          <w:rFonts w:ascii="Arial" w:cs="Arial" w:eastAsia="Arial" w:hAnsi="Arial"/>
          <w:sz w:val="16"/>
          <w:szCs w:val="16"/>
          <w:u w:val="single" w:color="auto"/>
          <w:color w:val="auto"/>
        </w:rPr>
      </w:pPr>
    </w:p>
    <w:p>
      <w:pPr>
        <w:spacing w:after="0" w:line="200" w:lineRule="exact"/>
        <w:rPr>
          <w:rFonts w:ascii="Arial" w:cs="Arial" w:eastAsia="Arial" w:hAnsi="Arial"/>
          <w:sz w:val="16"/>
          <w:szCs w:val="16"/>
          <w:u w:val="single" w:color="auto"/>
          <w:color w:val="auto"/>
        </w:rPr>
      </w:pPr>
    </w:p>
    <w:p>
      <w:pPr>
        <w:spacing w:after="0" w:line="273" w:lineRule="exact"/>
        <w:rPr>
          <w:rFonts w:ascii="Arial" w:cs="Arial" w:eastAsia="Arial" w:hAnsi="Arial"/>
          <w:sz w:val="16"/>
          <w:szCs w:val="16"/>
          <w:u w:val="single" w:color="auto"/>
          <w:color w:val="auto"/>
        </w:rPr>
      </w:pPr>
    </w:p>
    <w:p>
      <w:pPr>
        <w:ind w:left="4600"/>
        <w:spacing w:after="0"/>
        <w:rPr>
          <w:sz w:val="20"/>
          <w:szCs w:val="20"/>
          <w:color w:val="auto"/>
        </w:rPr>
      </w:pPr>
      <w:r>
        <w:rPr>
          <w:rFonts w:ascii="Arial" w:cs="Arial" w:eastAsia="Arial" w:hAnsi="Arial"/>
          <w:sz w:val="18"/>
          <w:szCs w:val="18"/>
          <w:color w:val="auto"/>
        </w:rPr>
        <w:t>Face of Receipt, upper right corner</w:t>
      </w:r>
    </w:p>
    <w:p>
      <w:pPr>
        <w:spacing w:after="0" w:line="200" w:lineRule="exact"/>
        <w:rPr>
          <w:rFonts w:ascii="Arial" w:cs="Arial" w:eastAsia="Arial" w:hAnsi="Arial"/>
          <w:sz w:val="16"/>
          <w:szCs w:val="16"/>
          <w:u w:val="single" w:color="auto"/>
          <w:color w:val="auto"/>
        </w:rPr>
      </w:pPr>
    </w:p>
    <w:p>
      <w:pPr>
        <w:spacing w:after="0" w:line="241" w:lineRule="exact"/>
        <w:rPr>
          <w:rFonts w:ascii="Arial" w:cs="Arial" w:eastAsia="Arial" w:hAnsi="Arial"/>
          <w:sz w:val="16"/>
          <w:szCs w:val="16"/>
          <w:u w:val="single" w:color="auto"/>
          <w:color w:val="auto"/>
        </w:rPr>
      </w:pPr>
    </w:p>
    <w:p>
      <w:pPr>
        <w:ind w:left="4600"/>
        <w:spacing w:after="0"/>
        <w:rPr>
          <w:sz w:val="20"/>
          <w:szCs w:val="20"/>
          <w:color w:val="auto"/>
        </w:rPr>
      </w:pPr>
      <w:r>
        <w:rPr>
          <w:rFonts w:ascii="Arial" w:cs="Arial" w:eastAsia="Arial" w:hAnsi="Arial"/>
          <w:sz w:val="18"/>
          <w:szCs w:val="18"/>
          <w:color w:val="auto"/>
        </w:rPr>
        <w:t>Articles number 15, 16 and 18</w:t>
      </w:r>
    </w:p>
    <w:p>
      <w:pPr>
        <w:spacing w:after="0" w:line="200" w:lineRule="exact"/>
        <w:rPr>
          <w:rFonts w:ascii="Arial" w:cs="Arial" w:eastAsia="Arial" w:hAnsi="Arial"/>
          <w:sz w:val="16"/>
          <w:szCs w:val="16"/>
          <w:u w:val="single" w:color="auto"/>
          <w:color w:val="auto"/>
        </w:rPr>
      </w:pPr>
    </w:p>
    <w:p>
      <w:pPr>
        <w:spacing w:after="0" w:line="241" w:lineRule="exact"/>
        <w:rPr>
          <w:rFonts w:ascii="Arial" w:cs="Arial" w:eastAsia="Arial" w:hAnsi="Arial"/>
          <w:sz w:val="16"/>
          <w:szCs w:val="16"/>
          <w:u w:val="single" w:color="auto"/>
          <w:color w:val="auto"/>
        </w:rPr>
      </w:pPr>
    </w:p>
    <w:p>
      <w:pPr>
        <w:ind w:left="4600"/>
        <w:spacing w:after="0"/>
        <w:rPr>
          <w:sz w:val="20"/>
          <w:szCs w:val="20"/>
          <w:color w:val="auto"/>
        </w:rPr>
      </w:pPr>
      <w:r>
        <w:rPr>
          <w:rFonts w:ascii="Arial" w:cs="Arial" w:eastAsia="Arial" w:hAnsi="Arial"/>
          <w:sz w:val="18"/>
          <w:szCs w:val="18"/>
          <w:color w:val="auto"/>
        </w:rPr>
        <w:t>Articles number 4, 12, 13, 15 and 18</w:t>
      </w:r>
    </w:p>
    <w:p>
      <w:pPr>
        <w:spacing w:after="0" w:line="225" w:lineRule="exact"/>
        <w:rPr>
          <w:rFonts w:ascii="Arial" w:cs="Arial" w:eastAsia="Arial" w:hAnsi="Arial"/>
          <w:sz w:val="16"/>
          <w:szCs w:val="16"/>
          <w:u w:val="single" w:color="auto"/>
          <w:color w:val="auto"/>
        </w:rPr>
      </w:pPr>
    </w:p>
    <w:p>
      <w:pPr>
        <w:ind w:left="4600"/>
        <w:spacing w:after="0"/>
        <w:rPr>
          <w:sz w:val="20"/>
          <w:szCs w:val="20"/>
          <w:color w:val="auto"/>
        </w:rPr>
      </w:pPr>
      <w:r>
        <w:rPr>
          <w:rFonts w:ascii="Arial" w:cs="Arial" w:eastAsia="Arial" w:hAnsi="Arial"/>
          <w:sz w:val="18"/>
          <w:szCs w:val="18"/>
          <w:color w:val="auto"/>
        </w:rPr>
        <w:t>Articles number 11, 15, 16 and 18</w:t>
      </w:r>
    </w:p>
    <w:p>
      <w:pPr>
        <w:spacing w:after="0" w:line="200" w:lineRule="exact"/>
        <w:rPr>
          <w:rFonts w:ascii="Arial" w:cs="Arial" w:eastAsia="Arial" w:hAnsi="Arial"/>
          <w:sz w:val="16"/>
          <w:szCs w:val="16"/>
          <w:u w:val="single" w:color="auto"/>
          <w:color w:val="auto"/>
        </w:rPr>
      </w:pPr>
    </w:p>
    <w:p>
      <w:pPr>
        <w:spacing w:after="0" w:line="241" w:lineRule="exact"/>
        <w:rPr>
          <w:rFonts w:ascii="Arial" w:cs="Arial" w:eastAsia="Arial" w:hAnsi="Arial"/>
          <w:sz w:val="16"/>
          <w:szCs w:val="16"/>
          <w:u w:val="single" w:color="auto"/>
          <w:color w:val="auto"/>
        </w:rPr>
      </w:pPr>
    </w:p>
    <w:p>
      <w:pPr>
        <w:ind w:left="4600"/>
        <w:spacing w:after="0"/>
        <w:rPr>
          <w:sz w:val="20"/>
          <w:szCs w:val="20"/>
          <w:color w:val="auto"/>
        </w:rPr>
      </w:pPr>
      <w:r>
        <w:rPr>
          <w:rFonts w:ascii="Arial" w:cs="Arial" w:eastAsia="Arial" w:hAnsi="Arial"/>
          <w:sz w:val="18"/>
          <w:szCs w:val="18"/>
          <w:color w:val="auto"/>
        </w:rPr>
        <w:t>Articles number 13, 14, 15 and 18</w:t>
      </w:r>
    </w:p>
    <w:p>
      <w:pPr>
        <w:spacing w:after="0" w:line="225" w:lineRule="exact"/>
        <w:rPr>
          <w:rFonts w:ascii="Arial" w:cs="Arial" w:eastAsia="Arial" w:hAnsi="Arial"/>
          <w:sz w:val="16"/>
          <w:szCs w:val="16"/>
          <w:u w:val="single" w:color="auto"/>
          <w:color w:val="auto"/>
        </w:rPr>
      </w:pPr>
    </w:p>
    <w:p>
      <w:pPr>
        <w:ind w:left="4600" w:right="2219"/>
        <w:spacing w:after="0" w:line="277" w:lineRule="auto"/>
        <w:rPr>
          <w:sz w:val="20"/>
          <w:szCs w:val="20"/>
          <w:color w:val="auto"/>
        </w:rPr>
      </w:pPr>
      <w:r>
        <w:rPr>
          <w:rFonts w:ascii="Arial" w:cs="Arial" w:eastAsia="Arial" w:hAnsi="Arial"/>
          <w:sz w:val="18"/>
          <w:szCs w:val="18"/>
          <w:color w:val="auto"/>
        </w:rPr>
        <w:t>Articles number 12, 13, 15, 17 and 18</w:t>
      </w:r>
    </w:p>
    <w:p>
      <w:pPr>
        <w:spacing w:after="0" w:line="170" w:lineRule="exact"/>
        <w:rPr>
          <w:rFonts w:ascii="Arial" w:cs="Arial" w:eastAsia="Arial" w:hAnsi="Arial"/>
          <w:sz w:val="16"/>
          <w:szCs w:val="16"/>
          <w:u w:val="single" w:color="auto"/>
          <w:color w:val="auto"/>
        </w:rPr>
      </w:pPr>
    </w:p>
    <w:p>
      <w:pPr>
        <w:ind w:left="4600"/>
        <w:spacing w:after="0"/>
        <w:rPr>
          <w:sz w:val="20"/>
          <w:szCs w:val="20"/>
          <w:color w:val="auto"/>
        </w:rPr>
      </w:pPr>
      <w:r>
        <w:rPr>
          <w:rFonts w:ascii="Arial" w:cs="Arial" w:eastAsia="Arial" w:hAnsi="Arial"/>
          <w:sz w:val="18"/>
          <w:szCs w:val="18"/>
          <w:color w:val="auto"/>
        </w:rPr>
        <w:t>Articles number 20 and 21</w:t>
      </w:r>
    </w:p>
    <w:p>
      <w:pPr>
        <w:spacing w:after="0" w:line="200" w:lineRule="exact"/>
        <w:rPr>
          <w:rFonts w:ascii="Arial" w:cs="Arial" w:eastAsia="Arial" w:hAnsi="Arial"/>
          <w:sz w:val="16"/>
          <w:szCs w:val="16"/>
          <w:u w:val="single" w:color="auto"/>
          <w:color w:val="auto"/>
        </w:rPr>
      </w:pPr>
    </w:p>
    <w:p>
      <w:pPr>
        <w:spacing w:after="0" w:line="241" w:lineRule="exact"/>
        <w:rPr>
          <w:rFonts w:ascii="Arial" w:cs="Arial" w:eastAsia="Arial" w:hAnsi="Arial"/>
          <w:sz w:val="16"/>
          <w:szCs w:val="16"/>
          <w:u w:val="single" w:color="auto"/>
          <w:color w:val="auto"/>
        </w:rPr>
      </w:pPr>
    </w:p>
    <w:p>
      <w:pPr>
        <w:ind w:left="4600"/>
        <w:spacing w:after="0"/>
        <w:rPr>
          <w:sz w:val="20"/>
          <w:szCs w:val="20"/>
          <w:color w:val="auto"/>
        </w:rPr>
      </w:pPr>
      <w:r>
        <w:rPr>
          <w:rFonts w:ascii="Arial" w:cs="Arial" w:eastAsia="Arial" w:hAnsi="Arial"/>
          <w:sz w:val="18"/>
          <w:szCs w:val="18"/>
          <w:color w:val="auto"/>
        </w:rPr>
        <w:t>Article number 11</w:t>
      </w:r>
    </w:p>
    <w:p>
      <w:pPr>
        <w:spacing w:after="0" w:line="200" w:lineRule="exact"/>
        <w:rPr>
          <w:rFonts w:ascii="Arial" w:cs="Arial" w:eastAsia="Arial" w:hAnsi="Arial"/>
          <w:sz w:val="16"/>
          <w:szCs w:val="16"/>
          <w:u w:val="single" w:color="auto"/>
          <w:color w:val="auto"/>
        </w:rPr>
      </w:pPr>
    </w:p>
    <w:p>
      <w:pPr>
        <w:spacing w:after="0" w:line="200" w:lineRule="exact"/>
        <w:rPr>
          <w:rFonts w:ascii="Arial" w:cs="Arial" w:eastAsia="Arial" w:hAnsi="Arial"/>
          <w:sz w:val="16"/>
          <w:szCs w:val="16"/>
          <w:u w:val="single" w:color="auto"/>
          <w:color w:val="auto"/>
        </w:rPr>
      </w:pPr>
    </w:p>
    <w:p>
      <w:pPr>
        <w:spacing w:after="0" w:line="257" w:lineRule="exact"/>
        <w:rPr>
          <w:rFonts w:ascii="Arial" w:cs="Arial" w:eastAsia="Arial" w:hAnsi="Arial"/>
          <w:sz w:val="16"/>
          <w:szCs w:val="16"/>
          <w:u w:val="single" w:color="auto"/>
          <w:color w:val="auto"/>
        </w:rPr>
      </w:pPr>
    </w:p>
    <w:p>
      <w:pPr>
        <w:ind w:left="4600" w:right="1919"/>
        <w:spacing w:after="0" w:line="277" w:lineRule="auto"/>
        <w:rPr>
          <w:sz w:val="20"/>
          <w:szCs w:val="20"/>
          <w:color w:val="auto"/>
        </w:rPr>
      </w:pPr>
      <w:r>
        <w:rPr>
          <w:rFonts w:ascii="Arial" w:cs="Arial" w:eastAsia="Arial" w:hAnsi="Arial"/>
          <w:sz w:val="18"/>
          <w:szCs w:val="18"/>
          <w:color w:val="auto"/>
        </w:rPr>
        <w:t>Articles number 2, 3, 4, 5, 6, 8 and 22</w:t>
      </w:r>
    </w:p>
    <w:p>
      <w:pPr>
        <w:spacing w:after="0" w:line="170" w:lineRule="exact"/>
        <w:rPr>
          <w:rFonts w:ascii="Arial" w:cs="Arial" w:eastAsia="Arial" w:hAnsi="Arial"/>
          <w:sz w:val="16"/>
          <w:szCs w:val="16"/>
          <w:u w:val="single" w:color="auto"/>
          <w:color w:val="auto"/>
        </w:rPr>
      </w:pPr>
    </w:p>
    <w:p>
      <w:pPr>
        <w:ind w:left="4600"/>
        <w:spacing w:after="0"/>
        <w:rPr>
          <w:sz w:val="20"/>
          <w:szCs w:val="20"/>
          <w:color w:val="auto"/>
        </w:rPr>
      </w:pPr>
      <w:r>
        <w:rPr>
          <w:rFonts w:ascii="Arial" w:cs="Arial" w:eastAsia="Arial" w:hAnsi="Arial"/>
          <w:sz w:val="18"/>
          <w:szCs w:val="18"/>
          <w:color w:val="auto"/>
        </w:rPr>
        <w:t>Articles number 13, 18, 19 and 21</w:t>
      </w:r>
    </w:p>
    <w:p>
      <w:pPr>
        <w:spacing w:after="0" w:line="225" w:lineRule="exact"/>
        <w:rPr>
          <w:rFonts w:ascii="Arial" w:cs="Arial" w:eastAsia="Arial" w:hAnsi="Arial"/>
          <w:sz w:val="16"/>
          <w:szCs w:val="16"/>
          <w:u w:val="single" w:color="auto"/>
          <w:color w:val="auto"/>
        </w:rPr>
      </w:pPr>
    </w:p>
    <w:p>
      <w:pPr>
        <w:ind w:left="4600"/>
        <w:spacing w:after="0"/>
        <w:rPr>
          <w:sz w:val="20"/>
          <w:szCs w:val="20"/>
          <w:color w:val="auto"/>
        </w:rPr>
      </w:pPr>
      <w:r>
        <w:rPr>
          <w:rFonts w:ascii="Arial" w:cs="Arial" w:eastAsia="Arial" w:hAnsi="Arial"/>
          <w:sz w:val="18"/>
          <w:szCs w:val="18"/>
          <w:color w:val="auto"/>
        </w:rPr>
        <w:t>Articles number 7 and 8</w:t>
      </w:r>
    </w:p>
    <w:p>
      <w:pPr>
        <w:spacing w:after="0" w:line="266" w:lineRule="exact"/>
        <w:rPr>
          <w:rFonts w:ascii="Arial" w:cs="Arial" w:eastAsia="Arial" w:hAnsi="Arial"/>
          <w:sz w:val="16"/>
          <w:szCs w:val="16"/>
          <w:u w:val="single" w:color="auto"/>
          <w:color w:val="auto"/>
        </w:rPr>
      </w:pPr>
    </w:p>
    <w:p>
      <w:pPr>
        <w:ind w:left="4620"/>
        <w:spacing w:after="0"/>
        <w:rPr>
          <w:sz w:val="20"/>
          <w:szCs w:val="20"/>
          <w:color w:val="auto"/>
        </w:rPr>
      </w:pPr>
      <w:r>
        <w:rPr>
          <w:rFonts w:ascii="Arial" w:cs="Arial" w:eastAsia="Arial" w:hAnsi="Arial"/>
          <w:sz w:val="18"/>
          <w:szCs w:val="18"/>
          <w:u w:val="single" w:color="auto"/>
          <w:color w:val="auto"/>
        </w:rPr>
        <w:t>Available Information</w:t>
      </w:r>
    </w:p>
    <w:p>
      <w:pPr>
        <w:spacing w:after="0" w:line="225" w:lineRule="exact"/>
        <w:rPr>
          <w:rFonts w:ascii="Arial" w:cs="Arial" w:eastAsia="Arial" w:hAnsi="Arial"/>
          <w:sz w:val="16"/>
          <w:szCs w:val="16"/>
          <w:u w:val="single" w:color="auto"/>
          <w:color w:val="auto"/>
        </w:rPr>
      </w:pPr>
    </w:p>
    <w:p>
      <w:pPr>
        <w:ind w:left="4500"/>
        <w:spacing w:after="0"/>
        <w:rPr>
          <w:sz w:val="20"/>
          <w:szCs w:val="20"/>
          <w:color w:val="auto"/>
        </w:rPr>
      </w:pPr>
      <w:r>
        <w:rPr>
          <w:rFonts w:ascii="Arial" w:cs="Arial" w:eastAsia="Arial" w:hAnsi="Arial"/>
          <w:sz w:val="18"/>
          <w:szCs w:val="18"/>
          <w:color w:val="auto"/>
        </w:rPr>
        <w:t>Article number 11</w:t>
      </w:r>
    </w:p>
    <w:p>
      <w:pPr>
        <w:sectPr>
          <w:pgSz w:w="11900" w:h="16838" w:orient="portrait"/>
          <w:cols w:equalWidth="0" w:num="1">
            <w:col w:w="9019"/>
          </w:cols>
          <w:pgMar w:left="1440" w:top="476"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INFORMATION NOT REQUIRED IN PROSPECTUS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- 3. </w:t>
      </w:r>
      <w:r>
        <w:rPr>
          <w:rFonts w:ascii="Arial" w:cs="Arial" w:eastAsia="Arial" w:hAnsi="Arial"/>
          <w:sz w:val="18"/>
          <w:szCs w:val="18"/>
          <w:u w:val="single" w:color="auto"/>
          <w:color w:val="auto"/>
        </w:rPr>
        <w:t>Exhibits</w:t>
      </w:r>
    </w:p>
    <w:p>
      <w:pPr>
        <w:spacing w:after="0" w:line="200" w:lineRule="exact"/>
        <w:rPr>
          <w:sz w:val="20"/>
          <w:szCs w:val="20"/>
          <w:color w:val="auto"/>
        </w:rPr>
      </w:pPr>
    </w:p>
    <w:p>
      <w:pPr>
        <w:spacing w:after="0" w:line="241" w:lineRule="exact"/>
        <w:rPr>
          <w:sz w:val="20"/>
          <w:szCs w:val="20"/>
          <w:color w:val="auto"/>
        </w:rPr>
      </w:pPr>
    </w:p>
    <w:p>
      <w:pPr>
        <w:ind w:left="1300" w:hanging="644"/>
        <w:spacing w:after="0" w:line="342"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Form of Deposit Agreement dated as of May 20, 1998, as amended and restated as of December 28, 2007, among ICON plc, The Bank of New York, as Depositary, and all Holders from time to time of American Depositary Receipts issued thereunder. -- Filed previously.</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 of letter agreement among ICON plc and The Bank of New York relating to pre-release activities. – Filed previously.</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Every material contract relating to the deposited securities between the Depositary and the issuer of the deposited securities in effect at any time within the last three years. -- See (a) and (b) above.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Opinion of Emmet, Marvin &amp; Martin, LLP, counsel for the Depositary, as to legality of the securities to be registered. – Filed previously.</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Certification under Rule 466. – Filed herewith as Exhibit 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- 4. </w:t>
      </w:r>
      <w:r>
        <w:rPr>
          <w:rFonts w:ascii="Arial" w:cs="Arial" w:eastAsia="Arial" w:hAnsi="Arial"/>
          <w:sz w:val="18"/>
          <w:szCs w:val="18"/>
          <w:u w:val="single" w:color="auto"/>
          <w:color w:val="auto"/>
        </w:rPr>
        <w:t>Undertakings</w:t>
      </w:r>
    </w:p>
    <w:p>
      <w:pPr>
        <w:spacing w:after="0" w:line="225" w:lineRule="exact"/>
        <w:rPr>
          <w:sz w:val="20"/>
          <w:szCs w:val="20"/>
          <w:color w:val="auto"/>
        </w:rPr>
      </w:pPr>
    </w:p>
    <w:p>
      <w:pPr>
        <w:jc w:val="both"/>
        <w:ind w:firstLine="1305"/>
        <w:spacing w:after="0" w:line="286" w:lineRule="auto"/>
        <w:tabs>
          <w:tab w:leader="none" w:pos="1708"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Depositary hereby undertakes to make available at the principal office of the Depositary in the United States, for inspection by holders of the ADRs,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65" w:lineRule="exact"/>
        <w:rPr>
          <w:rFonts w:ascii="Arial" w:cs="Arial" w:eastAsia="Arial" w:hAnsi="Arial"/>
          <w:sz w:val="17"/>
          <w:szCs w:val="17"/>
          <w:color w:val="auto"/>
        </w:rPr>
      </w:pPr>
    </w:p>
    <w:p>
      <w:pPr>
        <w:jc w:val="both"/>
        <w:ind w:firstLine="1305"/>
        <w:spacing w:after="0" w:line="312" w:lineRule="auto"/>
        <w:tabs>
          <w:tab w:leader="none" w:pos="1664"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the amounts of fees charged are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ADR thirty days before any change in the fee schedule.</w:t>
      </w:r>
    </w:p>
    <w:p>
      <w:pPr>
        <w:sectPr>
          <w:pgSz w:w="11900" w:h="16838" w:orient="portrait"/>
          <w:cols w:equalWidth="0" w:num="1">
            <w:col w:w="11420"/>
          </w:cols>
          <w:pgMar w:left="240" w:top="476"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all the requirements for filing on Form F-6 are met and has duly caused this Post-Effective Amendment No. 2 to the Registration Statement to be signed on its behalf by the undersigned, thereunto duly authorized, in the City of New York, State of New York, on January 31, 2013.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540" w:right="20"/>
        <w:spacing w:after="0" w:line="277" w:lineRule="auto"/>
        <w:rPr>
          <w:sz w:val="20"/>
          <w:szCs w:val="20"/>
          <w:color w:val="auto"/>
        </w:rPr>
      </w:pPr>
      <w:r>
        <w:rPr>
          <w:rFonts w:ascii="Arial" w:cs="Arial" w:eastAsia="Arial" w:hAnsi="Arial"/>
          <w:sz w:val="18"/>
          <w:szCs w:val="18"/>
          <w:color w:val="auto"/>
        </w:rPr>
        <w:t>Legal entity created by the agreement for the issuance of American Depositary Receipts for ordinary shares of ICON plc.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The Bank of New York Mellon,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As Depositary</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U. Marianne Erlandsen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U. Marianne Erlandsen</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1420"/>
          </w:cols>
          <w:pgMar w:left="240" w:top="476" w:right="239" w:bottom="1440" w:gutter="0" w:footer="0" w:header="0"/>
        </w:sectPr>
      </w:pPr>
    </w:p>
    <w:bookmarkStart w:id="5" w:name="page6"/>
    <w:bookmarkEnd w:id="5"/>
    <w:p>
      <w:pPr>
        <w:spacing w:after="0" w:line="277" w:lineRule="auto"/>
        <w:rPr>
          <w:sz w:val="20"/>
          <w:szCs w:val="20"/>
          <w:color w:val="auto"/>
        </w:rPr>
      </w:pPr>
      <w:r>
        <w:rPr>
          <w:rFonts w:ascii="Arial" w:cs="Arial" w:eastAsia="Arial" w:hAnsi="Arial"/>
          <w:sz w:val="18"/>
          <w:szCs w:val="18"/>
          <w:color w:val="auto"/>
        </w:rPr>
        <w:t>Pursuant to the requirements of the Securities Act of 1933, ICON plc has caused this Post-Effective Amendment No. 2 to the Registration Statement to be signed on its behalf by the undersigned thereunto duly authorized, in Dublin, Ireland, on January 31, 2013.</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ICON plc</w:t>
      </w:r>
    </w:p>
    <w:p>
      <w:pPr>
        <w:spacing w:after="0" w:line="224"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Ciaran Murray</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Name: Ciaran Murray</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indicated on January 31, 2013.</w:t>
      </w:r>
    </w:p>
    <w:p>
      <w:pPr>
        <w:sectPr>
          <w:pgSz w:w="11900" w:h="16838" w:orient="portrait"/>
          <w:cols w:equalWidth="0" w:num="1">
            <w:col w:w="11420"/>
          </w:cols>
          <w:pgMar w:left="240" w:top="476"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Thomas Lynch</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Thomas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-130810</wp:posOffset>
            </wp:positionV>
            <wp:extent cx="35077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Ciaran Murray</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Ciaran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-130810</wp:posOffset>
            </wp:positionV>
            <wp:extent cx="3507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-130810</wp:posOffset>
            </wp:positionV>
            <wp:extent cx="3507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Dr. John Climax</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Dr. John Climax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-130810</wp:posOffset>
            </wp:positionV>
            <wp:extent cx="3507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7740"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400050</wp:posOffset>
            </wp:positionV>
            <wp:extent cx="29502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Dr. Ronan Lambe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400685</wp:posOffset>
            </wp:positionV>
            <wp:extent cx="29502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Prof. Dermot Kelleher</w:t>
      </w:r>
    </w:p>
    <w:p>
      <w:pPr>
        <w:spacing w:after="0" w:line="200" w:lineRule="exact"/>
        <w:rPr>
          <w:sz w:val="20"/>
          <w:szCs w:val="20"/>
          <w:color w:val="auto"/>
        </w:rPr>
      </w:pPr>
    </w:p>
    <w:p>
      <w:pPr>
        <w:spacing w:after="0" w:line="25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Declan McKeon</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Declan McKeon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-130810</wp:posOffset>
            </wp:positionV>
            <wp:extent cx="35077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07740"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400050</wp:posOffset>
            </wp:positionV>
            <wp:extent cx="2950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Cathrin Petty</w:t>
      </w: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Dr. Bruce Given</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Dr. Bruce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-130810</wp:posOffset>
            </wp:positionV>
            <wp:extent cx="35077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07740"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400050</wp:posOffset>
            </wp:positionV>
            <wp:extent cx="2950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Diarmaid Cunningham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Donald J. Puglisi</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-130810</wp:posOffset>
            </wp:positionV>
            <wp:extent cx="35077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Managing Director</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Puglisi &amp; Associates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Director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Chief Accounting Officer</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and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Authorized Representative in the United States</w:t>
      </w:r>
    </w:p>
    <w:p>
      <w:pPr>
        <w:sectPr>
          <w:pgSz w:w="11900" w:h="16838" w:orient="portrait"/>
          <w:cols w:equalWidth="0" w:num="2">
            <w:col w:w="5100" w:space="720"/>
            <w:col w:w="5600"/>
          </w:cols>
          <w:pgMar w:left="240" w:top="476" w:right="239" w:bottom="1440" w:gutter="0" w:footer="0" w:header="0"/>
          <w:type w:val="continuous"/>
        </w:sectPr>
      </w:pPr>
    </w:p>
    <w:bookmarkStart w:id="6" w:name="page7"/>
    <w:bookmarkEnd w:id="6"/>
    <w:p>
      <w:pPr>
        <w:jc w:val="right"/>
        <w:ind w:right="3659"/>
        <w:spacing w:after="0"/>
        <w:rPr>
          <w:sz w:val="20"/>
          <w:szCs w:val="20"/>
          <w:color w:val="auto"/>
        </w:rPr>
      </w:pPr>
      <w:r>
        <w:rPr>
          <w:rFonts w:ascii="Arial" w:cs="Arial" w:eastAsia="Arial" w:hAnsi="Arial"/>
          <w:sz w:val="18"/>
          <w:szCs w:val="18"/>
          <w:color w:val="auto"/>
        </w:rPr>
        <w:t>INDEX TO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Exhibit</w:t>
            </w:r>
          </w:p>
        </w:tc>
        <w:tc>
          <w:tcPr>
            <w:tcW w:w="114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6"/>
        </w:trPr>
        <w:tc>
          <w:tcPr>
            <w:tcW w:w="6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0"/>
              </w:rPr>
              <w:t>Number</w:t>
            </w: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6"/>
              </w:rPr>
              <w:t>Exhibit</w:t>
            </w:r>
          </w:p>
        </w:tc>
        <w:tc>
          <w:tcPr>
            <w:tcW w:w="1420" w:type="dxa"/>
            <w:vAlign w:val="bottom"/>
          </w:tcPr>
          <w:p>
            <w:pPr>
              <w:spacing w:after="0"/>
              <w:rPr>
                <w:sz w:val="17"/>
                <w:szCs w:val="17"/>
                <w:color w:val="auto"/>
              </w:rPr>
            </w:pPr>
          </w:p>
        </w:tc>
      </w:tr>
      <w:tr>
        <w:trPr>
          <w:trHeight w:val="885"/>
        </w:trPr>
        <w:tc>
          <w:tcPr>
            <w:tcW w:w="540" w:type="dxa"/>
            <w:vAlign w:val="bottom"/>
          </w:tcPr>
          <w:p>
            <w:pPr>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20" w:type="dxa"/>
            <w:vAlign w:val="bottom"/>
            <w:gridSpan w:val="3"/>
          </w:tcPr>
          <w:p>
            <w:pPr>
              <w:ind w:left="1060"/>
              <w:spacing w:after="0"/>
              <w:rPr>
                <w:sz w:val="20"/>
                <w:szCs w:val="20"/>
                <w:color w:val="auto"/>
              </w:rPr>
            </w:pPr>
            <w:r>
              <w:rPr>
                <w:rFonts w:ascii="Arial" w:cs="Arial" w:eastAsia="Arial" w:hAnsi="Arial"/>
                <w:sz w:val="18"/>
                <w:szCs w:val="18"/>
                <w:color w:val="auto"/>
                <w:w w:val="90"/>
              </w:rPr>
              <w:t>Certificate under Rule 466.</w:t>
            </w:r>
          </w:p>
        </w:tc>
      </w:tr>
    </w:tbl>
    <w:p>
      <w:pPr>
        <w:sectPr>
          <w:pgSz w:w="11900" w:h="16838" w:orient="portrait"/>
          <w:cols w:equalWidth="0" w:num="1">
            <w:col w:w="10119"/>
          </w:cols>
          <w:pgMar w:left="340" w:top="476" w:right="1440" w:bottom="1440" w:gutter="0" w:footer="0" w:header="0"/>
        </w:sectPr>
      </w:pPr>
    </w:p>
    <w:bookmarkStart w:id="7" w:name="page8"/>
    <w:bookmarkEnd w:id="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Exhibit 5</w:t>
      </w:r>
    </w:p>
    <w:p>
      <w:pPr>
        <w:spacing w:after="0" w:line="200" w:lineRule="exact"/>
        <w:rPr>
          <w:sz w:val="20"/>
          <w:szCs w:val="20"/>
          <w:color w:val="auto"/>
        </w:rPr>
      </w:pPr>
    </w:p>
    <w:p>
      <w:pPr>
        <w:spacing w:after="0" w:line="241"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Certification Under Rule 466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Depositary, The Bank of New York Mellon, represents and certifies the following:</w:t>
      </w:r>
    </w:p>
    <w:p>
      <w:pPr>
        <w:spacing w:after="0" w:line="225" w:lineRule="exact"/>
        <w:rPr>
          <w:sz w:val="20"/>
          <w:szCs w:val="20"/>
          <w:color w:val="auto"/>
        </w:rPr>
      </w:pPr>
    </w:p>
    <w:p>
      <w:pPr>
        <w:jc w:val="both"/>
        <w:ind w:left="66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it previously has filed a Registration Statement on Form F-6 (ICON plc, Registration No. 333-143546) which the Commission declared effective, with terms of deposit identical to the terms of deposit of this Registration Statement except for the number of foreign securities a Depositary Share represents.</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That its ability to designate the date and time of effectiveness under Rule 466 has not been suspended.</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As Depositary</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U. Marianne Erlandsen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U. Marianne Erlandsen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Managing Director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2019-12-06T19:58:12Z</dcterms:created>
  <dcterms:modified xsi:type="dcterms:W3CDTF">2019-12-06T19:58:12Z</dcterms:modified>
</cp:coreProperties>
</file>