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D.C.20549</w:t>
      </w:r>
    </w:p>
    <w:p>
      <w:pPr>
        <w:spacing w:after="0" w:line="1" w:lineRule="exact"/>
        <w:rPr>
          <w:sz w:val="24"/>
          <w:szCs w:val="24"/>
          <w:color w:val="auto"/>
        </w:rPr>
      </w:pPr>
    </w:p>
    <w:p>
      <w:pPr>
        <w:ind w:left="2820"/>
        <w:spacing w:after="0"/>
        <w:rPr>
          <w:sz w:val="20"/>
          <w:szCs w:val="20"/>
          <w:color w:val="auto"/>
        </w:rPr>
      </w:pPr>
      <w:r>
        <w:rPr>
          <w:rFonts w:ascii="Arial" w:cs="Arial" w:eastAsia="Arial" w:hAnsi="Arial"/>
          <w:sz w:val="14"/>
          <w:szCs w:val="14"/>
          <w:u w:val="single" w:color="auto"/>
          <w:color w:val="auto"/>
        </w:rPr>
        <w:t>______________________________________________________________________</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20-F</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(Mark One)</w:t>
      </w:r>
    </w:p>
    <w:p>
      <w:pPr>
        <w:spacing w:after="0" w:line="14" w:lineRule="exact"/>
        <w:rPr>
          <w:sz w:val="24"/>
          <w:szCs w:val="24"/>
          <w:color w:val="auto"/>
        </w:rPr>
      </w:pPr>
    </w:p>
    <w:p>
      <w:pPr>
        <w:ind w:left="2500" w:hanging="184"/>
        <w:spacing w:after="0"/>
        <w:tabs>
          <w:tab w:leader="none" w:pos="25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22"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4" w:lineRule="exact"/>
        <w:rPr>
          <w:sz w:val="24"/>
          <w:szCs w:val="24"/>
          <w:color w:val="auto"/>
        </w:rPr>
      </w:pPr>
    </w:p>
    <w:p>
      <w:pPr>
        <w:ind w:left="4080" w:right="2540" w:hanging="1464"/>
        <w:spacing w:after="0" w:line="304" w:lineRule="auto"/>
        <w:tabs>
          <w:tab w:leader="none" w:pos="28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 (d) of the Securities Exchange Act of 1934 For the fiscal year ended: December 31, 2023</w:t>
      </w:r>
    </w:p>
    <w:p>
      <w:pPr>
        <w:spacing w:after="0" w:line="124" w:lineRule="exact"/>
        <w:rPr>
          <w:sz w:val="24"/>
          <w:szCs w:val="24"/>
          <w:color w:val="auto"/>
        </w:rPr>
      </w:pPr>
    </w:p>
    <w:p>
      <w:pPr>
        <w:ind w:left="2720" w:hanging="184"/>
        <w:spacing w:after="0"/>
        <w:tabs>
          <w:tab w:leader="none" w:pos="2720" w:val="left"/>
        </w:tabs>
        <w:numPr>
          <w:ilvl w:val="1"/>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2"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21" w:lineRule="exact"/>
        <w:rPr>
          <w:rFonts w:ascii="MS PGothic" w:cs="MS PGothic" w:eastAsia="MS PGothic" w:hAnsi="MS PGothic"/>
          <w:sz w:val="16"/>
          <w:szCs w:val="16"/>
          <w:color w:val="auto"/>
        </w:rPr>
      </w:pPr>
    </w:p>
    <w:p>
      <w:pPr>
        <w:ind w:left="2540" w:hanging="180"/>
        <w:spacing w:after="0"/>
        <w:tabs>
          <w:tab w:leader="none" w:pos="2540" w:val="left"/>
        </w:tabs>
        <w:numPr>
          <w:ilvl w:val="0"/>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28"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Arial" w:cs="Arial" w:eastAsia="Arial" w:hAnsi="Arial"/>
          <w:sz w:val="14"/>
          <w:szCs w:val="14"/>
          <w:b w:val="1"/>
          <w:bCs w:val="1"/>
          <w:u w:val="single" w:color="auto"/>
          <w:color w:val="auto"/>
        </w:rPr>
        <w:t>_____________________________________</w:t>
      </w:r>
    </w:p>
    <w:p>
      <w:pPr>
        <w:spacing w:after="0" w:line="27"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333-08704</w:t>
      </w:r>
    </w:p>
    <w:p>
      <w:pPr>
        <w:spacing w:after="0" w:line="177"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49530</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89"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(Exact name of Registrant as Specified in its Charter)</w:t>
      </w:r>
    </w:p>
    <w:p>
      <w:pPr>
        <w:spacing w:after="0" w:line="42"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49530</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89"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(Translation of Registrant’s name into English)</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49530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8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(Jurisdiction of Incorporation or Organization)</w:t>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South County Business Park, Leopardstown, Dublin 18, D18 X5R3,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57785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Brendan Brennan, Chief Financial Officer</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South County Business Park, Leopardstown, Dublin 18, D18 X5R3, Ireland.</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Brendan.Brennan@iconplc.com | +353-1-291-2000</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b w:val="1"/>
          <w:bCs w:val="1"/>
          <w:u w:val="single" w:color="auto"/>
          <w:color w:val="auto"/>
        </w:rPr>
        <w:t>_____________________________________</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telephone number, email and/or facsimile number and address of Company contact person)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146"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32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1"/>
        </w:trPr>
        <w:tc>
          <w:tcPr>
            <w:tcW w:w="432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rPr>
              <w:t>ORDINARY SHARES, PAR VALUE €0.06 EACH</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ICLR</w:t>
            </w:r>
          </w:p>
        </w:tc>
        <w:tc>
          <w:tcPr>
            <w:tcW w:w="132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138" w:lineRule="exact"/>
        <w:rPr>
          <w:sz w:val="24"/>
          <w:szCs w:val="24"/>
          <w:color w:val="auto"/>
        </w:rPr>
      </w:pPr>
    </w:p>
    <w:p>
      <w:pPr>
        <w:ind w:right="440"/>
        <w:spacing w:after="0" w:line="259"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82,495,086 Ordinary Shares.</w:t>
      </w:r>
    </w:p>
    <w:p>
      <w:pPr>
        <w:spacing w:after="0" w:line="1" w:lineRule="exact"/>
        <w:rPr>
          <w:sz w:val="24"/>
          <w:szCs w:val="24"/>
          <w:color w:val="auto"/>
        </w:rPr>
      </w:pPr>
    </w:p>
    <w:p>
      <w:pPr>
        <w:spacing w:after="0" w:line="161" w:lineRule="exact"/>
        <w:tabs>
          <w:tab w:leader="none" w:pos="820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9"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 accelerated filer or an emerging growth company.</w:t>
      </w:r>
    </w:p>
    <w:p>
      <w:pPr>
        <w:spacing w:after="0" w:line="11" w:lineRule="exact"/>
        <w:rPr>
          <w:sz w:val="24"/>
          <w:szCs w:val="24"/>
          <w:color w:val="auto"/>
        </w:rPr>
      </w:pPr>
    </w:p>
    <w:p>
      <w:pPr>
        <w:ind w:right="2000"/>
        <w:spacing w:after="0" w:line="17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00"/>
        <w:spacing w:after="0" w:line="260"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right="500"/>
        <w:spacing w:after="0" w:line="17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2080"/>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860"/>
        <w:spacing w:after="0" w:line="17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which basis of accounting the registrant has used to prepare the financial statements included in this filing:</w:t>
      </w:r>
    </w:p>
    <w:p>
      <w:pPr>
        <w:spacing w:after="0" w:line="1" w:lineRule="exact"/>
        <w:rPr>
          <w:sz w:val="24"/>
          <w:szCs w:val="24"/>
          <w:color w:val="auto"/>
        </w:rPr>
      </w:pPr>
    </w:p>
    <w:p>
      <w:pPr>
        <w:ind w:left="2960" w:right="2500" w:hanging="2955"/>
        <w:spacing w:after="0" w:line="169" w:lineRule="exact"/>
        <w:tabs>
          <w:tab w:leader="none" w:pos="294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6"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5"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gridSpan w:val="6"/>
          </w:tcPr>
          <w:p>
            <w:pPr>
              <w:jc w:val="center"/>
              <w:ind w:right="4040"/>
              <w:spacing w:after="0"/>
              <w:rPr>
                <w:sz w:val="20"/>
                <w:szCs w:val="20"/>
                <w:color w:val="auto"/>
              </w:rPr>
            </w:pPr>
            <w:r>
              <w:rPr>
                <w:rFonts w:ascii="Arial" w:cs="Arial" w:eastAsia="Arial" w:hAnsi="Arial"/>
                <w:sz w:val="16"/>
                <w:szCs w:val="16"/>
                <w:b w:val="1"/>
                <w:bCs w:val="1"/>
                <w:color w:val="auto"/>
              </w:rPr>
              <w:t>TABLE OF CONTENTS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6"/>
                <w:szCs w:val="16"/>
                <w:b w:val="1"/>
                <w:bCs w:val="1"/>
                <w:color w:val="auto"/>
              </w:rPr>
              <w:t>Page</w:t>
            </w:r>
          </w:p>
        </w:tc>
      </w:tr>
      <w:tr>
        <w:trPr>
          <w:trHeight w:val="412"/>
        </w:trPr>
        <w:tc>
          <w:tcPr>
            <w:tcW w:w="20" w:type="dxa"/>
            <w:vAlign w:val="bottom"/>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General Information</w:t>
            </w:r>
          </w:p>
        </w:tc>
        <w:tc>
          <w:tcPr>
            <w:tcW w:w="9340" w:type="dxa"/>
            <w:vAlign w:val="bottom"/>
            <w:gridSpan w:val="24"/>
          </w:tcPr>
          <w:p>
            <w:pPr>
              <w:spacing w:after="0"/>
              <w:rPr>
                <w:sz w:val="24"/>
                <w:szCs w:val="24"/>
                <w:color w:val="auto"/>
              </w:rPr>
            </w:pPr>
          </w:p>
        </w:tc>
        <w:tc>
          <w:tcPr>
            <w:tcW w:w="300" w:type="dxa"/>
            <w:vAlign w:val="bottom"/>
            <w:tcBorders>
              <w:top w:val="single" w:sz="8" w:color="auto"/>
            </w:tcBorders>
            <w:gridSpan w:val="3"/>
          </w:tcPr>
          <w:p>
            <w:pPr>
              <w:spacing w:after="0"/>
              <w:rPr>
                <w:sz w:val="24"/>
                <w:szCs w:val="24"/>
                <w:color w:val="auto"/>
              </w:rPr>
            </w:pPr>
          </w:p>
        </w:tc>
        <w:tc>
          <w:tcPr>
            <w:tcW w:w="10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Cautionary Statement</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40" w:type="dxa"/>
            <w:vAlign w:val="bottom"/>
          </w:tcPr>
          <w:p>
            <w:pPr>
              <w:spacing w:after="0"/>
              <w:rPr>
                <w:sz w:val="17"/>
                <w:szCs w:val="17"/>
                <w:color w:val="auto"/>
              </w:rPr>
            </w:pPr>
          </w:p>
        </w:tc>
      </w:tr>
      <w:tr>
        <w:trPr>
          <w:trHeight w:val="513"/>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4"/>
          </w:tcPr>
          <w:p>
            <w:pPr>
              <w:jc w:val="center"/>
              <w:ind w:right="4680"/>
              <w:spacing w:after="0"/>
              <w:rPr>
                <w:sz w:val="20"/>
                <w:szCs w:val="20"/>
                <w:color w:val="auto"/>
              </w:rPr>
            </w:pPr>
            <w:r>
              <w:rPr>
                <w:rFonts w:ascii="Arial" w:cs="Arial" w:eastAsia="Arial" w:hAnsi="Arial"/>
                <w:sz w:val="16"/>
                <w:szCs w:val="16"/>
                <w:b w:val="1"/>
                <w:bCs w:val="1"/>
                <w:color w:val="auto"/>
                <w:w w:val="99"/>
              </w:rPr>
              <w:t>PART 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448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Item 1. Identity of Directors, Senior Management and Advisors</w:t>
            </w:r>
          </w:p>
        </w:tc>
        <w:tc>
          <w:tcPr>
            <w:tcW w:w="6300" w:type="dxa"/>
            <w:vAlign w:val="bottom"/>
            <w:gridSpan w:val="6"/>
          </w:tcPr>
          <w:p>
            <w:pPr>
              <w:spacing w:after="0"/>
              <w:rPr>
                <w:sz w:val="24"/>
                <w:szCs w:val="24"/>
                <w:color w:val="auto"/>
              </w:rPr>
            </w:pPr>
          </w:p>
        </w:tc>
        <w:tc>
          <w:tcPr>
            <w:tcW w:w="30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2</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2. Offer Statistics and Expected Timetable</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Item 3. Key Information</w:t>
            </w:r>
          </w:p>
        </w:tc>
        <w:tc>
          <w:tcPr>
            <w:tcW w:w="7400" w:type="dxa"/>
            <w:vAlign w:val="bottom"/>
            <w:gridSpan w:val="13"/>
          </w:tcPr>
          <w:p>
            <w:pPr>
              <w:spacing w:after="0"/>
              <w:rPr>
                <w:sz w:val="17"/>
                <w:szCs w:val="17"/>
                <w:color w:val="auto"/>
              </w:rPr>
            </w:pPr>
          </w:p>
        </w:tc>
        <w:tc>
          <w:tcPr>
            <w:tcW w:w="300" w:type="dxa"/>
            <w:vAlign w:val="bottom"/>
            <w:gridSpan w:val="3"/>
          </w:tcPr>
          <w:p>
            <w:pPr>
              <w:spacing w:after="0"/>
              <w:rPr>
                <w:sz w:val="17"/>
                <w:szCs w:val="17"/>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12"/>
          </w:tcPr>
          <w:p>
            <w:pPr>
              <w:spacing w:after="0"/>
              <w:rPr>
                <w:sz w:val="20"/>
                <w:szCs w:val="20"/>
                <w:color w:val="auto"/>
              </w:rPr>
            </w:pPr>
            <w:r>
              <w:rPr>
                <w:rFonts w:ascii="Arial" w:cs="Arial" w:eastAsia="Arial" w:hAnsi="Arial"/>
                <w:sz w:val="16"/>
                <w:szCs w:val="16"/>
                <w:color w:val="0000FF"/>
              </w:rPr>
              <w:t>Item 4. Information on the Company</w:t>
            </w:r>
          </w:p>
        </w:tc>
        <w:tc>
          <w:tcPr>
            <w:tcW w:w="8180" w:type="dxa"/>
            <w:vAlign w:val="bottom"/>
            <w:gridSpan w:val="16"/>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13"/>
          </w:tcPr>
          <w:p>
            <w:pPr>
              <w:spacing w:after="0"/>
              <w:rPr>
                <w:sz w:val="20"/>
                <w:szCs w:val="20"/>
                <w:color w:val="auto"/>
              </w:rPr>
            </w:pPr>
            <w:r>
              <w:rPr>
                <w:rFonts w:ascii="Arial" w:cs="Arial" w:eastAsia="Arial" w:hAnsi="Arial"/>
                <w:sz w:val="16"/>
                <w:szCs w:val="16"/>
                <w:color w:val="0000FF"/>
              </w:rPr>
              <w:t>Item 4A. Unresolved Staff Comments</w:t>
            </w:r>
          </w:p>
        </w:tc>
        <w:tc>
          <w:tcPr>
            <w:tcW w:w="8100" w:type="dxa"/>
            <w:vAlign w:val="bottom"/>
            <w:gridSpan w:val="15"/>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56</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5. Operating and Financial Review and Prospects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57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17"/>
          </w:tcPr>
          <w:p>
            <w:pPr>
              <w:spacing w:after="0"/>
              <w:rPr>
                <w:sz w:val="20"/>
                <w:szCs w:val="20"/>
                <w:color w:val="auto"/>
              </w:rPr>
            </w:pPr>
            <w:r>
              <w:rPr>
                <w:rFonts w:ascii="Arial" w:cs="Arial" w:eastAsia="Arial" w:hAnsi="Arial"/>
                <w:sz w:val="16"/>
                <w:szCs w:val="16"/>
                <w:color w:val="0000FF"/>
              </w:rPr>
              <w:t>Item 6. Directors, Senior Management and Employees</w:t>
            </w:r>
          </w:p>
        </w:tc>
        <w:tc>
          <w:tcPr>
            <w:tcW w:w="6880" w:type="dxa"/>
            <w:vAlign w:val="bottom"/>
            <w:gridSpan w:val="11"/>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67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7. Major Shareholders and Related Party Transactions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20"/>
          </w:tcPr>
          <w:p>
            <w:pPr>
              <w:spacing w:after="0"/>
              <w:rPr>
                <w:sz w:val="20"/>
                <w:szCs w:val="20"/>
                <w:color w:val="auto"/>
              </w:rPr>
            </w:pPr>
            <w:r>
              <w:rPr>
                <w:rFonts w:ascii="Arial" w:cs="Arial" w:eastAsia="Arial" w:hAnsi="Arial"/>
                <w:sz w:val="16"/>
                <w:szCs w:val="16"/>
                <w:color w:val="0000FF"/>
              </w:rPr>
              <w:t>Item 8. Financial Information</w:t>
            </w:r>
          </w:p>
        </w:tc>
        <w:tc>
          <w:tcPr>
            <w:tcW w:w="6520" w:type="dxa"/>
            <w:vAlign w:val="bottom"/>
            <w:gridSpan w:val="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gridSpan w:val="8"/>
          </w:tcPr>
          <w:p>
            <w:pPr>
              <w:spacing w:after="0"/>
              <w:rPr>
                <w:sz w:val="20"/>
                <w:szCs w:val="20"/>
                <w:color w:val="auto"/>
              </w:rPr>
            </w:pPr>
            <w:r>
              <w:rPr>
                <w:rFonts w:ascii="Arial" w:cs="Arial" w:eastAsia="Arial" w:hAnsi="Arial"/>
                <w:sz w:val="16"/>
                <w:szCs w:val="16"/>
                <w:color w:val="0000FF"/>
                <w:w w:val="98"/>
              </w:rPr>
              <w:t>Item 9. The Offer and Listing</w:t>
            </w:r>
          </w:p>
        </w:tc>
        <w:tc>
          <w:tcPr>
            <w:tcW w:w="8740" w:type="dxa"/>
            <w:vAlign w:val="bottom"/>
            <w:gridSpan w:val="20"/>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10. Additional Information</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11. Quantitative and Qualitative Disclosures about Market Risk</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gridSpan w:val="23"/>
          </w:tcPr>
          <w:p>
            <w:pPr>
              <w:spacing w:after="0"/>
              <w:rPr>
                <w:sz w:val="20"/>
                <w:szCs w:val="20"/>
                <w:color w:val="auto"/>
              </w:rPr>
            </w:pPr>
            <w:r>
              <w:rPr>
                <w:rFonts w:ascii="Arial" w:cs="Arial" w:eastAsia="Arial" w:hAnsi="Arial"/>
                <w:sz w:val="16"/>
                <w:szCs w:val="16"/>
                <w:color w:val="0000FF"/>
              </w:rPr>
              <w:t>Item 12. Description of Securities Other than Equity Securities</w:t>
            </w:r>
          </w:p>
        </w:tc>
        <w:tc>
          <w:tcPr>
            <w:tcW w:w="5940" w:type="dxa"/>
            <w:vAlign w:val="bottom"/>
            <w:gridSpan w:val="5"/>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92</w:t>
            </w:r>
          </w:p>
        </w:tc>
        <w:tc>
          <w:tcPr>
            <w:tcW w:w="40" w:type="dxa"/>
            <w:vAlign w:val="bottom"/>
          </w:tcPr>
          <w:p>
            <w:pPr>
              <w:spacing w:after="0"/>
              <w:rPr>
                <w:sz w:val="17"/>
                <w:szCs w:val="17"/>
                <w:color w:val="auto"/>
              </w:rPr>
            </w:pPr>
          </w:p>
        </w:tc>
      </w:tr>
      <w:tr>
        <w:trPr>
          <w:trHeight w:val="513"/>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4"/>
          </w:tcPr>
          <w:p>
            <w:pPr>
              <w:ind w:left="200"/>
              <w:spacing w:after="0"/>
              <w:rPr>
                <w:sz w:val="20"/>
                <w:szCs w:val="20"/>
                <w:color w:val="auto"/>
              </w:rPr>
            </w:pPr>
            <w:r>
              <w:rPr>
                <w:rFonts w:ascii="Arial" w:cs="Arial" w:eastAsia="Arial" w:hAnsi="Arial"/>
                <w:sz w:val="16"/>
                <w:szCs w:val="16"/>
                <w:b w:val="1"/>
                <w:bCs w:val="1"/>
                <w:color w:val="auto"/>
              </w:rPr>
              <w:t>PART 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21"/>
        </w:trPr>
        <w:tc>
          <w:tcPr>
            <w:tcW w:w="20" w:type="dxa"/>
            <w:vAlign w:val="bottom"/>
          </w:tcPr>
          <w:p>
            <w:pPr>
              <w:spacing w:after="0"/>
              <w:rPr>
                <w:sz w:val="24"/>
                <w:szCs w:val="24"/>
                <w:color w:val="auto"/>
              </w:rPr>
            </w:pPr>
          </w:p>
        </w:tc>
        <w:tc>
          <w:tcPr>
            <w:tcW w:w="4180" w:type="dxa"/>
            <w:vAlign w:val="bottom"/>
            <w:gridSpan w:val="19"/>
          </w:tcPr>
          <w:p>
            <w:pPr>
              <w:spacing w:after="0"/>
              <w:rPr>
                <w:sz w:val="20"/>
                <w:szCs w:val="20"/>
                <w:color w:val="auto"/>
              </w:rPr>
            </w:pPr>
            <w:r>
              <w:rPr>
                <w:rFonts w:ascii="Arial" w:cs="Arial" w:eastAsia="Arial" w:hAnsi="Arial"/>
                <w:sz w:val="16"/>
                <w:szCs w:val="16"/>
                <w:color w:val="0000FF"/>
              </w:rPr>
              <w:t>Item 13. Defaults, Dividend Arrearages and Delinquencies</w:t>
            </w:r>
          </w:p>
        </w:tc>
        <w:tc>
          <w:tcPr>
            <w:tcW w:w="6600" w:type="dxa"/>
            <w:vAlign w:val="bottom"/>
            <w:gridSpan w:val="9"/>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gridSpan w:val="27"/>
          </w:tcPr>
          <w:p>
            <w:pPr>
              <w:spacing w:after="0"/>
              <w:rPr>
                <w:sz w:val="20"/>
                <w:szCs w:val="20"/>
                <w:color w:val="auto"/>
              </w:rPr>
            </w:pPr>
            <w:r>
              <w:rPr>
                <w:rFonts w:ascii="Arial" w:cs="Arial" w:eastAsia="Arial" w:hAnsi="Arial"/>
                <w:sz w:val="16"/>
                <w:szCs w:val="16"/>
                <w:color w:val="0000FF"/>
              </w:rPr>
              <w:t>Item 15. Controls and Procedures</w:t>
            </w:r>
          </w:p>
        </w:tc>
        <w:tc>
          <w:tcPr>
            <w:tcW w:w="466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Arial" w:cs="Arial" w:eastAsia="Arial" w:hAnsi="Arial"/>
                <w:sz w:val="16"/>
                <w:szCs w:val="16"/>
                <w:color w:val="0000FF"/>
              </w:rPr>
              <w:t>Item 16. Reserved</w:t>
            </w:r>
          </w:p>
        </w:tc>
        <w:tc>
          <w:tcPr>
            <w:tcW w:w="8380" w:type="dxa"/>
            <w:vAlign w:val="bottom"/>
            <w:gridSpan w:val="1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16A. Audit Committee Financial Expert</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gridSpan w:val="11"/>
          </w:tcPr>
          <w:p>
            <w:pPr>
              <w:spacing w:after="0"/>
              <w:rPr>
                <w:sz w:val="20"/>
                <w:szCs w:val="20"/>
                <w:color w:val="auto"/>
              </w:rPr>
            </w:pPr>
            <w:r>
              <w:rPr>
                <w:rFonts w:ascii="Arial" w:cs="Arial" w:eastAsia="Arial" w:hAnsi="Arial"/>
                <w:sz w:val="16"/>
                <w:szCs w:val="16"/>
                <w:color w:val="0000FF"/>
              </w:rPr>
              <w:t>Item 16B. Code of Ethical Conduct</w:t>
            </w:r>
          </w:p>
        </w:tc>
        <w:tc>
          <w:tcPr>
            <w:tcW w:w="640" w:type="dxa"/>
            <w:vAlign w:val="bottom"/>
            <w:gridSpan w:val="3"/>
          </w:tcPr>
          <w:p>
            <w:pPr>
              <w:spacing w:after="0"/>
              <w:rPr>
                <w:sz w:val="17"/>
                <w:szCs w:val="17"/>
                <w:color w:val="auto"/>
              </w:rPr>
            </w:pPr>
          </w:p>
        </w:tc>
        <w:tc>
          <w:tcPr>
            <w:tcW w:w="7640" w:type="dxa"/>
            <w:vAlign w:val="bottom"/>
            <w:gridSpan w:val="14"/>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gridSpan w:val="16"/>
          </w:tcPr>
          <w:p>
            <w:pPr>
              <w:spacing w:after="0"/>
              <w:rPr>
                <w:sz w:val="20"/>
                <w:szCs w:val="20"/>
                <w:color w:val="auto"/>
              </w:rPr>
            </w:pPr>
            <w:r>
              <w:rPr>
                <w:rFonts w:ascii="Arial" w:cs="Arial" w:eastAsia="Arial" w:hAnsi="Arial"/>
                <w:sz w:val="16"/>
                <w:szCs w:val="16"/>
                <w:color w:val="0000FF"/>
              </w:rPr>
              <w:t>Item 16C. Principal Accountant Fees and Services</w:t>
            </w:r>
          </w:p>
        </w:tc>
        <w:tc>
          <w:tcPr>
            <w:tcW w:w="7160" w:type="dxa"/>
            <w:vAlign w:val="bottom"/>
            <w:gridSpan w:val="1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94</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4"/>
          </w:tcPr>
          <w:p>
            <w:pPr>
              <w:spacing w:after="0"/>
              <w:rPr>
                <w:sz w:val="20"/>
                <w:szCs w:val="20"/>
                <w:color w:val="auto"/>
              </w:rPr>
            </w:pPr>
            <w:r>
              <w:rPr>
                <w:rFonts w:ascii="Arial" w:cs="Arial" w:eastAsia="Arial" w:hAnsi="Arial"/>
                <w:sz w:val="16"/>
                <w:szCs w:val="16"/>
                <w:color w:val="0000FF"/>
              </w:rPr>
              <w:t>Item 16D. Exemptions from the Listing Standards for Audit Committees</w:t>
            </w:r>
          </w:p>
        </w:tc>
        <w:tc>
          <w:tcPr>
            <w:tcW w:w="5680" w:type="dxa"/>
            <w:vAlign w:val="bottom"/>
            <w:gridSpan w:val="4"/>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94</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8"/>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6"/>
          </w:tcPr>
          <w:p>
            <w:pPr>
              <w:spacing w:after="0"/>
              <w:rPr>
                <w:sz w:val="20"/>
                <w:szCs w:val="20"/>
                <w:color w:val="auto"/>
              </w:rPr>
            </w:pPr>
            <w:r>
              <w:rPr>
                <w:rFonts w:ascii="Arial" w:cs="Arial" w:eastAsia="Arial" w:hAnsi="Arial"/>
                <w:sz w:val="16"/>
                <w:szCs w:val="16"/>
                <w:color w:val="0000FF"/>
              </w:rPr>
              <w:t>Item 16E. Purchases of Equity Securities by the Issuer and Affiliated Purchasers</w:t>
            </w:r>
          </w:p>
        </w:tc>
        <w:tc>
          <w:tcPr>
            <w:tcW w:w="5020" w:type="dxa"/>
            <w:vAlign w:val="bottom"/>
            <w:gridSpan w:val="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18"/>
          </w:tcPr>
          <w:p>
            <w:pPr>
              <w:spacing w:after="0"/>
              <w:rPr>
                <w:sz w:val="20"/>
                <w:szCs w:val="20"/>
                <w:color w:val="auto"/>
              </w:rPr>
            </w:pPr>
            <w:r>
              <w:rPr>
                <w:rFonts w:ascii="Arial" w:cs="Arial" w:eastAsia="Arial" w:hAnsi="Arial"/>
                <w:sz w:val="16"/>
                <w:szCs w:val="16"/>
                <w:color w:val="0000FF"/>
              </w:rPr>
              <w:t>Item 16F. Changes in Registrant’s Certifying Accountant</w:t>
            </w:r>
          </w:p>
        </w:tc>
        <w:tc>
          <w:tcPr>
            <w:tcW w:w="1740" w:type="dxa"/>
            <w:vAlign w:val="bottom"/>
            <w:gridSpan w:val="8"/>
          </w:tcPr>
          <w:p>
            <w:pPr>
              <w:spacing w:after="0"/>
              <w:rPr>
                <w:sz w:val="17"/>
                <w:szCs w:val="17"/>
                <w:color w:val="auto"/>
              </w:rPr>
            </w:pPr>
          </w:p>
        </w:tc>
        <w:tc>
          <w:tcPr>
            <w:tcW w:w="5020" w:type="dxa"/>
            <w:vAlign w:val="bottom"/>
            <w:gridSpan w:val="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8"/>
            <w:shd w:val="clear" w:color="auto" w:fill="0000FF"/>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18"/>
          </w:tcPr>
          <w:p>
            <w:pPr>
              <w:spacing w:after="0"/>
              <w:rPr>
                <w:sz w:val="20"/>
                <w:szCs w:val="20"/>
                <w:color w:val="auto"/>
              </w:rPr>
            </w:pPr>
            <w:r>
              <w:rPr>
                <w:rFonts w:ascii="Arial" w:cs="Arial" w:eastAsia="Arial" w:hAnsi="Arial"/>
                <w:sz w:val="16"/>
                <w:szCs w:val="16"/>
                <w:color w:val="0000FF"/>
              </w:rPr>
              <w:t>Item 16G. Corporate Governance</w:t>
            </w:r>
          </w:p>
        </w:tc>
        <w:tc>
          <w:tcPr>
            <w:tcW w:w="6760" w:type="dxa"/>
            <w:vAlign w:val="bottom"/>
            <w:gridSpan w:val="10"/>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16H. Mine Safety Disclosure</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16I. Disclosure Regarding Foreign Jurisdictions that Prevent Inspections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tcBorders>
              <w:left w:val="single" w:sz="8" w:color="0000FF"/>
            </w:tcBorders>
            <w:gridSpan w:val="15"/>
            <w:shd w:val="clear" w:color="auto" w:fill="0000FF"/>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Arial" w:cs="Arial" w:eastAsia="Arial" w:hAnsi="Arial"/>
                <w:sz w:val="16"/>
                <w:szCs w:val="16"/>
                <w:color w:val="0000FF"/>
                <w:w w:val="99"/>
              </w:rPr>
              <w:t>Item 16J. Insider Trading Policies</w:t>
            </w:r>
          </w:p>
        </w:tc>
        <w:tc>
          <w:tcPr>
            <w:tcW w:w="3140" w:type="dxa"/>
            <w:vAlign w:val="bottom"/>
            <w:gridSpan w:val="15"/>
          </w:tcPr>
          <w:p>
            <w:pPr>
              <w:spacing w:after="0"/>
              <w:rPr>
                <w:sz w:val="17"/>
                <w:szCs w:val="17"/>
                <w:color w:val="auto"/>
              </w:rPr>
            </w:pPr>
          </w:p>
        </w:tc>
        <w:tc>
          <w:tcPr>
            <w:tcW w:w="5240" w:type="dxa"/>
            <w:vAlign w:val="bottom"/>
            <w:gridSpan w:val="3"/>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Arial" w:cs="Arial" w:eastAsia="Arial" w:hAnsi="Arial"/>
                <w:sz w:val="16"/>
                <w:szCs w:val="16"/>
                <w:color w:val="0000FF"/>
              </w:rPr>
              <w:t>Item 16K. Cybersecurity</w:t>
            </w:r>
          </w:p>
        </w:tc>
        <w:tc>
          <w:tcPr>
            <w:tcW w:w="8380" w:type="dxa"/>
            <w:vAlign w:val="bottom"/>
            <w:gridSpan w:val="1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96</w:t>
            </w:r>
          </w:p>
        </w:tc>
        <w:tc>
          <w:tcPr>
            <w:tcW w:w="40" w:type="dxa"/>
            <w:vAlign w:val="bottom"/>
          </w:tcPr>
          <w:p>
            <w:pPr>
              <w:spacing w:after="0"/>
              <w:rPr>
                <w:sz w:val="17"/>
                <w:szCs w:val="17"/>
                <w:color w:val="auto"/>
              </w:rPr>
            </w:pPr>
          </w:p>
        </w:tc>
      </w:tr>
      <w:tr>
        <w:trPr>
          <w:trHeight w:val="512"/>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4"/>
          </w:tcPr>
          <w:p>
            <w:pPr>
              <w:jc w:val="center"/>
              <w:ind w:right="4680"/>
              <w:spacing w:after="0"/>
              <w:rPr>
                <w:sz w:val="20"/>
                <w:szCs w:val="20"/>
                <w:color w:val="auto"/>
              </w:rPr>
            </w:pPr>
            <w:r>
              <w:rPr>
                <w:rFonts w:ascii="Arial" w:cs="Arial" w:eastAsia="Arial" w:hAnsi="Arial"/>
                <w:sz w:val="16"/>
                <w:szCs w:val="16"/>
                <w:b w:val="1"/>
                <w:bCs w:val="1"/>
                <w:color w:val="auto"/>
                <w:w w:val="97"/>
              </w:rPr>
              <w:t>PART III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17. Financial Statements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8"/>
          </w:tcPr>
          <w:p>
            <w:pPr>
              <w:spacing w:after="0"/>
              <w:rPr>
                <w:sz w:val="20"/>
                <w:szCs w:val="20"/>
                <w:color w:val="auto"/>
              </w:rPr>
            </w:pPr>
            <w:r>
              <w:rPr>
                <w:rFonts w:ascii="Arial" w:cs="Arial" w:eastAsia="Arial" w:hAnsi="Arial"/>
                <w:sz w:val="16"/>
                <w:szCs w:val="16"/>
                <w:color w:val="0000FF"/>
              </w:rPr>
              <w:t>Item 18. Financial Statements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gridSpan w:val="9"/>
          </w:tcPr>
          <w:p>
            <w:pPr>
              <w:spacing w:after="0"/>
              <w:rPr>
                <w:sz w:val="20"/>
                <w:szCs w:val="20"/>
                <w:color w:val="auto"/>
              </w:rPr>
            </w:pPr>
            <w:r>
              <w:rPr>
                <w:rFonts w:ascii="Arial" w:cs="Arial" w:eastAsia="Arial" w:hAnsi="Arial"/>
                <w:sz w:val="16"/>
                <w:szCs w:val="16"/>
                <w:color w:val="0000FF"/>
              </w:rPr>
              <w:t>Item 19. Exhibits</w:t>
            </w:r>
          </w:p>
        </w:tc>
        <w:tc>
          <w:tcPr>
            <w:tcW w:w="8640" w:type="dxa"/>
            <w:vAlign w:val="bottom"/>
            <w:gridSpan w:val="19"/>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150</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Signatures</w:t>
            </w:r>
          </w:p>
        </w:tc>
        <w:tc>
          <w:tcPr>
            <w:tcW w:w="958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151</w:t>
            </w:r>
          </w:p>
        </w:tc>
        <w:tc>
          <w:tcPr>
            <w:tcW w:w="40" w:type="dxa"/>
            <w:vAlign w:val="bottom"/>
          </w:tcPr>
          <w:p>
            <w:pPr>
              <w:spacing w:after="0"/>
              <w:rPr>
                <w:sz w:val="17"/>
                <w:szCs w:val="17"/>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 Information</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As used herein, “ICON plc”, “ICON”, "ICON Group", the “Company” and “we”, "our" or “us” refer to ICON public limited company and its consolidated subsidiaries, unless the context requires otherwise.</w:t>
      </w:r>
    </w:p>
    <w:p>
      <w:pPr>
        <w:spacing w:after="0" w:line="16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this Form 20-F, references to "U.S. dollars", "U.S.$" or "$" are to the lawful currency of the United States, references to “euro” or “€” are to the European single currency adopted by nineteen members of the European Union, references to "pound sterling", "sterling", "£", "pence" or "p" are to the lawful currency of the United Kingdom. ICON publishes its consolidated financial statements in U.S. dollars.</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Acquisition" and "the Merger"). Upon completion of the Acquisition, PRA and its subsidiaries became wholly owned subsidiaries within the ICON Group. The financial information presented in this Form 20-F reflect the results of the combined Company for the years ended December 31, 2023 and 2022. The financial information presented for the year ended December 31, 2021 is as previously reported and does not reflect the pre-Merger results of PRA before July 1, 2021, other than where clearly stated and required by GAAP.</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“Risk Factors” included on pages 3 through 21. The Company has no obligation under the PSLRA to update any forward looking statements and does not intend to do so.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Part 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Identity of Directors, Senior Management and Advisers.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Offer Statistics and Expected Timetable.</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r>
        <w:rPr>
          <w:rFonts w:ascii="Arial" w:cs="Arial" w:eastAsia="Arial" w:hAnsi="Arial"/>
          <w:sz w:val="16"/>
          <w:szCs w:val="16"/>
          <w:b w:val="1"/>
          <w:bCs w:val="1"/>
          <w:i w:val="1"/>
          <w:iCs w:val="1"/>
          <w:color w:val="auto"/>
        </w:rPr>
        <w:t>. Key Information.</w:t>
      </w:r>
    </w:p>
    <w:p>
      <w:pPr>
        <w:spacing w:after="0" w:line="2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261"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capitalization as of December 31, 2023 and December 31, 2022:</w:t>
      </w:r>
    </w:p>
    <w:p>
      <w:pPr>
        <w:spacing w:after="0" w:line="289"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December 31, 2023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Borders>
              <w:top w:val="single" w:sz="8" w:color="auto"/>
            </w:tcBorders>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3,806,213</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4,701,213</w:t>
            </w:r>
          </w:p>
        </w:tc>
      </w:tr>
      <w:tr>
        <w:trPr>
          <w:trHeight w:val="21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2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(30,624)</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w:t>
            </w:r>
          </w:p>
        </w:tc>
      </w:tr>
      <w:tr>
        <w:trPr>
          <w:trHeight w:val="235"/>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2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3,775,589</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4,654,187</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2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6,942,669</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6,840,306</w:t>
            </w: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undenominated capital</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(143,506)</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(171,538)</w:t>
            </w:r>
          </w:p>
        </w:tc>
      </w:tr>
      <w:tr>
        <w:trPr>
          <w:trHeight w:val="216"/>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r>
      <w:tr>
        <w:trPr>
          <w:trHeight w:val="21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2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9,240,743</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8,497,963</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700" w:type="dxa"/>
            <w:vAlign w:val="bottom"/>
            <w:tcBorders>
              <w:bottom w:val="single" w:sz="8" w:color="auto"/>
            </w:tcBorders>
            <w:shd w:val="clear" w:color="auto" w:fill="CCEEFF"/>
          </w:tcPr>
          <w:p>
            <w:pPr>
              <w:spacing w:after="0"/>
              <w:rPr>
                <w:sz w:val="20"/>
                <w:szCs w:val="20"/>
                <w:color w:val="auto"/>
              </w:rPr>
            </w:pPr>
          </w:p>
        </w:tc>
        <w:tc>
          <w:tcPr>
            <w:tcW w:w="28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1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Capitalization</w:t>
            </w:r>
          </w:p>
        </w:tc>
        <w:tc>
          <w:tcPr>
            <w:tcW w:w="2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13,016,332</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13,152,150</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In conjunction with the completion of the merger, ICON entered into a credit agreement providing for a senior secured term loan facility of $5,515 million and a senior secured revolving loan facility in an initial aggregate principal amount of $300 million (the "Senior Secured Credit Facilities"). As of December 31, 2023, $2,264 million of the senior secured term loan facility has been repaid from cash generated by the Company in the period since the completion of the Merger. In addition to the Senior Secured Credit Facilities, the Company, issued $500 million in aggregate principal amount of 2.875% senior secured notes in a private offering ("Senior Secured Notes"). On May 2, 2023, the Company agreed with its lenders to increase the aggregate principal amount of the senior secured revolving loan facility from $300 million to $500 million. As at December 31, 2023, $445.0 million remained undrawn under the senior secured revolving loan facility.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Risk Factors</w:t>
      </w:r>
    </w:p>
    <w:p>
      <w:pPr>
        <w:spacing w:after="0" w:line="262" w:lineRule="exact"/>
        <w:rPr>
          <w:sz w:val="20"/>
          <w:szCs w:val="20"/>
          <w:color w:val="auto"/>
        </w:rPr>
      </w:pPr>
    </w:p>
    <w:p>
      <w:pPr>
        <w:jc w:val="both"/>
        <w:ind w:right="20" w:firstLine="282"/>
        <w:spacing w:after="0" w:line="286" w:lineRule="auto"/>
        <w:rPr>
          <w:sz w:val="20"/>
          <w:szCs w:val="20"/>
          <w:color w:val="auto"/>
        </w:rPr>
      </w:pPr>
      <w:r>
        <w:rPr>
          <w:rFonts w:ascii="Arial" w:cs="Arial" w:eastAsia="Arial" w:hAnsi="Arial"/>
          <w:sz w:val="16"/>
          <w:szCs w:val="16"/>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Summary of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some of the principal risks that could adversely affect our business, operations and financial results: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loss or delay of our large contracts, or of multiple contracts, could adversely affect our results.</w:t>
      </w:r>
    </w:p>
    <w:p>
      <w:pPr>
        <w:spacing w:after="0" w:line="30"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a limited number of customers and a loss of, or significant decrease in, business from one or more of them could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inability of biotechnology customers to raise adequate financing or funding could affect our business.</w:t>
      </w:r>
    </w:p>
    <w:p>
      <w:pPr>
        <w:spacing w:after="0" w:line="14"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financial results may be adversely impacted if we underprice our contracts, overrun our cost estimates or fail to receive approval for, or experience delays in, documenting change orders.</w:t>
      </w:r>
    </w:p>
    <w:p>
      <w:pPr>
        <w:ind w:left="660" w:right="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successfully develop and market new services or enter new markets, our growth, results of operations or financial condition could be adversely affected.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fail to attract or retain key personnel, our performance may suffer.</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face challenges retaining employees which could cause disruption to our integration plans and day-to-day activities which may result in additional costs to the business.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the ability to recruit suitable willing patients.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our ability to recruit suitable willing investigators.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Climate change, extreme weather events, earthquakes and other natural disasters could adversely affect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disease outbreak, epidemic or pandemic, such as COVID-19, could adversely affect our business performance.</w:t>
      </w:r>
    </w:p>
    <w:p>
      <w:pPr>
        <w:spacing w:after="0" w:line="14"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ind w:left="6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Upgrading the information systems that support our operating processes and evolving the technology platform for our services pose risks to our business.</w:t>
      </w:r>
    </w:p>
    <w:p>
      <w:pPr>
        <w:spacing w:after="0" w:line="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meet productivity objectives under our business improvement objectives could adversely impact our competitiveness and therefore our operating results.</w:t>
      </w:r>
    </w:p>
    <w:p>
      <w:pPr>
        <w:ind w:left="6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our interactive response technologies to provide accurate information regarding the randomization of patients and the dosage required for patients enrolled in the trials.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failure to identify and successfully close and integrate strategic acquisition targets could adversely impact our ongoing business and financial results.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Improper performance of our services could adversely impact our reputation and our financial results.</w:t>
      </w:r>
    </w:p>
    <w:p>
      <w:pPr>
        <w:spacing w:after="0" w:line="14" w:lineRule="exact"/>
        <w:rPr>
          <w:rFonts w:ascii="Arial" w:cs="Arial" w:eastAsia="Arial" w:hAnsi="Arial"/>
          <w:sz w:val="16"/>
          <w:szCs w:val="16"/>
          <w:color w:val="auto"/>
        </w:rPr>
      </w:pPr>
    </w:p>
    <w:p>
      <w:pPr>
        <w:ind w:left="660" w:right="2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only a limited ability to protect our intellectual property rights and these rights are important to our success.</w:t>
      </w:r>
    </w:p>
    <w:p>
      <w:pPr>
        <w:spacing w:after="0" w:line="14"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biopharmaceutical industry has a history of patent and other intellectual property litigation and we might be involved in costly intellectual property lawsuits.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jc w:val="both"/>
        <w:ind w:left="6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ind w:left="660" w:hanging="328"/>
        <w:spacing w:after="0" w:line="28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62" w:lineRule="exact"/>
        <w:rPr>
          <w:sz w:val="20"/>
          <w:szCs w:val="20"/>
          <w:color w:val="auto"/>
        </w:rPr>
      </w:pPr>
    </w:p>
    <w:p>
      <w:pPr>
        <w:ind w:left="660" w:hanging="328"/>
        <w:spacing w:after="0" w:line="25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Outsourcing trends in the pharmaceutical, biotechnology and medical device industries and changes in spending on research and development could adversely affect our operating results and growth rates.</w:t>
      </w:r>
    </w:p>
    <w:p>
      <w:pPr>
        <w:spacing w:after="0" w:line="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Large pharmaceutical companies are increasingly consolidating their vendor base and entering strategic partnership arrangements with a limited number of outsource providers.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collaboration amongst pharmaceutical companies in research and development activities may lead to fewer research opportunities.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operate in a highly competitive and dynamic market.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adversely affected by industry, customer or therapeutic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48" w:lineRule="exact"/>
        <w:rPr>
          <w:sz w:val="20"/>
          <w:szCs w:val="20"/>
          <w:color w:val="auto"/>
        </w:rPr>
      </w:pPr>
    </w:p>
    <w:p>
      <w:pPr>
        <w:ind w:left="660" w:right="2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exposure to exchange rate fluctuations could adversely affect our future results of operations.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Inflation and rising labor costs could adversely affect our future results of operations.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effective tax rate may fluctuate from quarter-to-quarter, which may adversely affect 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unsatisfied performance obligation may not convert to revenue and the rate of conversion may slow.</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exposed to various risks in relation to our cash and cash equivalents and short term investments.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accounting standards may adversely affect our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48" w:lineRule="exact"/>
        <w:rPr>
          <w:sz w:val="20"/>
          <w:szCs w:val="20"/>
          <w:color w:val="auto"/>
        </w:rPr>
      </w:pPr>
    </w:p>
    <w:p>
      <w:pPr>
        <w:ind w:left="660" w:right="20" w:hanging="328"/>
        <w:spacing w:after="0" w:line="26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ind w:left="660" w:hanging="328"/>
        <w:spacing w:after="0" w:line="24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ind w:left="660" w:hanging="328"/>
        <w:spacing w:after="0" w:line="28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62"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lose business opportunities as a result of health care reform and the expansion of managed care organizations.</w:t>
      </w:r>
    </w:p>
    <w:p>
      <w:pPr>
        <w:spacing w:after="0" w:line="21" w:lineRule="exact"/>
        <w:rPr>
          <w:rFonts w:ascii="Arial" w:cs="Arial" w:eastAsia="Arial" w:hAnsi="Arial"/>
          <w:sz w:val="16"/>
          <w:szCs w:val="16"/>
          <w:color w:val="auto"/>
        </w:rPr>
      </w:pPr>
    </w:p>
    <w:p>
      <w:pPr>
        <w:ind w:left="66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Healthcare reform legislation, other changes in the healthcare industry and in healthcare spending could adversely affect our business model, financial condition or results of operations.</w:t>
      </w:r>
    </w:p>
    <w:p>
      <w:pPr>
        <w:spacing w:after="0" w:line="1"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international operations expose us to risks as a result of changes in global political conditions which could adversely affect our results of operations.</w:t>
      </w: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lose business as a result of changes in the regulatory environment.</w:t>
      </w:r>
    </w:p>
    <w:p>
      <w:pPr>
        <w:spacing w:after="0" w:line="8" w:lineRule="exact"/>
        <w:rPr>
          <w:rFonts w:ascii="Arial" w:cs="Arial" w:eastAsia="Arial" w:hAnsi="Arial"/>
          <w:sz w:val="16"/>
          <w:szCs w:val="16"/>
          <w:color w:val="auto"/>
        </w:rPr>
      </w:pPr>
    </w:p>
    <w:p>
      <w:pPr>
        <w:ind w:left="66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comply with the regulations and requirements of the U.S. Food and Drug Administration and other regulatory authorities could result in substantial penalties and/or loss of business.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subject to political, regulatory, operational and legal risks associated with our international operations.</w:t>
      </w:r>
    </w:p>
    <w:p>
      <w:pPr>
        <w:spacing w:after="0" w:line="8"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ind w:left="66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Current and proposed laws and regulations regarding the protection of personal data could result in increased risks of liability or increased costs to us or could limit our service offerings.</w:t>
      </w:r>
    </w:p>
    <w:p>
      <w:pPr>
        <w:ind w:left="66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including noncompliance with regulatory standards and requirements, which could have a material adverse effect on our business.</w:t>
      </w:r>
    </w:p>
    <w:p>
      <w:pPr>
        <w:ind w:left="660" w:right="2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Liability claims brought against us could result in payment of substantial damages, costs and liabilities and decrease our profitability.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Environmental, social and governance matters may impact our business and reputation.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62"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Volatility in the market price of our common stock could lead to losses by investors.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investor's return may be reduced if we lose our foreign private issuer status.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expect to pay any cash dividends for the foreseeable future.</w:t>
      </w:r>
    </w:p>
    <w:p>
      <w:pPr>
        <w:spacing w:after="0" w:line="8"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future transfer of ICON ordinary shares, other than one effected by means of the transfer of book entry interests in the Depositary Trust Company ("DTC"), may be subject to Irish stamp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potential loss or delay of our large contracts, or of multiple contracts, could adversely affect our results.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3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enrollment or investigator recruitment;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20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12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While no customers individually contributed more than 10% of our revenues during the years ended December 31, 2023 and December 31, 2022, our top five customers represented 26.8% and 28.3% of our revenues, respectively. The loss of, or a significant decrease in, business from one or more of these key customers could have a material adverse impact on our results of operations and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of biotechnology customers to raise adequate financing or funding could affect our business.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successfully develop and market new services or enter new markets, our growth, results of operations or financial condition could be adversely affected.</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or retain key personnel, our performance may suffer.</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face challenges retaining employees which could cause disruption to our integration plans and day-to-day activities, which may result in additional costs to the business.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attraction, development and retention of our talent is critical to the success of the Company, and we continue to strengthen processes around these areas to minimize retention risk.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is focused on continuing to develop its expertise in patient recruitment with the establishment in 2020 of Accellacare, a global clinical research network, offering patients easier and faster access to innovative treatments and offering customers the option to deploy decentralized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Improved site selection is achieved through:</w:t>
      </w:r>
    </w:p>
    <w:p>
      <w:pPr>
        <w:spacing w:after="0" w:line="24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leading technology to identify where the patients are that match the protocol;</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assessment of the qualification of sites based on real data;</w:t>
      </w:r>
    </w:p>
    <w:p>
      <w:pPr>
        <w:spacing w:after="0" w:line="8"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6"/>
          <w:szCs w:val="16"/>
          <w:color w:val="auto"/>
        </w:rPr>
        <w:t>The burden on the site, in ensuring patient enrollment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ICON announced the launch of Accellacare, a global clinical research network offering patients easier and faster access to innovative treatments and offering customers the option to deploy decentralized trials. The site network includes previously acquired PMG Research, MeDiNova and CRN. Also in 2020, we entered into an agreement to jointly establish a new company, Oncacare Limited ("Oncacare"), with a third party. Oncacare operates as a specialized oncology site network in the US and EMEA regions. This site network is focused on implementing a range of commercial models with specialist oncology healthcare providers in the US and EMEA, to accelerate the recruitment and retention of patients into oncology trials. The oncology site network was operated as a joint venture between the Company and a third party until April 2023, at which point the Company acquired the third party's interest in Oncacare such that Oncacare became a wholly-owned subsidiary of the Company. We also use digital solutions to drive site performance, including pre-screening, eConsent, learning management, document tracking and management with key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extreme weather events, earthquakes and other natural disasters could adversely affect our business.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disease outbreak, epidemic or pandemic, such as COVID-19, could adversely affect our business performance.</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 COVID-19 has affected, and may continue to affect, our business performance and could adversely affect the economies and financial markets worldwide, resulting in an economic downturn that could impact our business, financial condition and results of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9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disruption or failure of data centers, telecommunications facilities or other key infrastructure platforms;</w:t>
      </w:r>
    </w:p>
    <w:p>
      <w:pPr>
        <w:spacing w:after="0" w:line="30"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breaches, cyber attacks or other failures or malfunctions in our application or information systems or their associated hardware or other systems that we have access to, or that we rely upon, or that have access to our systems;</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breaches, cyber attacks or malfunctions with key suppliers or partners who we rely on to provide services to customers;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ind w:firstLine="648"/>
        <w:spacing w:after="0" w:line="275"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addition, as Artificial Intelligence (“AI”) powered cyber threats evolve, our cybersecurity program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organization against emerging threats.</w:t>
      </w:r>
    </w:p>
    <w:p>
      <w:pPr>
        <w:spacing w:after="0" w:line="1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While we have cybersecurity controls and disaster recovery plans in place, they might not adequately protect us in the event of a system failure, security breach or cyber attack. To date, no cyber attacks have had a material impact on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 attacks and other related breaches.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also face cybersecurity risks due to our reliance on hybrid work arrangements, which could create additional opportunities for cybercriminals to exploit vulnerabilities.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Upgrading the information systems that support our operating processes and evolving the technology platform for our services pose risks to our business.</w:t>
      </w:r>
    </w:p>
    <w:p>
      <w:pPr>
        <w:spacing w:after="0" w:line="1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To remain competitive within our industry and keep pace with the rapid evolution of the technological landscape, it is critical that we continue to innovate and expand the capabilities of our current technologies. This applies in particular to our ICONIK, Firecrest, ADDPLAN, Integrated Dataverse (IDV®) and One Search services. Also, increased requirements for investment in information technology may negatively impact our financial condition, including profitability.</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Failure to meet productivity objectives under our business improvement objectives could adversely impact our competitiveness and therefore our operating results.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ind w:right="20"/>
        <w:spacing w:after="0" w:line="286" w:lineRule="auto"/>
        <w:rPr>
          <w:sz w:val="20"/>
          <w:szCs w:val="20"/>
          <w:color w:val="auto"/>
        </w:rPr>
      </w:pPr>
      <w:r>
        <w:rPr>
          <w:rFonts w:ascii="Arial" w:cs="Arial" w:eastAsia="Arial" w:hAnsi="Arial"/>
          <w:sz w:val="16"/>
          <w:szCs w:val="16"/>
          <w:color w:val="auto"/>
        </w:rPr>
        <w:t>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A failure to identify and successfully close and integrate strategic acquisition targets could adversely impact our ongoing business and financial results.</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7"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minimize the diversion of management's attention from other business concerns.</w:t>
      </w:r>
    </w:p>
    <w:p>
      <w:pPr>
        <w:spacing w:after="0" w:line="23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performance of our services could adversely impact our reputation and our financial results.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00" w:lineRule="exact"/>
        <w:rPr>
          <w:sz w:val="20"/>
          <w:szCs w:val="20"/>
          <w:color w:val="auto"/>
        </w:rPr>
      </w:pP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biopharmaceutical industry has a history of patent and other intellectual property litigation and we might be involved in costly intellectual property lawsuits.</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00" w:lineRule="exact"/>
        <w:rPr>
          <w:sz w:val="20"/>
          <w:szCs w:val="20"/>
          <w:color w:val="auto"/>
        </w:rPr>
      </w:pP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act as authorized representative pursuant to Medical Devices Directive 93/42/EEC (“MDD”), Medical Devices Regulation 2017/745 (“MDR”) and Active Implantable Medical Devices Directive 90/385/EEC (“AIMD”) for certain clients who are located outside of the European Union. As authorized representative, we act on behalf of medical device manufacturers in relation to specified tasks with regard to their obligations under MDR.</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also act as legal representative pursuant to European Clinical Trials Directive (2021/20/EC) (“CTD”), EU Clinical Trials Regulation (No.536/2014) (“CTR”), MDD, MDR and AIMD,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clients may be adversely impacted, which could have a material adverse effect on our business, results of operations, financial condition or cash flow.</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99" w:lineRule="exact"/>
        <w:rPr>
          <w:sz w:val="20"/>
          <w:szCs w:val="20"/>
          <w:color w:val="auto"/>
        </w:rPr>
      </w:pPr>
    </w:p>
    <w:p>
      <w:pPr>
        <w:ind w:left="660" w:hanging="328"/>
        <w:spacing w:after="0" w:line="26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utilize our services;</w:t>
      </w:r>
    </w:p>
    <w:p>
      <w:pPr>
        <w:spacing w:after="0" w:line="1"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unfavorable economic conditions or disruptions in the credit and capital markets negatively impacted our clients.</w:t>
      </w:r>
    </w:p>
    <w:p>
      <w:pPr>
        <w:spacing w:after="0" w:line="2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could have a material adverse impact on our results.</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industry, customer or therapeutic concentration.</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20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future results of operations.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and rising labor costs could adversely affect our future results of operations.</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Inflation and rising labor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 to our customers. A sustained increase in these costs may require us to increase the price of future service offerings. These actions could adversely affect our future revenue, gross margin, or both.</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quarter-to-quarter, which may adversely affect our results of operations.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terms of recent legislative changes which could potentially impact our effective tax rate, on August 16, 2022, the U.S. government enacted the Inflation Reduction Act of 2022 ("IRA"). The IRA introduced a 15% minimum tax on book income of certain large corporations, a 1% excise tax on net stock repurchases, and several tax incentives to promote clean energy, with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those tax changes becoming effective in 2023. While these changes did not have any impact on the Company for the year ended December 31, 2023, we are continuing to monitor any potential future tax impacts in this regard.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terms of a global minimum tax rate, the Organization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December 31,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recently implemented global minimum tax legislation which will apply from 2024. The global tax environment is becoming increasingly complex and management continues to review the impact of a global minimum tax on the Company’s financial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unsatisfied performance obligation may not convert to revenue and the rate of conversion may slow.</w:t>
      </w:r>
    </w:p>
    <w:p>
      <w:pPr>
        <w:spacing w:after="0" w:line="2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212" w:lineRule="exact"/>
        <w:rPr>
          <w:sz w:val="20"/>
          <w:szCs w:val="20"/>
          <w:color w:val="auto"/>
        </w:rPr>
      </w:pPr>
    </w:p>
    <w:p>
      <w:pPr>
        <w:jc w:val="both"/>
        <w:ind w:firstLine="269"/>
        <w:spacing w:after="0" w:line="266" w:lineRule="auto"/>
        <w:rPr>
          <w:sz w:val="20"/>
          <w:szCs w:val="20"/>
          <w:color w:val="auto"/>
        </w:rPr>
      </w:pPr>
      <w:r>
        <w:rPr>
          <w:rFonts w:ascii="Arial" w:cs="Arial" w:eastAsia="Arial" w:hAnsi="Arial"/>
          <w:sz w:val="16"/>
          <w:szCs w:val="16"/>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may adversely affect our financial statements.</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incurred substantial additional indebtedness in connection with the Merger, which could impair our flexibility and access to capital and could adversely affect the Company’s business, financial condition or results of operations.</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Following completion of the Merger and the other transactions contemplated by the Merger Agreement, the Company has a substantial amount of debt. ICON borrowed approximately $6,015.0 million in order to pay PRA stockholders the cash consideration due to them as merger consideration under the Merger Agreement, pay related fees and transaction costs in connection with the transactions, and refinance existing indebtedness. The total remaining transaction related debt balance at December 31, 2023 was $3,751.2 million. 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line="294" w:lineRule="auto"/>
        <w:rPr>
          <w:sz w:val="20"/>
          <w:szCs w:val="20"/>
          <w:color w:val="auto"/>
        </w:rPr>
      </w:pPr>
      <w:r>
        <w:rPr>
          <w:rFonts w:ascii="Arial" w:cs="Arial" w:eastAsia="Arial" w:hAnsi="Arial"/>
          <w:sz w:val="16"/>
          <w:szCs w:val="16"/>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Senior Secured Credit Facilities and the indenture include certain customary covenants that limit our ability to, amongst other things, subject to certain exceptions:</w:t>
      </w:r>
    </w:p>
    <w:p>
      <w:pPr>
        <w:spacing w:after="0" w:line="20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make dividends, investments and other restricted payments;</w:t>
      </w:r>
    </w:p>
    <w:p>
      <w:pPr>
        <w:spacing w:after="0" w:line="12" w:lineRule="exact"/>
        <w:rPr>
          <w:rFonts w:ascii="Arial" w:cs="Arial" w:eastAsia="Arial" w:hAnsi="Arial"/>
          <w:sz w:val="20"/>
          <w:szCs w:val="20"/>
          <w:color w:val="auto"/>
        </w:rPr>
      </w:pPr>
    </w:p>
    <w:p>
      <w:pPr>
        <w:ind w:left="640" w:hanging="308"/>
        <w:spacing w:after="0" w:line="226"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sale and leaseback transactions;</w:t>
      </w:r>
    </w:p>
    <w:p>
      <w:pPr>
        <w:spacing w:after="0" w:line="12"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engage in share buybacks;</w:t>
      </w:r>
    </w:p>
    <w:p>
      <w:pPr>
        <w:spacing w:after="0" w:line="20" w:lineRule="exact"/>
        <w:rPr>
          <w:rFonts w:ascii="Arial" w:cs="Arial" w:eastAsia="Arial" w:hAnsi="Arial"/>
          <w:sz w:val="16"/>
          <w:szCs w:val="16"/>
          <w:color w:val="auto"/>
        </w:rPr>
      </w:pPr>
    </w:p>
    <w:p>
      <w:pPr>
        <w:ind w:left="640" w:hanging="308"/>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incur or assume liens or additional debt;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engage in mergers or reorganizations; or</w:t>
      </w:r>
    </w:p>
    <w:p>
      <w:pPr>
        <w:spacing w:after="0" w:line="12" w:lineRule="exact"/>
        <w:rPr>
          <w:rFonts w:ascii="Arial" w:cs="Arial" w:eastAsia="Arial" w:hAnsi="Arial"/>
          <w:sz w:val="20"/>
          <w:szCs w:val="20"/>
          <w:color w:val="auto"/>
        </w:rPr>
      </w:pPr>
    </w:p>
    <w:p>
      <w:pPr>
        <w:ind w:left="640" w:hanging="308"/>
        <w:spacing w:after="0" w:line="226"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certain types of transactions with affiliates.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2023, ICON notified the holders of the Senior Secured Notes of the upgrade of the instrument rating to investment grade and the consequent suspension of certain of the covenants under the Indenture. The suspension of these covenants remains in place so long as the instrument remains at investment grade.</w:t>
      </w:r>
    </w:p>
    <w:p>
      <w:pPr>
        <w:spacing w:after="0" w:line="19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original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20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At December 31, 2023, $55.0 million was outstanding under the revolving loan facility while there was also $3.7 million (December 31, 2022: $4.5 million) in letters of credit given to landlords to guarantee lease arrangements.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Because the Company has variable rate debt, fluctuations in interest rates affect our business. We attempt to minimize interest rate risk and lower our overall borrowing costs through the utilization of interest rate cap and interest rate swap derivative financial instruments. We have entered into certain interest rate cap and interest rate swap agreements with three financial institutions with respect to a portion of our outstanding debt. Accordingly, any change in market value associated with these agreements may be offset by the opposite market impact on the portion of the debt covered by such agreements. See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14 - Derivatives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healthcare reform and the expansion of managed care organizations.</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addition to healthcare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previously noted, on August 16, 2022, the U.S. government enacted the IRA, which among other things, authorizes the U.S. Department of Health and Human Services to establish prices for certain single-source drugs and biologics within the Medicare program, commencing in 2026. Furthermore, the IRA contains provisions which impose rebate obligations on manufacturers if price increases outpace inflation. While the full impact of these IRA provisions on our customers in the biopharmaceutical industry remains somewhat uncertain, any resultant pressure on our customers’ operating results could lead to a reduction in research and development spend and related outsourcing activities, which could have an adverse impact on our operating results and financial condition.</w:t>
      </w:r>
    </w:p>
    <w:p>
      <w:pPr>
        <w:spacing w:after="0" w:line="200" w:lineRule="exact"/>
        <w:rPr>
          <w:sz w:val="20"/>
          <w:szCs w:val="20"/>
          <w:color w:val="auto"/>
        </w:rPr>
      </w:pP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international operations expose us to risks as a result of changes in global political conditions which could adversely affect our results of operations.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20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We continue to monitor developments in Israel and the conflict area in the Middle East. Further broadening or escalation of the conflict, or the imposition of international economic sanctions, could adversely affect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6"/>
          <w:szCs w:val="16"/>
          <w:b w:val="1"/>
          <w:bCs w:val="1"/>
          <w:color w:val="auto"/>
        </w:rPr>
        <w:t>.</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If we or vendors we engage fail to comply with any of these requirements we could suffer some or all of:</w:t>
      </w:r>
    </w:p>
    <w:p>
      <w:pPr>
        <w:spacing w:after="0" w:line="11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30"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penalties;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enforcement actions including debarment from government contracts;</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8" w:lineRule="exact"/>
        <w:rPr>
          <w:rFonts w:ascii="Arial" w:cs="Arial" w:eastAsia="Arial" w:hAnsi="Arial"/>
          <w:sz w:val="16"/>
          <w:szCs w:val="16"/>
          <w:color w:val="auto"/>
        </w:rPr>
      </w:pPr>
    </w:p>
    <w:p>
      <w:pPr>
        <w:ind w:left="1300" w:hanging="320"/>
        <w:spacing w:after="0" w:line="283"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materialize, our results of operations and financial condition could be materially adversely affected.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2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FCPA, UK Bribery Act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ind w:firstLine="648"/>
        <w:spacing w:after="0" w:line="256" w:lineRule="auto"/>
        <w:rPr>
          <w:sz w:val="20"/>
          <w:szCs w:val="20"/>
          <w:color w:val="auto"/>
        </w:rPr>
      </w:pPr>
      <w:r>
        <w:rPr>
          <w:rFonts w:ascii="Arial" w:cs="Arial" w:eastAsia="Arial" w:hAnsi="Arial"/>
          <w:sz w:val="16"/>
          <w:szCs w:val="16"/>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recent increase in economic sanctions and trade controls, particularly relating to our ongoing operations in Russia, Ukraine and Belarus, has increased the amount of resources necessary to ensure compliance in this area.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u w:val="single" w:color="auto"/>
          <w:color w:val="auto"/>
        </w:rPr>
        <w:t>Administrative fines</w:t>
      </w:r>
      <w:r>
        <w:rPr>
          <w:rFonts w:ascii="Arial" w:cs="Arial" w:eastAsia="Arial" w:hAnsi="Arial"/>
          <w:sz w:val="16"/>
          <w:szCs w:val="16"/>
          <w:color w:val="auto"/>
          <w:highlight w:val="white"/>
        </w:rPr>
        <w:t>. The GDPR introduced a new regime of administrative fines for data protection infringements and provided for a tiered penalty</w:t>
      </w:r>
      <w:r>
        <w:rPr>
          <w:rFonts w:ascii="Arial" w:cs="Arial" w:eastAsia="Arial" w:hAnsi="Arial"/>
          <w:sz w:val="16"/>
          <w:szCs w:val="16"/>
          <w:color w:val="auto"/>
        </w:rPr>
        <w:t xml:space="preserve"> structure based on the nature of the infringement. The EU supervisory authorities for the GDPR can directly impose fines on organizations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u w:val="single" w:color="auto"/>
          <w:color w:val="auto"/>
        </w:rPr>
        <w:t>Penalties</w:t>
      </w:r>
      <w:r>
        <w:rPr>
          <w:rFonts w:ascii="Arial" w:cs="Arial" w:eastAsia="Arial" w:hAnsi="Arial"/>
          <w:sz w:val="16"/>
          <w:szCs w:val="16"/>
          <w:color w:val="auto"/>
          <w:highlight w:val="white"/>
        </w:rPr>
        <w:t>. The GDPR also permits Member States to implement rules on other penalties applicable to infringements of the GDPR, in particular, for</w:t>
      </w:r>
      <w:r>
        <w:rPr>
          <w:rFonts w:ascii="Arial" w:cs="Arial" w:eastAsia="Arial" w:hAnsi="Arial"/>
          <w:sz w:val="16"/>
          <w:szCs w:val="16"/>
          <w:color w:val="auto"/>
        </w:rPr>
        <w:t xml:space="preserve"> infringements which are not subject to administrative fines under the GDPR itself. Therefore, Member States may legislate for further fines or penalties that may be criminal in nature.</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u w:val="single" w:color="auto"/>
          <w:color w:val="auto"/>
        </w:rPr>
        <w:t>Right to compensation of data subjects</w:t>
      </w:r>
      <w:r>
        <w:rPr>
          <w:rFonts w:ascii="Arial" w:cs="Arial" w:eastAsia="Arial" w:hAnsi="Arial"/>
          <w:sz w:val="16"/>
          <w:szCs w:val="16"/>
          <w:color w:val="auto"/>
        </w:rPr>
        <w:t>.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u w:val="single" w:color="auto"/>
          <w:color w:val="auto"/>
        </w:rPr>
        <w:t>Corrective Powers of the supervisory authorities.</w:t>
      </w:r>
      <w:r>
        <w:rPr>
          <w:rFonts w:ascii="Arial" w:cs="Arial" w:eastAsia="Arial" w:hAnsi="Arial"/>
          <w:sz w:val="16"/>
          <w:szCs w:val="16"/>
          <w:color w:val="auto"/>
        </w:rPr>
        <w:t xml:space="preserve"> Each supervisory authority across the Member States of the EU also has corrective powers. Supervisory authorities have the power to order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organization.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712343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3511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6"/>
          <w:szCs w:val="16"/>
          <w:color w:val="auto"/>
        </w:rPr>
        <w:t>From a US perspective, 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HIPAA specifies standards for de-identifications and for limited data sets. We are both directly and indirectly affected by the privacy provisions surrounding individual authorizations because many investigators and organizations with whom we are involved in clinical trials and in our other services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to the covered entity contractually for mishandling protected health information and, under HIPAA’s enforcement scheme, we can be subject to up to $1.9 million per year in civil money penalties for identical HIPAA violations. The per violation penalties and calendar year cap on penalties are adjusted annually for inflation under the Federal Civil Penalties Inflation Adjustment Act.</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organizations processing that personal data. As a global organization, ICON must ensure that our privacy posture continues to adapt to these new laws and regulations.</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We may face legal claims involving stockholders, consumers, clinical trial subjects, competitors, regulators and other parties. See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in Part A, Item 8 of this Form 20-F. Litigation and other legal proceedings are inherently uncertain, and adverse rulings could occur,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damages, or an injunction stopping us from engaging in business practices, or requiring other remedies, including, but not limited to, compulsory licensing of patents.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p>
      <w:pPr>
        <w:ind w:left="180"/>
        <w:spacing w:after="0"/>
        <w:rPr>
          <w:sz w:val="20"/>
          <w:szCs w:val="20"/>
          <w:color w:val="auto"/>
        </w:rPr>
      </w:pPr>
      <w:r>
        <w:rPr>
          <w:rFonts w:ascii="Arial" w:cs="Arial" w:eastAsia="Arial" w:hAnsi="Arial"/>
          <w:sz w:val="16"/>
          <w:szCs w:val="16"/>
          <w:i w:val="1"/>
          <w:iCs w:val="1"/>
          <w:color w:val="auto"/>
        </w:rPr>
        <w:t>Customer Claims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relating to Investigators</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Indemnification from Customers</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Insurance</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to Date</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Customers may have specific ESG related requirements or targets and if we fail to meet these targets, we may lose business.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stakeholders’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Increasing focus on ESG matters has resulted in, and is expected to continue to result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1" w:name="page22"/>
    <w:bookmarkEnd w:id="21"/>
    <w:p>
      <w:pPr>
        <w:jc w:val="both"/>
        <w:ind w:firstLine="648"/>
        <w:spacing w:after="0" w:line="275" w:lineRule="auto"/>
        <w:rPr>
          <w:sz w:val="20"/>
          <w:szCs w:val="20"/>
          <w:color w:val="auto"/>
        </w:rPr>
      </w:pPr>
      <w:r>
        <w:rPr>
          <w:rFonts w:ascii="Arial" w:cs="Arial" w:eastAsia="Arial" w:hAnsi="Arial"/>
          <w:sz w:val="16"/>
          <w:szCs w:val="16"/>
          <w:color w:val="auto"/>
        </w:rPr>
        <w:t>In addition, our selection of voluntary disclosure frameworks and standards, and the interpretation or application of those frameworks and standards, may change from time to time or may not meet the expectations of investors or other stakeholders. Our ability to achieve our ESG commitments is subject to numerous risks, many of which are outside of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9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market and economic conditions;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declines in the market prices of stocks generally;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new products, acquisitions, joint marketing relationships, joint ventures, other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strategic relationships or capital commitments;</w:t>
      </w:r>
    </w:p>
    <w:p>
      <w:pPr>
        <w:spacing w:after="0" w:line="5"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public's reaction to press releases, other public announcements by us or third parties, including our filings with the SEC;</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credit rating of our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 or anticipated sale, of large blocks of our stock;</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performance on ESG matters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changing economic conditions;</w:t>
      </w:r>
    </w:p>
    <w:p>
      <w:pPr>
        <w:spacing w:after="0" w:line="14" w:lineRule="exact"/>
        <w:rPr>
          <w:rFonts w:ascii="Arial" w:cs="Arial" w:eastAsia="Arial" w:hAnsi="Arial"/>
          <w:sz w:val="16"/>
          <w:szCs w:val="16"/>
          <w:color w:val="auto"/>
        </w:rPr>
      </w:pPr>
    </w:p>
    <w:p>
      <w:pPr>
        <w:ind w:left="640" w:hanging="308"/>
        <w:spacing w:after="0" w:line="23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exchange rate fluctuations;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natural disasters, war, acts of terrorism or responses to those events.</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investor's return may be reduced if we lose our foreign private issuer status.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We do not expect to pay any cash dividends for the foreseeable future.</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200" w:lineRule="exact"/>
        <w:rPr>
          <w:sz w:val="20"/>
          <w:szCs w:val="20"/>
          <w:color w:val="auto"/>
        </w:rPr>
      </w:pP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218" w:lineRule="exact"/>
        <w:rPr>
          <w:sz w:val="20"/>
          <w:szCs w:val="20"/>
          <w:color w:val="auto"/>
        </w:rPr>
      </w:pPr>
    </w:p>
    <w:p>
      <w:pPr>
        <w:jc w:val="center"/>
        <w:ind w:right="83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Information on the Company.</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History and development</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public limited company (“ICON plc”) is a clinical research organization (“CRO”),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200"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37555" cy="2503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3755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Recent investments, which continue to strengthen our service offerings to meet the needs of our customers include:</w:t>
      </w:r>
    </w:p>
    <w:p>
      <w:pPr>
        <w:spacing w:after="0" w:line="248" w:lineRule="exact"/>
        <w:rPr>
          <w:sz w:val="20"/>
          <w:szCs w:val="20"/>
          <w:color w:val="auto"/>
        </w:rPr>
      </w:pPr>
    </w:p>
    <w:p>
      <w:pPr>
        <w:ind w:right="2060" w:firstLine="648"/>
        <w:spacing w:after="0" w:line="286" w:lineRule="auto"/>
        <w:rPr>
          <w:sz w:val="20"/>
          <w:szCs w:val="20"/>
          <w:color w:val="auto"/>
        </w:rPr>
      </w:pPr>
      <w:r>
        <w:rPr>
          <w:rFonts w:ascii="Arial" w:cs="Arial" w:eastAsia="Arial" w:hAnsi="Arial"/>
          <w:sz w:val="16"/>
          <w:szCs w:val="16"/>
          <w:color w:val="auto"/>
        </w:rPr>
        <w:t>On October 2, 2023, the Company acquired 100% of the equity of BioTel Research, LLC which comprised the business formerly known as Philips Pharma Solutions, a leading provider of medical imaging and cardiac safety monitoring services.</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On April 20, 2023, the Company completed the purchase of the majority investor's 51% voting share capital of Oncacare Limited (such that Oncacare and its subsidiaries became wholly-owned subsidiaries of the ICON Group), a global network of oncology research sites that provide a unique patient recruitment and delivery solution for the clinical research industry.</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Upon completion of the Acquisition, PRA became a wholly owned subsidiary within the ICON Group. The Acquisition has transformed the scale and capabilities of the Company. The combined Company leverages its enhanced operations to transform clinical trials and accelerate biopharma customers’ commercial success through the development of much needed medicines and medical devices. The combined Company retained the name ICON and brought together approximately 38,000 (as at the Merger date) employees across the globe, creating one of the world’s most advanced healthcare intelligence and clinical research organizations.</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Acquisition has brought together two high-quality, innovative, growing organizations with similar cultures and values to create the world's leading clinical research organization with a singular focus on clinical research and commercialization. Under the terms of the Merger, PRA shareholders received per share $80 in cash and 0.4125 shares of ICON stock. The total value of the Merger consideration was $12.0 billion and has resulted in the recognition of goodwill of $8.1 billion, intangible assets of $4.9 billion and an associated deferred tax liability of $1.1 billion. The accounting for the Merger was final as of June 30, 2022.</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The credit agreement governing the Senior Secured Credit Facilities provides that borrowings denominated in U.S. Dollars will bear interest based on the London Interbank Offered Rate ("LIBOR") or other base rate (as elected by the borrower), plus an applicable margin. On November 29, 2022, the Company agreed with its lenders to the adoption of the Secured Overnight Financing Rate ("SOFR") as the benchmark rate within the Senior Secured Credit Facilities, thus LIBOR is no longer the benchmark rate available to the Company under the terms of the Senior Secured Credit Facilities.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2023, the Company repaid $950.0 million of the senior secured term loan facility (December 31, 2022: $800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2023, $55 million was outstanding under the senior secured revolving loan facility (December 31, 2022: $Nil) in addition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$3.7 million (December 31, 2022: $4.5 million) in letters of credit given to landlords to guarantee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6"/>
          <w:szCs w:val="16"/>
          <w:color w:val="auto"/>
        </w:rPr>
        <w:t>The financial information presented in this Form 20-F reflect the results of the combined Company for the year ended December 31, 2023 and December 31, 2022. The financial information presented for the year ended December 31, 2021 is as previously reported and does not reflect the pre-Merger results of PRA before July 1, 2021, other than where clearly stated and required by GAAP.</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With approximately 41,100 employees across the globe,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200" w:lineRule="exact"/>
        <w:rPr>
          <w:sz w:val="20"/>
          <w:szCs w:val="20"/>
          <w:color w:val="auto"/>
        </w:rPr>
      </w:pPr>
    </w:p>
    <w:p>
      <w:pPr>
        <w:spacing w:after="0" w:line="210"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color w:val="auto"/>
        </w:rPr>
        <w:t xml:space="preserve">Scale: </w:t>
      </w:r>
      <w:r>
        <w:rPr>
          <w:rFonts w:ascii="Arial" w:cs="Arial" w:eastAsia="Arial" w:hAnsi="Arial"/>
          <w:sz w:val="16"/>
          <w:szCs w:val="16"/>
          <w:color w:val="auto"/>
        </w:rPr>
        <w:t>With a deeper clinical, commercialization and consulting services portfolio, a broader geographic footprint, depth in therapeutic expertise,</w:t>
      </w:r>
      <w:r>
        <w:rPr>
          <w:rFonts w:ascii="Arial" w:cs="Arial" w:eastAsia="Arial" w:hAnsi="Arial"/>
          <w:sz w:val="16"/>
          <w:szCs w:val="16"/>
          <w:b w:val="1"/>
          <w:bCs w:val="1"/>
          <w:color w:val="auto"/>
        </w:rPr>
        <w:t xml:space="preserve"> </w:t>
      </w:r>
      <w:r>
        <w:rPr>
          <w:rFonts w:ascii="Arial" w:cs="Arial" w:eastAsia="Arial" w:hAnsi="Arial"/>
          <w:sz w:val="16"/>
          <w:szCs w:val="16"/>
          <w:color w:val="auto"/>
        </w:rPr>
        <w:t>and data-driven healthcare technology, the Company can deliver enhanced globally scaled expertise &amp; solutions for all customers and patients.</w:t>
      </w:r>
    </w:p>
    <w:p>
      <w:pPr>
        <w:spacing w:after="0" w:line="196"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color w:val="auto"/>
        </w:rPr>
        <w:t xml:space="preserve">Focus: </w:t>
      </w:r>
      <w:r>
        <w:rPr>
          <w:rFonts w:ascii="Arial" w:cs="Arial" w:eastAsia="Arial" w:hAnsi="Arial"/>
          <w:sz w:val="16"/>
          <w:szCs w:val="16"/>
          <w:color w:val="auto"/>
        </w:rPr>
        <w:t>The Company will have a singular focus on clinical research and commercialization, leveraging transformational technology and innovation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execute clinical trials from Phase 1 to post-approval studies with the highest quality, expertise and speed.</w:t>
      </w:r>
    </w:p>
    <w:p>
      <w:pPr>
        <w:spacing w:after="0" w:line="183"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b w:val="1"/>
          <w:bCs w:val="1"/>
          <w:color w:val="auto"/>
        </w:rPr>
        <w:t>Speed to market</w:t>
      </w:r>
      <w:r>
        <w:rPr>
          <w:rFonts w:ascii="Arial" w:cs="Arial" w:eastAsia="Arial" w:hAnsi="Arial"/>
          <w:sz w:val="16"/>
          <w:szCs w:val="16"/>
          <w:color w:val="auto"/>
        </w:rPr>
        <w:t>: Our extensive services portfolio, digital and data technology capabilities, and enhanced access to more diverse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populations, have been combined with flexible delivery approaches and partnership models – all with the aim of reducing development time and costs.</w:t>
      </w:r>
    </w:p>
    <w:p>
      <w:pPr>
        <w:spacing w:after="0" w:line="205"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6"/>
          <w:szCs w:val="16"/>
          <w:b w:val="1"/>
          <w:bCs w:val="1"/>
          <w:color w:val="auto"/>
        </w:rPr>
        <w:t xml:space="preserve">Flexible partnership models: </w:t>
      </w:r>
      <w:r>
        <w:rPr>
          <w:rFonts w:ascii="Arial" w:cs="Arial" w:eastAsia="Arial" w:hAnsi="Arial"/>
          <w:sz w:val="16"/>
          <w:szCs w:val="16"/>
          <w:color w:val="auto"/>
        </w:rPr>
        <w:t>ICON has partnerships with a majority of world’s top biopharma and biotech companies worldwide. ICON is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leader in Functional Service Provision and a top global provider of full service clinical research.</w:t>
      </w:r>
    </w:p>
    <w:p>
      <w:pPr>
        <w:spacing w:after="0" w:line="183"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b w:val="1"/>
          <w:bCs w:val="1"/>
          <w:color w:val="auto"/>
        </w:rPr>
        <w:t xml:space="preserve">Differentiated DCT platform, healthcare intelligence &amp; technology: </w:t>
      </w:r>
      <w:r>
        <w:rPr>
          <w:rFonts w:ascii="Arial" w:cs="Arial" w:eastAsia="Arial" w:hAnsi="Arial"/>
          <w:sz w:val="16"/>
          <w:szCs w:val="16"/>
          <w:color w:val="auto"/>
        </w:rPr>
        <w:t>ICON can deliver differentiated decentralized and hybrid trial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a suite of capabilities, including mobile health, commercial connected health platforms, real world data and information solutions, a global site network, home health services and wearables expertise.</w:t>
      </w:r>
    </w:p>
    <w:p>
      <w:pPr>
        <w:spacing w:after="0" w:line="205"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color w:val="auto"/>
        </w:rPr>
        <w:t xml:space="preserve">Access to patients: </w:t>
      </w:r>
      <w:r>
        <w:rPr>
          <w:rFonts w:ascii="Arial" w:cs="Arial" w:eastAsia="Arial" w:hAnsi="Arial"/>
          <w:sz w:val="16"/>
          <w:szCs w:val="16"/>
          <w:color w:val="auto"/>
        </w:rPr>
        <w:t>ICON offers customers enhanced access to a larger global pool of more diverse patients through its global site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(Accellacare), specialized oncology network (Oncacare), a pediatric site network, in-home clinical services and a network of six Phase I clinical research units across the United States and Europe.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Interest Rate Risk Management</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has entered into derivative financial instruments to manage exposures to interest rate fluctuations. On November 29, 2022, the Company entered into two interest rate cap agreements and one interest rate swap agreement with notional amounts of $2,101 million and $1,101 million, respectively. These derivative financial instruments are used to limit the Company's exposure to changes in the variable interest rate on its Senior Secured Credit Facilities by fixing the interest rates on approximately 49% of ICON's term loan facility as at December 31,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 Repurchase Program</w:t>
      </w:r>
    </w:p>
    <w:p>
      <w:pPr>
        <w:spacing w:after="0" w:line="2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On February 18, 2022, the Board authorized the repurchase of up to $100 million of the Company's common stock. The share repurchase program was completed during the year ended December 31, 2022 with a total of 420,530 ordinary shares redeemed by the Company for a total consideration of $100.0 million. All ordinary shares that were redeemed under the repurchase program were canceled in accordance with the Constitution of the Company and the nominal value of these shares transferred to other undenominated capital as required by Irish Company law. No repurchase program occurred in 2023.</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Ukraine</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19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have a material adverse effect on the results of our operations. The financial impact of the conflict was not material to the Company during the years ended December 31, 2023 and December 31,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Israel and the conflict area in the Middle East</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all saddened by recent developments in Israel and the conflict area in the Middle East. The Company's key focus has been on the safety of our employees and their families, patients, investigators and on the mitigation of adverse impacts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ongoing clinical trials. The Company has worked to ensure the safety of employees and their families through the implementation of a number of employee assistance programs. The team have been advised to work remotely as they continue to support our customers’ studies. The financial impact of the conflict was not material to the Company during the year ended December 31, 2023.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Foreign exchange</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prepares its financial statements in United States dollars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could have a material adverse effect on the Company’s financial results. In the year ended December 31, 2023, the Company recorded foreign currency losses of $12.9 million.</w:t>
      </w:r>
    </w:p>
    <w:p>
      <w:pPr>
        <w:spacing w:after="0" w:line="200" w:lineRule="exact"/>
        <w:rPr>
          <w:sz w:val="20"/>
          <w:szCs w:val="20"/>
          <w:color w:val="auto"/>
        </w:rPr>
      </w:pPr>
    </w:p>
    <w:p>
      <w:pPr>
        <w:spacing w:after="0" w:line="26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Business Overview</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ICON is a leading global provider of outsourced development and commercialization services to pharmaceutical, biotechnology, medical device, and government and public health organizations.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offer a full range of clinical, consulting and commercial services that range from clinical development strategy, planning and trial design, to full study execution, and post-market commercialization.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provides its services across a range of clinical outsourcing operating models including strategic partnerships, preferred provider, full-service delivery to functional service provision and stand-alone services.</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795010" cy="2880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79501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are capitalizing on the enhanced scale, technology and data analytics capabilities that the recent acquisition of PRA Health Sciences delivered.</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maintains a sustained focus on research and development. We continue to enhance our portfolio of data solutions and decentralized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At December 31, 2023, we employed approximately 41,100 employees in 106 locations in 53 countries. During the year ended December 31, 2023, we derived approximately 40.4%, 48.7% and 10.9% of our revenue in the United States, Europe and Rest of World,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ICON strategy</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 (see www.iconplc.com/awards).</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6"/>
          <w:szCs w:val="16"/>
          <w:color w:val="auto"/>
        </w:rPr>
        <w:t>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63590" cy="2863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359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 Access &amp; Engagement</w:t>
      </w:r>
    </w:p>
    <w:p>
      <w:pPr>
        <w:spacing w:after="0" w:line="246"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ICON has a focused patient, site and data strategy, which is helping us to improve site identification, study placement and patient recruitment and retention.</w:t>
      </w:r>
    </w:p>
    <w:p>
      <w:pPr>
        <w:spacing w:after="0" w:line="15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Accellacare is ICON's global clinical research network offering customers a wide range of stand-alone and integrated solutions at site or in patients' homes as part of decentralized trials. Our patient centric approach accelerates study start-up and increases patient recruitment and retention for the pharmaceutical, biotechnology and medical device industries.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450 clinical trials, tailoring our services to fit each study's specific requirements across more than 50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Accellacare Site Network encompasses more than 50 sites across 6 countries covering the United States, Europe and South Africa. Accellacare offers a quality focused clinical research infrastructure delivering value and benefits to sponsors. Accellacare supports customers with faster start-up and the time from site selection to site initiation visit is on average 30% faster when compared to other sites. Furthermore, Accellacare achieves an average of 40% more patients per site when compared to other sites.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68" w:lineRule="auto"/>
        <w:rPr>
          <w:sz w:val="20"/>
          <w:szCs w:val="20"/>
          <w:color w:val="auto"/>
        </w:rPr>
      </w:pPr>
      <w:r>
        <w:rPr>
          <w:rFonts w:ascii="Arial" w:cs="Arial" w:eastAsia="Arial" w:hAnsi="Arial"/>
          <w:sz w:val="16"/>
          <w:szCs w:val="16"/>
          <w:color w:val="auto"/>
        </w:rPr>
        <w:t>In 2023, Accellacare Site Network optimized its site partnerships and focused on enhancing capabilities within its US locations with a continued focus on Central nervous system (CNS) capabilities. ICON fully acquired the Oncacare site network in April 2023.</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ICON's site networks enhance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Career development and employer of choice</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Enduring customer partnerships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focus on expanding and deepening our partnerships with existing customers, while also developing new customer relationships.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21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Of particular note was our work in partnering with Pfizer and BioNTech on their investigational COVID-19 vaccine program - the first to announce positive efficacy results from a Phase 3, late-stage study of a COVID-19 vaccine and to receive Emergency Use Authorization in individuals 16 years of age or older from the U.S. Food and Drug Administration.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ind w:firstLine="648"/>
        <w:spacing w:after="0" w:line="265" w:lineRule="auto"/>
        <w:rPr>
          <w:sz w:val="20"/>
          <w:szCs w:val="20"/>
          <w:color w:val="auto"/>
        </w:rPr>
      </w:pPr>
      <w:r>
        <w:rPr>
          <w:rFonts w:ascii="Arial" w:cs="Arial" w:eastAsia="Arial" w:hAnsi="Arial"/>
          <w:sz w:val="16"/>
          <w:szCs w:val="16"/>
          <w:color w:val="auto"/>
        </w:rPr>
        <w:t>ICON mobilized a large global team of therapeutic and operational specialists to partner on the implementation of Pfizer‘s and BioNTech’s strategic plan and framework for the monitoring of the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worked with 153 sites in the US, Europe, South Africa and Latin America to ensure the recruitment of more than 44,000 trial participants over a four-month period in late 2020.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sponsor project teams.</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also invested significantly in our site and patient network (Accellacare), and consider our expertise and offering in this area as one of our strategic pillars.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Healthcare intelligence and applied innovation</w:t>
      </w:r>
    </w:p>
    <w:p>
      <w:pPr>
        <w:spacing w:after="0" w:line="21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2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ICON’s proprietary One Search tool helps to efficiently and effectively identify optimum trial sites.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ICON Patient Engagement Platform was developed to support improved patient experience and enrollment in clinical trials. The web-based</w:t>
      </w:r>
    </w:p>
    <w:p>
      <w:pPr>
        <w:spacing w:after="0" w:line="31"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ind w:firstLine="648"/>
        <w:spacing w:after="0" w:line="265" w:lineRule="auto"/>
        <w:rPr>
          <w:sz w:val="20"/>
          <w:szCs w:val="20"/>
          <w:color w:val="auto"/>
        </w:rPr>
      </w:pPr>
      <w:r>
        <w:rPr>
          <w:rFonts w:ascii="Arial" w:cs="Arial" w:eastAsia="Arial" w:hAnsi="Arial"/>
          <w:sz w:val="16"/>
          <w:szCs w:val="16"/>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Operational excellence, quality and delivery</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and service offerings</w:t>
      </w:r>
    </w:p>
    <w:p>
      <w:pPr>
        <w:spacing w:after="0" w:line="2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is the world’s largest pure-play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Our focus is on delivering Healthcare Intelligence to customers to address the full spectrum of clinical development challenges, not just point-of-service delivery. The synthesis of our experience, expertise, best practices, technology and data provides patient centric processes, commercially optimized for global success, and is driving transformation of trials to improve R&amp;D return on investment.</w:t>
      </w:r>
    </w:p>
    <w:p>
      <w:pPr>
        <w:spacing w:after="0" w:line="4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 selection to Phase I-IV clinical studies and post approval outcome research and market access consulting solutions, and can be adapted to suit local trials or large global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760720" cy="8143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Industry overview</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 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3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drug development overview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ethical pharmaceuticals and biologics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Before a new drug or biologic may be marketed, it must undergo extensive testing and regulatory review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Preclinical Research </w:t>
      </w:r>
      <w:r>
        <w:rPr>
          <w:rFonts w:ascii="Arial" w:cs="Arial" w:eastAsia="Arial" w:hAnsi="Arial"/>
          <w:sz w:val="16"/>
          <w:szCs w:val="16"/>
          <w:color w:val="auto"/>
        </w:rPr>
        <w:t>“In vitro” (test tube) and animal studies must be conducted in accordance with applicable regulations to establish the relative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toxicity 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 Preclinical research is not commonly provided by ICON as a service to its customers.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(approximately 3.5 to 7 years)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Exploratory development</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b w:val="1"/>
          <w:bCs w:val="1"/>
          <w:u w:val="single" w:color="auto"/>
          <w:color w:val="auto"/>
        </w:rPr>
        <w:t>Phase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highlight w:val="white"/>
        </w:rPr>
        <w:t>(approximately 6 months to 1 year)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basic safety and tolerability testing in small numbers of human subjects, initially in healthy</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Phase II</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(approximately 2 to 3 years) includes basic efficacy and dose-range testing in a limited patient population (usually) 100 to 200 patients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-4445</wp:posOffset>
            </wp:positionV>
            <wp:extent cx="128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help provide preliminary safety and evidence that the drug is likely to be effective in the target disease. If the Phase II results are satisfactory the sponsor may decide to proceed to Phase III studies.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Confirmatory development</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u w:val="single" w:color="auto"/>
          <w:color w:val="auto"/>
        </w:rPr>
        <w:t>Phase III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highlight w:val="white"/>
        </w:rPr>
        <w:t>(2 years or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efficacy and safety studies in several hundred to a few thousand patients at multiple investigational sites</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(hospitals and clinics), often in multiple geographies.</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FDA approval, through submission of an IND, is necessary for all clinical trials, regardless of the phase of development. In addition, parallel independent committee approval is also required.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ind w:firstLine="648"/>
        <w:spacing w:after="0" w:line="265" w:lineRule="auto"/>
        <w:rPr>
          <w:sz w:val="20"/>
          <w:szCs w:val="20"/>
          <w:color w:val="auto"/>
        </w:rPr>
      </w:pPr>
      <w:r>
        <w:rPr>
          <w:rFonts w:ascii="Arial" w:cs="Arial" w:eastAsia="Arial" w:hAnsi="Arial"/>
          <w:sz w:val="16"/>
          <w:szCs w:val="16"/>
          <w:b w:val="1"/>
          <w:bCs w:val="1"/>
          <w:i w:val="1"/>
          <w:iCs w:val="1"/>
          <w:color w:val="auto"/>
        </w:rPr>
        <w:t xml:space="preserve">NDA or BLA Preparation and Submission. </w:t>
      </w:r>
      <w:r>
        <w:rPr>
          <w:rFonts w:ascii="Arial" w:cs="Arial" w:eastAsia="Arial" w:hAnsi="Arial"/>
          <w:sz w:val="16"/>
          <w:szCs w:val="16"/>
          <w:color w:val="auto"/>
        </w:rPr>
        <w:t>Upon completion of Phase III trials, the sponsor assembles the statistically analyzed data from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phases of development into a single large submission along with the Chemistry, Manufacturing and Controls (CMC) and preclinical data and the proposed labelling into the New Drug Application (NDA), or Biologics License Application (BLA) and submits them for assessment and approval by the relevant division of the FDA.</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b w:val="1"/>
          <w:bCs w:val="1"/>
          <w:i w:val="1"/>
          <w:iCs w:val="1"/>
          <w:color w:val="auto"/>
        </w:rPr>
        <w:t xml:space="preserve">Expanded Access Programs (EAPs). </w:t>
      </w:r>
      <w:r>
        <w:rPr>
          <w:rFonts w:ascii="Arial" w:cs="Arial" w:eastAsia="Arial" w:hAnsi="Arial"/>
          <w:sz w:val="16"/>
          <w:szCs w:val="16"/>
          <w:color w:val="auto"/>
        </w:rPr>
        <w:t>Sometimes a study drug may continue to be provided to subjects after completion of a clinical trial,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called 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1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is scrutinized to confirm that the applicant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commitments.</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Post-market surveillance, Phase IV studies and health outcomes. </w:t>
      </w:r>
      <w:r>
        <w:rPr>
          <w:rFonts w:ascii="Arial" w:cs="Arial" w:eastAsia="Arial" w:hAnsi="Arial"/>
          <w:sz w:val="16"/>
          <w:szCs w:val="16"/>
          <w:color w:val="auto"/>
        </w:rPr>
        <w:t>Once approved by the FDA, it requires the drug or biologic license holder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 and periodically report to them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the FDA and other regulatory agencies require license holders of drugs or biologics to prepare risk management plans that are aimed at assessing areas of product risk and actively managing such risks throughout the product lifecycle.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the CRO industry</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CROs derive substantially all their revenue from the research and development expenditures of pharmaceutical, biotechnology and medical device companies. We believe that the following trends create further growth opportunities for global CROs, although there is no assurance that growth will materialize.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Continued innovation and development of enabling technologies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Innovation driving new drug development activity</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 or orphan diseases that currently have no effective treatments.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developments should lead to increased activity in both preclinical and Phase I development and in turn lead to more treatments in Phase II-</w:t>
      </w:r>
    </w:p>
    <w:p>
      <w:pPr>
        <w:spacing w:after="0" w:line="31" w:lineRule="exact"/>
        <w:rPr>
          <w:sz w:val="20"/>
          <w:szCs w:val="20"/>
          <w:color w:val="auto"/>
        </w:rPr>
      </w:pPr>
    </w:p>
    <w:p>
      <w:pPr>
        <w:jc w:val="both"/>
        <w:ind w:firstLine="8"/>
        <w:spacing w:after="0" w:line="267" w:lineRule="auto"/>
        <w:tabs>
          <w:tab w:leader="none" w:pos="1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Decentralized and hybrid trials</w:t>
      </w:r>
    </w:p>
    <w:p>
      <w:pPr>
        <w:spacing w:after="0" w:line="24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Decentralized and hybrid trials have existed for quite some time, but the coronavirus pandemic accelerated the demand when the pharma industry was challenged to move to remote models to protect patient safety and ensure data integrity for COVID-19 vaccine trials and other ongoing trials. The pandemic has provided an opportunity to move many technologies and remote patient care solutions from pilot phase to supporting patients and research.</w:t>
      </w:r>
    </w:p>
    <w:p>
      <w:pPr>
        <w:spacing w:after="0" w:line="205"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As an industry, we have an opportunity to make decentralized and hybrid the standard moving forward. The ways the industry have been conducting clinical research in a traditional site-based approach need to flex so we can implement these tools, techniques and processes in everyday research to bring about a more patient-centric approach. Each new element needs to be evaluated to assess the impact for the individual patients and study sites. Recent experiences in the industry have shown:</w:t>
      </w:r>
    </w:p>
    <w:p>
      <w:pPr>
        <w:spacing w:after="0" w:line="200" w:lineRule="exact"/>
        <w:rPr>
          <w:sz w:val="20"/>
          <w:szCs w:val="20"/>
          <w:color w:val="auto"/>
        </w:rPr>
      </w:pPr>
    </w:p>
    <w:p>
      <w:pPr>
        <w:ind w:left="980" w:hanging="324"/>
        <w:spacing w:after="0" w:line="265"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Using fewer countries and fewer sites can reduce costs, decrease timelines for start-up and minimize the risk of disruption during and post pandemic.</w:t>
      </w:r>
    </w:p>
    <w:p>
      <w:pPr>
        <w:spacing w:after="0" w:line="1" w:lineRule="exact"/>
        <w:rPr>
          <w:rFonts w:ascii="Arial" w:cs="Arial" w:eastAsia="Arial" w:hAnsi="Arial"/>
          <w:sz w:val="16"/>
          <w:szCs w:val="16"/>
          <w:color w:val="auto"/>
        </w:rPr>
      </w:pPr>
    </w:p>
    <w:p>
      <w:pPr>
        <w:ind w:left="980" w:hanging="324"/>
        <w:spacing w:after="0" w:line="265"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Hybrid studies, utilizing digital health, in-home health, and telehealth, can reduce the number and frequency of onsite patient visits and therefore reduce patient burden.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4" w:name="page35"/>
    <w:bookmarkEnd w:id="34"/>
    <w:p>
      <w:pPr>
        <w:ind w:left="980" w:hanging="324"/>
        <w:spacing w:after="0" w:line="263"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Home-based patient visits and direct-to-patient contacts can increase patient satisfaction, compliance and retention, providing greater trial resilience.</w:t>
      </w:r>
    </w:p>
    <w:p>
      <w:pPr>
        <w:ind w:left="980" w:hanging="324"/>
        <w:spacing w:after="0" w:line="270"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Harmonizing data from disparate data sources will provide real-time access and consistent data visibility, helping to improve safety monitoring and enabling the visualization of data trends.</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Regulatory easement during the pandemic has resulted in a number of positive changes to clinical trial procedures, enabling studies to continue and in some cases progress at a faster pace, and improvements to the process of CTA and IND approvals. Regulatory authorities have been clear that regulatory easement related to the pandemic will not be extended. However, many regulatory authorities have instead released guidance or position statements on the use of DCT elements, such as technology and off-site conduct, more generally in clinical trials, benefiting the patient and healthcare advancement.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Ultimately, we are trying to increase the speed at which drugs can meet approval guidelines and help treatable populations. By using decentralized tools, technologies and processes, we will reduce the burden on patients, increase satisfaction and provide them with the same standard of care during a virtual or home visit that they would receive in a clinic, thereby fulfilling the promise of clinical research as a care option. While reduced costs may not be seen in the early phase of adoption (in fact investment may be required initially) choosing the right solution for the specific study characteristics has the potential to increase patient recruitment and retention which can result in reduced overall research costs and quicker time to market. To find the best clinical trial design to suit their needs, sponsors will need to take patient centricity into consideration from the outset and at every step along the way, because what benefits the patient will ultimately benefit the sponsor in outcomes.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technology enabling more efficient development</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Technology innovation is playing an increasingly important role in helping to support more efficient drug development. Leveraging differentiated technology solutions and data collaborations drives better execution in clinical trials. The larger CROs have been at the forefront of this innovation developing technology solutions that support the integration of trial data across multiple systems, data repositories that enable sponsors to get real time clinical insights on the performance of their drugs and tools that support better trial designs and operation.</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emergence of modern healthcare technologies ("mHealth")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“decentralized and hybrid trials” based on remote monitoring of patients in their home environment which may drive further efficiencies in the trial process.</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Social media is also becoming an important platform for life sciences companies to strengthen patient engagement programs and collaborate with other stakeholders in the healthcare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the influence of technology on drug development grows, it broadens the potential number of partners that CROs will work with in the future.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Expanded use of new patient data sources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Pharmaceutical companies are looking to access a variety of new healthcare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Improving productivity and operating efficiencies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focus on productivity within research and development programs</w:t>
      </w:r>
    </w:p>
    <w:p>
      <w:pPr>
        <w:spacing w:after="0" w:line="2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of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risk based clinical trial monitoring, decentralized and hybrid trials are enhancing development, allowing effective treatments to get to patients quicker at reduced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containment pressures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Global trends influencing the CRO industry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Pressure to accelerate time to markets and globalization of the marketplace</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within the biotechnology sector</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sectors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number of large long-term studies and an increasing requirement to show the economic value of new treatments</w:t>
      </w:r>
    </w:p>
    <w:p>
      <w:pPr>
        <w:spacing w:after="0" w:line="2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648"/>
        <w:spacing w:after="0" w:line="265" w:lineRule="auto"/>
        <w:rPr>
          <w:sz w:val="20"/>
          <w:szCs w:val="20"/>
          <w:color w:val="auto"/>
        </w:rPr>
      </w:pPr>
      <w:r>
        <w:rPr>
          <w:rFonts w:ascii="Arial" w:cs="Arial" w:eastAsia="Arial" w:hAnsi="Arial"/>
          <w:sz w:val="16"/>
          <w:szCs w:val="16"/>
          <w:color w:val="auto"/>
        </w:rPr>
        <w:t>The rising costs of healthcare in most developed countries also means there is an increasing pressure to show that new medical treatments are more cost effective and deliver better patient outcomes than existing treatment regimes. This also means that sponsors need to increasingly generate outcome data both as part of the product approval submissions and as part of post-approval research programs. This is creating opportunities for CROs who can offer support in developing and interpreting this data.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focus on long-term product safety</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regulatory demands</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Regulatory agencies increasingly require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 Social and Governance ('ESG')</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we value diversity and care about the success of our people, and we care about doing the right thing.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organization by every measure.</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core values underpin our mission and drive a culture and mind-set of ownership at ICON. "Own it at ICON", as set out below,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-17780</wp:posOffset>
            </wp:positionV>
            <wp:extent cx="3128645" cy="3206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28645" cy="320611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7" w:name="page38"/>
    <w:bookmarkEnd w:id="37"/>
    <w:p>
      <w:pPr>
        <w:jc w:val="both"/>
        <w:ind w:firstLine="648"/>
        <w:spacing w:after="0" w:line="265" w:lineRule="auto"/>
        <w:rPr>
          <w:sz w:val="20"/>
          <w:szCs w:val="20"/>
          <w:color w:val="auto"/>
        </w:rPr>
      </w:pPr>
      <w:r>
        <w:rPr>
          <w:rFonts w:ascii="Arial" w:cs="Arial" w:eastAsia="Arial" w:hAnsi="Arial"/>
          <w:sz w:val="16"/>
          <w:szCs w:val="16"/>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 training.</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Diversity, Inclusion and Belonging (DIB), and CSR initiatives into one program. ICON’s Environment, Social, and Governance Committee ('ESG Committee') brings together all these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the Nominating, Sustainability and Governance Committee and the Board on ESG matters. The CAO reports on ESG matters to the Nominating, Sustainability and Governance Committee quarterly and reports to the Board at least annually whilst also providing periodic ESG updates to the executive leadership team.</w:t>
      </w:r>
    </w:p>
    <w:p>
      <w:pPr>
        <w:spacing w:after="0" w:line="20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Nominating, Sustainability and Governance Committee of the Company in:</w:t>
      </w:r>
    </w:p>
    <w:p>
      <w:pPr>
        <w:spacing w:after="0" w:line="21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determining and setting the strategy relating to ESG matters;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developing, implementing and monitoring initiatives and policies based on that strategy; and</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communicating these strategies, initiatives, and their results.</w:t>
      </w:r>
    </w:p>
    <w:p>
      <w:pPr>
        <w:spacing w:after="0" w:line="2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committed to building and developing our ESG strategies and reporting. In 2020 we launched our ESG page on the ICON website and have an internal ICON Cares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 2022 ESG report, released in 2023, we reported under the Global Reporting Initiative (GRI, 2021) standards, the Task Force on Climate-Related Financial Disclosures (TCFD) and the Sustainability Accounting Standards Board (SASB) index. Our report summarizes our current policies, priorities, commitments, achievements, and progress in respect to ESG matters. During 2023, ICON received a silver medal from EcoVadis in recognition of our environment, social and governance efforts throughout ICON. The ESG page on our website is available at https://www.iconplc.com/about/esg/.</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This includes mandatory reporting under the Corporate Sustainability Reporting Disclosure (CSRD) from the EU and the SEC Climate Risk Disclosure Rule which is pending finalizatio</w:t>
      </w:r>
      <w:r>
        <w:rPr>
          <w:rFonts w:ascii="Arial" w:cs="Arial" w:eastAsia="Arial" w:hAnsi="Arial"/>
          <w:sz w:val="17"/>
          <w:szCs w:val="17"/>
          <w:color w:val="auto"/>
        </w:rPr>
        <w:t>n</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Building a sustainable future – our commitment to the United Nations Sustainable Development Goals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our work with customers and patients and our on-the-ground efforts to meet the diverse needs across our communities align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SDGs. We focus these efforts on a subset of themes where we have identified the greatest opportunity to effect change:</w:t>
      </w:r>
    </w:p>
    <w:p>
      <w:pPr>
        <w:spacing w:after="0" w:line="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3 – Good health and well-being</w:t>
      </w:r>
    </w:p>
    <w:p>
      <w:pPr>
        <w:spacing w:after="0" w:line="1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5 – Gender equality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9 – Industry, innovation and infrastructure</w:t>
      </w:r>
    </w:p>
    <w:p>
      <w:pPr>
        <w:spacing w:after="0" w:line="1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10 – Reduced inequalities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12 – Responsible consumption and production</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13 – Climate action</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6"/>
          <w:szCs w:val="16"/>
          <w:color w:val="auto"/>
        </w:rPr>
        <w:t>SDG 17 – Partnerships for the goals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Further details on the ways ICON contributes to these SDGs and their targets are set out in our ESG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 Conducting business sustainably</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Global Environmental Management Policy and Environmental Management Plan is part of our ICON Cares program for managing environmental sustainability initiatives. The implementation of the plan is led by our facilities team, reporting to our Chief Administrative Officer and General Counsel (CAO). The CAO is responsible for reporting on the ICON Cares program and environmental initiatives and progress to the ICON executive leadership team and Nominating, Sustainability and Governance Committee and the Board.</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set environmental goals around the use of renewable energy and carbon emissions in 2019 and we are working towards achieving these goals which are as follows:</w:t>
      </w:r>
    </w:p>
    <w:p>
      <w:pPr>
        <w:ind w:left="660" w:hanging="328"/>
        <w:spacing w:after="0" w:line="235"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6"/>
          <w:szCs w:val="16"/>
          <w:color w:val="auto"/>
        </w:rPr>
        <w:t>100% renewable electricity by 2025</w:t>
      </w:r>
    </w:p>
    <w:p>
      <w:pPr>
        <w:spacing w:after="0" w:line="16" w:lineRule="exact"/>
        <w:rPr>
          <w:rFonts w:ascii="Arial" w:cs="Arial" w:eastAsia="Arial" w:hAnsi="Arial"/>
          <w:sz w:val="22"/>
          <w:szCs w:val="22"/>
          <w:color w:val="auto"/>
        </w:rPr>
      </w:pPr>
    </w:p>
    <w:p>
      <w:pPr>
        <w:ind w:left="660" w:hanging="328"/>
        <w:spacing w:after="0" w:line="215"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6"/>
          <w:szCs w:val="16"/>
          <w:color w:val="auto"/>
        </w:rPr>
        <w:t>20% reduction in kilowatt hours (kWh) of electricity by 2030</w:t>
      </w:r>
    </w:p>
    <w:p>
      <w:pPr>
        <w:spacing w:after="0" w:line="16" w:lineRule="exact"/>
        <w:rPr>
          <w:rFonts w:ascii="Arial" w:cs="Arial" w:eastAsia="Arial" w:hAnsi="Arial"/>
          <w:sz w:val="22"/>
          <w:szCs w:val="22"/>
          <w:color w:val="auto"/>
        </w:rPr>
      </w:pPr>
    </w:p>
    <w:p>
      <w:pPr>
        <w:ind w:left="660" w:hanging="328"/>
        <w:spacing w:after="0" w:line="215"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6"/>
          <w:szCs w:val="16"/>
          <w:color w:val="auto"/>
        </w:rPr>
        <w:t>Net zero carbon emissions on Scope 1 &amp; 2 by 2030</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April 2023, following Board approval, ICON made a commitment to the Science Based Targets initiative (SBTi), when we submitted our near-term commitment letter to the SBTi. In February 2024, the Board approved furthering our SBTi commitment to include a long-term company-wide emissions reduction target in line with science-based net-zero. Accordingly, we have submitted our commitment letter to SBTi to set net-zero targets, including a long-term science-based target and are preparing to submit both our near-term and long-term science-based targets for validation.</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have programs in place to manage and minimize climate impacts of business activities. To continue to improve processes and reduce our environmental impact, we track, calculate, and report our Scope 1, Scope 2 and Scope 3 business travel GHG footprint. We apply the GHG Protocol Corporate Standard, which is the global corporate accounting and reporting standard for calculating carbon emissions. Carbon Trust provides annual verification of our Scope 1 and 2 GHG emissions data. In 2023, we worked with Carbon Trust to conduct a full Scope 3 footprint, which we are analyzing with a view to annual public reporting in due course.</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Aligned with our goal to be net-zero on Scopes 1 and 2 by 2030, ICON’s combined Scope 1 and 2 GHG emissions have decreased since 2018. We recognize that although the combined Scopes 1 and 2 emissions have fallen year-on-year, ICON’s Scope 1 emissions have increased slightly each year. To reach our net-zero goal, our decarbonization strategy is currently focused on reducing Scope 2 emissions, the largest contributor to our Scope 1 and 2 footprint. Following on from our Scope 2 emissions reduction efforts, we plan to launch efforts that target our Scope 1 emissions in the coming years.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2020, following pandemic-related closures and a reduction in business travel, our Scope 3 GHG emissions declined significantly. Since 2021, as more normal operations resumed, we have seen an overall increase in our total GHG emissions driven by an increase in business travel (Scope 3).</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Although Scope 1 and 3 emissions have increased, we remain below our 2018 pre-COVID overall emissions, and are committed to continue our work towards reducing emissions. Additionally, our emissions intensity has decreased substantially as our business has grown. Since 2018, our emissions intensity per million in revenue and our emissions intensity per FTE employee has decreased.</w:t>
      </w:r>
    </w:p>
    <w:p>
      <w:pPr>
        <w:spacing w:after="0" w:line="19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participates in CDP (formerly the Carbon Disclosure Project) on an annual basis. CDP is a globally recognized organization that allows companies to measure and manage their environmental impacts. We received a B score from CDP for 2023 on our 2022 Climate Change response which was an improvement on the C score that we received from CDP in 2022 on our 2021 Climate Change response. The improved score is a reflection of our efforts and the progress that we are making in respect to environmental sustainability. Our CDP responses are available at https://www.cdp.net/en/.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ind w:firstLine="648"/>
        <w:spacing w:after="0" w:line="286" w:lineRule="auto"/>
        <w:rPr>
          <w:sz w:val="20"/>
          <w:szCs w:val="20"/>
          <w:color w:val="auto"/>
        </w:rPr>
      </w:pPr>
      <w:r>
        <w:rPr>
          <w:rFonts w:ascii="Arial" w:cs="Arial" w:eastAsia="Arial" w:hAnsi="Arial"/>
          <w:sz w:val="16"/>
          <w:szCs w:val="16"/>
          <w:color w:val="auto"/>
        </w:rPr>
        <w:t>We are focused on reducing energy use and increasing renewable energy use across our global operations as specific environmental goals. Waste reduction is embedded into our environmental policies and practices and is one of the objectives of ICON’s Environmental Management Policy.</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leases most of our offices and facilities, and therefore we work closely with our landlords and leasing agents to implement measures to ensure we operate in an environmentally sustainable manner. Throughout 2023, we continued real estate harmonization efforts which resulted in downsizing or closing 19 locations to align with new working styles and business needs, this also helps to reduce our environmental footprint. Experts from our real estate team factor environmental considerations into decisions around new office locations or building improvements. We’ve also implemented a series of measures globally to reduce the local footprint of our offices while promoting comfort and efficiency. These include:</w:t>
      </w:r>
    </w:p>
    <w:p>
      <w:pPr>
        <w:spacing w:after="0" w:line="2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Installing energy-efficient LED lighting.</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Using motion detectors.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Purchasing recycled office supplies.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Reducing paper consumption by promoting paperless office processes and defaulting double-sided output.</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Building recycling areas into business centers and kitchens/canteens.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Planting green spaces to improve internal air quality.</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6"/>
          <w:szCs w:val="16"/>
          <w:color w:val="auto"/>
        </w:rPr>
        <w:t>Selecting building materials and vendors for their low environmental impact.</w:t>
      </w:r>
    </w:p>
    <w:p>
      <w:pPr>
        <w:spacing w:after="0" w:line="2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require our suppliers to abide by our Global Supplier Code of Conduct which includes a commitment to comply with applicable environmental laws and regulations, our expectations around waste management and sustainable use of resources.</w:t>
      </w:r>
    </w:p>
    <w:p>
      <w:pPr>
        <w:spacing w:after="0" w:line="1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care about making a positive impact on the communities in which we work and live and we have aligned our community efforts to a broader vision for social impact, including by aligning priorities with our organizational goals of diversity, inclusion, and belonging.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community engagement activities are focused on two core areas:</w:t>
      </w:r>
    </w:p>
    <w:p>
      <w:pPr>
        <w:spacing w:after="0" w:line="27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6"/>
          <w:szCs w:val="16"/>
          <w:color w:val="auto"/>
        </w:rPr>
        <w:t>Supporting education and building closer ties between industry and academia; and</w:t>
      </w:r>
    </w:p>
    <w:p>
      <w:pPr>
        <w:spacing w:after="0" w:line="1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6"/>
          <w:szCs w:val="16"/>
          <w:color w:val="auto"/>
        </w:rPr>
        <w:t>Improving the welfare of people in the communities in which we live.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Supporting education and building closer ties between industry and academia</w:t>
      </w:r>
    </w:p>
    <w:p>
      <w:pPr>
        <w:spacing w:after="0" w:line="26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core area of community support includes building ties between industry and academia to inspire the next generation of leaders in business and science. Our existing partnerships continue with the following organizations:</w:t>
      </w:r>
    </w:p>
    <w:p>
      <w:pPr>
        <w:spacing w:after="0" w:line="183" w:lineRule="exact"/>
        <w:rPr>
          <w:sz w:val="20"/>
          <w:szCs w:val="20"/>
          <w:color w:val="auto"/>
        </w:rPr>
      </w:pPr>
    </w:p>
    <w:p>
      <w:pPr>
        <w:jc w:val="both"/>
        <w:ind w:left="660" w:hanging="328"/>
        <w:spacing w:after="0" w:line="271"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The ICON-McKeon Research Fellowship in Motor Neuron Disease ('MND') </w:t>
      </w:r>
      <w:r>
        <w:rPr>
          <w:rFonts w:ascii="Arial" w:cs="Arial" w:eastAsia="Arial" w:hAnsi="Arial"/>
          <w:sz w:val="16"/>
          <w:szCs w:val="16"/>
          <w:color w:val="auto"/>
        </w:rPr>
        <w:t>in honor of Mr. Declan McKeon, former Board member, acting</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Lead Independent Director and Chair of the ICON Audit committee. The ICON-McKeon Research Fellow in MND carries out research in the areas of machine-learning and artificial intelligence to derive insights from multimodal clinical, imaging neuro-electric signaling, in the context of the neurodegenerative disease of ALS.</w:t>
      </w:r>
    </w:p>
    <w:p>
      <w:pPr>
        <w:spacing w:after="0" w:line="181" w:lineRule="exact"/>
        <w:rPr>
          <w:sz w:val="20"/>
          <w:szCs w:val="20"/>
          <w:color w:val="auto"/>
        </w:rPr>
      </w:pPr>
    </w:p>
    <w:p>
      <w:pPr>
        <w:jc w:val="both"/>
        <w:ind w:left="660" w:hanging="328"/>
        <w:spacing w:after="0" w:line="243"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with Trinity Centre for People with Intellectual Disabilities ('TCPID') </w:t>
      </w:r>
      <w:r>
        <w:rPr>
          <w:rFonts w:ascii="Arial" w:cs="Arial" w:eastAsia="Arial" w:hAnsi="Arial"/>
          <w:sz w:val="16"/>
          <w:szCs w:val="16"/>
          <w:color w:val="auto"/>
        </w:rPr>
        <w:t>- TCPID situated within the School of Education, Trinity</w:t>
      </w:r>
      <w:r>
        <w:rPr>
          <w:rFonts w:ascii="Arial" w:cs="Arial" w:eastAsia="Arial" w:hAnsi="Arial"/>
          <w:sz w:val="16"/>
          <w:szCs w:val="16"/>
          <w:b w:val="1"/>
          <w:bCs w:val="1"/>
          <w:color w:val="auto"/>
        </w:rPr>
        <w:t xml:space="preserve"> </w:t>
      </w:r>
      <w:r>
        <w:rPr>
          <w:rFonts w:ascii="Arial" w:cs="Arial" w:eastAsia="Arial" w:hAnsi="Arial"/>
          <w:sz w:val="16"/>
          <w:szCs w:val="16"/>
          <w:color w:val="auto"/>
        </w:rPr>
        <w:t>College 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2023, we were delighted to host a student visit from TCPID students to our global headquarters in Dublin, where they enjoyed learning about the different phases of a clinical trial and also experienced a working laboratory during a tour of the facility.</w:t>
      </w:r>
    </w:p>
    <w:p>
      <w:pPr>
        <w:spacing w:after="0" w:line="219" w:lineRule="exact"/>
        <w:rPr>
          <w:sz w:val="20"/>
          <w:szCs w:val="20"/>
          <w:color w:val="auto"/>
        </w:rPr>
      </w:pPr>
    </w:p>
    <w:p>
      <w:pPr>
        <w:jc w:val="both"/>
        <w:ind w:left="660" w:hanging="328"/>
        <w:spacing w:after="0" w:line="247" w:lineRule="auto"/>
        <w:tabs>
          <w:tab w:leader="none" w:pos="649"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Partnership with Junior Achievement to inspire schoolchildren. </w:t>
      </w:r>
      <w:r>
        <w:rPr>
          <w:rFonts w:ascii="Arial" w:cs="Arial" w:eastAsia="Arial" w:hAnsi="Arial"/>
          <w:sz w:val="16"/>
          <w:szCs w:val="16"/>
          <w:color w:val="auto"/>
        </w:rPr>
        <w:t>Junior Achievement encourages young people to remain in education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teaches them the skills they need to succeed in a changing world. ICON volunteers take time out of their working day to deliver Junior Achievement programs, teaching primary and secondary-level students valuable business, STEM (Science, Technology, Engineering &amp; Mathematics) and entrepreneurship skills that will serve them throughout their professional lives.</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Aligned with our ambitions to build closer ties between industry and academia, create a more diverse graduate pool of talented and ambitious STEM professionals who can help to ensure the future success of the life sciences industry, and provide increased opportunities for underrepresented groups to study STEM courses, our STEM scholarship program continued in 2023. Through the program, ICON is partnering with three universities in Ireland – Dublin City University (DCU), Trinity College Dublin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6"/>
          <w:szCs w:val="16"/>
          <w:color w:val="auto"/>
        </w:rPr>
        <w:t>(TCD) and the University of Limerick (UL) – as well as with the Thurgood Marshall College Fund (TMCF) in the US, to fund 33 scholarships for students of STEM courses. TMCF is a not-for-profit organization that supports nearly 300,000 students attending its 47 member-schools that include publicly-supported Historically Black Colleges and Universities (HBCUs).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Improving the welfare of people in the communities in which we live</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November 2023, 360 ICON colleagues from across the globe united in person and virtually to take part in Run in the Dark for the fourth conservative year. Team ICON raised $10,000 to support Mark Pollock's Collaborative Cures foundation whose mission is to bring people together to cure paralysis in our lifetime. A team of 125 ICON cyclists from 24 countries also participated in our annual ICON cycle challenge, which covered 350km from Zurich to Munich, across 3 days and which raised funds for Mission Rabies, a global charity that aims to control the spread of rabies through vaccination of dogs in endemic areas.</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Since 2012, ICON’s annual employee-nominated charity donation program has supported over 100 charities worldwide, donating $10,000 to each organization. The selected organizations focus on a range of critical issues, such as building a more inclusive society, improving child welfare and supporting patients who are battling chronic diseases. The chosen charities align with ICON’s corporate mission, our ICON Cares program diversity and inclusion goals and support our efforts to advance the United Nations Sustainable Development Goals (SDGs). In addition, ICON donated to UNICEF in support of humanitarian efforts following the devastating earthquakes in Syria and Turkey.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Talent and People</w:t>
      </w:r>
    </w:p>
    <w:p>
      <w:pPr>
        <w:spacing w:after="0" w:line="2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Our people are core to our ability to deliver our services and drive better patient outcomes. Through diversity, inclusion and belonging, industry-leading talent management practices, a sincere attention to our employees’ needs, well-being and health and safety, we continue to power the potential of together.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the core of our strategy is our people</w:t>
      </w:r>
    </w:p>
    <w:p>
      <w:pPr>
        <w:spacing w:after="0" w:line="20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Learning and development of our staff is a key focus for us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as well as behavioral competencies. Programs include Corporate and Functional Onboarding for all ICON employees tailored CRA academies; Data Management and Biostats &amp; Programming Academies; a Commercial Skills Academy; a range of project management curricula, therapeutic-focused programs, and People Leader development programs.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People Leader development program focuses on providing our People Leaders with the relevant skills to effectively manage themselves, their team and their business, including leveraging psychometrics to raise awareness of their behavioral preferences and the preference of others. ICON also invests in Harvard Manage Mentor, an online learning platform providing People Leaders with access to learning available at any time with topics ranging from change management, diversity &amp; inclusion, retaining employees and developing employees.</w:t>
      </w:r>
    </w:p>
    <w:p>
      <w:pPr>
        <w:spacing w:after="0" w:line="21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We provide our people with a personalized and flexible learning experience, delivered through a combination of in-person and technology-driven programs that suit their learning styles and can flex to suit their schedules. Through our industry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6"/>
          <w:szCs w:val="16"/>
          <w:color w:val="auto"/>
        </w:rPr>
        <w:t>leading Career 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customized leadership development programs for global employees.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an organization we are keen to hear directly from our employees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To attract and retain the best talent, we must listen and respond to employees’ needs. This begins with a focus on diversity, inclusion and belonging, and extends to every aspect of our work, from recruitment and onboarding, to training, engagement, enablement, and reward. We pursue best-in-class approaches to building employee engagement and these include, among others:</w:t>
      </w:r>
    </w:p>
    <w:p>
      <w:pPr>
        <w:spacing w:after="0" w:line="259" w:lineRule="exact"/>
        <w:rPr>
          <w:sz w:val="20"/>
          <w:szCs w:val="20"/>
          <w:color w:val="auto"/>
        </w:rPr>
      </w:pPr>
    </w:p>
    <w:p>
      <w:pPr>
        <w:ind w:left="660" w:hanging="328"/>
        <w:spacing w:after="0" w:line="229"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6"/>
          <w:szCs w:val="16"/>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660" w:hanging="328"/>
        <w:spacing w:after="0" w:line="230"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6"/>
          <w:szCs w:val="16"/>
          <w:color w:val="auto"/>
        </w:rPr>
        <w:t>Pulse check surveys, which are smaller-scale studies designed to measure employee sentiment on specific topics and initiatives.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6"/>
          <w:szCs w:val="16"/>
          <w:color w:val="auto"/>
        </w:rPr>
        <w:t>Fostering an environment of diversity, inclusion and belonging where everyone is valued.</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6"/>
          <w:szCs w:val="16"/>
          <w:color w:val="auto"/>
        </w:rPr>
        <w:t>Stay interviews to help managers understand why staff stay and to uncover what might put them at risk of departing.</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6"/>
          <w:szCs w:val="16"/>
          <w:color w:val="auto"/>
        </w:rPr>
        <w:t>Skip-level meetings to develop trust and rapport between senior leaders and employees.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well-being</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global Employee Assistance Program (EAP) ensures that all employees, and their families, have access to a range of different, confidential resources and experts to help them better manage their working life and personal life. Employees can also access a wide range of tools, information and support services online in local languages.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safety</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Fostering diversity, inclusion and belonging</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committed to being a workplace where all employees are included and feel a sense of belonging. As a global, values-driven organization, we acknowledge and celebrate our differences in gender, ethnicity, culture and abilities. Respecting diverse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recognize the critical importance of diversity in clinical trials ensuring all types of patients who will eventually receive therapies are represented on clinical trials, as well as offering clinical trials as a care option for those who may not otherwise have access to medical treatment. In furtherance of our aim to increase diversity within clinical trials, we appointed a Global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ind w:right="20"/>
        <w:spacing w:after="0" w:line="263" w:lineRule="auto"/>
        <w:rPr>
          <w:sz w:val="20"/>
          <w:szCs w:val="20"/>
          <w:color w:val="auto"/>
        </w:rPr>
      </w:pPr>
      <w:r>
        <w:rPr>
          <w:rFonts w:ascii="Arial" w:cs="Arial" w:eastAsia="Arial" w:hAnsi="Arial"/>
          <w:sz w:val="16"/>
          <w:szCs w:val="16"/>
          <w:color w:val="auto"/>
        </w:rPr>
        <w:t>Head of Diversity in Clinical Trials to lead a team of cross functional experts who can advise customers how to build diversity at every stage of the clinical trial.</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Diversity, inclusion, and belonging (DIB) are fundamental to our culture and values. Diversity makes us more innovative and more creative. ICON’s approach to DIB is a key focus area. To reflect this, inclusion is one of our core values and our DIB strategy revolves around four key ambitions: our people, our patients, our customers, and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130175</wp:posOffset>
            </wp:positionV>
            <wp:extent cx="5863590" cy="2726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For each of these ambitions, ICON’s DIB Operating Committee brings together individuals from across the company to create and execute work streams that are committed to advancing our DIB strategy. A central team manages the overarching efforts, ensuring alignment and collaboration across each of the ambitions. Each ambition has a sponsor from ICON’s executive leadership team who advocates for and supports the agenda, in addition to providing leadership.</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growth of community groups enabled ICON to retire the role of the DIB advocates who were recruited from across the organization to support leadership and the DIB Operating Committee with DIB strategy and activities. Now, all community group members and allies act as advocates across the company. Their aim: to align activities, promote events and share information back to their service lines. It is our aspiration that all our employees will act as DIB advocates.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in a workplace culture that embraces diverse perspectives and empowers our team members to grow — at work, at home and in their communities. The key areas of focus for our diversity, inclusion, and belonging agenda include talent management, country-level inclusion policies, rewards, training, mentoring and communications.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DIB community groups we have at ICON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183515</wp:posOffset>
            </wp:positionV>
            <wp:extent cx="659765" cy="660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82" w:lineRule="exact"/>
        <w:rPr>
          <w:sz w:val="20"/>
          <w:szCs w:val="20"/>
          <w:color w:val="auto"/>
        </w:rPr>
      </w:pPr>
    </w:p>
    <w:p>
      <w:pPr>
        <w:jc w:val="both"/>
        <w:ind w:left="3440" w:right="20" w:hanging="584"/>
        <w:spacing w:after="0" w:line="275" w:lineRule="auto"/>
        <w:rPr>
          <w:sz w:val="20"/>
          <w:szCs w:val="20"/>
          <w:color w:val="auto"/>
        </w:rPr>
      </w:pPr>
      <w:r>
        <w:rPr>
          <w:rFonts w:ascii="Arial" w:cs="Arial" w:eastAsia="Arial" w:hAnsi="Arial"/>
          <w:sz w:val="16"/>
          <w:szCs w:val="16"/>
          <w:b w:val="1"/>
          <w:bCs w:val="1"/>
          <w:color w:val="auto"/>
        </w:rPr>
        <w:t xml:space="preserve">DAWN: </w:t>
      </w:r>
      <w:r>
        <w:rPr>
          <w:rFonts w:ascii="Arial" w:cs="Arial" w:eastAsia="Arial" w:hAnsi="Arial"/>
          <w:sz w:val="16"/>
          <w:szCs w:val="16"/>
          <w:color w:val="auto"/>
        </w:rPr>
        <w:t>The Disability Awareness Network is a community group focused on developing and fostering a mind-set</w:t>
      </w:r>
      <w:r>
        <w:rPr>
          <w:rFonts w:ascii="Arial" w:cs="Arial" w:eastAsia="Arial" w:hAnsi="Arial"/>
          <w:sz w:val="16"/>
          <w:szCs w:val="16"/>
          <w:b w:val="1"/>
          <w:bCs w:val="1"/>
          <w:color w:val="auto"/>
        </w:rPr>
        <w:t xml:space="preserve"> </w:t>
      </w:r>
      <w:r>
        <w:rPr>
          <w:rFonts w:ascii="Arial" w:cs="Arial" w:eastAsia="Arial" w:hAnsi="Arial"/>
          <w:sz w:val="16"/>
          <w:szCs w:val="16"/>
          <w:color w:val="auto"/>
        </w:rPr>
        <w:t>towards creating an inclusive workplace and working environment where everyone is treated equally with respect and dignity, irrespective of any visible or hidden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310515</wp:posOffset>
            </wp:positionV>
            <wp:extent cx="659765" cy="659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3440" w:right="20" w:hanging="899"/>
        <w:spacing w:after="0" w:line="265" w:lineRule="auto"/>
        <w:rPr>
          <w:sz w:val="20"/>
          <w:szCs w:val="20"/>
          <w:color w:val="auto"/>
        </w:rPr>
      </w:pPr>
      <w:r>
        <w:rPr>
          <w:rFonts w:ascii="Arial" w:cs="Arial" w:eastAsia="Arial" w:hAnsi="Arial"/>
          <w:sz w:val="16"/>
          <w:szCs w:val="16"/>
          <w:b w:val="1"/>
          <w:bCs w:val="1"/>
          <w:color w:val="auto"/>
        </w:rPr>
        <w:t xml:space="preserve">EmbRACE: </w:t>
      </w:r>
      <w:r>
        <w:rPr>
          <w:rFonts w:ascii="Arial" w:cs="Arial" w:eastAsia="Arial" w:hAnsi="Arial"/>
          <w:sz w:val="16"/>
          <w:szCs w:val="16"/>
          <w:color w:val="auto"/>
        </w:rPr>
        <w:t>EmbRACE is a community group supporting all race and ethnic backgrounds in creating an inclusive</w:t>
      </w:r>
      <w:r>
        <w:rPr>
          <w:rFonts w:ascii="Arial" w:cs="Arial" w:eastAsia="Arial" w:hAnsi="Arial"/>
          <w:sz w:val="16"/>
          <w:szCs w:val="16"/>
          <w:b w:val="1"/>
          <w:bCs w:val="1"/>
          <w:color w:val="auto"/>
        </w:rPr>
        <w:t xml:space="preserve"> </w:t>
      </w:r>
      <w:r>
        <w:rPr>
          <w:rFonts w:ascii="Arial" w:cs="Arial" w:eastAsia="Arial" w:hAnsi="Arial"/>
          <w:sz w:val="16"/>
          <w:szCs w:val="16"/>
          <w:color w:val="auto"/>
        </w:rPr>
        <w:t>workplace culture. Our ambition is to build a culture that is inclusive, collaborative and accountable, supporting all our people and removing barriers that prevent them from doing their best work and being their true selves at ICON.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3" w:name="page44"/>
    <w:bookmarkEnd w:id="43"/>
    <w:p>
      <w:pPr>
        <w:ind w:left="3440" w:right="20" w:hanging="1048"/>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414020</wp:posOffset>
            </wp:positionH>
            <wp:positionV relativeFrom="page">
              <wp:posOffset>594995</wp:posOffset>
            </wp:positionV>
            <wp:extent cx="659765" cy="660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59765" cy="660400"/>
                    </a:xfrm>
                    <a:prstGeom prst="rect">
                      <a:avLst/>
                    </a:prstGeom>
                    <a:noFill/>
                  </pic:spPr>
                </pic:pic>
              </a:graphicData>
            </a:graphic>
          </wp:anchor>
        </w:drawing>
        <w:t xml:space="preserve">NOW@ICON: </w:t>
      </w:r>
      <w:r>
        <w:rPr>
          <w:rFonts w:ascii="Arial" w:cs="Arial" w:eastAsia="Arial" w:hAnsi="Arial"/>
          <w:sz w:val="16"/>
          <w:szCs w:val="16"/>
          <w:color w:val="auto"/>
        </w:rPr>
        <w:t>The Networking Organization for Women at ICON is committed to inspiring and connecting current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leaders through an inclusive environment of targeted initiatives and supportive mentorship.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433705</wp:posOffset>
            </wp:positionV>
            <wp:extent cx="659765" cy="659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0" w:right="20" w:hanging="1057"/>
        <w:spacing w:after="0" w:line="286" w:lineRule="auto"/>
        <w:rPr>
          <w:sz w:val="20"/>
          <w:szCs w:val="20"/>
          <w:color w:val="auto"/>
        </w:rPr>
      </w:pPr>
      <w:r>
        <w:rPr>
          <w:rFonts w:ascii="Arial" w:cs="Arial" w:eastAsia="Arial" w:hAnsi="Arial"/>
          <w:sz w:val="16"/>
          <w:szCs w:val="16"/>
          <w:b w:val="1"/>
          <w:bCs w:val="1"/>
          <w:color w:val="auto"/>
        </w:rPr>
        <w:t xml:space="preserve">Pride@ICON: </w:t>
      </w:r>
      <w:r>
        <w:rPr>
          <w:rFonts w:ascii="Arial" w:cs="Arial" w:eastAsia="Arial" w:hAnsi="Arial"/>
          <w:sz w:val="16"/>
          <w:szCs w:val="16"/>
          <w:color w:val="auto"/>
        </w:rPr>
        <w:t>The Pride group supports LGBTQ+ colleagues and allies, ensuring that no matter where employees are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world, our offices are a safe space where they are welcomed, respected, and 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433705</wp:posOffset>
            </wp:positionV>
            <wp:extent cx="659765" cy="659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440" w:right="20" w:hanging="635"/>
        <w:spacing w:after="0" w:line="275" w:lineRule="auto"/>
        <w:rPr>
          <w:sz w:val="20"/>
          <w:szCs w:val="20"/>
          <w:color w:val="auto"/>
        </w:rPr>
      </w:pPr>
      <w:r>
        <w:rPr>
          <w:rFonts w:ascii="Arial" w:cs="Arial" w:eastAsia="Arial" w:hAnsi="Arial"/>
          <w:sz w:val="16"/>
          <w:szCs w:val="16"/>
          <w:b w:val="1"/>
          <w:bCs w:val="1"/>
          <w:color w:val="auto"/>
        </w:rPr>
        <w:t xml:space="preserve">SPACE: </w:t>
      </w:r>
      <w:r>
        <w:rPr>
          <w:rFonts w:ascii="Arial" w:cs="Arial" w:eastAsia="Arial" w:hAnsi="Arial"/>
          <w:sz w:val="16"/>
          <w:szCs w:val="16"/>
          <w:color w:val="auto"/>
        </w:rPr>
        <w:t>SPACE is a Community Group that Supports Parents And Carers Everywhere. We aim to create awareness</w:t>
      </w:r>
      <w:r>
        <w:rPr>
          <w:rFonts w:ascii="Arial" w:cs="Arial" w:eastAsia="Arial" w:hAnsi="Arial"/>
          <w:sz w:val="16"/>
          <w:szCs w:val="16"/>
          <w:b w:val="1"/>
          <w:bCs w:val="1"/>
          <w:color w:val="auto"/>
        </w:rPr>
        <w:t xml:space="preserve"> </w:t>
      </w:r>
      <w:r>
        <w:rPr>
          <w:rFonts w:ascii="Arial" w:cs="Arial" w:eastAsia="Arial" w:hAnsi="Arial"/>
          <w:sz w:val="16"/>
          <w:szCs w:val="16"/>
          <w:color w:val="auto"/>
        </w:rPr>
        <w:t>and education, with a view to building an effective SPACE community that provides individual, group and regional support connections for parents and carers.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2023 each community group launched a mentoring program to support networking and career development at ICON. This was a huge success with over 300 mentor and mentee matches across the five community groups with mentors and mentees receiving training and toolkits to make the most of their mentoring relationship.</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As a testament to our commitment to diversity, ICON are aiming for gender parity at the VP level and above by 2025. As at January 31, 2024, women represent 46% of the positions at the VP level and above. Our strong focus on talent management, succession planning and talent development ensures we work towards building strong talent pipelines for VP level roles with equal number of female and male candidates shortlisted for all our senior roles.</w:t>
      </w:r>
    </w:p>
    <w:p>
      <w:pPr>
        <w:spacing w:after="0" w:line="3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Establishing a truly inclusive workplace requires offering fair pay. Using best-in-class methodology, we regularly review salary ranges to establish fair pay among employees regardless of gender, race or ethnicity. We also consider legitimate business factors that explain differences, such as performance, tenure and experience. ICON has made and will continue to make significant investments in organizational design structures, tools and education that uphold and support our pay principles.</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are committed to ensuring fair employment practices. For every jurisdiction in which we operate, we act in compliance with relevant laws relating to labor rights and labor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rights</w:t>
      </w:r>
    </w:p>
    <w:p>
      <w:pPr>
        <w:spacing w:after="0" w:line="3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is committed to human rights and in 2021, ICON became a participant in the UN Global Compact (UNGC), signaling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labor, slavery, and human trafficking is defined clearly in these policies, which are available to employees, suppliers, customers, and the public.</w:t>
      </w:r>
    </w:p>
    <w:p>
      <w:pPr>
        <w:spacing w:after="0" w:line="21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We are opposed to forced labor, slavery, and human trafficking. We will not knowingly support or conduct business with any organization involved in such activities. We do not employ anyone below the minimum employment age in the jurisdictions in which we operate.</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Global Supplier Code of Conduct incorporates the Pharmaceutical Supply Chain Initiative (PSCI) principles for responsible supply chain management, including for labor.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i w:val="1"/>
          <w:iCs w:val="1"/>
          <w:color w:val="auto"/>
        </w:rPr>
        <w:t>Ethics and Compliance</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behavior. This Code addresses the core values expected of our people in our internal interactions with each other as well as in external dealings with patients, customers, healthcare professionals, regulators, investors, vendors and other third parties.</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Our Ethics and Compliance program is designed to protect the interests of the company and its shareholders by preventing, detecting, investigating and responding to potential misconduct and violations.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Ethics &amp; Compliance team (E&amp;C) provides day-to-day independent oversight for the program. The team works collaboratively with risk and compliance functions and leadership across the business to align on and optimize its reach and impact. The Head of E&amp;C provides day-to-day independent oversight for the program. The team is independent of the business and reports to the Deputy General Counsel, who reports to the Chief Administrative Officer and General Counsel (CAO). The CAO reports on the program to ICON’s executive leadership team, the Nominating, Sustainability and Governance Committee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 Where appropriate, the program also implements regional and/or country specific policies, procedure, training and guidance.</w:t>
      </w:r>
    </w:p>
    <w:p>
      <w:pPr>
        <w:spacing w:after="0" w:line="219"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ICON has incorporated a third-party system, Ethics Line, for employees and third parties to confidentially report ethics and compliance questions, as well as concerns, and to track reports through follow-up and resolution. An independent company administers this hotline, which is available all hours of every day and can accommodate calls in over 75 languages. These tools also provide visibility into our risks while highlighting opportunities to address them. ICON’s Ethics and Compliance program will continue to grow and evolve in response to changes in our business and in the global business climate.</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All personnel are required to receive ethics and compliance training during initial onboarding and through annual refresher sessions. Training modules explain the many channels available for reporting suspected unethical or illegal practices. The training supports our values and our ways of working and incorporates the key principles of our policies and codes and includes interactive scenarios where applicable.</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Anti-bribery and Corruption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is guided by the foundational principle that we do not tolerate bribery or any other form of corruption or fraud. Our anti-bribery and anti-corruption (ABAC) program is a core element of our Ethics and Compliance program.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ICON's internal audit teams conduct ABAC program audits. Internal Audit focuses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Privacy and Information Security</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Data privacy and information security are fundamental to our business and key to retaining customers, building investors’ trust, protecting patients, and complying with global and regional regulations. We recognize and respect that our customers, employees, patients, and all those who do business with us expect that we will protect their personal information in accordance with our legal obligations and policy commitments.</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Global Data Protection Policy regulates the processing of personal data in accordance with the applicable data protection laws of the countries where we operate, including Europe’s General Data Protection Regulation (GDPR) framework. This policy governs ICON’s and its employees’ obligations concerning the processing of personal data, including core privacy issues such as how we address data subject rights, data protection impact assessments and our obligations to maintain records of processing activities (ROPAs).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has a separate Personal Data Incident and Breach Response Policy and Process that governs the management of personal data incidents and breaches within ICON. The policy requires incidents to be reported to ICON’s Global Data Protection Officer (DPO) and Privacy Team, who manage them in collaboration with relevant internal stakeholders (e.g., IT Security, Quality &amp; Compliance), to ensure we comply with our legal and contractual obligations, including our reporting obligations. In 2023, in combination with our existing ISO 27001 certification, ICON’s data protection policies and procedures were certified to ISO 27701. Our privacy program is overseen by the CAO.</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programs and provide direct support in response to priorities dictated by ICON’s Privacy and Security Council (chaired by ICON’s Global Data Protection Officer and Head of Information Security).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about our cybersecurity program see Item 16K - Cybersecurity.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Sustainable procurement</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ICON maintains policies and processes to support responsible, sustainable, and ethical business practices. Our goal is to source from suppliers whose values align with our own, who share our commitment to diversity and inclusion, and who are socially and environmentally responsible and conscious.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require our suppliers to abide by our Global Supplier Code of Conduct which incorporates the Pharmaceutical Supply Chain Initiative (PSCI)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principles for Responsible Supply Chain Management and sets out our standards and expectations regarding:</w:t>
      </w:r>
    </w:p>
    <w:p>
      <w:pPr>
        <w:spacing w:after="0" w:line="2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6"/>
          <w:szCs w:val="16"/>
          <w:color w:val="auto"/>
        </w:rPr>
        <w:t>Ethics and compliance</w:t>
      </w:r>
    </w:p>
    <w:p>
      <w:pPr>
        <w:spacing w:after="0" w:line="1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6"/>
          <w:szCs w:val="16"/>
          <w:color w:val="auto"/>
        </w:rPr>
        <w:t>Labor and human rights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6"/>
          <w:szCs w:val="16"/>
          <w:color w:val="auto"/>
        </w:rPr>
        <w:t>Health and safety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6"/>
          <w:szCs w:val="16"/>
          <w:color w:val="auto"/>
        </w:rPr>
        <w:t>Environmental stewardship</w:t>
      </w:r>
    </w:p>
    <w:p>
      <w:pPr>
        <w:spacing w:after="0" w:line="23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6" w:name="page47"/>
    <w:bookmarkEnd w:id="46"/>
    <w:p>
      <w:pPr>
        <w:jc w:val="both"/>
        <w:ind w:firstLine="648"/>
        <w:spacing w:after="0" w:line="275" w:lineRule="auto"/>
        <w:rPr>
          <w:sz w:val="20"/>
          <w:szCs w:val="20"/>
          <w:color w:val="auto"/>
        </w:rPr>
      </w:pPr>
      <w:r>
        <w:rPr>
          <w:rFonts w:ascii="Arial" w:cs="Arial" w:eastAsia="Arial" w:hAnsi="Arial"/>
          <w:sz w:val="16"/>
          <w:szCs w:val="16"/>
          <w:color w:val="auto"/>
        </w:rPr>
        <w:t>To further support the development of our sustainable procurement program, ICON has engaged with EcoVadis, CDP and Supplier IO to help assess our key suppliers and gather data around sustainability maturity, GHG emissions and diversity status and classifications. This data allows us to factor sustainability related factors into our supplier selection activities and embed sustainability into our procurement practices.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to gain repeat business and enable us new opportunities to penetrate into other therapeutic indications and adjacent service lines.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the PPD clinical research services brand of Thermo Fisher Scientific Inc., Fortrea and Syneos Health. In some specific markets, for example biotech and mid-tier pharma, ICON may also compete against mid-tier CROs. Competition also exists for acquisition candidates in addition to competition for customers.</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future.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During the year ended December 31, 2023, revenue was earned from a wide range of clients and 26.8% of our revenues were derived from our top five customers, with no one customer individually contributing more than 10% of our revenues during the period. Our largest customer represented a strategic partnership with a large global pharmaceutical company and contributed 8.9% of revenue for the year.</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year ended December 31, 2022, 28.3% of our revenues were derived from our top five customers, with no one customer individually contributing more than 10% of our revenues during the period. Our largest customer represented a strategic partnership with a large global pharmaceutical company and contributed 8.8% of revenue for the year ended December 31, 2022.</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year ended December 31, 2021, 31.6% of our revenues were derived from our top five customers, with no one customer individually contributing more than 10% of our revenues during the period. Our largest customer represented a strategic partnership with a large global pharmaceutical company and contributed 8.0% of revenue for the year ended December 31, 2021.</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loss of, or a significant decrease in business from one or more of our key customers could have a material adverse impact on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Unsatisfied Performance Obligation</w:t>
      </w:r>
    </w:p>
    <w:p>
      <w:pPr>
        <w:spacing w:after="0" w:line="248"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Our unsatisfied performance obligation consists of contracted revenue yet to be earned from projects awarded by clients. At December 31, 2023 we had contracted unsatisfied performance obligations of $14.8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Information Systems</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ICON utilizes an extensive range of both on premise and cloud based applications that support its services including clinical trial design and planning, site and patient identification and recruitment, site start-up, patient consent, site payments, content management, clinical data analysis and real world evidence generation, customer relationship management (CRM), performance management, compliance and safety reporting and master data management. These solutions are to allow healthcare companies to manage, optimize and execute their clinical and commercial strategies in an orchestrated manner while addressing their regulatory obligations.</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 has developed an informatics strategy built around key platforms including ICONIK and Health Cloud, web-based information platforms that enable the management, reporting, analysis and visualization of all data relating to drug development. The ICONIK and Health Cloud platforms collect, manage and standardize study data from multiple sources, including Electronic Data Capture (EDC), patient engagement, EMR/EHR, mobile health, Telehealth, Wearables, Central Laboratories, Symphony Health and Imaging platforms to provide a single view of study information.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addition to managing clinical data, ICONIK and Health Cloud collect operational data, such as project management, clinical trials management system (CTMS) and metrics information to drive trial efficiency and transparency. Investigator data, such as payments, site details and performance, can also be incorporated. ICONIK and Health Cloud can be accessed via a portal that allows clients access to study-related information via a secure web-based environment. Data analysis from ICONIK and Health Cloud Informatics Hubs and CDRP allows us to enhance the design and delivery of our projects, through stronger engagement with investigators and patients.</w:t>
      </w:r>
    </w:p>
    <w:p>
      <w:pPr>
        <w:spacing w:after="0" w:line="19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Data management and collection is a key business process for Symphony Health through its Integrated Dataverse (IDV®) platform. Integrated Dataverse (IDV®) is a comprehensive and longitudinal source of healthcare data in the industry, bringing together our vast claims resources – medical, hospital, and prescription – with our rich point-of-sale prescription data, non-retail invoice data, and demographic data.</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Veeva, Dassault, Salesforce and BOX. IT expenditure is authorized by strict IT governance policies requiring senior level approval of all strategic IT expenditure based on defined business strategy and measurable business benefits.</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both leading clinical data management solutions including EDC and Clinical Data Warehouse solutions from external vendors as well as our proprietary EDC capability NEXTrials Prism eClinical. This allows us to guarantee the integrity of client data and provide consolidated information across client studies.</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Within Clinical Operations, we also provide the ICON Digital Platform enabling the delivery of Decentralized and Hybrid Clinical Trial services, maximizing patient recruitment and retention and at the same time expanding access to diverse and remote patient populations. We develop strategic, flexible approaches that leverage clinical informatics, state-of-the-art technologies, and our global reach to maximize safety and efficiency and make data-driven decisions for every study.</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our clinical trials management area, Firecrest Clinical provides a comprehensive site performance management system that improves compliance, consistency and efficient execution of activities at investigative sites. The web-based solution enables accurate study information, including protocol information, training manuals and case report forms, to be rolled out quickly and simultaneously to sites. Site behavior can then be tracked to ensure training is understood, procedures are being followed, timelines are met and study parameters are maintained. As well as meeting day to day operational requirements, this system feeds data into the ICONIK and Health Cloud platforms.</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provide interactive response technology (IXR) to enable centralized patient randomization, drug inventory management and patient diary collection, providing our clients with a fully flexible multi-channel data retrieval solution which can be utilized via telephone, internet browser or a mobile device. In our central laboratory business, we utilize a comprehensive suite of software, including a laboratory information management system (LIMS), a kit / sample management system and a web</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interface system to allow clients to review results online. Our Laboratory also utilizes IMRA, a web based laboratory review application that allows global access to the latest laboratory data on a study. IMRA facilitates detailed analysis of any trends, signals, alerts or patient-specific data on a real-time basis. ICON provides imaging and cardio safety services through the use of its internally developed MIRA &amp; Maestro platforms and also utilizes Medidata’s Rave Commercial Imaging for collecting, managing and processing data to support its imaging capabilities.</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provides its Pharmacovigilance Services using Oracle’s ARGUS safety database. The system is FDA regulation 21 CFR Part 11 compliant and generates all the standard regulatory required reports, as well the periodic reports required to support operations.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 supports Population Pharmacokinetics and Pharmacokinetic Pharmacodynamic modeling through the use of its proprietary software NONMEM®. NONMEM® is a nonlinear mixed effects modeling tool that can be used to fit models to many different types of data. Statistical analysis with NONMEM® using the appropriate model helps pharmaceutical companies determine appropriate dosing strategies for their products, and increase their understanding of drug mechanisms and interactions. NONMEM® can also be accompanied with PDx-Pop proprietary software. PDx-Pop software is a graphical interface for NONMEM® which has its own automation methodology which expedites the iterative process of population pharmacokinetic modeling and analysis. ICON also utilizes PREDPP, which is a powerful package of subroutines handling population PK data, as well as general linear and nonlinear models, which can free the user from coding standard kinetic-type equations while simultaneously allowing complicated patient-type data to be easily analyzed. Finally, ICON utilizes NM-TRAN, which is a preprocessor allowing control and other needed inputs to be specified in a user-friendly manner.</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ICON's configurable Real World Data “Evidence” platform is a fit-for-purpose solution to support and enhance observational research. The platform gathers disparate real world data assets into a common data model, provides analytics to support multiple audiences across the product lifecycle, and serves as a central repository and analytic platform for all Real World Data assets.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ICON’s Integrated Dataverse (IDV®) is one of the largest integrated repositories of healthcare data consisting of 280 million patient lives, 1.8 million prescribers and 16 thousand health plans which provides powerful data, applications, analytics, and consulting to help companies gain deep insight into the pharmaceutical market. We transform data into decisions and give deeper insight into the relationships that sponsor brands have with the market by allowing a holistic view of the impacts of payer, prescriber, and patient behavior. Our proprietary Tokenisation technology Synoma® simplifies the anonymization, exchange and connection of industry data sources to provide an integrated view of a patient’s data.</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strategy of using technology to enhance our global processes is evident from our deployment of platforms like ICONIK, Health Cloud, Veeva CDMS/EDMS/QMS (our global SOP Document Management system), iLearn and Cornerstone (our Web-based training delivery solution), ServiceNow (workflow and automation platform), Sailpoint (identity management and governance), and Pega and ARGUS (pharmacovigilance). The Electronic Trial Master File is delivered via ICON’s proprietary software ICOMaster or the Wingspan and PhlexGlobal software platforms.</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Company’s global finance operations utilize Oracle’s eBusiness suite, with the integrated Excel4Apps reporting tool, to serve the organization’s financial and project accounting requirements. Workday is used to fulfill our HR people management requirements. Our business development and contracting teams use Salesforce CRM.</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IT systems are operated from two data center hubs in Europe (Dublin, Ireland; Groningen, Netherlands), four in North America (Philadelphia, Pennsylvania; Lenexa, Kansas; Charlottesville, Virginia; Dallas, Texas) and one in Asia (Singapore). These hubs reside within purpose-built data center facility locations. Other offices are linked to these hubs through a network managed by Verizon, a tier one global telecommunications provider. This network provides global connectivity for our applications and allows collaboration and communication using tools like Microsoft Teams, Cisco Jabber,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biannually as part of maintaining ICON’s ISO27001:2013 certification.</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enables its patient site and data strategy through the services delivered via Accellacare, Oncacare and Veradigm Allscripts. We also work with biopharmaceutical companies and other life science providers (e.g. medical devices companies) to develop and deploy bespoke stakeholder engagement solutions. ICON’s patient engagement services enable site staff to engage directly with patients to help improve their disease and medication understanding through interventional and non-interventional support.</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is the leading provider of Functional Service Provision (FSP) globally. Our team of operational, functional and therapeutic specialists offer a range of FSP models. We offer FSP solutions across all major functions from clinical monitoring and project management through data management, statistical programming and beyond. Our teams leverage either Sponsor or ICON’s IT Infrastructure to deliver services. Our team has extensive experience managing the migration of systems and can support system upgrades as part of the ramp-up phase.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ICON provides molecular diagnostic laboratory capabilities that enables the development and commercialization of precision medicines in oncology.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key innovations and new technologies include:</w:t>
      </w:r>
    </w:p>
    <w:p>
      <w:pPr>
        <w:spacing w:after="0" w:line="262" w:lineRule="exact"/>
        <w:rPr>
          <w:sz w:val="20"/>
          <w:szCs w:val="20"/>
          <w:color w:val="auto"/>
        </w:rPr>
      </w:pPr>
    </w:p>
    <w:p>
      <w:pPr>
        <w:ind w:left="660" w:hanging="328"/>
        <w:spacing w:after="0" w:line="263"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FLEX ADVANTAGE, our interactive response technology platform (accessible through the web and web-enabled mobile devices) for managing patient randomization, investigator sites and clinical suppliers.</w:t>
      </w:r>
    </w:p>
    <w:p>
      <w:pPr>
        <w:ind w:left="660" w:hanging="328"/>
        <w:spacing w:after="0" w:line="249"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PubsHub brings speed and efficiency to medical teams by delivering easy-to-use, web-based solutions that bridge process gaps for system harmonization across companies. ICON utilizes PubsHub to automate medical and scientific communications and publications management.</w:t>
      </w:r>
    </w:p>
    <w:p>
      <w:pPr>
        <w:ind w:left="660" w:hanging="328"/>
        <w:spacing w:after="0" w:line="25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ICON Patient Engagement Platform features an easy to navigate, user friendly website enabling patients to explore new and ongoing studies available, opt-in and connect with their nearest clinical research site.</w:t>
      </w:r>
    </w:p>
    <w:p>
      <w:pPr>
        <w:jc w:val="both"/>
        <w:ind w:left="660" w:right="20" w:hanging="328"/>
        <w:spacing w:after="0" w:line="252"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One-Search, an intuitive, integrated workflow and interrogation tool from ICON,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ind w:left="660" w:hanging="328"/>
        <w:spacing w:after="0" w:line="25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ADDPLAN for simulation and design of exploratory/pilot and confirmatory/pivotal adaptive clinical trials (ADDPLAN® DF (Dose Finder), ADDPLAN® Base, ADDPLAN® MC (Multiple Comparison) and ADDPLAN® PE (Population Enrichment)).</w:t>
      </w:r>
    </w:p>
    <w:p>
      <w:pPr>
        <w:jc w:val="both"/>
        <w:ind w:left="660" w:hanging="328"/>
        <w:spacing w:after="0" w:line="252"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AptivAdvantage which is an integrated 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jc w:val="both"/>
        <w:ind w:left="660" w:hanging="328"/>
        <w:spacing w:after="0" w:line="254"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Sample Inventory Management System (SIMS) is an interactive reporting module in ICOLabs for use by sponsors and study teams. It offers near real time, high level traceability of all patient samples in a clinical trial as they move from accessioning through disposition. SIMS provides detailed sample inventory reports and summaries of sample status and location with drill down capabilities. It helps locate samples more rapidly, particularly at critical study junctures.</w:t>
      </w:r>
    </w:p>
    <w:p>
      <w:pPr>
        <w:ind w:left="660" w:right="20" w:hanging="328"/>
        <w:spacing w:after="0" w:line="25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APECS for Investigator Payments ensures timely and accurate payments to sites for the work performed in the care and management of patients as they participate within clinical trials.</w:t>
      </w:r>
    </w:p>
    <w:p>
      <w:pPr>
        <w:jc w:val="both"/>
        <w:ind w:left="660" w:hanging="328"/>
        <w:spacing w:after="0" w:line="252"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PredictivvTM platform is a fully integrated solution for designing, planning, managing and optimizing the execution of global clinical studies. Designed around a unified Salesforce platform that harmonizes data, processes, and people across every aspect of a clinical study, PredictivvTM enables unprecedented adaptive intelligence and decision support for the ever-increasing complexities of the clinical development process.</w:t>
      </w:r>
    </w:p>
    <w:p>
      <w:pPr>
        <w:jc w:val="both"/>
        <w:ind w:left="660" w:hanging="328"/>
        <w:spacing w:after="0" w:line="248"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EXACT™ allows users to quickly construct re-usable programs for data extraction, data transformation, statistical reporting and electronic publishing, in a visual environment with limited code writing. The EXACT™ system is used to simplify and automate the production of multiple Clinical Data Interchange Standards Consortium (CDISC) guidelines as well as tables, figures and listings in trial reports.</w:t>
      </w: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Cassandra – AI capability which predicts the needs for FDA &amp; EMA Post marketing studies.</w:t>
      </w:r>
    </w:p>
    <w:p>
      <w:pPr>
        <w:spacing w:after="0" w:line="14" w:lineRule="exact"/>
        <w:rPr>
          <w:rFonts w:ascii="Arial" w:cs="Arial" w:eastAsia="Arial" w:hAnsi="Arial"/>
          <w:sz w:val="16"/>
          <w:szCs w:val="16"/>
          <w:color w:val="auto"/>
        </w:rPr>
      </w:pPr>
    </w:p>
    <w:p>
      <w:pPr>
        <w:ind w:left="660" w:hanging="328"/>
        <w:spacing w:after="0" w:line="230"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16"/>
          <w:szCs w:val="16"/>
          <w:color w:val="auto"/>
        </w:rPr>
        <w:t>ICONex – AI Powered capability which enables the KOL’s and their networks to be more easily identified.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Arrangements</w:t>
      </w:r>
    </w:p>
    <w:p>
      <w:pPr>
        <w:spacing w:after="0" w:line="24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We are generally awarded projects based upon our responses to requests for proposals received from companies in the pharmaceutical, biotechnology and medical device industries, or through strategic partnership agreements.</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progress or delivery of the study database.</w:t>
      </w:r>
    </w:p>
    <w:p>
      <w:pPr>
        <w:spacing w:after="0" w:line="19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progress towards completion for clinical service contracts is measured based on total project costs (direct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ind w:firstLine="648"/>
        <w:spacing w:after="0" w:line="275" w:lineRule="auto"/>
        <w:rPr>
          <w:sz w:val="20"/>
          <w:szCs w:val="20"/>
          <w:color w:val="auto"/>
        </w:rPr>
      </w:pPr>
      <w:r>
        <w:rPr>
          <w:rFonts w:ascii="Arial" w:cs="Arial" w:eastAsia="Arial" w:hAnsi="Arial"/>
          <w:sz w:val="16"/>
          <w:szCs w:val="16"/>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2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Chief Executive Officer and other members of the executive management team are responsible for day-to-day risk management of the Company and our Board oversees management's activities through both the full Board and its committees. Our Chief Executive Officer and other members of the executive management team are members of ICON’s Quality and Risk Forum, which reviews risk. Our executive management team regularly reports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and our Compensation and Organization Committee oversees risk management with respect to our compensation plans, policies and procedures and our Nominating, Sustainability and Governance Committee oversees risks relating to ESG matters. Internal audit reports functionally and administratively to our Chief Financial Officer and directly to the Audit Committee. With respect to non-financial risk management, including cybersecurity, legal compliance, privacy and enterprise risk, the Board and its Committees receive updates from the appropriate executives on the primary risks facing the Company and the measures the Company is taking to mitigate such risks.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 addition, our activities in Europe are affected by the European Medicines Agency.</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Liability and Insurance</w:t>
      </w:r>
    </w:p>
    <w:p>
      <w:pPr>
        <w:spacing w:after="0" w:line="221"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nature of our business exposes us to potential liability including, but not limited to, potential liability for (i) breach of contract or negligence claims by our customers; and, (ii) third party (such as patients) claims in respect of our performance of services.</w:t>
      </w:r>
    </w:p>
    <w:p>
      <w:pPr>
        <w:spacing w:after="0" w:line="114"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In addition, although we do not believe we are legally responsible for acts of third party investigators (physicians running trials), we could be subject to claims arising as a result of the actions of these investigators.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1" w:name="page52"/>
    <w:bookmarkEnd w:id="51"/>
    <w:p>
      <w:pPr>
        <w:ind w:left="660"/>
        <w:spacing w:after="0"/>
        <w:rPr>
          <w:sz w:val="20"/>
          <w:szCs w:val="20"/>
          <w:color w:val="auto"/>
        </w:rPr>
      </w:pPr>
      <w:r>
        <w:rPr>
          <w:rFonts w:ascii="Arial" w:cs="Arial" w:eastAsia="Arial" w:hAnsi="Arial"/>
          <w:sz w:val="16"/>
          <w:szCs w:val="16"/>
          <w:color w:val="auto"/>
        </w:rPr>
        <w:t>We try to reduce this potential liability by:</w:t>
      </w:r>
    </w:p>
    <w:p>
      <w:pPr>
        <w:spacing w:after="0" w:line="248" w:lineRule="exact"/>
        <w:rPr>
          <w:sz w:val="20"/>
          <w:szCs w:val="20"/>
          <w:color w:val="auto"/>
        </w:rPr>
      </w:pPr>
    </w:p>
    <w:p>
      <w:pPr>
        <w:jc w:val="both"/>
        <w:ind w:left="820" w:hanging="164"/>
        <w:spacing w:after="0" w:line="257"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spacing w:after="0" w:line="2" w:lineRule="exact"/>
        <w:rPr>
          <w:rFonts w:ascii="Arial" w:cs="Arial" w:eastAsia="Arial" w:hAnsi="Arial"/>
          <w:sz w:val="16"/>
          <w:szCs w:val="16"/>
          <w:color w:val="auto"/>
        </w:rPr>
      </w:pPr>
    </w:p>
    <w:p>
      <w:pPr>
        <w:jc w:val="both"/>
        <w:ind w:left="820" w:hanging="164"/>
        <w:spacing w:after="0" w:line="264"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worldwide professional liability insurance. While we maintain the types and amounts of insurance we view as customary in the industries and countries in which we operate, there is no guarantee that we will continue to be able to maintain such insurance coverage on terms acceptable to us, if at all, or that the relevant policy will respond and provide cover when we want it to.</w:t>
      </w:r>
    </w:p>
    <w:p>
      <w:pPr>
        <w:spacing w:after="0" w:line="21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could be materially adversely affected if ICON is required to pay damages or bear the costs of defending or settling any claim which a) is outside the scope of or in excess of a contractual indemnification provision, b) an indemnifying party does not fulfill its indemnification obligations, c) the claim is in excess of the level of our insurance coverage or d) the relevant circumstances are not covered by our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Organizational Structure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Details of the Company’s significant subsidiaries or entities under the Company's control at December 31, 2023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b w:val="1"/>
                <w:bCs w:val="1"/>
                <w:i w:val="1"/>
                <w:iCs w:val="1"/>
                <w:color w:val="auto"/>
              </w:rPr>
              <w:t>Country</w:t>
            </w:r>
          </w:p>
        </w:tc>
        <w:tc>
          <w:tcPr>
            <w:tcW w:w="25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Clinical Research S.A.</w:t>
            </w:r>
          </w:p>
        </w:tc>
        <w:tc>
          <w:tcPr>
            <w:tcW w:w="3680" w:type="dxa"/>
            <w:vAlign w:val="bottom"/>
          </w:tcPr>
          <w:p>
            <w:pPr>
              <w:ind w:left="1400"/>
              <w:spacing w:after="0"/>
              <w:rPr>
                <w:sz w:val="20"/>
                <w:szCs w:val="20"/>
                <w:color w:val="auto"/>
              </w:rPr>
            </w:pPr>
            <w:r>
              <w:rPr>
                <w:rFonts w:ascii="Arial" w:cs="Arial" w:eastAsia="Arial" w:hAnsi="Arial"/>
                <w:sz w:val="16"/>
                <w:szCs w:val="16"/>
                <w:color w:val="auto"/>
              </w:rPr>
              <w:t>Argentina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S.A.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Argentina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Pty Limited</w:t>
            </w:r>
          </w:p>
        </w:tc>
        <w:tc>
          <w:tcPr>
            <w:tcW w:w="3680" w:type="dxa"/>
            <w:vAlign w:val="bottom"/>
          </w:tcPr>
          <w:p>
            <w:pPr>
              <w:ind w:left="140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PTY Limited</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Australia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Medpass International Pty Ltd</w:t>
            </w:r>
          </w:p>
        </w:tc>
        <w:tc>
          <w:tcPr>
            <w:tcW w:w="3680" w:type="dxa"/>
            <w:vAlign w:val="bottom"/>
          </w:tcPr>
          <w:p>
            <w:pPr>
              <w:ind w:left="140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Austria GmbH</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Austria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RPS Research Austria GmbH</w:t>
            </w:r>
          </w:p>
        </w:tc>
        <w:tc>
          <w:tcPr>
            <w:tcW w:w="3680" w:type="dxa"/>
            <w:vAlign w:val="bottom"/>
          </w:tcPr>
          <w:p>
            <w:pPr>
              <w:ind w:left="1400"/>
              <w:spacing w:after="0"/>
              <w:rPr>
                <w:sz w:val="20"/>
                <w:szCs w:val="20"/>
                <w:color w:val="auto"/>
              </w:rPr>
            </w:pPr>
            <w:r>
              <w:rPr>
                <w:rFonts w:ascii="Arial" w:cs="Arial" w:eastAsia="Arial" w:hAnsi="Arial"/>
                <w:sz w:val="16"/>
                <w:szCs w:val="16"/>
                <w:color w:val="auto"/>
              </w:rPr>
              <w:t>Austria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IMP-Logistics Bel, FLLC</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Belarus</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Belgium B.V.</w:t>
            </w:r>
          </w:p>
        </w:tc>
        <w:tc>
          <w:tcPr>
            <w:tcW w:w="3680" w:type="dxa"/>
            <w:vAlign w:val="bottom"/>
          </w:tcPr>
          <w:p>
            <w:pPr>
              <w:ind w:left="1400"/>
              <w:spacing w:after="0"/>
              <w:rPr>
                <w:sz w:val="20"/>
                <w:szCs w:val="20"/>
                <w:color w:val="auto"/>
              </w:rPr>
            </w:pPr>
            <w:r>
              <w:rPr>
                <w:rFonts w:ascii="Arial" w:cs="Arial" w:eastAsia="Arial" w:hAnsi="Arial"/>
                <w:sz w:val="16"/>
                <w:szCs w:val="16"/>
                <w:color w:val="auto"/>
              </w:rPr>
              <w:t>Belgium</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Belgium N.V.</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Belgium</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RPS Bermuda, Ltd.</w:t>
            </w:r>
          </w:p>
        </w:tc>
        <w:tc>
          <w:tcPr>
            <w:tcW w:w="3680" w:type="dxa"/>
            <w:vAlign w:val="bottom"/>
          </w:tcPr>
          <w:p>
            <w:pPr>
              <w:ind w:left="1400"/>
              <w:spacing w:after="0"/>
              <w:rPr>
                <w:sz w:val="20"/>
                <w:szCs w:val="20"/>
                <w:color w:val="auto"/>
              </w:rPr>
            </w:pPr>
            <w:r>
              <w:rPr>
                <w:rFonts w:ascii="Arial" w:cs="Arial" w:eastAsia="Arial" w:hAnsi="Arial"/>
                <w:sz w:val="16"/>
                <w:szCs w:val="16"/>
                <w:color w:val="auto"/>
              </w:rPr>
              <w:t>Bermuda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Pesquisas Clínicas Ltda.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Ltda.</w:t>
            </w:r>
          </w:p>
        </w:tc>
        <w:tc>
          <w:tcPr>
            <w:tcW w:w="3680" w:type="dxa"/>
            <w:vAlign w:val="bottom"/>
          </w:tcPr>
          <w:p>
            <w:pPr>
              <w:ind w:left="1400"/>
              <w:spacing w:after="0"/>
              <w:rPr>
                <w:sz w:val="20"/>
                <w:szCs w:val="20"/>
                <w:color w:val="auto"/>
              </w:rPr>
            </w:pPr>
            <w:r>
              <w:rPr>
                <w:rFonts w:ascii="Arial" w:cs="Arial" w:eastAsia="Arial" w:hAnsi="Arial"/>
                <w:sz w:val="16"/>
                <w:szCs w:val="16"/>
                <w:color w:val="auto"/>
              </w:rPr>
              <w:t>Brazil</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do Brasil Serviços de Pesquisas Ltda.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RPS China Inc.</w:t>
            </w:r>
          </w:p>
        </w:tc>
        <w:tc>
          <w:tcPr>
            <w:tcW w:w="3680" w:type="dxa"/>
            <w:vAlign w:val="bottom"/>
          </w:tcPr>
          <w:p>
            <w:pPr>
              <w:ind w:left="1400"/>
              <w:spacing w:after="0"/>
              <w:rPr>
                <w:sz w:val="20"/>
                <w:szCs w:val="20"/>
                <w:color w:val="auto"/>
              </w:rPr>
            </w:pPr>
            <w:r>
              <w:rPr>
                <w:rFonts w:ascii="Arial" w:cs="Arial" w:eastAsia="Arial" w:hAnsi="Arial"/>
                <w:sz w:val="16"/>
                <w:szCs w:val="16"/>
                <w:color w:val="auto"/>
              </w:rPr>
              <w:t>British Virgin Islands</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Bulgaria EOOD</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Bulgaria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Clinical Research EOOD</w:t>
            </w:r>
          </w:p>
        </w:tc>
        <w:tc>
          <w:tcPr>
            <w:tcW w:w="3680" w:type="dxa"/>
            <w:vAlign w:val="bottom"/>
          </w:tcPr>
          <w:p>
            <w:pPr>
              <w:ind w:left="1400"/>
              <w:spacing w:after="0"/>
              <w:rPr>
                <w:sz w:val="20"/>
                <w:szCs w:val="20"/>
                <w:color w:val="auto"/>
              </w:rPr>
            </w:pPr>
            <w:r>
              <w:rPr>
                <w:rFonts w:ascii="Arial" w:cs="Arial" w:eastAsia="Arial" w:hAnsi="Arial"/>
                <w:sz w:val="16"/>
                <w:szCs w:val="16"/>
                <w:color w:val="auto"/>
              </w:rPr>
              <w:t>Bulgaria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Services de Recherche Pharmaceutique Srl</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3065613 Nova Scotia Company</w:t>
            </w:r>
          </w:p>
        </w:tc>
        <w:tc>
          <w:tcPr>
            <w:tcW w:w="3680" w:type="dxa"/>
            <w:vAlign w:val="bottom"/>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(Canada) Inc.</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ULC</w:t>
            </w:r>
          </w:p>
        </w:tc>
        <w:tc>
          <w:tcPr>
            <w:tcW w:w="3680" w:type="dxa"/>
            <w:vAlign w:val="bottom"/>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Oxford Outcomes LTD.</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Life Sciences Canada Inc.</w:t>
            </w:r>
          </w:p>
        </w:tc>
        <w:tc>
          <w:tcPr>
            <w:tcW w:w="3680" w:type="dxa"/>
            <w:vAlign w:val="bottom"/>
          </w:tcPr>
          <w:p>
            <w:pPr>
              <w:ind w:left="140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Chile Limitada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Chile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PRA Health Sciences Chile SpA</w:t>
            </w:r>
          </w:p>
        </w:tc>
        <w:tc>
          <w:tcPr>
            <w:tcW w:w="3680" w:type="dxa"/>
            <w:vAlign w:val="bottom"/>
          </w:tcPr>
          <w:p>
            <w:pPr>
              <w:ind w:left="1400"/>
              <w:spacing w:after="0"/>
              <w:rPr>
                <w:sz w:val="20"/>
                <w:szCs w:val="20"/>
                <w:color w:val="auto"/>
              </w:rPr>
            </w:pPr>
            <w:r>
              <w:rPr>
                <w:rFonts w:ascii="Arial" w:cs="Arial" w:eastAsia="Arial" w:hAnsi="Arial"/>
                <w:sz w:val="16"/>
                <w:szCs w:val="16"/>
                <w:color w:val="auto"/>
              </w:rPr>
              <w:t>Chile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China, Inc.</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Clinical Research (Beijing No.2) Co., Ltd</w:t>
            </w:r>
          </w:p>
        </w:tc>
        <w:tc>
          <w:tcPr>
            <w:tcW w:w="3680" w:type="dxa"/>
            <w:vAlign w:val="bottom"/>
          </w:tcPr>
          <w:p>
            <w:pPr>
              <w:ind w:left="1400"/>
              <w:spacing w:after="0"/>
              <w:rPr>
                <w:sz w:val="20"/>
                <w:szCs w:val="20"/>
                <w:color w:val="auto"/>
              </w:rPr>
            </w:pPr>
            <w:r>
              <w:rPr>
                <w:rFonts w:ascii="Arial" w:cs="Arial" w:eastAsia="Arial" w:hAnsi="Arial"/>
                <w:sz w:val="16"/>
                <w:szCs w:val="16"/>
                <w:color w:val="auto"/>
              </w:rPr>
              <w:t>China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(Beijing) Co., Ltd</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PRA Health Sciences Colombia Ltda.</w:t>
            </w:r>
          </w:p>
        </w:tc>
        <w:tc>
          <w:tcPr>
            <w:tcW w:w="3680" w:type="dxa"/>
            <w:vAlign w:val="bottom"/>
          </w:tcPr>
          <w:p>
            <w:pPr>
              <w:ind w:left="1400"/>
              <w:spacing w:after="0"/>
              <w:rPr>
                <w:sz w:val="20"/>
                <w:szCs w:val="20"/>
                <w:color w:val="auto"/>
              </w:rPr>
            </w:pPr>
            <w:r>
              <w:rPr>
                <w:rFonts w:ascii="Arial" w:cs="Arial" w:eastAsia="Arial" w:hAnsi="Arial"/>
                <w:sz w:val="16"/>
                <w:szCs w:val="16"/>
                <w:color w:val="auto"/>
              </w:rPr>
              <w:t>Colombia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Costa Rica, LTDA.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Costa Rica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Research Ltd.</w:t>
            </w:r>
          </w:p>
        </w:tc>
        <w:tc>
          <w:tcPr>
            <w:tcW w:w="3680" w:type="dxa"/>
            <w:vAlign w:val="bottom"/>
          </w:tcPr>
          <w:p>
            <w:pPr>
              <w:ind w:left="1400"/>
              <w:spacing w:after="0"/>
              <w:rPr>
                <w:sz w:val="20"/>
                <w:szCs w:val="20"/>
                <w:color w:val="auto"/>
              </w:rPr>
            </w:pPr>
            <w:r>
              <w:rPr>
                <w:rFonts w:ascii="Arial" w:cs="Arial" w:eastAsia="Arial" w:hAnsi="Arial"/>
                <w:sz w:val="16"/>
                <w:szCs w:val="16"/>
                <w:color w:val="auto"/>
              </w:rPr>
              <w:t>Croatia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 Research Associates d.o.o. za klinicka ispitivanja</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Croatia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Clinical Research Czech Republic s.r.o.</w:t>
            </w:r>
          </w:p>
        </w:tc>
        <w:tc>
          <w:tcPr>
            <w:tcW w:w="3680" w:type="dxa"/>
            <w:vAlign w:val="bottom"/>
          </w:tcPr>
          <w:p>
            <w:pPr>
              <w:ind w:left="1400"/>
              <w:spacing w:after="0"/>
              <w:rPr>
                <w:sz w:val="20"/>
                <w:szCs w:val="20"/>
                <w:color w:val="auto"/>
              </w:rPr>
            </w:pPr>
            <w:r>
              <w:rPr>
                <w:rFonts w:ascii="Arial" w:cs="Arial" w:eastAsia="Arial" w:hAnsi="Arial"/>
                <w:sz w:val="16"/>
                <w:szCs w:val="16"/>
                <w:color w:val="auto"/>
              </w:rPr>
              <w:t>Czech Republic</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s.r.o.</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Czech Republic</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Denmark ApS</w:t>
            </w:r>
          </w:p>
        </w:tc>
        <w:tc>
          <w:tcPr>
            <w:tcW w:w="3680" w:type="dxa"/>
            <w:vAlign w:val="bottom"/>
          </w:tcPr>
          <w:p>
            <w:pPr>
              <w:ind w:left="1400"/>
              <w:spacing w:after="0"/>
              <w:rPr>
                <w:sz w:val="20"/>
                <w:szCs w:val="20"/>
                <w:color w:val="auto"/>
              </w:rPr>
            </w:pPr>
            <w:r>
              <w:rPr>
                <w:rFonts w:ascii="Arial" w:cs="Arial" w:eastAsia="Arial" w:hAnsi="Arial"/>
                <w:sz w:val="16"/>
                <w:szCs w:val="16"/>
                <w:color w:val="auto"/>
              </w:rPr>
              <w:t>Denmark</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Nordic Countries A/S</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Denmark</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ICON Clinical Research Egypt Limited Liability Company</w:t>
            </w:r>
          </w:p>
        </w:tc>
        <w:tc>
          <w:tcPr>
            <w:tcW w:w="3680" w:type="dxa"/>
            <w:vAlign w:val="bottom"/>
          </w:tcPr>
          <w:p>
            <w:pPr>
              <w:ind w:left="1400"/>
              <w:spacing w:after="0"/>
              <w:rPr>
                <w:sz w:val="20"/>
                <w:szCs w:val="20"/>
                <w:color w:val="auto"/>
              </w:rPr>
            </w:pPr>
            <w:r>
              <w:rPr>
                <w:rFonts w:ascii="Arial" w:cs="Arial" w:eastAsia="Arial" w:hAnsi="Arial"/>
                <w:sz w:val="16"/>
                <w:szCs w:val="16"/>
                <w:color w:val="auto"/>
              </w:rPr>
              <w:t>Egypt</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Estonia OÜ</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Estonia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Pharmaceutical Research Associates Finland Oy</w:t>
            </w:r>
          </w:p>
        </w:tc>
        <w:tc>
          <w:tcPr>
            <w:tcW w:w="3680" w:type="dxa"/>
            <w:vAlign w:val="bottom"/>
          </w:tcPr>
          <w:p>
            <w:pPr>
              <w:ind w:left="1400"/>
              <w:spacing w:after="0"/>
              <w:rPr>
                <w:sz w:val="20"/>
                <w:szCs w:val="20"/>
                <w:color w:val="auto"/>
              </w:rPr>
            </w:pPr>
            <w:r>
              <w:rPr>
                <w:rFonts w:ascii="Arial" w:cs="Arial" w:eastAsia="Arial" w:hAnsi="Arial"/>
                <w:sz w:val="16"/>
                <w:szCs w:val="16"/>
                <w:color w:val="auto"/>
              </w:rPr>
              <w:t>Finland</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Finland Oy</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Finland</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ReSearch Pharmaceutical Services France S.A.S.</w:t>
            </w:r>
          </w:p>
        </w:tc>
        <w:tc>
          <w:tcPr>
            <w:tcW w:w="3680" w:type="dxa"/>
            <w:vAlign w:val="bottom"/>
          </w:tcPr>
          <w:p>
            <w:pPr>
              <w:ind w:left="1400"/>
              <w:spacing w:after="0"/>
              <w:rPr>
                <w:sz w:val="20"/>
                <w:szCs w:val="20"/>
                <w:color w:val="auto"/>
              </w:rPr>
            </w:pPr>
            <w:r>
              <w:rPr>
                <w:rFonts w:ascii="Arial" w:cs="Arial" w:eastAsia="Arial" w:hAnsi="Arial"/>
                <w:sz w:val="16"/>
                <w:szCs w:val="16"/>
                <w:color w:val="auto"/>
              </w:rPr>
              <w:t>France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S.A.R.L.</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Mapi Research Trust*</w:t>
            </w:r>
          </w:p>
        </w:tc>
        <w:tc>
          <w:tcPr>
            <w:tcW w:w="3680" w:type="dxa"/>
            <w:vAlign w:val="bottom"/>
          </w:tcPr>
          <w:p>
            <w:pPr>
              <w:ind w:left="1400"/>
              <w:spacing w:after="0"/>
              <w:rPr>
                <w:sz w:val="20"/>
                <w:szCs w:val="20"/>
                <w:color w:val="auto"/>
              </w:rPr>
            </w:pPr>
            <w:r>
              <w:rPr>
                <w:rFonts w:ascii="Arial" w:cs="Arial" w:eastAsia="Arial" w:hAnsi="Arial"/>
                <w:sz w:val="16"/>
                <w:szCs w:val="16"/>
                <w:color w:val="auto"/>
              </w:rPr>
              <w:t>France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Oncacare France SAS</w:t>
            </w:r>
          </w:p>
        </w:tc>
        <w:tc>
          <w:tcPr>
            <w:tcW w:w="368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IMP Logistics Georgia LLC</w:t>
            </w:r>
          </w:p>
        </w:tc>
        <w:tc>
          <w:tcPr>
            <w:tcW w:w="3680" w:type="dxa"/>
            <w:vAlign w:val="bottom"/>
          </w:tcPr>
          <w:p>
            <w:pPr>
              <w:ind w:left="1400"/>
              <w:spacing w:after="0"/>
              <w:rPr>
                <w:sz w:val="20"/>
                <w:szCs w:val="20"/>
                <w:color w:val="auto"/>
              </w:rPr>
            </w:pPr>
            <w:r>
              <w:rPr>
                <w:rFonts w:ascii="Arial" w:cs="Arial" w:eastAsia="Arial" w:hAnsi="Arial"/>
                <w:sz w:val="16"/>
                <w:szCs w:val="16"/>
                <w:color w:val="auto"/>
              </w:rPr>
              <w:t>Georgia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77"/>
        </w:trPr>
        <w:tc>
          <w:tcPr>
            <w:tcW w:w="4980" w:type="dxa"/>
            <w:vAlign w:val="bottom"/>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6"/>
                <w:szCs w:val="16"/>
                <w:color w:val="auto"/>
              </w:rPr>
              <w:t>51</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49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84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Georgia LLC</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Georgia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Germany GmbH</w:t>
            </w:r>
          </w:p>
        </w:tc>
        <w:tc>
          <w:tcPr>
            <w:tcW w:w="2220" w:type="dxa"/>
            <w:vAlign w:val="bottom"/>
          </w:tcPr>
          <w:p>
            <w:pPr>
              <w:ind w:left="220"/>
              <w:spacing w:after="0"/>
              <w:rPr>
                <w:sz w:val="20"/>
                <w:szCs w:val="20"/>
                <w:color w:val="auto"/>
              </w:rPr>
            </w:pPr>
            <w:r>
              <w:rPr>
                <w:rFonts w:ascii="Arial" w:cs="Arial" w:eastAsia="Arial" w:hAnsi="Arial"/>
                <w:sz w:val="16"/>
                <w:szCs w:val="16"/>
                <w:color w:val="auto"/>
              </w:rPr>
              <w:t>Germany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Oncacare (Germany) GmbH</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Germany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Averion Europe GmbH i.L</w:t>
            </w:r>
          </w:p>
        </w:tc>
        <w:tc>
          <w:tcPr>
            <w:tcW w:w="2220" w:type="dxa"/>
            <w:vAlign w:val="bottom"/>
          </w:tcPr>
          <w:p>
            <w:pPr>
              <w:ind w:left="220"/>
              <w:spacing w:after="0"/>
              <w:rPr>
                <w:sz w:val="20"/>
                <w:szCs w:val="20"/>
                <w:color w:val="auto"/>
              </w:rPr>
            </w:pPr>
            <w:r>
              <w:rPr>
                <w:rFonts w:ascii="Arial" w:cs="Arial" w:eastAsia="Arial" w:hAnsi="Arial"/>
                <w:sz w:val="16"/>
                <w:szCs w:val="16"/>
                <w:color w:val="auto"/>
              </w:rPr>
              <w:t>Germany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Greece A.E.</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Greece</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RPS Guatemala, S.A.</w:t>
            </w:r>
          </w:p>
        </w:tc>
        <w:tc>
          <w:tcPr>
            <w:tcW w:w="2220" w:type="dxa"/>
            <w:vAlign w:val="bottom"/>
          </w:tcPr>
          <w:p>
            <w:pPr>
              <w:ind w:left="220"/>
              <w:spacing w:after="0"/>
              <w:rPr>
                <w:sz w:val="20"/>
                <w:szCs w:val="20"/>
                <w:color w:val="auto"/>
              </w:rPr>
            </w:pPr>
            <w:r>
              <w:rPr>
                <w:rFonts w:ascii="Arial" w:cs="Arial" w:eastAsia="Arial" w:hAnsi="Arial"/>
                <w:sz w:val="16"/>
                <w:szCs w:val="16"/>
                <w:color w:val="auto"/>
              </w:rPr>
              <w:t>Guatemala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(Hong Kong)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Hong Kong</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Hong Kong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Hong Kong</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Hungary Research and Development Ltd.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Hungary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Limited Liability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Hungary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Iceland ehf.</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Iceland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Pharmaceutical Research Associates India Private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India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India Private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India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International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Property Development (Ireland)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Holdings Clinical Research International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Investments Five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Four Unlimited Company</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Holdings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DOCS Resourcing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(LR)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Global Holdings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Property Holdings (Ireland)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Operational Financing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Operational Holdings Unlimited Company</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Oncacare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(Outsourcing Ireland)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Holdings (Ireland) Unlimited Company</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Global Treasury Unlimited Company</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PRA Clinical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Israel Ltd.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Israel</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Israel Ltd.</w:t>
            </w:r>
          </w:p>
        </w:tc>
        <w:tc>
          <w:tcPr>
            <w:tcW w:w="2220" w:type="dxa"/>
            <w:vAlign w:val="bottom"/>
          </w:tcPr>
          <w:p>
            <w:pPr>
              <w:ind w:left="220"/>
              <w:spacing w:after="0"/>
              <w:rPr>
                <w:sz w:val="20"/>
                <w:szCs w:val="20"/>
                <w:color w:val="auto"/>
              </w:rPr>
            </w:pPr>
            <w:r>
              <w:rPr>
                <w:rFonts w:ascii="Arial" w:cs="Arial" w:eastAsia="Arial" w:hAnsi="Arial"/>
                <w:sz w:val="16"/>
                <w:szCs w:val="16"/>
                <w:color w:val="auto"/>
              </w:rPr>
              <w:t>Israel</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Italy S.r.l.</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Oncacare Italy S.r.l</w:t>
            </w:r>
          </w:p>
        </w:tc>
        <w:tc>
          <w:tcPr>
            <w:tcW w:w="2220" w:type="dxa"/>
            <w:vAlign w:val="bottom"/>
          </w:tcPr>
          <w:p>
            <w:pPr>
              <w:ind w:left="220"/>
              <w:spacing w:after="0"/>
              <w:rPr>
                <w:sz w:val="20"/>
                <w:szCs w:val="20"/>
                <w:color w:val="auto"/>
              </w:rPr>
            </w:pPr>
            <w:r>
              <w:rPr>
                <w:rFonts w:ascii="Arial" w:cs="Arial" w:eastAsia="Arial" w:hAnsi="Arial"/>
                <w:sz w:val="16"/>
                <w:szCs w:val="16"/>
                <w:color w:val="auto"/>
              </w:rPr>
              <w:t>Italy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GK</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Japan</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Investments Limited</w:t>
            </w:r>
          </w:p>
        </w:tc>
        <w:tc>
          <w:tcPr>
            <w:tcW w:w="2220" w:type="dxa"/>
            <w:vAlign w:val="bottom"/>
          </w:tcPr>
          <w:p>
            <w:pPr>
              <w:ind w:left="220"/>
              <w:spacing w:after="0"/>
              <w:rPr>
                <w:sz w:val="20"/>
                <w:szCs w:val="20"/>
                <w:color w:val="auto"/>
              </w:rPr>
            </w:pPr>
            <w:r>
              <w:rPr>
                <w:rFonts w:ascii="Arial" w:cs="Arial" w:eastAsia="Arial" w:hAnsi="Arial"/>
                <w:sz w:val="16"/>
                <w:szCs w:val="16"/>
                <w:color w:val="auto"/>
              </w:rPr>
              <w:t>Jersey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Kenya Limited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Kenya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RPS Latvia SIA</w:t>
            </w:r>
          </w:p>
        </w:tc>
        <w:tc>
          <w:tcPr>
            <w:tcW w:w="2220" w:type="dxa"/>
            <w:vAlign w:val="bottom"/>
          </w:tcPr>
          <w:p>
            <w:pPr>
              <w:ind w:left="220"/>
              <w:spacing w:after="0"/>
              <w:rPr>
                <w:sz w:val="20"/>
                <w:szCs w:val="20"/>
                <w:color w:val="auto"/>
              </w:rPr>
            </w:pPr>
            <w:r>
              <w:rPr>
                <w:rFonts w:ascii="Arial" w:cs="Arial" w:eastAsia="Arial" w:hAnsi="Arial"/>
                <w:sz w:val="16"/>
                <w:szCs w:val="16"/>
                <w:color w:val="auto"/>
              </w:rPr>
              <w:t>Latvia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UAB RPS Lithuania</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Lithuania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Luxembourg S.à r.l.</w:t>
            </w:r>
          </w:p>
        </w:tc>
        <w:tc>
          <w:tcPr>
            <w:tcW w:w="2220" w:type="dxa"/>
            <w:vAlign w:val="bottom"/>
          </w:tcPr>
          <w:p>
            <w:pPr>
              <w:ind w:left="220"/>
              <w:spacing w:after="0"/>
              <w:rPr>
                <w:sz w:val="20"/>
                <w:szCs w:val="20"/>
                <w:color w:val="auto"/>
              </w:rPr>
            </w:pPr>
            <w:r>
              <w:rPr>
                <w:rFonts w:ascii="Arial" w:cs="Arial" w:eastAsia="Arial" w:hAnsi="Arial"/>
                <w:sz w:val="16"/>
                <w:szCs w:val="16"/>
                <w:color w:val="auto"/>
              </w:rPr>
              <w:t>Luxembourg</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Malaysia Sdn. Bhd.</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Malaysia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ICON CRO Malaysia Sdn. Bhd.</w:t>
            </w:r>
          </w:p>
        </w:tc>
        <w:tc>
          <w:tcPr>
            <w:tcW w:w="2220" w:type="dxa"/>
            <w:vAlign w:val="bottom"/>
          </w:tcPr>
          <w:p>
            <w:pPr>
              <w:ind w:left="220"/>
              <w:spacing w:after="0"/>
              <w:rPr>
                <w:sz w:val="20"/>
                <w:szCs w:val="20"/>
                <w:color w:val="auto"/>
              </w:rPr>
            </w:pPr>
            <w:r>
              <w:rPr>
                <w:rFonts w:ascii="Arial" w:cs="Arial" w:eastAsia="Arial" w:hAnsi="Arial"/>
                <w:sz w:val="16"/>
                <w:szCs w:val="16"/>
                <w:color w:val="auto"/>
              </w:rPr>
              <w:t>Malaysia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México, S. de R.L. de C.V.</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RPS Research Servicios, S. de R.L. de C.V.</w:t>
            </w:r>
          </w:p>
        </w:tc>
        <w:tc>
          <w:tcPr>
            <w:tcW w:w="2220" w:type="dxa"/>
            <w:vAlign w:val="bottom"/>
          </w:tcPr>
          <w:p>
            <w:pPr>
              <w:ind w:left="220"/>
              <w:spacing w:after="0"/>
              <w:rPr>
                <w:sz w:val="20"/>
                <w:szCs w:val="20"/>
                <w:color w:val="auto"/>
              </w:rPr>
            </w:pPr>
            <w:r>
              <w:rPr>
                <w:rFonts w:ascii="Arial" w:cs="Arial" w:eastAsia="Arial" w:hAnsi="Arial"/>
                <w:sz w:val="16"/>
                <w:szCs w:val="16"/>
                <w:color w:val="auto"/>
              </w:rPr>
              <w:t>Mexico</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México, S.A. de C.V.</w:t>
            </w: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2"/>
        </w:trPr>
        <w:tc>
          <w:tcPr>
            <w:tcW w:w="6160" w:type="dxa"/>
            <w:vAlign w:val="bottom"/>
          </w:tcPr>
          <w:p>
            <w:pPr>
              <w:ind w:left="5540"/>
              <w:spacing w:after="0"/>
              <w:rPr>
                <w:sz w:val="20"/>
                <w:szCs w:val="20"/>
                <w:color w:val="auto"/>
              </w:rPr>
            </w:pPr>
            <w:r>
              <w:rPr>
                <w:rFonts w:ascii="Arial" w:cs="Arial" w:eastAsia="Arial" w:hAnsi="Arial"/>
                <w:sz w:val="16"/>
                <w:szCs w:val="16"/>
                <w:color w:val="auto"/>
              </w:rPr>
              <w:t>52</w:t>
            </w:r>
          </w:p>
        </w:tc>
        <w:tc>
          <w:tcPr>
            <w:tcW w:w="2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61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1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b w:val="1"/>
                <w:bCs w:val="1"/>
                <w:i w:val="1"/>
                <w:iCs w:val="1"/>
                <w:color w:val="auto"/>
              </w:rPr>
              <w:t>Country</w:t>
            </w:r>
          </w:p>
        </w:tc>
        <w:tc>
          <w:tcPr>
            <w:tcW w:w="28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Pharmaceutical Research Associates Mexico S. de R.L. de C. V.</w:t>
            </w:r>
          </w:p>
        </w:tc>
        <w:tc>
          <w:tcPr>
            <w:tcW w:w="3140" w:type="dxa"/>
            <w:vAlign w:val="bottom"/>
          </w:tcPr>
          <w:p>
            <w:pPr>
              <w:ind w:left="1120"/>
              <w:spacing w:after="0"/>
              <w:rPr>
                <w:sz w:val="20"/>
                <w:szCs w:val="20"/>
                <w:color w:val="auto"/>
              </w:rPr>
            </w:pPr>
            <w:r>
              <w:rPr>
                <w:rFonts w:ascii="Arial" w:cs="Arial" w:eastAsia="Arial" w:hAnsi="Arial"/>
                <w:sz w:val="16"/>
                <w:szCs w:val="16"/>
                <w:color w:val="auto"/>
              </w:rPr>
              <w:t>Mexico</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B.V.</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ReSearch Pharmaceutical Services Netherlands B.V.</w:t>
            </w:r>
          </w:p>
        </w:tc>
        <w:tc>
          <w:tcPr>
            <w:tcW w:w="3140" w:type="dxa"/>
            <w:vAlign w:val="bottom"/>
          </w:tcPr>
          <w:p>
            <w:pPr>
              <w:ind w:left="11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Group B.V.</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PRA International Operations B.V.</w:t>
            </w:r>
          </w:p>
        </w:tc>
        <w:tc>
          <w:tcPr>
            <w:tcW w:w="3140" w:type="dxa"/>
            <w:vAlign w:val="bottom"/>
          </w:tcPr>
          <w:p>
            <w:pPr>
              <w:ind w:left="112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New Zealand Limited</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New Zealand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(New Zealand) Limited</w:t>
            </w:r>
          </w:p>
        </w:tc>
        <w:tc>
          <w:tcPr>
            <w:tcW w:w="3140" w:type="dxa"/>
            <w:vAlign w:val="bottom"/>
          </w:tcPr>
          <w:p>
            <w:pPr>
              <w:ind w:left="1120"/>
              <w:spacing w:after="0"/>
              <w:rPr>
                <w:sz w:val="20"/>
                <w:szCs w:val="20"/>
                <w:color w:val="auto"/>
              </w:rPr>
            </w:pPr>
            <w:r>
              <w:rPr>
                <w:rFonts w:ascii="Arial" w:cs="Arial" w:eastAsia="Arial" w:hAnsi="Arial"/>
                <w:sz w:val="16"/>
                <w:szCs w:val="16"/>
                <w:color w:val="auto"/>
              </w:rPr>
              <w:t>New Zealand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Norway AS</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Norway</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RPS Panama Inc.</w:t>
            </w:r>
          </w:p>
        </w:tc>
        <w:tc>
          <w:tcPr>
            <w:tcW w:w="3140" w:type="dxa"/>
            <w:vAlign w:val="bottom"/>
          </w:tcPr>
          <w:p>
            <w:pPr>
              <w:ind w:left="1120"/>
              <w:spacing w:after="0"/>
              <w:rPr>
                <w:sz w:val="20"/>
                <w:szCs w:val="20"/>
                <w:color w:val="auto"/>
              </w:rPr>
            </w:pPr>
            <w:r>
              <w:rPr>
                <w:rFonts w:ascii="Arial" w:cs="Arial" w:eastAsia="Arial" w:hAnsi="Arial"/>
                <w:sz w:val="16"/>
                <w:szCs w:val="16"/>
                <w:color w:val="auto"/>
              </w:rPr>
              <w:t>Panama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Perú S.A.</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Peru</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RPS Perú S.A.C.</w:t>
            </w:r>
          </w:p>
        </w:tc>
        <w:tc>
          <w:tcPr>
            <w:tcW w:w="3140" w:type="dxa"/>
            <w:vAlign w:val="bottom"/>
          </w:tcPr>
          <w:p>
            <w:pPr>
              <w:ind w:left="1120"/>
              <w:spacing w:after="0"/>
              <w:rPr>
                <w:sz w:val="20"/>
                <w:szCs w:val="20"/>
                <w:color w:val="auto"/>
              </w:rPr>
            </w:pPr>
            <w:r>
              <w:rPr>
                <w:rFonts w:ascii="Arial" w:cs="Arial" w:eastAsia="Arial" w:hAnsi="Arial"/>
                <w:sz w:val="16"/>
                <w:szCs w:val="16"/>
                <w:color w:val="auto"/>
              </w:rPr>
              <w:t>Peru</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Philippines, Inc.</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Philippines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Services Philippines, Inc.</w:t>
            </w:r>
          </w:p>
        </w:tc>
        <w:tc>
          <w:tcPr>
            <w:tcW w:w="3140" w:type="dxa"/>
            <w:vAlign w:val="bottom"/>
          </w:tcPr>
          <w:p>
            <w:pPr>
              <w:ind w:left="1120"/>
              <w:spacing w:after="0"/>
              <w:rPr>
                <w:sz w:val="20"/>
                <w:szCs w:val="20"/>
                <w:color w:val="auto"/>
              </w:rPr>
            </w:pPr>
            <w:r>
              <w:rPr>
                <w:rFonts w:ascii="Arial" w:cs="Arial" w:eastAsia="Arial" w:hAnsi="Arial"/>
                <w:sz w:val="16"/>
                <w:szCs w:val="16"/>
                <w:color w:val="auto"/>
              </w:rPr>
              <w:t>Philippines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Sp. z o.o.</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Symphony Clinical Research Sp z.o.o.</w:t>
            </w:r>
          </w:p>
        </w:tc>
        <w:tc>
          <w:tcPr>
            <w:tcW w:w="3140" w:type="dxa"/>
            <w:vAlign w:val="bottom"/>
          </w:tcPr>
          <w:p>
            <w:pPr>
              <w:ind w:left="1120"/>
              <w:spacing w:after="0"/>
              <w:rPr>
                <w:sz w:val="20"/>
                <w:szCs w:val="20"/>
                <w:color w:val="auto"/>
              </w:rPr>
            </w:pPr>
            <w:r>
              <w:rPr>
                <w:rFonts w:ascii="Arial" w:cs="Arial" w:eastAsia="Arial" w:hAnsi="Arial"/>
                <w:sz w:val="16"/>
                <w:szCs w:val="16"/>
                <w:color w:val="auto"/>
              </w:rPr>
              <w:t>Poland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Poland Sp z o.o.</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PRA International Portugal, Unipessoal, Lda.</w:t>
            </w:r>
          </w:p>
        </w:tc>
        <w:tc>
          <w:tcPr>
            <w:tcW w:w="3140" w:type="dxa"/>
            <w:vAlign w:val="bottom"/>
          </w:tcPr>
          <w:p>
            <w:pPr>
              <w:ind w:left="1120"/>
              <w:spacing w:after="0"/>
              <w:rPr>
                <w:sz w:val="20"/>
                <w:szCs w:val="20"/>
                <w:color w:val="auto"/>
              </w:rPr>
            </w:pPr>
            <w:r>
              <w:rPr>
                <w:rFonts w:ascii="Arial" w:cs="Arial" w:eastAsia="Arial" w:hAnsi="Arial"/>
                <w:sz w:val="16"/>
                <w:szCs w:val="16"/>
                <w:color w:val="auto"/>
              </w:rPr>
              <w:t>Portugal</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Puerto Rico, Inc.</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Puerto Rico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Pharmaceutical Research Associates Romania S.R.L.</w:t>
            </w:r>
          </w:p>
        </w:tc>
        <w:tc>
          <w:tcPr>
            <w:tcW w:w="3140" w:type="dxa"/>
            <w:vAlign w:val="bottom"/>
          </w:tcPr>
          <w:p>
            <w:pPr>
              <w:ind w:left="1120"/>
              <w:spacing w:after="0"/>
              <w:rPr>
                <w:sz w:val="20"/>
                <w:szCs w:val="20"/>
                <w:color w:val="auto"/>
              </w:rPr>
            </w:pPr>
            <w:r>
              <w:rPr>
                <w:rFonts w:ascii="Arial" w:cs="Arial" w:eastAsia="Arial" w:hAnsi="Arial"/>
                <w:sz w:val="16"/>
                <w:szCs w:val="16"/>
                <w:color w:val="auto"/>
              </w:rPr>
              <w:t>Romania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S.R.L.</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Romania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Joint Stock Company IMP Logistics</w:t>
            </w:r>
          </w:p>
        </w:tc>
        <w:tc>
          <w:tcPr>
            <w:tcW w:w="3140" w:type="dxa"/>
            <w:vAlign w:val="bottom"/>
          </w:tcPr>
          <w:p>
            <w:pPr>
              <w:ind w:left="1120"/>
              <w:spacing w:after="0"/>
              <w:rPr>
                <w:sz w:val="20"/>
                <w:szCs w:val="20"/>
                <w:color w:val="auto"/>
              </w:rPr>
            </w:pPr>
            <w:r>
              <w:rPr>
                <w:rFonts w:ascii="Arial" w:cs="Arial" w:eastAsia="Arial" w:hAnsi="Arial"/>
                <w:sz w:val="16"/>
                <w:szCs w:val="16"/>
                <w:color w:val="auto"/>
              </w:rPr>
              <w:t>Russia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(Rus) LLC</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Russia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doo Beograd</w:t>
            </w:r>
          </w:p>
        </w:tc>
        <w:tc>
          <w:tcPr>
            <w:tcW w:w="3140" w:type="dxa"/>
            <w:vAlign w:val="bottom"/>
          </w:tcPr>
          <w:p>
            <w:pPr>
              <w:ind w:left="1120"/>
              <w:spacing w:after="0"/>
              <w:rPr>
                <w:sz w:val="20"/>
                <w:szCs w:val="20"/>
                <w:color w:val="auto"/>
              </w:rPr>
            </w:pPr>
            <w:r>
              <w:rPr>
                <w:rFonts w:ascii="Arial" w:cs="Arial" w:eastAsia="Arial" w:hAnsi="Arial"/>
                <w:sz w:val="16"/>
                <w:szCs w:val="16"/>
                <w:color w:val="auto"/>
              </w:rPr>
              <w:t>Serbia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doo Belgrade</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Serbia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Pharmaceutical Research Associates Singapore Pte. Ltd.</w:t>
            </w:r>
          </w:p>
        </w:tc>
        <w:tc>
          <w:tcPr>
            <w:tcW w:w="3140" w:type="dxa"/>
            <w:vAlign w:val="bottom"/>
          </w:tcPr>
          <w:p>
            <w:pPr>
              <w:ind w:left="112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(Pte) Limited</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Singapore</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Mapi Life Sciences Singapore Pte. Ltd.</w:t>
            </w:r>
          </w:p>
        </w:tc>
        <w:tc>
          <w:tcPr>
            <w:tcW w:w="3140" w:type="dxa"/>
            <w:vAlign w:val="bottom"/>
          </w:tcPr>
          <w:p>
            <w:pPr>
              <w:ind w:left="112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SK s.r.o.</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Slovakia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Slovakia, s.r.o.</w:t>
            </w:r>
          </w:p>
        </w:tc>
        <w:tc>
          <w:tcPr>
            <w:tcW w:w="3140" w:type="dxa"/>
            <w:vAlign w:val="bottom"/>
          </w:tcPr>
          <w:p>
            <w:pPr>
              <w:ind w:left="1120"/>
              <w:spacing w:after="0"/>
              <w:rPr>
                <w:sz w:val="20"/>
                <w:szCs w:val="20"/>
                <w:color w:val="auto"/>
              </w:rPr>
            </w:pPr>
            <w:r>
              <w:rPr>
                <w:rFonts w:ascii="Arial" w:cs="Arial" w:eastAsia="Arial" w:hAnsi="Arial"/>
                <w:sz w:val="16"/>
                <w:szCs w:val="16"/>
                <w:color w:val="auto"/>
              </w:rPr>
              <w:t>Slovakia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Pharmaceutical S A (Proprietary) Limited</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South Africa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RPS Research South Africa (Proprietary) Limited</w:t>
            </w:r>
          </w:p>
        </w:tc>
        <w:tc>
          <w:tcPr>
            <w:tcW w:w="3140" w:type="dxa"/>
            <w:vAlign w:val="bottom"/>
          </w:tcPr>
          <w:p>
            <w:pPr>
              <w:ind w:left="1120"/>
              <w:spacing w:after="0"/>
              <w:rPr>
                <w:sz w:val="20"/>
                <w:szCs w:val="20"/>
                <w:color w:val="auto"/>
              </w:rPr>
            </w:pPr>
            <w:r>
              <w:rPr>
                <w:rFonts w:ascii="Arial" w:cs="Arial" w:eastAsia="Arial" w:hAnsi="Arial"/>
                <w:sz w:val="16"/>
                <w:szCs w:val="16"/>
                <w:color w:val="auto"/>
              </w:rPr>
              <w:t>South Africa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South Africa (PTY) LTD</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South Africa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Mapi Korea Yuhan Hoesa/ Mapi Korea LLC</w:t>
            </w:r>
          </w:p>
        </w:tc>
        <w:tc>
          <w:tcPr>
            <w:tcW w:w="3140" w:type="dxa"/>
            <w:vAlign w:val="bottom"/>
          </w:tcPr>
          <w:p>
            <w:pPr>
              <w:ind w:left="1120"/>
              <w:spacing w:after="0"/>
              <w:rPr>
                <w:sz w:val="20"/>
                <w:szCs w:val="20"/>
                <w:color w:val="auto"/>
              </w:rPr>
            </w:pPr>
            <w:r>
              <w:rPr>
                <w:rFonts w:ascii="Arial" w:cs="Arial" w:eastAsia="Arial" w:hAnsi="Arial"/>
                <w:sz w:val="16"/>
                <w:szCs w:val="16"/>
                <w:color w:val="auto"/>
              </w:rPr>
              <w:t>South Korea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Korea Limited</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South Korea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Pharmaceutical Research Associates Korea Limited</w:t>
            </w:r>
          </w:p>
        </w:tc>
        <w:tc>
          <w:tcPr>
            <w:tcW w:w="3140" w:type="dxa"/>
            <w:vAlign w:val="bottom"/>
          </w:tcPr>
          <w:p>
            <w:pPr>
              <w:ind w:left="1120"/>
              <w:spacing w:after="0"/>
              <w:rPr>
                <w:sz w:val="20"/>
                <w:szCs w:val="20"/>
                <w:color w:val="auto"/>
              </w:rPr>
            </w:pPr>
            <w:r>
              <w:rPr>
                <w:rFonts w:ascii="Arial" w:cs="Arial" w:eastAsia="Arial" w:hAnsi="Arial"/>
                <w:sz w:val="16"/>
                <w:szCs w:val="16"/>
                <w:color w:val="auto"/>
              </w:rPr>
              <w:t>South Korea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Ibérica, S.L.U.</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Oncacare (Spain), S.L.</w:t>
            </w:r>
          </w:p>
        </w:tc>
        <w:tc>
          <w:tcPr>
            <w:tcW w:w="3140" w:type="dxa"/>
            <w:vAlign w:val="bottom"/>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Spain S.L.</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España, S.L.</w:t>
            </w:r>
          </w:p>
        </w:tc>
        <w:tc>
          <w:tcPr>
            <w:tcW w:w="3140" w:type="dxa"/>
            <w:vAlign w:val="bottom"/>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España, S.A.U.</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Accellacare España S.L.</w:t>
            </w:r>
          </w:p>
        </w:tc>
        <w:tc>
          <w:tcPr>
            <w:tcW w:w="3140" w:type="dxa"/>
            <w:vAlign w:val="bottom"/>
          </w:tcPr>
          <w:p>
            <w:pPr>
              <w:ind w:left="112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International Sweden AB</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Sweden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DOCS International Sweden AB</w:t>
            </w:r>
          </w:p>
        </w:tc>
        <w:tc>
          <w:tcPr>
            <w:tcW w:w="3140" w:type="dxa"/>
            <w:vAlign w:val="bottom"/>
          </w:tcPr>
          <w:p>
            <w:pPr>
              <w:ind w:left="1120"/>
              <w:spacing w:after="0"/>
              <w:rPr>
                <w:sz w:val="20"/>
                <w:szCs w:val="20"/>
                <w:color w:val="auto"/>
              </w:rPr>
            </w:pPr>
            <w:r>
              <w:rPr>
                <w:rFonts w:ascii="Arial" w:cs="Arial" w:eastAsia="Arial" w:hAnsi="Arial"/>
                <w:sz w:val="16"/>
                <w:szCs w:val="16"/>
                <w:color w:val="auto"/>
              </w:rPr>
              <w:t>Sweden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Switzerland GmbH</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Switzerland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(Switzerland) GmbH</w:t>
            </w:r>
          </w:p>
        </w:tc>
        <w:tc>
          <w:tcPr>
            <w:tcW w:w="3140" w:type="dxa"/>
            <w:vAlign w:val="bottom"/>
          </w:tcPr>
          <w:p>
            <w:pPr>
              <w:ind w:left="1120"/>
              <w:spacing w:after="0"/>
              <w:rPr>
                <w:sz w:val="20"/>
                <w:szCs w:val="20"/>
                <w:color w:val="auto"/>
              </w:rPr>
            </w:pPr>
            <w:r>
              <w:rPr>
                <w:rFonts w:ascii="Arial" w:cs="Arial" w:eastAsia="Arial" w:hAnsi="Arial"/>
                <w:sz w:val="16"/>
                <w:szCs w:val="16"/>
                <w:color w:val="auto"/>
              </w:rPr>
              <w:t>Switzerland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Switzerland AG</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Switzerland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260" w:type="dxa"/>
            <w:vAlign w:val="bottom"/>
          </w:tcPr>
          <w:p>
            <w:pPr>
              <w:ind w:left="360"/>
              <w:spacing w:after="0"/>
              <w:rPr>
                <w:sz w:val="20"/>
                <w:szCs w:val="20"/>
                <w:color w:val="auto"/>
              </w:rPr>
            </w:pPr>
            <w:r>
              <w:rPr>
                <w:rFonts w:ascii="Arial" w:cs="Arial" w:eastAsia="Arial" w:hAnsi="Arial"/>
                <w:sz w:val="16"/>
                <w:szCs w:val="16"/>
                <w:color w:val="auto"/>
              </w:rPr>
              <w:t>ICON Clinical Research Taiwan Limited</w:t>
            </w:r>
          </w:p>
        </w:tc>
        <w:tc>
          <w:tcPr>
            <w:tcW w:w="3140" w:type="dxa"/>
            <w:vAlign w:val="bottom"/>
          </w:tcPr>
          <w:p>
            <w:pPr>
              <w:ind w:left="1120"/>
              <w:spacing w:after="0"/>
              <w:rPr>
                <w:sz w:val="20"/>
                <w:szCs w:val="20"/>
                <w:color w:val="auto"/>
              </w:rPr>
            </w:pPr>
            <w:r>
              <w:rPr>
                <w:rFonts w:ascii="Arial" w:cs="Arial" w:eastAsia="Arial" w:hAnsi="Arial"/>
                <w:sz w:val="16"/>
                <w:szCs w:val="16"/>
                <w:color w:val="auto"/>
              </w:rPr>
              <w:t>Taiwan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Taiwan, Inc.</w:t>
            </w:r>
          </w:p>
        </w:tc>
        <w:tc>
          <w:tcPr>
            <w:tcW w:w="3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Taiwan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2"/>
        </w:trPr>
        <w:tc>
          <w:tcPr>
            <w:tcW w:w="5260" w:type="dxa"/>
            <w:vAlign w:val="bottom"/>
          </w:tcPr>
          <w:p>
            <w:pPr>
              <w:spacing w:after="0"/>
              <w:rPr>
                <w:sz w:val="24"/>
                <w:szCs w:val="24"/>
                <w:color w:val="auto"/>
              </w:rPr>
            </w:pPr>
          </w:p>
        </w:tc>
        <w:tc>
          <w:tcPr>
            <w:tcW w:w="3140" w:type="dxa"/>
            <w:vAlign w:val="bottom"/>
          </w:tcPr>
          <w:p>
            <w:pPr>
              <w:ind w:left="280"/>
              <w:spacing w:after="0"/>
              <w:rPr>
                <w:sz w:val="20"/>
                <w:szCs w:val="20"/>
                <w:color w:val="auto"/>
              </w:rPr>
            </w:pPr>
            <w:r>
              <w:rPr>
                <w:rFonts w:ascii="Arial" w:cs="Arial" w:eastAsia="Arial" w:hAnsi="Arial"/>
                <w:sz w:val="16"/>
                <w:szCs w:val="16"/>
                <w:color w:val="auto"/>
              </w:rPr>
              <w:t>53</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52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4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b w:val="1"/>
                <w:bCs w:val="1"/>
                <w:i w:val="1"/>
                <w:iCs w:val="1"/>
                <w:color w:val="auto"/>
              </w:rPr>
              <w:t>Country</w:t>
            </w:r>
          </w:p>
        </w:tc>
        <w:tc>
          <w:tcPr>
            <w:tcW w:w="272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(Thailand)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Thailand</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(Thailand) Co., Ltd.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Thailand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Ankara Klinik Arastirma Dis Ticaret Anonim Sirketi</w:t>
            </w:r>
          </w:p>
        </w:tc>
        <w:tc>
          <w:tcPr>
            <w:tcW w:w="3440" w:type="dxa"/>
            <w:vAlign w:val="bottom"/>
          </w:tcPr>
          <w:p>
            <w:pPr>
              <w:ind w:left="1320"/>
              <w:spacing w:after="0"/>
              <w:rPr>
                <w:sz w:val="20"/>
                <w:szCs w:val="20"/>
                <w:color w:val="auto"/>
              </w:rPr>
            </w:pPr>
            <w:r>
              <w:rPr>
                <w:rFonts w:ascii="Arial" w:cs="Arial" w:eastAsia="Arial" w:hAnsi="Arial"/>
                <w:sz w:val="16"/>
                <w:szCs w:val="16"/>
                <w:color w:val="auto"/>
              </w:rPr>
              <w:t>Turkey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Turkey Sağlik Araştirma Ve Geliştirme Limited Şirketi</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Turkey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LLC</w:t>
            </w:r>
          </w:p>
        </w:tc>
        <w:tc>
          <w:tcPr>
            <w:tcW w:w="3440" w:type="dxa"/>
            <w:vAlign w:val="bottom"/>
          </w:tcPr>
          <w:p>
            <w:pPr>
              <w:ind w:left="13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IMP-Logistics Ukraine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DOCS Ukraine LLC</w:t>
            </w:r>
          </w:p>
        </w:tc>
        <w:tc>
          <w:tcPr>
            <w:tcW w:w="3440" w:type="dxa"/>
            <w:vAlign w:val="bottom"/>
          </w:tcPr>
          <w:p>
            <w:pPr>
              <w:ind w:left="13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Ukraine,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Accellacare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No. 4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5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Holdings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MeDiNova Lakeside Clinical Research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MeDiNova Merc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VSK (Kenilworth)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Improving Treatments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Aptiv Solutions (UK) Ltd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DOCS International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(LR)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No. 2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3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Development Solutions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(UK) Ltd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IMP Logistics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Medeval Group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OncaCare (U.K.)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 Research Associates (UK)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Sterling Synergy Systems Limited</w:t>
            </w:r>
          </w:p>
        </w:tc>
        <w:tc>
          <w:tcPr>
            <w:tcW w:w="3440" w:type="dxa"/>
            <w:vAlign w:val="bottom"/>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6 Limited</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RPS Global S.A.</w:t>
            </w:r>
          </w:p>
        </w:tc>
        <w:tc>
          <w:tcPr>
            <w:tcW w:w="3440" w:type="dxa"/>
            <w:vAlign w:val="bottom"/>
          </w:tcPr>
          <w:p>
            <w:pPr>
              <w:ind w:left="1320"/>
              <w:spacing w:after="0"/>
              <w:rPr>
                <w:sz w:val="20"/>
                <w:szCs w:val="20"/>
                <w:color w:val="auto"/>
              </w:rPr>
            </w:pPr>
            <w:r>
              <w:rPr>
                <w:rFonts w:ascii="Arial" w:cs="Arial" w:eastAsia="Arial" w:hAnsi="Arial"/>
                <w:sz w:val="16"/>
                <w:szCs w:val="16"/>
                <w:color w:val="auto"/>
              </w:rPr>
              <w:t>Uruguay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Latin America S.A</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Uruguay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VirtualScopics, LLC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 Delaware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BioTel Research,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 Delaware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ICON HF Corp.</w:t>
            </w:r>
          </w:p>
        </w:tc>
        <w:tc>
          <w:tcPr>
            <w:tcW w:w="3440" w:type="dxa"/>
            <w:vAlign w:val="bottom"/>
          </w:tcPr>
          <w:p>
            <w:pPr>
              <w:ind w:left="1320"/>
              <w:spacing w:after="0"/>
              <w:rPr>
                <w:sz w:val="20"/>
                <w:szCs w:val="20"/>
                <w:color w:val="auto"/>
              </w:rPr>
            </w:pPr>
            <w:r>
              <w:rPr>
                <w:rFonts w:ascii="Arial" w:cs="Arial" w:eastAsia="Arial" w:hAnsi="Arial"/>
                <w:sz w:val="16"/>
                <w:szCs w:val="16"/>
                <w:color w:val="auto"/>
              </w:rPr>
              <w:t>USA - Delaware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Early Phase Services,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 Texas</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Pharmaceutical Research Associates, Inc.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 Virginia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ClinStar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California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Nextrials, Inc.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California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CIS,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California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Pharmaceutical Research Associates Eastern Europe, LLC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California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Addplan, Inc.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Beacon Bioscience, Inc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C4 MedSolutions,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Care Innovations, Inc.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Care Innovations, LLC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CHC Group, LLC</w:t>
            </w:r>
          </w:p>
        </w:tc>
        <w:tc>
          <w:tcPr>
            <w:tcW w:w="3440" w:type="dxa"/>
            <w:vAlign w:val="bottom"/>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CRI NewCo, Inc.</w:t>
            </w:r>
          </w:p>
        </w:tc>
        <w:tc>
          <w:tcPr>
            <w:tcW w:w="34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USA- Delaware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2"/>
        </w:trPr>
        <w:tc>
          <w:tcPr>
            <w:tcW w:w="5060" w:type="dxa"/>
            <w:vAlign w:val="bottom"/>
          </w:tcPr>
          <w:p>
            <w:pPr>
              <w:spacing w:after="0"/>
              <w:rPr>
                <w:sz w:val="24"/>
                <w:szCs w:val="24"/>
                <w:color w:val="auto"/>
              </w:rPr>
            </w:pPr>
          </w:p>
        </w:tc>
        <w:tc>
          <w:tcPr>
            <w:tcW w:w="3440" w:type="dxa"/>
            <w:vAlign w:val="bottom"/>
          </w:tcPr>
          <w:p>
            <w:pPr>
              <w:ind w:left="480"/>
              <w:spacing w:after="0"/>
              <w:rPr>
                <w:sz w:val="20"/>
                <w:szCs w:val="20"/>
                <w:color w:val="auto"/>
              </w:rPr>
            </w:pPr>
            <w:r>
              <w:rPr>
                <w:rFonts w:ascii="Arial" w:cs="Arial" w:eastAsia="Arial" w:hAnsi="Arial"/>
                <w:sz w:val="16"/>
                <w:szCs w:val="16"/>
                <w:color w:val="auto"/>
              </w:rPr>
              <w:t>54</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50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3"/>
        </w:trPr>
        <w:tc>
          <w:tcPr>
            <w:tcW w:w="4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98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6"/>
                <w:szCs w:val="16"/>
                <w:b w:val="1"/>
                <w:bCs w:val="1"/>
                <w:i w:val="1"/>
                <w:iCs w:val="1"/>
                <w:color w:val="auto"/>
              </w:rPr>
              <w:t>Country</w:t>
            </w:r>
          </w:p>
        </w:tc>
        <w:tc>
          <w:tcPr>
            <w:tcW w:w="254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CRI Worldwide,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CRN Holdings,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CRN NORTH AMERICA,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 Pharmaceutical Strategies Group,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ICON Clinical Investments,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ICON Laboratory Services,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Tennessee,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ICON US Holdings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MMMM Consulting,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MMMM Group,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MolecularMD Corp.</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Parallel 6,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Early Development Research, Inc.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PRA Health Sciences,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Holdings, Inc.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PRA Receivables,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PriceSpective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PubsHub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Inc.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Source Healthcare Analytics,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Symphony Health Solutions Corporation</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ICON Clinical Research, LP</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International Medical Technical Consultants,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Oncacare,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International,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ReSearch Pharmaceutical Services,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Roy RPS Holdings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RPS Global Holdings,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Parent Holding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Sunset Hills,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Delaware</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Clinical Resource Network,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Illinois</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Christie Clinic,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Illinois</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CRI International,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New Jersey</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DOCS Global,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New Jersey</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Care Strategic Solutions,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New Jersey</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US Inc.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Charlotte,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Hickory,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Raleigh,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Rocky Mount,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Salisbury,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Wilmington,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Winston-Salem,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North Carolina</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Complete Healthcare Communications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Pennsylvania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Complete Publication Solutions,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Pennsylvania</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5"/>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Charleston, LLC</w:t>
            </w:r>
          </w:p>
        </w:tc>
        <w:tc>
          <w:tcPr>
            <w:tcW w:w="3980" w:type="dxa"/>
            <w:vAlign w:val="bottom"/>
          </w:tcPr>
          <w:p>
            <w:pPr>
              <w:ind w:left="1680"/>
              <w:spacing w:after="0"/>
              <w:rPr>
                <w:sz w:val="20"/>
                <w:szCs w:val="20"/>
                <w:color w:val="auto"/>
              </w:rPr>
            </w:pPr>
            <w:r>
              <w:rPr>
                <w:rFonts w:ascii="Arial" w:cs="Arial" w:eastAsia="Arial" w:hAnsi="Arial"/>
                <w:sz w:val="16"/>
                <w:szCs w:val="16"/>
                <w:color w:val="auto"/>
              </w:rPr>
              <w:t>USA- South Carolina</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Bristol, LLC</w:t>
            </w:r>
          </w:p>
        </w:tc>
        <w:tc>
          <w:tcPr>
            <w:tcW w:w="39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USA- Tennessee</w:t>
            </w:r>
          </w:p>
        </w:tc>
        <w:tc>
          <w:tcPr>
            <w:tcW w:w="25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2"/>
        </w:trPr>
        <w:tc>
          <w:tcPr>
            <w:tcW w:w="4700" w:type="dxa"/>
            <w:vAlign w:val="bottom"/>
          </w:tcPr>
          <w:p>
            <w:pPr>
              <w:spacing w:after="0"/>
              <w:rPr>
                <w:sz w:val="24"/>
                <w:szCs w:val="24"/>
                <w:color w:val="auto"/>
              </w:rPr>
            </w:pPr>
          </w:p>
        </w:tc>
        <w:tc>
          <w:tcPr>
            <w:tcW w:w="3980" w:type="dxa"/>
            <w:vAlign w:val="bottom"/>
          </w:tcPr>
          <w:p>
            <w:pPr>
              <w:ind w:left="840"/>
              <w:spacing w:after="0"/>
              <w:rPr>
                <w:sz w:val="20"/>
                <w:szCs w:val="20"/>
                <w:color w:val="auto"/>
              </w:rPr>
            </w:pPr>
            <w:r>
              <w:rPr>
                <w:rFonts w:ascii="Arial" w:cs="Arial" w:eastAsia="Arial" w:hAnsi="Arial"/>
                <w:sz w:val="16"/>
                <w:szCs w:val="16"/>
                <w:color w:val="auto"/>
              </w:rPr>
              <w:t>55</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470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1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i w:val="1"/>
                <w:iCs w:val="1"/>
                <w:color w:val="auto"/>
              </w:rPr>
              <w:t>Country</w:t>
            </w:r>
          </w:p>
        </w:tc>
        <w:tc>
          <w:tcPr>
            <w:tcW w:w="28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5"/>
        </w:trPr>
        <w:tc>
          <w:tcPr>
            <w:tcW w:w="6300" w:type="dxa"/>
            <w:vAlign w:val="bottom"/>
          </w:tcPr>
          <w:p>
            <w:pPr>
              <w:ind w:left="360"/>
              <w:spacing w:after="0"/>
              <w:rPr>
                <w:sz w:val="20"/>
                <w:szCs w:val="20"/>
                <w:color w:val="auto"/>
              </w:rPr>
            </w:pPr>
            <w:r>
              <w:rPr>
                <w:rFonts w:ascii="Arial" w:cs="Arial" w:eastAsia="Arial" w:hAnsi="Arial"/>
                <w:sz w:val="16"/>
                <w:szCs w:val="16"/>
                <w:color w:val="auto"/>
              </w:rPr>
              <w:t>Lifetree Clinical Research, LC</w:t>
            </w:r>
          </w:p>
        </w:tc>
        <w:tc>
          <w:tcPr>
            <w:tcW w:w="2100" w:type="dxa"/>
            <w:vAlign w:val="bottom"/>
          </w:tcPr>
          <w:p>
            <w:pPr>
              <w:ind w:left="80"/>
              <w:spacing w:after="0"/>
              <w:rPr>
                <w:sz w:val="20"/>
                <w:szCs w:val="20"/>
                <w:color w:val="auto"/>
              </w:rPr>
            </w:pPr>
            <w:r>
              <w:rPr>
                <w:rFonts w:ascii="Arial" w:cs="Arial" w:eastAsia="Arial" w:hAnsi="Arial"/>
                <w:sz w:val="16"/>
                <w:szCs w:val="16"/>
                <w:color w:val="auto"/>
              </w:rPr>
              <w:t>USA- Utah</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r>
      <w:tr>
        <w:trPr>
          <w:trHeight w:val="217"/>
        </w:trPr>
        <w:tc>
          <w:tcPr>
            <w:tcW w:w="6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Government and Public Health Solutions, Inc.</w:t>
            </w:r>
          </w:p>
        </w:tc>
        <w:tc>
          <w:tcPr>
            <w:tcW w:w="2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USA- Virginia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r>
      <w:tr>
        <w:trPr>
          <w:trHeight w:val="215"/>
        </w:trPr>
        <w:tc>
          <w:tcPr>
            <w:tcW w:w="6300" w:type="dxa"/>
            <w:vAlign w:val="bottom"/>
          </w:tcPr>
          <w:p>
            <w:pPr>
              <w:ind w:left="360"/>
              <w:spacing w:after="0"/>
              <w:rPr>
                <w:sz w:val="20"/>
                <w:szCs w:val="20"/>
                <w:color w:val="auto"/>
              </w:rPr>
            </w:pPr>
            <w:r>
              <w:rPr>
                <w:rFonts w:ascii="Arial" w:cs="Arial" w:eastAsia="Arial" w:hAnsi="Arial"/>
                <w:sz w:val="16"/>
                <w:szCs w:val="16"/>
                <w:color w:val="auto"/>
              </w:rPr>
              <w:t>*Mapi Research Trust is an association, its members are ICON Subsidiary entities</w:t>
            </w:r>
          </w:p>
        </w:tc>
        <w:tc>
          <w:tcPr>
            <w:tcW w:w="2100" w:type="dxa"/>
            <w:vAlign w:val="bottom"/>
          </w:tcPr>
          <w:p>
            <w:pPr>
              <w:spacing w:after="0"/>
              <w:rPr>
                <w:sz w:val="18"/>
                <w:szCs w:val="18"/>
                <w:color w:val="auto"/>
              </w:rPr>
            </w:pPr>
          </w:p>
        </w:tc>
        <w:tc>
          <w:tcPr>
            <w:tcW w:w="28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Description of Property</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Our principal executive offices are located in South County Business Park, Leopardstown, Dublin, Republic of Ireland, where we own an office facility of approximately 15,000 square meters. We lease all other properties.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maintain forty-nine offices in Europe; ten of our offices are in the UK, five in the Netherlands, four in each of Germany and Spain, two in each of France, Hungary, Ireland, Poland, Russia, Sweden, Turkey and Ukraine, and one in each of Belarus, Belgium, Bulgaria, Czech Republic, Georgia, Israel, Italy, Latvia, Romania and Slovakia. We maintain thirty-three offices in North America; twenty-nine in the United States, two in Canada and two in Mexico. We have sixteen offices in Asia; five in China (including one in Hong Kong), three in India, two in each of Japan and Singapore, and one in each of South Korea, Taiwan, Thailand and the Philippines. We have two offices in Australia. We have five offices in South America; one in each of Argentina, Brazil, Chile, Colombia and Peru. We maintain one office in South Africa.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4A.  </w:t>
      </w:r>
      <w:r>
        <w:rPr>
          <w:rFonts w:ascii="Arial" w:cs="Arial" w:eastAsia="Arial" w:hAnsi="Arial"/>
          <w:sz w:val="16"/>
          <w:szCs w:val="16"/>
          <w:b w:val="1"/>
          <w:bCs w:val="1"/>
          <w:i w:val="1"/>
          <w:iCs w:val="1"/>
          <w:color w:val="auto"/>
        </w:rPr>
        <w:t>Unresolved Staff Comments.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031" w:right="3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15"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Operating and Financial Review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2023 and December 31, 2022. Information related to the year ended December 31, 2021 has not been included. It can be found in the Company's filing of the form 20-F for the year ended December 31, 2022.</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2023, we employed approximately 41,100 employees, in 106 locations in 53 countries. During the year ended December 31, 2023 we derived approximately 40.4%, 48.7% and 10.9% of our revenue in the United States, Europe, and the rest of the world, respectively (During the year ended </w:t>
      </w:r>
      <w:r>
        <w:rPr>
          <w:rFonts w:ascii="Arial" w:cs="Arial" w:eastAsia="Arial" w:hAnsi="Arial"/>
          <w:sz w:val="16"/>
          <w:szCs w:val="16"/>
          <w:i w:val="1"/>
          <w:iCs w:val="1"/>
          <w:color w:val="auto"/>
        </w:rPr>
        <w:t xml:space="preserve">December 31, 2022: </w:t>
      </w:r>
      <w:r>
        <w:rPr>
          <w:rFonts w:ascii="Arial" w:cs="Arial" w:eastAsia="Arial" w:hAnsi="Arial"/>
          <w:sz w:val="16"/>
          <w:szCs w:val="16"/>
          <w:color w:val="auto"/>
        </w:rPr>
        <w:t>46.2%, 46.5% and 7.3% respectively).</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unsatisfied performance obligation comprises our assessment of contracted revenue yet to be earned from projects awarded by clients. At December 31, 2023, we had unsatisfied performance obligations of approximately $14.8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to 2023</w:t>
            </w:r>
          </w:p>
        </w:tc>
      </w:tr>
      <w:tr>
        <w:trPr>
          <w:trHeight w:val="156"/>
        </w:trPr>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8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jc w:val="right"/>
              <w:ind w:right="1119"/>
              <w:spacing w:after="0" w:line="155" w:lineRule="exact"/>
              <w:rPr>
                <w:sz w:val="20"/>
                <w:szCs w:val="20"/>
                <w:color w:val="auto"/>
              </w:rPr>
            </w:pPr>
            <w:r>
              <w:rPr>
                <w:rFonts w:ascii="Arial" w:cs="Arial" w:eastAsia="Arial" w:hAnsi="Arial"/>
                <w:sz w:val="16"/>
                <w:szCs w:val="16"/>
                <w:b w:val="1"/>
                <w:bCs w:val="1"/>
                <w:color w:val="auto"/>
              </w:rPr>
              <w:t>Percentage of Revenue</w:t>
            </w:r>
          </w:p>
        </w:tc>
        <w:tc>
          <w:tcPr>
            <w:tcW w:w="1880" w:type="dxa"/>
            <w:vAlign w:val="bottom"/>
            <w:shd w:val="clear" w:color="auto" w:fill="CCEEFF"/>
          </w:tcPr>
          <w:p>
            <w:pPr>
              <w:jc w:val="right"/>
              <w:ind w:right="539"/>
              <w:spacing w:after="0" w:line="155" w:lineRule="exact"/>
              <w:rPr>
                <w:sz w:val="20"/>
                <w:szCs w:val="20"/>
                <w:color w:val="auto"/>
              </w:rPr>
            </w:pPr>
            <w:r>
              <w:rPr>
                <w:rFonts w:ascii="Arial" w:cs="Arial" w:eastAsia="Arial" w:hAnsi="Arial"/>
                <w:sz w:val="16"/>
                <w:szCs w:val="16"/>
                <w:b w:val="1"/>
                <w:bCs w:val="1"/>
                <w:color w:val="auto"/>
              </w:rPr>
              <w:t>Percentage</w:t>
            </w: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Increase/(Decrease)</w:t>
            </w:r>
          </w:p>
        </w:tc>
      </w:tr>
      <w:tr>
        <w:trPr>
          <w:trHeight w:val="215"/>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880" w:type="dxa"/>
            <w:vAlign w:val="bottom"/>
          </w:tcPr>
          <w:p>
            <w:pPr>
              <w:jc w:val="right"/>
              <w:spacing w:after="0"/>
              <w:rPr>
                <w:sz w:val="20"/>
                <w:szCs w:val="20"/>
                <w:color w:val="auto"/>
              </w:rPr>
            </w:pPr>
            <w:r>
              <w:rPr>
                <w:rFonts w:ascii="Arial" w:cs="Arial" w:eastAsia="Arial" w:hAnsi="Arial"/>
                <w:sz w:val="16"/>
                <w:szCs w:val="16"/>
                <w:color w:val="auto"/>
              </w:rPr>
              <w:t>100.0 %</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100.0 %</w:t>
            </w:r>
          </w:p>
        </w:tc>
        <w:tc>
          <w:tcPr>
            <w:tcW w:w="188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Costs and expenses:</w:t>
            </w:r>
          </w:p>
        </w:tc>
        <w:tc>
          <w:tcPr>
            <w:tcW w:w="38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880" w:type="dxa"/>
            <w:vAlign w:val="bottom"/>
          </w:tcPr>
          <w:p>
            <w:pPr>
              <w:jc w:val="right"/>
              <w:spacing w:after="0"/>
              <w:rPr>
                <w:sz w:val="20"/>
                <w:szCs w:val="20"/>
                <w:color w:val="auto"/>
              </w:rPr>
            </w:pPr>
            <w:r>
              <w:rPr>
                <w:rFonts w:ascii="Arial" w:cs="Arial" w:eastAsia="Arial" w:hAnsi="Arial"/>
                <w:sz w:val="16"/>
                <w:szCs w:val="16"/>
                <w:color w:val="auto"/>
              </w:rPr>
              <w:t>70.4 %</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71.4 %</w:t>
            </w:r>
          </w:p>
        </w:tc>
        <w:tc>
          <w:tcPr>
            <w:tcW w:w="188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7"/>
        </w:trPr>
        <w:tc>
          <w:tcPr>
            <w:tcW w:w="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880" w:type="dxa"/>
            <w:vAlign w:val="bottom"/>
          </w:tcPr>
          <w:p>
            <w:pPr>
              <w:jc w:val="right"/>
              <w:spacing w:after="0"/>
              <w:rPr>
                <w:sz w:val="20"/>
                <w:szCs w:val="20"/>
                <w:color w:val="auto"/>
              </w:rPr>
            </w:pPr>
            <w:r>
              <w:rPr>
                <w:rFonts w:ascii="Arial" w:cs="Arial" w:eastAsia="Arial" w:hAnsi="Arial"/>
                <w:sz w:val="16"/>
                <w:szCs w:val="16"/>
                <w:color w:val="auto"/>
              </w:rPr>
              <w:t>1.6 %</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1.4 %</w:t>
            </w:r>
          </w:p>
        </w:tc>
        <w:tc>
          <w:tcPr>
            <w:tcW w:w="1880" w:type="dxa"/>
            <w:vAlign w:val="bottom"/>
          </w:tcPr>
          <w:p>
            <w:pPr>
              <w:jc w:val="right"/>
              <w:spacing w:after="0"/>
              <w:rPr>
                <w:sz w:val="20"/>
                <w:szCs w:val="20"/>
                <w:color w:val="auto"/>
              </w:rPr>
            </w:pPr>
            <w:r>
              <w:rPr>
                <w:rFonts w:ascii="Arial" w:cs="Arial" w:eastAsia="Arial" w:hAnsi="Arial"/>
                <w:sz w:val="16"/>
                <w:szCs w:val="16"/>
                <w:color w:val="auto"/>
              </w:rPr>
              <w:t>18.5 %</w:t>
            </w:r>
          </w:p>
        </w:tc>
      </w:tr>
      <w:tr>
        <w:trPr>
          <w:trHeight w:val="217"/>
        </w:trPr>
        <w:tc>
          <w:tcPr>
            <w:tcW w:w="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1880" w:type="dxa"/>
            <w:vAlign w:val="bottom"/>
          </w:tcPr>
          <w:p>
            <w:pPr>
              <w:jc w:val="right"/>
              <w:spacing w:after="0"/>
              <w:rPr>
                <w:sz w:val="20"/>
                <w:szCs w:val="20"/>
                <w:color w:val="auto"/>
              </w:rPr>
            </w:pPr>
            <w:r>
              <w:rPr>
                <w:rFonts w:ascii="Arial" w:cs="Arial" w:eastAsia="Arial" w:hAnsi="Arial"/>
                <w:sz w:val="16"/>
                <w:szCs w:val="16"/>
                <w:color w:val="auto"/>
              </w:rPr>
              <w:t>0.5 %</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0.5 %</w:t>
            </w:r>
          </w:p>
        </w:tc>
        <w:tc>
          <w:tcPr>
            <w:tcW w:w="188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7"/>
        </w:trPr>
        <w:tc>
          <w:tcPr>
            <w:tcW w:w="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70"/>
        </w:trPr>
        <w:tc>
          <w:tcPr>
            <w:tcW w:w="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2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10.3 %</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2023 compared to year ended December 31,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980" w:type="dxa"/>
            <w:vAlign w:val="bottom"/>
            <w:shd w:val="clear" w:color="auto" w:fill="CCEEFF"/>
          </w:tcPr>
          <w:p>
            <w:pPr>
              <w:jc w:val="center"/>
              <w:ind w:left="419"/>
              <w:spacing w:after="0"/>
              <w:rPr>
                <w:sz w:val="20"/>
                <w:szCs w:val="20"/>
                <w:color w:val="auto"/>
              </w:rPr>
            </w:pPr>
            <w:r>
              <w:rPr>
                <w:rFonts w:ascii="Arial" w:cs="Arial" w:eastAsia="Arial" w:hAnsi="Arial"/>
                <w:sz w:val="16"/>
                <w:szCs w:val="16"/>
                <w:b w:val="1"/>
                <w:bCs w:val="1"/>
                <w:color w:val="auto"/>
                <w:w w:val="99"/>
              </w:rPr>
              <w:t>Year Ended</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6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8,120,176 $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7,741,386</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378,790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year ended December 31, 2023 increased by $378.8 million, or 4.9%, to $8,120.2 million, compared to $7,741.4 million for the year ended December 31, 2022. Revenue increased by 4.6% in constant currency terms. The increase in revenues in the year ended December 31, 2023 is due to the continued organic growth across the Company's markets.</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During the year ended December 31, 2023 the Company derived approximately 40.4%, 48.7% and 10.9% of our revenue in the United States, Europe and Rest of World respectively. Revenues from our top five customers amounted to $2,174.8 million in the year ended December 31, 2023 compared to $2,189.6 million in the year ended December 31, 2022 or 26.8% and 28.3% respectively. New customer accounts are continually added across the full portfolio of large pharma customer, mid-tier pharma customers and biotech customers.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in Ireland increased by $392.5 million in the year ended December 31, 2023, to $2,377.1 million, compared to $1,984.6 million for the year ended December 31, 2022. Revenue in Ireland during the year ended December 31, 2023 increased by 19.8% compared to an overall increase in Group revenue of 4.9%. Revenue in Ireland is principally a function of our global contracting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ind w:firstLine="648"/>
        <w:spacing w:after="0" w:line="265" w:lineRule="auto"/>
        <w:rPr>
          <w:sz w:val="20"/>
          <w:szCs w:val="20"/>
          <w:color w:val="auto"/>
        </w:rPr>
      </w:pPr>
      <w:r>
        <w:rPr>
          <w:rFonts w:ascii="Arial" w:cs="Arial" w:eastAsia="Arial" w:hAnsi="Arial"/>
          <w:sz w:val="16"/>
          <w:szCs w:val="16"/>
          <w:color w:val="auto"/>
        </w:rPr>
        <w:t>Revenue in the Rest of Europe decreased by $43.6 million or 2.7%, to $1,574.8 million, compared to $1,618.4 million for the year ended December 31, 2022. Revenue in the U.S. decreased by $290.8 million or 8.1%, to $3,283.8 million, compared to $3,574.6 million for the year ended December 31, 2022. Revenue in our Rest of World (‘Other’) region increased by $320.6 million or 56.9%, to $884.5 million, compared to $563.9 million for the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5,719,949</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5,527,045</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192,904</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70.4 %</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71.4 %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3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Direct costs for the year ended December 31, 2023 increased by $192.9 million, or 3.5%, to $5,719.9 million, compared to $5,527.0 million for the year ended December 31, 2022.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laboratory costs, travel and other direct project driven costs. This was offset by a decrease in third party investigator and other reimbursable costs in the year. As a percentage of revenue, direct costs have decreased to 70.4% of revenue during the year ended December 31, 2023 compared to 71.4% for the year ended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768,559</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778,753</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(10,194)</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10.0 %</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3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Selling, general and administrative expenses for the year ended December 31, 2023 decreased by $10.2 million, or 1.3%, to $768.6 million, compared to $778.8 million for the year ended December 31, 2022. Selling, general and administrative expenses comprise primarily of compensation, related fringe benefits and routine share based compensation expense for non-project-related employees, recruitment expenditures, professional service costs, advertising costs and all costs related to facilities and information systems. As a percentage of revenue, selling, general and administrative expenses decreased to 9.4% of revenue during the year ended December 31, 2023, compared to 10.0% of revenue for the year ended December 31, 2022. The decrease in costs for the year ended December 31, 2023 primarily reflects decreases in general overhead, personnel costs, share compensation expense and marketing costs offset by movements in professional fees, foreign exchange and facilities costs. Further the Company recorded a gain of $6.2 million related to the Oncacare acquisition during the year ended December 31, 2023.</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126,096</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106,426</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19,670</w:t>
            </w: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18.5 %</w:t>
            </w:r>
          </w:p>
        </w:tc>
      </w:tr>
      <w:tr>
        <w:trPr>
          <w:trHeight w:val="21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459,854</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463,087</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(3,233)</w:t>
            </w: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6.0 %</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3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Depreciation expense for the year increased by $19.7 million or 18.5%, to $126.1 million, compared to $106.4 million for the year ended December 31, 2022. The depreciation charge reflects the investments in facilities, information systems and equipment supporting the Company’s continued growth. As a percentage of revenue, the depreciation expense increased to 1.6% of revenues, for the year ended December 31, 2023 compared to 1.4% for the year December 31, 2022. The increase in the depreciation charge for the years ended December 31, 2023 is due to the increase in our depreciable asset base and additional spend related to computer hardware and software.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1" w:name="page62"/>
    <w:bookmarkEnd w:id="61"/>
    <w:p>
      <w:pPr>
        <w:jc w:val="both"/>
        <w:ind w:firstLine="648"/>
        <w:spacing w:after="0" w:line="265" w:lineRule="auto"/>
        <w:rPr>
          <w:sz w:val="20"/>
          <w:szCs w:val="20"/>
          <w:color w:val="auto"/>
        </w:rPr>
      </w:pPr>
      <w:r>
        <w:rPr>
          <w:rFonts w:ascii="Arial" w:cs="Arial" w:eastAsia="Arial" w:hAnsi="Arial"/>
          <w:sz w:val="16"/>
          <w:szCs w:val="16"/>
          <w:color w:val="auto"/>
        </w:rPr>
        <w:t>Amortization expense for the year ended December 31, 2023 decreased by $3.2 million or 0.7%, to $459.9 million, compared to $463.1 million for the year ended December 31, 2022. The amortization expense represents the amortization of intangible assets acquired in connection with business combinations. As a percentage of revenue, the amortization expense decreased to 5.7% for the year ended December 31, 2023, compared to 6.0% of revenue for the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Year Ended</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56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44,176</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39,695</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4,481</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0.5 %</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0.5 %</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45,390</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31,143</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14,247</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0.4 %</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45.7 %</w:t>
            </w:r>
          </w:p>
        </w:tc>
      </w:tr>
    </w:tbl>
    <w:p>
      <w:pPr>
        <w:spacing w:after="0" w:line="311"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During the year ended December 31, 2023, the Company incurred $89.6 million for restructuring, transaction and integration-related expenses. The charge includes transaction and integration costs of $44.2 million associated with professional fees, retention agreements and ongoing integration activities.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also undertaken a restructuring program aimed at realigning its workforce as well as reviewing its global office footprint and optimizing its locations to best fit the requirements of the Company. This program has resulted in a charge of $45.4 million in the year ended December 31, 2023. In the year ended December 31, 2022, a restructuring charge of $31.1 million was recognized.</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We expect to incur some additional expenses associated with the Merger; however, the timing and the amount of these expenses depends on various factors including the execution of integration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5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956,152</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795,237</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160,915</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10.3 %</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20.2 %</w:t>
            </w:r>
          </w:p>
        </w:tc>
      </w:tr>
    </w:tbl>
    <w:p>
      <w:pPr>
        <w:spacing w:after="0" w:line="3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increased by $160.9 million, or 20.2%, to $956.2 million, compared to $795.2 million for the year ended December 31, 2022. As a percentage of revenue, income from operations increased to 11.8% of revenues compared to 10.3% of revenues for year ended December 31, 2022.</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increased to $432.0 million compared to $218.1 million for the year ended December 31, 2022.</w:t>
      </w:r>
    </w:p>
    <w:p>
      <w:pPr>
        <w:spacing w:after="0" w:line="24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the Rest of Europe region, income from operations decreased to $153.5 million compared to $253.8 million for the year ended December 31, 2022. As a percentage of revenue, income from operations in the Rest of Europe region decreased to 9.7% compared to 15.7% for the year ended December 31, 2022.</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U.S. region, income from operations increased by $55.5 million, to $310.3 million, compared to $254.8 million for the year ended December 31, 2022. As a percentage of revenue, income from operations in the U.S. region increased to 9.5% compared to 7.1% for the year ended December 31, 2022.</w:t>
      </w:r>
    </w:p>
    <w:p>
      <w:pPr>
        <w:spacing w:after="0" w:line="39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other regions, income from operations decreased by $8.2 million to $60.3 million compared to $68.5 million for the year ended December 31, 2022. As percentage of revenue, income from operations in the other regions decreased to 6.8% compared to 12.1%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2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2,669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113.8 %</w:t>
            </w: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(336,699)</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(229,731)</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79"/>
              <w:spacing w:after="0"/>
              <w:rPr>
                <w:sz w:val="20"/>
                <w:szCs w:val="20"/>
                <w:color w:val="auto"/>
              </w:rPr>
            </w:pPr>
            <w:r>
              <w:rPr>
                <w:rFonts w:ascii="Arial" w:cs="Arial" w:eastAsia="Arial" w:hAnsi="Arial"/>
                <w:sz w:val="16"/>
                <w:szCs w:val="16"/>
                <w:color w:val="auto"/>
              </w:rPr>
              <w:t>(106,968)</w:t>
            </w:r>
          </w:p>
        </w:tc>
        <w:tc>
          <w:tcPr>
            <w:tcW w:w="1080" w:type="dxa"/>
            <w:vAlign w:val="bottom"/>
          </w:tcPr>
          <w:p>
            <w:pPr>
              <w:jc w:val="right"/>
              <w:spacing w:after="0"/>
              <w:rPr>
                <w:sz w:val="20"/>
                <w:szCs w:val="20"/>
                <w:color w:val="auto"/>
              </w:rPr>
            </w:pPr>
            <w:r>
              <w:rPr>
                <w:rFonts w:ascii="Arial" w:cs="Arial" w:eastAsia="Arial" w:hAnsi="Arial"/>
                <w:sz w:val="16"/>
                <w:szCs w:val="16"/>
                <w:color w:val="auto"/>
              </w:rPr>
              <w:t>46.6 %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Interest expense increased to $336.7 million compared to $229.7 million for the year ended December 31, 2022. The increase in the year reflects the impact of rising interest rates incurred on the Company's debt facilities, notwithstanding significant repayments of the Company's loan facilities. Interest income for the year ended December 31, 2023 increased to $5.0 million, compared to $2.3 million for the year ended December 31, 2022.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w w:val="99"/>
              </w:rPr>
              <w:t>Year Ended</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11,749</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59,411</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(47,662)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10.5 %</w:t>
            </w: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Provision for income taxes for the year decreased to $11.7 million compared to $59.4 million for the year ended December 31, 2022. The Company’s effective tax rate for the year ended December 31, 2023 was 1.9% compared to 10.5% for the year ended December 31, 2022 primarily due to the release of significant unrecognized tax benefits acquired in connection with the Merger which was partially offset by a deferred tax provision on unrepatriated earnings. With the exception of the foregoing, the Company’s effective tax rate remains principally a function of the distribution of pre-tax profits amongst the territories in which it operates.</w:t>
      </w:r>
    </w:p>
    <w:p>
      <w:pPr>
        <w:spacing w:after="0" w:line="230"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Balance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Net cash inflow/</w:t>
            </w:r>
          </w:p>
        </w:tc>
        <w:tc>
          <w:tcPr>
            <w:tcW w:w="1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down)/</w:t>
            </w:r>
          </w:p>
        </w:tc>
        <w:tc>
          <w:tcPr>
            <w:tcW w:w="13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non-cash</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Effect of</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exchange rates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i w:val="1"/>
                <w:iCs w:val="1"/>
                <w:color w:val="auto"/>
              </w:rPr>
              <w:t>dollars in thousands</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equivalents</w:t>
            </w:r>
          </w:p>
        </w:tc>
        <w:tc>
          <w:tcPr>
            <w:tcW w:w="1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288,768</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90,331</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(997)</w:t>
            </w:r>
          </w:p>
        </w:tc>
        <w:tc>
          <w:tcPr>
            <w:tcW w:w="1220" w:type="dxa"/>
            <w:vAlign w:val="bottom"/>
          </w:tcPr>
          <w:p>
            <w:pPr>
              <w:jc w:val="right"/>
              <w:spacing w:after="0"/>
              <w:rPr>
                <w:sz w:val="20"/>
                <w:szCs w:val="20"/>
                <w:color w:val="auto"/>
              </w:rPr>
            </w:pPr>
            <w:r>
              <w:rPr>
                <w:rFonts w:ascii="Arial" w:cs="Arial" w:eastAsia="Arial" w:hAnsi="Arial"/>
                <w:sz w:val="16"/>
                <w:szCs w:val="16"/>
                <w:color w:val="auto"/>
              </w:rPr>
              <w:t>378,102</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w:t>
            </w:r>
          </w:p>
        </w:tc>
        <w:tc>
          <w:tcPr>
            <w:tcW w:w="1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1,713</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241</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Arial" w:cs="Arial" w:eastAsia="Arial" w:hAnsi="Arial"/>
                <w:sz w:val="16"/>
                <w:szCs w:val="16"/>
                <w:color w:val="auto"/>
              </w:rPr>
              <w:t>Senior Secured Credit Facilities &amp; Senior</w:t>
            </w:r>
          </w:p>
        </w:tc>
        <w:tc>
          <w:tcPr>
            <w:tcW w:w="1600" w:type="dxa"/>
            <w:vAlign w:val="bottom"/>
            <w:vMerge w:val="restart"/>
          </w:tcPr>
          <w:p>
            <w:pPr>
              <w:jc w:val="right"/>
              <w:ind w:right="279"/>
              <w:spacing w:after="0"/>
              <w:rPr>
                <w:sz w:val="20"/>
                <w:szCs w:val="20"/>
                <w:color w:val="auto"/>
              </w:rPr>
            </w:pPr>
            <w:r>
              <w:rPr>
                <w:rFonts w:ascii="Arial" w:cs="Arial" w:eastAsia="Arial" w:hAnsi="Arial"/>
                <w:sz w:val="16"/>
                <w:szCs w:val="16"/>
                <w:color w:val="auto"/>
              </w:rPr>
              <w:t>(4,654,187)</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895,000</w:t>
            </w:r>
          </w:p>
        </w:tc>
        <w:tc>
          <w:tcPr>
            <w:tcW w:w="13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(16,402)</w:t>
            </w:r>
          </w:p>
        </w:tc>
        <w:tc>
          <w:tcPr>
            <w:tcW w:w="144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(3,775,589)</w:t>
            </w: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Secured Notes</w:t>
            </w:r>
          </w:p>
        </w:tc>
        <w:tc>
          <w:tcPr>
            <w:tcW w:w="16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Net cash and cash equivalents and</w:t>
            </w:r>
          </w:p>
        </w:tc>
        <w:tc>
          <w:tcPr>
            <w:tcW w:w="160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(4,363,706)</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895,000</w:t>
            </w:r>
          </w:p>
        </w:tc>
        <w:tc>
          <w:tcPr>
            <w:tcW w:w="13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90,572</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(16,402)</w:t>
            </w:r>
          </w:p>
        </w:tc>
        <w:tc>
          <w:tcPr>
            <w:tcW w:w="14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(997)</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(3,395,533)</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borrowings</w:t>
            </w: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Company’s cash and cash equivalents and available for sale investments at December 31, 2023 amounted to $380.1 million compared with cash and available for sale investments of $290.5 million at December 31, 2022. The Company’s cash and cash equivalents and available for sale investments at December 31, 2023 comprised cash and cash equivalents of $378.1 million and available for sale investments of $2.0 million. The Company’s cash and available for sale investments at December 31, 2022 comprised cash and cash equivalents of $288.8 million and available for sale investments of $1.7 million.</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63" w:name="page64"/>
    <w:bookmarkEnd w:id="63"/>
    <w:p>
      <w:pPr>
        <w:jc w:val="both"/>
        <w:ind w:firstLine="648"/>
        <w:spacing w:after="0" w:line="261"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May 2, 2023, the Company agreed with its lenders to increase the aggregate principal amount of the senior secured revolving loan facility from $300 million to $500 million.</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As of December 31, 2023, the applicable margin is 2.25%. The senior secured term loan facility is subject to a floor of 0.50%.</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As at December 31, 2023, $445.0 million remained undrawn under the senior secured revolving loan facility.</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Principal repayments, comprising mandatory and voluntary repayments, during the year ended December 31, 2023 and December 31, 2022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29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4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w:t>
            </w:r>
          </w:p>
        </w:tc>
        <w:tc>
          <w:tcPr>
            <w:tcW w:w="2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Quarter 2</w:t>
            </w:r>
          </w:p>
        </w:tc>
        <w:tc>
          <w:tcPr>
            <w:tcW w:w="29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150,000</w:t>
            </w:r>
          </w:p>
        </w:tc>
        <w:tc>
          <w:tcPr>
            <w:tcW w:w="6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w:t>
            </w:r>
          </w:p>
        </w:tc>
        <w:tc>
          <w:tcPr>
            <w:tcW w:w="29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5"/>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w:t>
            </w:r>
          </w:p>
        </w:tc>
        <w:tc>
          <w:tcPr>
            <w:tcW w:w="29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r>
      <w:tr>
        <w:trPr>
          <w:trHeight w:val="235"/>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950,000</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voluntary repayments made during the year resulted in an accelerated charge associated with previously capitalized fees of $7.9 million (December 31, 2022: $7.8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4" w:name="page65"/>
    <w:bookmarkEnd w:id="64"/>
    <w:p>
      <w:pPr>
        <w:jc w:val="both"/>
        <w:ind w:firstLine="256"/>
        <w:spacing w:after="0" w:line="248" w:lineRule="auto"/>
        <w:rPr>
          <w:sz w:val="20"/>
          <w:szCs w:val="20"/>
          <w:color w:val="auto"/>
        </w:rPr>
      </w:pPr>
      <w:r>
        <w:rPr>
          <w:rFonts w:ascii="Arial" w:cs="Arial" w:eastAsia="Arial" w:hAnsi="Arial"/>
          <w:sz w:val="16"/>
          <w:szCs w:val="16"/>
          <w:color w:val="auto"/>
        </w:rPr>
        <w:t>During the year ended December 31, 2023, the Company drew down $370.0 million (December 31, 2022: $75.0 million) of the senior secured revolving loan facility and repaid $315.0 million (December 31, 2022: $75.0 million ) as shown below. As at December 31, 2023, $55 million (December 31, 2022: $nil) was drawn under the senior secured revolving loan facility in addition to $3.7 million (December 31, 2022: $4.5 million) in letters of credit given to landlords to guarantee lease arrangements.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3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Repayment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10"/>
        </w:trPr>
        <w:tc>
          <w:tcPr>
            <w:tcW w:w="3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1700" w:type="dxa"/>
            <w:vAlign w:val="bottom"/>
          </w:tcPr>
          <w:p>
            <w:pPr>
              <w:spacing w:after="0"/>
              <w:rPr>
                <w:sz w:val="18"/>
                <w:szCs w:val="18"/>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22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2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2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180,000</w:t>
            </w:r>
          </w:p>
        </w:tc>
        <w:tc>
          <w:tcPr>
            <w:tcW w:w="340" w:type="dxa"/>
            <w:vAlign w:val="bottom"/>
          </w:tcPr>
          <w:p>
            <w:pPr>
              <w:spacing w:after="0"/>
              <w:rPr>
                <w:sz w:val="18"/>
                <w:szCs w:val="18"/>
                <w:color w:val="auto"/>
              </w:rPr>
            </w:pPr>
          </w:p>
        </w:tc>
        <w:tc>
          <w:tcPr>
            <w:tcW w:w="2440" w:type="dxa"/>
            <w:vAlign w:val="bottom"/>
          </w:tcPr>
          <w:p>
            <w:pPr>
              <w:jc w:val="right"/>
              <w:ind w:right="539"/>
              <w:spacing w:after="0"/>
              <w:rPr>
                <w:sz w:val="20"/>
                <w:szCs w:val="20"/>
                <w:color w:val="auto"/>
              </w:rPr>
            </w:pPr>
            <w:r>
              <w:rPr>
                <w:rFonts w:ascii="Arial" w:cs="Arial" w:eastAsia="Arial" w:hAnsi="Arial"/>
                <w:sz w:val="16"/>
                <w:szCs w:val="16"/>
                <w:color w:val="auto"/>
              </w:rPr>
              <w:t>100,000</w:t>
            </w:r>
          </w:p>
        </w:tc>
        <w:tc>
          <w:tcPr>
            <w:tcW w:w="17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1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2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80,000</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2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18"/>
                <w:szCs w:val="18"/>
                <w:color w:val="auto"/>
              </w:rPr>
            </w:pPr>
          </w:p>
        </w:tc>
        <w:tc>
          <w:tcPr>
            <w:tcW w:w="2440" w:type="dxa"/>
            <w:vAlign w:val="bottom"/>
          </w:tcPr>
          <w:p>
            <w:pPr>
              <w:jc w:val="right"/>
              <w:ind w:right="539"/>
              <w:spacing w:after="0"/>
              <w:rPr>
                <w:sz w:val="20"/>
                <w:szCs w:val="20"/>
                <w:color w:val="auto"/>
              </w:rPr>
            </w:pPr>
            <w:r>
              <w:rPr>
                <w:rFonts w:ascii="Arial" w:cs="Arial" w:eastAsia="Arial" w:hAnsi="Arial"/>
                <w:sz w:val="16"/>
                <w:szCs w:val="16"/>
                <w:color w:val="auto"/>
              </w:rPr>
              <w:t>50,000</w:t>
            </w:r>
          </w:p>
        </w:tc>
        <w:tc>
          <w:tcPr>
            <w:tcW w:w="170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216"/>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2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3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85,000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r>
      <w:tr>
        <w:trPr>
          <w:trHeight w:val="210"/>
        </w:trPr>
        <w:tc>
          <w:tcPr>
            <w:tcW w:w="30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370,000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315,000</w:t>
            </w:r>
          </w:p>
        </w:tc>
        <w:tc>
          <w:tcPr>
            <w:tcW w:w="1700" w:type="dxa"/>
            <w:vAlign w:val="bottom"/>
            <w:tcBorders>
              <w:bottom w:val="single" w:sz="8" w:color="auto"/>
            </w:tcBorders>
          </w:tcPr>
          <w:p>
            <w:pPr>
              <w:spacing w:after="0"/>
              <w:rPr>
                <w:sz w:val="18"/>
                <w:szCs w:val="18"/>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“Offering”). The Senior Secured Notes will mature on July 15, 2026.</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has contractual liabilities for lease arrangements of $176.9 million which will be predominantly settled over the next five year period through cash payments.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provided by operating activities increased by $597.7 million to $1,161.0 million for the year ended December 31, 2023 as compared to net cash provided by operating activities of $563.3 million for the year ended December 31, 2022. The increase in net cash provided by operating activities of $597.7 million is primarily due to an increase in underlying operating activity and improved working capital management.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Investments in net receivables (accounts receivable, unbilled services and unearned revenue) improved by $93.8 million during the 12 months ended December 31, 2023 reducing from $1,181.6 million at December 31, 2022 to $1,087.8 million at December 31, 2023. The days’ revenue outstanding at December 31, 2023 was 47 days compared to 54 days at December 31, 2022. A decrease in the number of days’ revenue outstanding during a period will result in cash inflows to the Company while an increase in days revenue outstanding will lead to cash outflows.</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Net cash used in investing activities was $226.7 million for the year ended December 31, 2023 compared to net cash used in investing activities of $145.9 million for the year ended December 31, 2022. Net cash used in investing activities for the year ended December 31, 2023 was primarily related to cash outflows of $140.7 million for capital expenditures made mainly relating to investment in facilities and IT infrastructure, $71.8 million in relation to acquisition of BioTel Research LLC and the majority investor's 51% voting share capital of Oncacare Limited, net of cash acquired, and $14.0 million in relation to investments in long-term equity.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Net cash used in financing activities amounted to $844.0 million for the year ended December 31, 2023 compared with net cash used in financing activities of $864.2 million for the year ended December 31, 2022. In the year ended December 31, 2023, the Company made a net repayment of $895.0 million on external financing. This was offset by $51.0 million received by the Company from the exercise of share options.</w:t>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Net cash inflow</w:t>
      </w:r>
    </w:p>
    <w:p>
      <w:pPr>
        <w:spacing w:after="0" w:line="246"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As a result of these cash flows, cash and cash equivalents increased by $89.3 million for the year ended December 31, 2023 compared to a decrease of $463.4 million for the year ended December 31, 2022.</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 plays a critical role in new drug development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207"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or commitments or events since December 31, 2023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205"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Note 2 to the audited consolidated financial statements provided elsewhere in this Form 20-F describes the significant accounting policies used in the preparation of the consolidated financial statements. The preparation of our consolidated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critical accounting estimates and judgments used by management. The application of these critical accounting estimates is discussed with the Audit Committee of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 Clinical Trial Services</w:t>
      </w:r>
    </w:p>
    <w:p>
      <w:pPr>
        <w:spacing w:after="0" w:line="2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Revenue is recognized on a percentage completion basis as the single performance obligation is satisfied. The progress towards completion for clinical service contracts is measured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use the acquisition method to account for business combinations, and accordingly, the identifiable assets acquired, the liabilities assumed and any non-controlling interest in the acquiree are recorded at their estimated fair values on the date of the acquisition. We use significant judgments, estimates and assumptions in determining the estimated fair value of assets acquired, liabilities assumed and any non-controlling interest. Estimated fair values were based on various valuation methodologies, including an income approach that uses discounted cash flow techniques for acquired customer relationship intangible assets. The aforementioned income methods utilize management's estimates of future operating results and cash flows discounted using a weighted-average cost of capital that reflects market participant assumptions. We have recorded and allocated to our reporting units the excess of the purchase price over the fair value of the net assets acquired, known as goodwill.</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Recoverability of Goodwill and Long-Lived Assets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Goodwill</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assesses its goodwill for impairment annually or when events or circumstances indicate a possible impairment.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w:t>
      </w:r>
    </w:p>
    <w:p>
      <w:pPr>
        <w:spacing w:after="0" w:line="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If the Company elects to perform a qualitative assessment, events and circumstances considered for each reporting unit may include: (i) current year results, (ii) financial performance versus management’s annual and multi-year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may utilize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terminal growth rates and discount rates.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market-based fair value methodology, judgment may be required in evaluating market multiples and recent transactions.</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completed its most recent annual goodwill impairment testing as of September 30, 2023, a date which is consistent with the prior year. For the years ended December 31, 2023 and 2022, the Company determined that there was no impairment of goodwill.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long lived assets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assesses long-lived assets (such as intangible assets) for impairment whenever events or changes in circumstances indicate that the carrying amount of the asset group might not be recoverable. If indicators of impairment are present, we evaluate the carrying value of long-lived asset in relation to estimates of future undiscounted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Taxation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provision for income taxes includes federal, state, local and foreign taxes. We apply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We account for the impact of Global Intangible Low-Taxed Income ("GILTI") in the period it arises and therefore have not provided for deferred taxes in respect of this item. Recognition of deferred income tax assets is based on management’s belief that it is more likely than not that the income tax benefit associated with certain temporary differences, income tax operating loss, capital loss carryforwards, and income tax credits, would be realized. Deferred tax assets are reduced by a valuation allowance to the amount that is more likely than not to be realized. We recognize the effect of income tax positions only if those positions will more likely than not be sustained. We determined the amount of the valuation allowance based, in part, on our assessment of future taxable income and in light of our ongoing income tax strategies. If our estimate of future taxable income or tax strategies changes at any time in the future, we would record an adjustment to our valuation allowance. Recording such an adjustment could have a material effect on our financial condition or results of operations.</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Directors and Senior Management</w:t>
      </w:r>
    </w:p>
    <w:p>
      <w:pPr>
        <w:spacing w:after="0" w:line="2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following table and accompanying biographies set forth certain information concerning each of ICON plc’s Directors, officers and other key employees as of February 23,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b w:val="1"/>
                <w:bCs w:val="1"/>
                <w:color w:val="auto"/>
              </w:rPr>
              <w:t>Age</w:t>
            </w:r>
          </w:p>
        </w:tc>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Position</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Ciaran Murray</w:t>
            </w:r>
          </w:p>
        </w:tc>
        <w:tc>
          <w:tcPr>
            <w:tcW w:w="1720" w:type="dxa"/>
            <w:vAlign w:val="bottom"/>
          </w:tcPr>
          <w:p>
            <w:pPr>
              <w:ind w:left="1060"/>
              <w:spacing w:after="0"/>
              <w:rPr>
                <w:sz w:val="20"/>
                <w:szCs w:val="20"/>
                <w:color w:val="auto"/>
              </w:rPr>
            </w:pPr>
            <w:r>
              <w:rPr>
                <w:rFonts w:ascii="Arial" w:cs="Arial" w:eastAsia="Arial" w:hAnsi="Arial"/>
                <w:sz w:val="16"/>
                <w:szCs w:val="16"/>
                <w:color w:val="auto"/>
              </w:rPr>
              <w:t>61</w:t>
            </w:r>
          </w:p>
        </w:tc>
        <w:tc>
          <w:tcPr>
            <w:tcW w:w="6660" w:type="dxa"/>
            <w:vAlign w:val="bottom"/>
          </w:tcPr>
          <w:p>
            <w:pPr>
              <w:ind w:left="360"/>
              <w:spacing w:after="0"/>
              <w:rPr>
                <w:sz w:val="20"/>
                <w:szCs w:val="20"/>
                <w:color w:val="auto"/>
              </w:rPr>
            </w:pPr>
            <w:r>
              <w:rPr>
                <w:rFonts w:ascii="Arial" w:cs="Arial" w:eastAsia="Arial" w:hAnsi="Arial"/>
                <w:sz w:val="16"/>
                <w:szCs w:val="16"/>
                <w:color w:val="auto"/>
              </w:rPr>
              <w:t>Chair and Director</w:t>
            </w:r>
          </w:p>
        </w:tc>
      </w:tr>
      <w:tr>
        <w:trPr>
          <w:trHeight w:val="244"/>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 (1)(5)</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63</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Executive Officer and Director</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Brendan Brennan (1)(5)</w:t>
            </w:r>
          </w:p>
        </w:tc>
        <w:tc>
          <w:tcPr>
            <w:tcW w:w="1720" w:type="dxa"/>
            <w:vAlign w:val="bottom"/>
          </w:tcPr>
          <w:p>
            <w:pPr>
              <w:ind w:left="1060"/>
              <w:spacing w:after="0"/>
              <w:rPr>
                <w:sz w:val="20"/>
                <w:szCs w:val="20"/>
                <w:color w:val="auto"/>
              </w:rPr>
            </w:pPr>
            <w:r>
              <w:rPr>
                <w:rFonts w:ascii="Arial" w:cs="Arial" w:eastAsia="Arial" w:hAnsi="Arial"/>
                <w:sz w:val="16"/>
                <w:szCs w:val="16"/>
                <w:color w:val="auto"/>
              </w:rPr>
              <w:t>45</w:t>
            </w:r>
          </w:p>
        </w:tc>
        <w:tc>
          <w:tcPr>
            <w:tcW w:w="6660" w:type="dxa"/>
            <w:vAlign w:val="bottom"/>
          </w:tcPr>
          <w:p>
            <w:pPr>
              <w:ind w:left="360"/>
              <w:spacing w:after="0"/>
              <w:rPr>
                <w:sz w:val="20"/>
                <w:szCs w:val="20"/>
                <w:color w:val="auto"/>
              </w:rPr>
            </w:pPr>
            <w:r>
              <w:rPr>
                <w:rFonts w:ascii="Arial" w:cs="Arial" w:eastAsia="Arial" w:hAnsi="Arial"/>
                <w:sz w:val="16"/>
                <w:szCs w:val="16"/>
                <w:color w:val="auto"/>
              </w:rPr>
              <w:t>Chief Financial Officer</w:t>
            </w: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Rónán Murphy (2)(3)(5)</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66</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Lead Independent Director</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1720" w:type="dxa"/>
            <w:vAlign w:val="bottom"/>
          </w:tcPr>
          <w:p>
            <w:pPr>
              <w:ind w:left="1060"/>
              <w:spacing w:after="0"/>
              <w:rPr>
                <w:sz w:val="20"/>
                <w:szCs w:val="20"/>
                <w:color w:val="auto"/>
              </w:rPr>
            </w:pPr>
            <w:r>
              <w:rPr>
                <w:rFonts w:ascii="Arial" w:cs="Arial" w:eastAsia="Arial" w:hAnsi="Arial"/>
                <w:sz w:val="16"/>
                <w:szCs w:val="16"/>
                <w:color w:val="auto"/>
              </w:rPr>
              <w:t>71</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Joan Garahy (2)(4)</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61</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Eugene McCague (3)(4)</w:t>
            </w:r>
          </w:p>
        </w:tc>
        <w:tc>
          <w:tcPr>
            <w:tcW w:w="1720" w:type="dxa"/>
            <w:vAlign w:val="bottom"/>
          </w:tcPr>
          <w:p>
            <w:pPr>
              <w:ind w:left="1060"/>
              <w:spacing w:after="0"/>
              <w:rPr>
                <w:sz w:val="20"/>
                <w:szCs w:val="20"/>
                <w:color w:val="auto"/>
              </w:rPr>
            </w:pPr>
            <w:r>
              <w:rPr>
                <w:rFonts w:ascii="Arial" w:cs="Arial" w:eastAsia="Arial" w:hAnsi="Arial"/>
                <w:sz w:val="16"/>
                <w:szCs w:val="16"/>
                <w:color w:val="auto"/>
              </w:rPr>
              <w:t>65</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Julie O'Neill (3)(4)</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57</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42"/>
        </w:trPr>
        <w:tc>
          <w:tcPr>
            <w:tcW w:w="2820" w:type="dxa"/>
            <w:vAlign w:val="bottom"/>
          </w:tcPr>
          <w:p>
            <w:pPr>
              <w:ind w:left="20"/>
              <w:spacing w:after="0"/>
              <w:rPr>
                <w:sz w:val="20"/>
                <w:szCs w:val="20"/>
                <w:color w:val="auto"/>
              </w:rPr>
            </w:pPr>
            <w:r>
              <w:rPr>
                <w:rFonts w:ascii="Arial" w:cs="Arial" w:eastAsia="Arial" w:hAnsi="Arial"/>
                <w:sz w:val="16"/>
                <w:szCs w:val="16"/>
                <w:color w:val="auto"/>
              </w:rPr>
              <w:t>Dr. Linda Grais (2)</w:t>
            </w:r>
          </w:p>
        </w:tc>
        <w:tc>
          <w:tcPr>
            <w:tcW w:w="1720" w:type="dxa"/>
            <w:vAlign w:val="bottom"/>
          </w:tcPr>
          <w:p>
            <w:pPr>
              <w:ind w:left="1060"/>
              <w:spacing w:after="0"/>
              <w:rPr>
                <w:sz w:val="20"/>
                <w:szCs w:val="20"/>
                <w:color w:val="auto"/>
              </w:rPr>
            </w:pPr>
            <w:r>
              <w:rPr>
                <w:rFonts w:ascii="Arial" w:cs="Arial" w:eastAsia="Arial" w:hAnsi="Arial"/>
                <w:sz w:val="16"/>
                <w:szCs w:val="16"/>
                <w:color w:val="auto"/>
              </w:rPr>
              <w:t>67</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Diarmaid Cunningham</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49</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Administrative Officer, General Counsel &amp; Company Secretary</w:t>
            </w:r>
          </w:p>
        </w:tc>
      </w:tr>
    </w:tbl>
    <w:p>
      <w:pPr>
        <w:spacing w:after="0" w:line="323"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Named Executive Officer of the Company.</w:t>
      </w:r>
    </w:p>
    <w:p>
      <w:pPr>
        <w:spacing w:after="0" w:line="30"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8"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Nominating, Sustainability and Governance Committee.</w:t>
      </w:r>
    </w:p>
    <w:p>
      <w:pPr>
        <w:spacing w:after="0" w:line="14" w:lineRule="exact"/>
        <w:rPr>
          <w:rFonts w:ascii="Arial" w:cs="Arial" w:eastAsia="Arial" w:hAnsi="Arial"/>
          <w:sz w:val="16"/>
          <w:szCs w:val="16"/>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Ciaran Murray</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 Mr. Murray has been the Chair of ICON plc since March 2017 and an outside Director since May 2018. Mr. Murray served as Chief Executive Officer from October 2011 until March 2017 and was Chief Financial Officer from joining ICON plc in 2005 until his appointment as Chief Executive Officer in 2011. During his time with ICON plc, Mr. Murray was recognized for his leadership of ICON and the CRO industry. Mr. Murray served as Chair of the Association of Clinical Research Organizations (ACRO) which represents the CRO industry globally. In addition, Mr. Murray was named as a leader in CRO Innovation by PharmaVOICE100, a listing of the most influential people in the bio pharma industry. 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Dr. Steve Cutler was appointed Chief Executive Officer of ICON plc in March 2017, having previously served as Chief Operating Officer from January 2014. Dr. Cutler served as Group President of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6"/>
          <w:szCs w:val="16"/>
          <w:i w:val="1"/>
          <w:iCs w:val="1"/>
          <w:color w:val="auto"/>
        </w:rPr>
        <w:t>Brendan Brennan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Mr. Brendan Brennan has served as Chief Financial Officer since February 2012.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also spent a number of years in public accounting with PwC. Mr. Brennan is a Fellow of the Institute of Chartered Accountants in Ireland and holds a bachelor’s degree in Accounting and Finance from Dublin City University. Over his years in the CRO industry, Mr. Brennan has been involved in many industry organizations and developments including ACRO (Association of Clinical Research Organizations) where he was the founding Chairman of the industry CFO round table group, a group formed to aid CROs dealing with the various industry challenges. Mr. Brennan held the position of Chairman of the round table from its foundation in 2017 to December 31, 2019.</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Rónán Murphy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Mr. Rónán Murphy has served as an outside Director of the Company since October 2016. He was appointed as Lead Independent Director in January 2019. Mr. Murphy is the former Senior Partner of PwC Ireland. He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Mr. Murphy is presently Chairman of Greencoat Renewables PLC. Mr. Murphy previously served as a council member of the ESRI, as Chair of Business in the Community Ireland and as a non-executive Director of Davy Stockbrokers. He is also a founding Board Member of the British Irish Chamber of Commerce. Mr. Murphy completed a Bachelor of Commerce and Masters in Business Studies at University College Dublin before qualifying as a chartered accountant in 1982.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and as Chief Executive Officer from June 1990 to October 2002. Since January 2010 he has held a position as an outside Director of the Company. Dr. Climax has over 30 years of experience in the clinical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Joan Garahy</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Ms. Joan Garahy was appointed as an outside Director of ICON plc in November 2017. Ms. Garahy is a Non-Executive Director of Irish Residential Properties REIT plc, IPB Insurance CLG and UNICEF Ireland. Ms. Garahy’s previous executive roles include founder and CEO of ClearView Investment &amp; Pensions Limited, a financial advisory company,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Senior Independent Non-Executive Director of Kerry Group plc, a Non-Executive Director of Harvest Financial Services Ltd and a Non-Executive director at Galway University Foundation and The Irish Chamber Orchestra. Ms. Garahy is a Qualified Financial Advisor, she holds a Bachelor of Science degree from University College Galway, a Master of Science from University College Dublin and a Diploma in Accounting &amp; Finance from ACCA.</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Eugene McCague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the Irish branch of AON Insurance and he also serves as chairman of Ibec, Ireland’s leading business representative association. Mr. McCague’s previous board roles include the Health Service Executive, the Irish state body which administers public health service in Ireland, chairman of the governing body of the Dublin Institute of Technology, chairman of the Dublin Institute of Technology Foundation and chairman of the governing authority of University College Dublin and director of Fly Leasing Limited. Mr. McCague was also president of the Dublin Chamber of Commerce in 2006. Mr. McCague holds a Bachelor of Civil Law degree and a diploma in European Law from University College Dublin.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6"/>
          <w:szCs w:val="16"/>
          <w:i w:val="1"/>
          <w:iCs w:val="1"/>
          <w:color w:val="auto"/>
        </w:rPr>
        <w:t>Julie O’Neill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Ms. Julie O’Neill has served as an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Hookipa Pharma Inc., ILC Dover, Achilles Therapeutics plc and Advancion (formerly Angus Chemical Company). She also chairs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Dr. Linda Grais has served as an outside Director of ICON plc since July 2021 having previously served as a member of the PRA Health Sciences board from October 2015 to July 2021. Dr. Grais served as a member of the board of directors of Ocera Therapeutics, Inc. from January 2008 through December 2017 and as President and Chief Executive Officer of Ocera Therapeutics, Inc. from June 2012 to December 2017.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She currently serves on the boards of directors of Corvus Pharmaceuticals and Arca Biopharma, Inc., sits on the compensation and audit committees of Arca Biopharma, Inc and the audit committee of Corvus Pharmaceuticals. Dr. Grais received a B.A. from Yale University, an M.D. from Yale Medical School and a J.D. from Stanford Law School.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Diarmaid Cunningham</w:t>
      </w:r>
    </w:p>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Mr. Diarmaid Cunningham is Chief Administrative Officer, General Counsel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which added responsibility for the Company’s Quality Assurance, Client Contracts Services, Facilities and Procurement groups in addition to his responsibility for the Company’s Legal group. In 2023, Symphony Health (ICON's data business) moved to report to Mr. Cunningham and was also added to his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2014, 2020 and 2021.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 In January 2021, Mr. Cunningham was appointed as a non-executive director of the Irish charity The Jack &amp; Jill Foundation.</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Board Diversity Matrix</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CCEEFF"/>
            </w:tcBorders>
            <w:shd w:val="clear" w:color="auto" w:fill="CCEEFF"/>
          </w:tcPr>
          <w:p>
            <w:pPr>
              <w:spacing w:after="0"/>
              <w:rPr>
                <w:sz w:val="19"/>
                <w:szCs w:val="19"/>
                <w:color w:val="auto"/>
              </w:rPr>
            </w:pPr>
          </w:p>
        </w:tc>
        <w:tc>
          <w:tcPr>
            <w:tcW w:w="24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Board Diversity Matrix</w:t>
            </w:r>
          </w:p>
        </w:tc>
        <w:tc>
          <w:tcPr>
            <w:tcW w:w="112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24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jc w:val="center"/>
              <w:ind w:left="1019"/>
              <w:spacing w:after="0"/>
              <w:rPr>
                <w:sz w:val="20"/>
                <w:szCs w:val="20"/>
                <w:color w:val="auto"/>
              </w:rPr>
            </w:pPr>
            <w:r>
              <w:rPr>
                <w:rFonts w:ascii="Arial" w:cs="Arial" w:eastAsia="Arial" w:hAnsi="Arial"/>
                <w:sz w:val="16"/>
                <w:szCs w:val="16"/>
                <w:b w:val="1"/>
                <w:bCs w:val="1"/>
                <w:color w:val="auto"/>
              </w:rPr>
              <w:t>February 23, 2024</w:t>
            </w:r>
          </w:p>
        </w:tc>
        <w:tc>
          <w:tcPr>
            <w:tcW w:w="11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b w:val="1"/>
                <w:bCs w:val="1"/>
                <w:color w:val="auto"/>
              </w:rPr>
              <w:t>February 24, 2023</w:t>
            </w:r>
          </w:p>
        </w:tc>
        <w:tc>
          <w:tcPr>
            <w:tcW w:w="1100" w:type="dxa"/>
            <w:vAlign w:val="bottom"/>
            <w:tcBorders>
              <w:bottom w:val="single" w:sz="8" w:color="auto"/>
              <w:right w:val="single" w:sz="8" w:color="auto"/>
            </w:tcBorders>
          </w:tcPr>
          <w:p>
            <w:pPr>
              <w:spacing w:after="0"/>
              <w:rPr>
                <w:sz w:val="18"/>
                <w:szCs w:val="18"/>
                <w:color w:val="auto"/>
              </w:rPr>
            </w:pPr>
          </w:p>
        </w:tc>
      </w:tr>
      <w:tr>
        <w:trPr>
          <w:trHeight w:val="209"/>
        </w:trPr>
        <w:tc>
          <w:tcPr>
            <w:tcW w:w="40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Number of Directors</w:t>
            </w:r>
          </w:p>
        </w:tc>
        <w:tc>
          <w:tcPr>
            <w:tcW w:w="24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rPr>
              <w:t>8</w:t>
            </w:r>
          </w:p>
        </w:tc>
        <w:tc>
          <w:tcPr>
            <w:tcW w:w="1120" w:type="dxa"/>
            <w:vAlign w:val="bottom"/>
            <w:tcBorders>
              <w:bottom w:val="single" w:sz="8" w:color="auto"/>
              <w:right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center"/>
              <w:ind w:left="999"/>
              <w:spacing w:after="0"/>
              <w:rPr>
                <w:sz w:val="20"/>
                <w:szCs w:val="20"/>
                <w:color w:val="auto"/>
              </w:rPr>
            </w:pPr>
            <w:r>
              <w:rPr>
                <w:rFonts w:ascii="Arial" w:cs="Arial" w:eastAsia="Arial" w:hAnsi="Arial"/>
                <w:sz w:val="16"/>
                <w:szCs w:val="16"/>
                <w:color w:val="auto"/>
                <w:w w:val="89"/>
              </w:rPr>
              <w:t>8</w:t>
            </w: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Part I: Gender Identity</w:t>
            </w:r>
          </w:p>
        </w:tc>
        <w:tc>
          <w:tcPr>
            <w:tcW w:w="248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Female</w:t>
            </w:r>
          </w:p>
        </w:tc>
        <w:tc>
          <w:tcPr>
            <w:tcW w:w="1120" w:type="dxa"/>
            <w:vAlign w:val="bottom"/>
            <w:tcBorders>
              <w:bottom w:val="single" w:sz="8" w:color="auto"/>
              <w:right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Male</w:t>
            </w:r>
          </w:p>
        </w:tc>
        <w:tc>
          <w:tcPr>
            <w:tcW w:w="248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Female</w:t>
            </w:r>
          </w:p>
        </w:tc>
        <w:tc>
          <w:tcPr>
            <w:tcW w:w="1100" w:type="dxa"/>
            <w:vAlign w:val="bottom"/>
            <w:tcBorders>
              <w:bottom w:val="single" w:sz="8" w:color="auto"/>
              <w:right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Male</w:t>
            </w:r>
          </w:p>
        </w:tc>
      </w:tr>
      <w:tr>
        <w:trPr>
          <w:trHeight w:val="209"/>
        </w:trPr>
        <w:tc>
          <w:tcPr>
            <w:tcW w:w="40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Directors</w:t>
            </w:r>
          </w:p>
        </w:tc>
        <w:tc>
          <w:tcPr>
            <w:tcW w:w="2480" w:type="dxa"/>
            <w:vAlign w:val="bottom"/>
            <w:tcBorders>
              <w:bottom w:val="single" w:sz="8" w:color="auto"/>
            </w:tcBorders>
            <w:shd w:val="clear" w:color="auto" w:fill="CCEEFF"/>
          </w:tcPr>
          <w:p>
            <w:pPr>
              <w:jc w:val="center"/>
              <w:ind w:right="619"/>
              <w:spacing w:after="0"/>
              <w:rPr>
                <w:sz w:val="20"/>
                <w:szCs w:val="20"/>
                <w:color w:val="auto"/>
              </w:rPr>
            </w:pPr>
            <w:r>
              <w:rPr>
                <w:rFonts w:ascii="Arial" w:cs="Arial" w:eastAsia="Arial" w:hAnsi="Arial"/>
                <w:sz w:val="16"/>
                <w:szCs w:val="16"/>
                <w:color w:val="auto"/>
              </w:rPr>
              <w:t>3</w:t>
            </w:r>
          </w:p>
        </w:tc>
        <w:tc>
          <w:tcPr>
            <w:tcW w:w="1120" w:type="dxa"/>
            <w:vAlign w:val="bottom"/>
            <w:tcBorders>
              <w:bottom w:val="single" w:sz="8" w:color="auto"/>
              <w:right w:val="single" w:sz="8" w:color="auto"/>
            </w:tcBorders>
            <w:shd w:val="clear" w:color="auto" w:fill="CCEEFF"/>
          </w:tcPr>
          <w:p>
            <w:pPr>
              <w:jc w:val="center"/>
              <w:ind w:right="639"/>
              <w:spacing w:after="0"/>
              <w:rPr>
                <w:sz w:val="20"/>
                <w:szCs w:val="20"/>
                <w:color w:val="auto"/>
              </w:rPr>
            </w:pPr>
            <w:r>
              <w:rPr>
                <w:rFonts w:ascii="Arial" w:cs="Arial" w:eastAsia="Arial" w:hAnsi="Arial"/>
                <w:sz w:val="16"/>
                <w:szCs w:val="16"/>
                <w:color w:val="auto"/>
                <w:w w:val="89"/>
              </w:rPr>
              <w:t>5</w:t>
            </w:r>
          </w:p>
        </w:tc>
        <w:tc>
          <w:tcPr>
            <w:tcW w:w="2480" w:type="dxa"/>
            <w:vAlign w:val="bottom"/>
            <w:tcBorders>
              <w:bottom w:val="single" w:sz="8" w:color="auto"/>
            </w:tcBorders>
            <w:shd w:val="clear" w:color="auto" w:fill="CCEEFF"/>
          </w:tcPr>
          <w:p>
            <w:pPr>
              <w:jc w:val="center"/>
              <w:ind w:right="639"/>
              <w:spacing w:after="0"/>
              <w:rPr>
                <w:sz w:val="20"/>
                <w:szCs w:val="20"/>
                <w:color w:val="auto"/>
              </w:rPr>
            </w:pPr>
            <w:r>
              <w:rPr>
                <w:rFonts w:ascii="Arial" w:cs="Arial" w:eastAsia="Arial" w:hAnsi="Arial"/>
                <w:sz w:val="16"/>
                <w:szCs w:val="16"/>
                <w:color w:val="auto"/>
                <w:w w:val="89"/>
              </w:rPr>
              <w:t>3</w:t>
            </w:r>
          </w:p>
        </w:tc>
        <w:tc>
          <w:tcPr>
            <w:tcW w:w="1100" w:type="dxa"/>
            <w:vAlign w:val="bottom"/>
            <w:tcBorders>
              <w:bottom w:val="single" w:sz="8" w:color="auto"/>
              <w:right w:val="single" w:sz="8" w:color="auto"/>
            </w:tcBorders>
            <w:shd w:val="clear" w:color="auto" w:fill="CCEEFF"/>
          </w:tcPr>
          <w:p>
            <w:pPr>
              <w:jc w:val="center"/>
              <w:ind w:right="639"/>
              <w:spacing w:after="0"/>
              <w:rPr>
                <w:sz w:val="20"/>
                <w:szCs w:val="20"/>
                <w:color w:val="auto"/>
              </w:rPr>
            </w:pPr>
            <w:r>
              <w:rPr>
                <w:rFonts w:ascii="Arial" w:cs="Arial" w:eastAsia="Arial" w:hAnsi="Arial"/>
                <w:sz w:val="16"/>
                <w:szCs w:val="16"/>
                <w:color w:val="auto"/>
              </w:rPr>
              <w:t>5</w:t>
            </w:r>
          </w:p>
        </w:tc>
      </w:tr>
      <w:tr>
        <w:trPr>
          <w:trHeight w:val="210"/>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Part II: Demographic Background</w:t>
            </w:r>
          </w:p>
        </w:tc>
        <w:tc>
          <w:tcPr>
            <w:tcW w:w="24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209"/>
        </w:trPr>
        <w:tc>
          <w:tcPr>
            <w:tcW w:w="4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Asian</w:t>
            </w:r>
          </w:p>
        </w:tc>
        <w:tc>
          <w:tcPr>
            <w:tcW w:w="2480" w:type="dxa"/>
            <w:vAlign w:val="bottom"/>
            <w:shd w:val="clear" w:color="auto" w:fill="CCEEFF"/>
          </w:tcPr>
          <w:p>
            <w:pPr>
              <w:jc w:val="center"/>
              <w:ind w:right="619"/>
              <w:spacing w:after="0"/>
              <w:rPr>
                <w:sz w:val="20"/>
                <w:szCs w:val="20"/>
                <w:color w:val="auto"/>
              </w:rPr>
            </w:pPr>
            <w:r>
              <w:rPr>
                <w:rFonts w:ascii="Arial" w:cs="Arial" w:eastAsia="Arial" w:hAnsi="Arial"/>
                <w:sz w:val="16"/>
                <w:szCs w:val="16"/>
                <w:color w:val="auto"/>
              </w:rPr>
              <w:t>0</w:t>
            </w:r>
          </w:p>
        </w:tc>
        <w:tc>
          <w:tcPr>
            <w:tcW w:w="1120" w:type="dxa"/>
            <w:vAlign w:val="bottom"/>
            <w:tcBorders>
              <w:right w:val="single" w:sz="8" w:color="auto"/>
            </w:tcBorders>
            <w:shd w:val="clear" w:color="auto" w:fill="CCEEFF"/>
          </w:tcPr>
          <w:p>
            <w:pPr>
              <w:jc w:val="center"/>
              <w:ind w:right="639"/>
              <w:spacing w:after="0"/>
              <w:rPr>
                <w:sz w:val="20"/>
                <w:szCs w:val="20"/>
                <w:color w:val="auto"/>
              </w:rPr>
            </w:pPr>
            <w:r>
              <w:rPr>
                <w:rFonts w:ascii="Arial" w:cs="Arial" w:eastAsia="Arial" w:hAnsi="Arial"/>
                <w:sz w:val="16"/>
                <w:szCs w:val="16"/>
                <w:color w:val="auto"/>
                <w:w w:val="89"/>
              </w:rPr>
              <w:t>1</w:t>
            </w:r>
          </w:p>
        </w:tc>
        <w:tc>
          <w:tcPr>
            <w:tcW w:w="2480" w:type="dxa"/>
            <w:vAlign w:val="bottom"/>
            <w:shd w:val="clear" w:color="auto" w:fill="CCEEFF"/>
          </w:tcPr>
          <w:p>
            <w:pPr>
              <w:jc w:val="center"/>
              <w:ind w:right="639"/>
              <w:spacing w:after="0"/>
              <w:rPr>
                <w:sz w:val="20"/>
                <w:szCs w:val="20"/>
                <w:color w:val="auto"/>
              </w:rPr>
            </w:pPr>
            <w:r>
              <w:rPr>
                <w:rFonts w:ascii="Arial" w:cs="Arial" w:eastAsia="Arial" w:hAnsi="Arial"/>
                <w:sz w:val="16"/>
                <w:szCs w:val="16"/>
                <w:color w:val="auto"/>
                <w:w w:val="89"/>
              </w:rPr>
              <w:t>0</w:t>
            </w:r>
          </w:p>
        </w:tc>
        <w:tc>
          <w:tcPr>
            <w:tcW w:w="1100" w:type="dxa"/>
            <w:vAlign w:val="bottom"/>
            <w:tcBorders>
              <w:right w:val="single" w:sz="8" w:color="auto"/>
            </w:tcBorders>
            <w:shd w:val="clear" w:color="auto" w:fill="CCEEFF"/>
          </w:tcPr>
          <w:p>
            <w:pPr>
              <w:jc w:val="center"/>
              <w:ind w:right="639"/>
              <w:spacing w:after="0"/>
              <w:rPr>
                <w:sz w:val="20"/>
                <w:szCs w:val="20"/>
                <w:color w:val="auto"/>
              </w:rPr>
            </w:pPr>
            <w:r>
              <w:rPr>
                <w:rFonts w:ascii="Arial" w:cs="Arial" w:eastAsia="Arial" w:hAnsi="Arial"/>
                <w:sz w:val="16"/>
                <w:szCs w:val="16"/>
                <w:color w:val="auto"/>
              </w:rPr>
              <w:t>1</w:t>
            </w:r>
          </w:p>
        </w:tc>
      </w:tr>
      <w:tr>
        <w:trPr>
          <w:trHeight w:val="21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White</w:t>
            </w:r>
          </w:p>
        </w:tc>
        <w:tc>
          <w:tcPr>
            <w:tcW w:w="2480" w:type="dxa"/>
            <w:vAlign w:val="bottom"/>
          </w:tcPr>
          <w:p>
            <w:pPr>
              <w:jc w:val="center"/>
              <w:ind w:right="619"/>
              <w:spacing w:after="0"/>
              <w:rPr>
                <w:sz w:val="20"/>
                <w:szCs w:val="20"/>
                <w:color w:val="auto"/>
              </w:rPr>
            </w:pPr>
            <w:r>
              <w:rPr>
                <w:rFonts w:ascii="Arial" w:cs="Arial" w:eastAsia="Arial" w:hAnsi="Arial"/>
                <w:sz w:val="16"/>
                <w:szCs w:val="16"/>
                <w:color w:val="auto"/>
              </w:rPr>
              <w:t>3</w:t>
            </w:r>
          </w:p>
        </w:tc>
        <w:tc>
          <w:tcPr>
            <w:tcW w:w="1120" w:type="dxa"/>
            <w:vAlign w:val="bottom"/>
            <w:tcBorders>
              <w:right w:val="single" w:sz="8" w:color="auto"/>
            </w:tcBorders>
          </w:tcPr>
          <w:p>
            <w:pPr>
              <w:jc w:val="center"/>
              <w:ind w:right="639"/>
              <w:spacing w:after="0"/>
              <w:rPr>
                <w:sz w:val="20"/>
                <w:szCs w:val="20"/>
                <w:color w:val="auto"/>
              </w:rPr>
            </w:pPr>
            <w:r>
              <w:rPr>
                <w:rFonts w:ascii="Arial" w:cs="Arial" w:eastAsia="Arial" w:hAnsi="Arial"/>
                <w:sz w:val="16"/>
                <w:szCs w:val="16"/>
                <w:color w:val="auto"/>
                <w:w w:val="89"/>
              </w:rPr>
              <w:t>4</w:t>
            </w:r>
          </w:p>
        </w:tc>
        <w:tc>
          <w:tcPr>
            <w:tcW w:w="2480" w:type="dxa"/>
            <w:vAlign w:val="bottom"/>
          </w:tcPr>
          <w:p>
            <w:pPr>
              <w:jc w:val="center"/>
              <w:ind w:right="639"/>
              <w:spacing w:after="0"/>
              <w:rPr>
                <w:sz w:val="20"/>
                <w:szCs w:val="20"/>
                <w:color w:val="auto"/>
              </w:rPr>
            </w:pPr>
            <w:r>
              <w:rPr>
                <w:rFonts w:ascii="Arial" w:cs="Arial" w:eastAsia="Arial" w:hAnsi="Arial"/>
                <w:sz w:val="16"/>
                <w:szCs w:val="16"/>
                <w:color w:val="auto"/>
                <w:w w:val="89"/>
              </w:rPr>
              <w:t>3</w:t>
            </w:r>
          </w:p>
        </w:tc>
        <w:tc>
          <w:tcPr>
            <w:tcW w:w="1100" w:type="dxa"/>
            <w:vAlign w:val="bottom"/>
            <w:tcBorders>
              <w:right w:val="single" w:sz="8" w:color="auto"/>
            </w:tcBorders>
          </w:tcPr>
          <w:p>
            <w:pPr>
              <w:jc w:val="center"/>
              <w:ind w:right="639"/>
              <w:spacing w:after="0"/>
              <w:rPr>
                <w:sz w:val="20"/>
                <w:szCs w:val="20"/>
                <w:color w:val="auto"/>
              </w:rPr>
            </w:pPr>
            <w:r>
              <w:rPr>
                <w:rFonts w:ascii="Arial" w:cs="Arial" w:eastAsia="Arial" w:hAnsi="Arial"/>
                <w:sz w:val="16"/>
                <w:szCs w:val="16"/>
                <w:color w:val="auto"/>
              </w:rPr>
              <w:t>4</w:t>
            </w:r>
          </w:p>
        </w:tc>
      </w:tr>
      <w:tr>
        <w:trPr>
          <w:trHeight w:val="217"/>
        </w:trPr>
        <w:tc>
          <w:tcPr>
            <w:tcW w:w="4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LGBTQ+</w:t>
            </w:r>
          </w:p>
        </w:tc>
        <w:tc>
          <w:tcPr>
            <w:tcW w:w="24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rPr>
              <w:t>1</w:t>
            </w:r>
          </w:p>
        </w:tc>
        <w:tc>
          <w:tcPr>
            <w:tcW w:w="1120" w:type="dxa"/>
            <w:vAlign w:val="bottom"/>
            <w:tcBorders>
              <w:right w:val="single" w:sz="8" w:color="auto"/>
            </w:tcBorders>
            <w:shd w:val="clear" w:color="auto" w:fill="CCEEFF"/>
          </w:tcPr>
          <w:p>
            <w:pPr>
              <w:spacing w:after="0"/>
              <w:rPr>
                <w:sz w:val="18"/>
                <w:szCs w:val="18"/>
                <w:color w:val="auto"/>
              </w:rPr>
            </w:pPr>
          </w:p>
        </w:tc>
        <w:tc>
          <w:tcPr>
            <w:tcW w:w="2480" w:type="dxa"/>
            <w:vAlign w:val="bottom"/>
            <w:shd w:val="clear" w:color="auto" w:fill="CCEEFF"/>
          </w:tcPr>
          <w:p>
            <w:pPr>
              <w:jc w:val="center"/>
              <w:ind w:left="999"/>
              <w:spacing w:after="0"/>
              <w:rPr>
                <w:sz w:val="20"/>
                <w:szCs w:val="20"/>
                <w:color w:val="auto"/>
              </w:rPr>
            </w:pPr>
            <w:r>
              <w:rPr>
                <w:rFonts w:ascii="Arial" w:cs="Arial" w:eastAsia="Arial" w:hAnsi="Arial"/>
                <w:sz w:val="16"/>
                <w:szCs w:val="16"/>
                <w:color w:val="auto"/>
                <w:w w:val="89"/>
              </w:rPr>
              <w:t>1</w:t>
            </w:r>
          </w:p>
        </w:tc>
        <w:tc>
          <w:tcPr>
            <w:tcW w:w="1100" w:type="dxa"/>
            <w:vAlign w:val="bottom"/>
            <w:tcBorders>
              <w:right w:val="single" w:sz="8" w:color="auto"/>
            </w:tcBorders>
            <w:shd w:val="clear" w:color="auto" w:fill="CCEEFF"/>
          </w:tcPr>
          <w:p>
            <w:pPr>
              <w:spacing w:after="0"/>
              <w:rPr>
                <w:sz w:val="18"/>
                <w:szCs w:val="18"/>
                <w:color w:val="auto"/>
              </w:rPr>
            </w:pPr>
          </w:p>
        </w:tc>
      </w:tr>
      <w:tr>
        <w:trPr>
          <w:trHeight w:val="215"/>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Did Not Disclose Demographic Background</w:t>
            </w:r>
          </w:p>
        </w:tc>
        <w:tc>
          <w:tcPr>
            <w:tcW w:w="2480" w:type="dxa"/>
            <w:vAlign w:val="bottom"/>
            <w:tcBorders>
              <w:bottom w:val="single" w:sz="8" w:color="auto"/>
            </w:tcBorders>
          </w:tcPr>
          <w:p>
            <w:pPr>
              <w:jc w:val="center"/>
              <w:ind w:left="101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89"/>
              </w:rPr>
              <w:t>0</w:t>
            </w:r>
          </w:p>
        </w:tc>
        <w:tc>
          <w:tcPr>
            <w:tcW w:w="1100" w:type="dxa"/>
            <w:vAlign w:val="bottom"/>
            <w:tcBorders>
              <w:bottom w:val="single" w:sz="8" w:color="auto"/>
              <w:right w:val="single" w:sz="8" w:color="auto"/>
            </w:tcBorders>
          </w:tcPr>
          <w:p>
            <w:pPr>
              <w:spacing w:after="0"/>
              <w:rPr>
                <w:sz w:val="18"/>
                <w:szCs w:val="18"/>
                <w:color w:val="auto"/>
              </w:rPr>
            </w:pPr>
          </w:p>
        </w:tc>
      </w:tr>
    </w:tbl>
    <w:p>
      <w:pPr>
        <w:spacing w:after="0" w:line="32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Remuneration policy</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euro or British pound sterling.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Outside Directors’ remuneration</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Outside Directors are remunerated by way of Directors’ fees and are also eligible for participation in the share equity incentive schemes. During 2023, each outside Director (excluding the Board Chairman) was paid an annual retainer of $90,000 and additional fees for Board Committee service.</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Mr. Murray’s Executive Chairman term expired on May 12, 2018 and he transitioned to the outside Director role of Chair. The current arrangement with the Chair provides for payment of €330,000 (translated at average rate for the year: $356,235) annually.</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Mr. Rónán Murphy was appointed as Lead Independent Director with effect from January 1, 2019 and receives an additional annual fee of $40,000 for this role.</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Outside Directors are not eligible for performance related bonuses and no pension contributions are made on their behalf. The Compensation and Organization Committee sets outside Directors' remuneration.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Total cash compensation is divided into a base salary portion and a bonus incentive portion.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75% and 125% of salary, with actual pay outs for 2023 ranging from 64% to 100%, of salary, based on Group and individual performance.</w:t>
      </w:r>
    </w:p>
    <w:p>
      <w:pPr>
        <w:spacing w:after="0" w:line="2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 total bonus of $1.6 million was awarded to the following individuals; Dr. Steve Cutler Chief Executive Officer ($1.2 million) and Mr. Brendan Brennan Chief Financial Officer ($0.4 million) to reflect their contribution to the performance of the Company during 2023. These amounts were approved by the Compensation and Organization Committee and will be paid during the year ended December 31,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2" w:name="page73"/>
    <w:bookmarkEnd w:id="72"/>
    <w:p>
      <w:pPr>
        <w:jc w:val="both"/>
        <w:ind w:firstLine="648"/>
        <w:spacing w:after="0" w:line="259"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2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2023, Performance Share Units (“PSUs”) which were awarded subject to vesting in 2020 vested for Dr. Steve Cutler Chief Executive Officer in the amount of 22,404 from a potential grant of 22,404. The percentage granted reflects service and the Company's achievements of diluted non GAAP specified EPS targets over the three year period from 2020 - 2022.</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2023, Performance Share Units (“PSUs”) which were awarded subject to vesting in 2020 vested for Mr. Brendan Brennan Chief Financial Officer in the amount of 4,850 from a potential grant of 4,850. The percentage granted reflects service and the Company's achievements of diluted non GAAP specified EPS targets over the three year period from 2020 - 2022.</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party Agreements and Arrangements</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2023</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700" w:type="dxa"/>
            <w:vAlign w:val="bottom"/>
            <w:tcBorders>
              <w:top w:val="single" w:sz="8" w:color="auto"/>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Year</w:t>
            </w: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Salary</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Pension</w:t>
            </w:r>
          </w:p>
        </w:tc>
        <w:tc>
          <w:tcPr>
            <w:tcW w:w="1080" w:type="dxa"/>
            <w:vAlign w:val="bottom"/>
            <w:tcBorders>
              <w:top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All other</w:t>
            </w:r>
          </w:p>
        </w:tc>
        <w:tc>
          <w:tcPr>
            <w:tcW w:w="100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Share-based</w:t>
            </w:r>
          </w:p>
        </w:tc>
        <w:tc>
          <w:tcPr>
            <w:tcW w:w="100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Director’s</w:t>
            </w:r>
          </w:p>
        </w:tc>
        <w:tc>
          <w:tcPr>
            <w:tcW w:w="11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2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contribution compensation</w:t>
            </w:r>
          </w:p>
        </w:tc>
        <w:tc>
          <w:tcPr>
            <w:tcW w:w="10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9"/>
              </w:rPr>
              <w:t>compensation</w:t>
            </w:r>
          </w:p>
        </w:tc>
        <w:tc>
          <w:tcPr>
            <w:tcW w:w="1000" w:type="dxa"/>
            <w:vAlign w:val="bottom"/>
            <w:tcBorders>
              <w:bottom w:val="single" w:sz="8" w:color="auto"/>
              <w:right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b w:val="1"/>
                <w:bCs w:val="1"/>
                <w:color w:val="auto"/>
              </w:rPr>
              <w:t>Fees</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compensation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$’000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$’000</w:t>
            </w:r>
          </w:p>
        </w:tc>
        <w:tc>
          <w:tcPr>
            <w:tcW w:w="10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Dr. Steve Cutler</w:t>
            </w:r>
          </w:p>
        </w:tc>
        <w:tc>
          <w:tcPr>
            <w:tcW w:w="700" w:type="dxa"/>
            <w:vAlign w:val="bottom"/>
            <w:tcBorders>
              <w:right w:val="single" w:sz="8" w:color="auto"/>
            </w:tcBorders>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1,191</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1080" w:type="dxa"/>
            <w:vAlign w:val="bottom"/>
            <w:tcBorders>
              <w:right w:val="single" w:sz="8" w:color="auto"/>
            </w:tcBorders>
            <w:gridSpan w:val="2"/>
            <w:vMerge w:val="restart"/>
            <w:shd w:val="clear" w:color="auto" w:fill="CCEEFF"/>
          </w:tcPr>
          <w:p>
            <w:pPr>
              <w:jc w:val="center"/>
              <w:ind w:left="539"/>
              <w:spacing w:after="0"/>
              <w:rPr>
                <w:sz w:val="20"/>
                <w:szCs w:val="20"/>
                <w:color w:val="auto"/>
              </w:rPr>
            </w:pPr>
            <w:r>
              <w:rPr>
                <w:rFonts w:ascii="Arial" w:cs="Arial" w:eastAsia="Arial" w:hAnsi="Arial"/>
                <w:sz w:val="16"/>
                <w:szCs w:val="16"/>
                <w:color w:val="auto"/>
              </w:rPr>
              <w:t>31</w:t>
            </w: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140" w:type="dxa"/>
            <w:vAlign w:val="bottom"/>
            <w:tcBorders>
              <w:right w:val="single" w:sz="8" w:color="auto"/>
            </w:tcBorders>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4,656</w:t>
            </w:r>
          </w:p>
        </w:tc>
        <w:tc>
          <w:tcPr>
            <w:tcW w:w="1000" w:type="dxa"/>
            <w:vAlign w:val="bottom"/>
            <w:tcBorders>
              <w:right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7,244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70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80" w:type="dxa"/>
            <w:vAlign w:val="bottom"/>
            <w:tcBorders>
              <w:right w:val="single" w:sz="8" w:color="auto"/>
            </w:tcBorders>
            <w:gridSpan w:val="2"/>
            <w:vMerge w:val="continue"/>
            <w:shd w:val="clear" w:color="auto" w:fill="CCEEFF"/>
          </w:tcPr>
          <w:p>
            <w:pPr>
              <w:spacing w:after="0"/>
              <w:rPr>
                <w:sz w:val="18"/>
                <w:szCs w:val="18"/>
                <w:color w:val="auto"/>
              </w:rPr>
            </w:pPr>
          </w:p>
        </w:tc>
        <w:tc>
          <w:tcPr>
            <w:tcW w:w="8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tcBorders>
              <w:right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Brendan Brennan,</w:t>
            </w:r>
          </w:p>
        </w:tc>
        <w:tc>
          <w:tcPr>
            <w:tcW w:w="700" w:type="dxa"/>
            <w:vAlign w:val="bottom"/>
            <w:tcBorders>
              <w:right w:val="single" w:sz="8" w:color="auto"/>
            </w:tcBorders>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1080" w:type="dxa"/>
            <w:vAlign w:val="bottom"/>
            <w:tcBorders>
              <w:right w:val="single" w:sz="8" w:color="auto"/>
            </w:tcBorders>
            <w:gridSpan w:val="2"/>
            <w:vMerge w:val="restart"/>
            <w:shd w:val="clear" w:color="auto" w:fill="CCEEFF"/>
          </w:tcPr>
          <w:p>
            <w:pPr>
              <w:jc w:val="center"/>
              <w:ind w:left="539"/>
              <w:spacing w:after="0"/>
              <w:rPr>
                <w:sz w:val="20"/>
                <w:szCs w:val="20"/>
                <w:color w:val="auto"/>
              </w:rPr>
            </w:pPr>
            <w:r>
              <w:rPr>
                <w:rFonts w:ascii="Arial" w:cs="Arial" w:eastAsia="Arial" w:hAnsi="Arial"/>
                <w:sz w:val="16"/>
                <w:szCs w:val="16"/>
                <w:color w:val="auto"/>
              </w:rPr>
              <w:t>31</w:t>
            </w: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40" w:type="dxa"/>
            <w:vAlign w:val="bottom"/>
            <w:tcBorders>
              <w:right w:val="single" w:sz="8" w:color="auto"/>
            </w:tcBorders>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990</w:t>
            </w:r>
          </w:p>
        </w:tc>
        <w:tc>
          <w:tcPr>
            <w:tcW w:w="1000" w:type="dxa"/>
            <w:vAlign w:val="bottom"/>
            <w:tcBorders>
              <w:right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860" w:type="dxa"/>
            <w:vAlign w:val="bottom"/>
            <w:tcBorders>
              <w:bottom w:val="single" w:sz="8" w:color="auto"/>
              <w:right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1,778</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1,578</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198</w:t>
            </w:r>
          </w:p>
        </w:tc>
        <w:tc>
          <w:tcPr>
            <w:tcW w:w="1080" w:type="dxa"/>
            <w:vAlign w:val="bottom"/>
            <w:tcBorders>
              <w:bottom w:val="single" w:sz="8" w:color="auto"/>
              <w:right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62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3,616</w:t>
            </w:r>
          </w:p>
        </w:tc>
        <w:tc>
          <w:tcPr>
            <w:tcW w:w="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5,646</w:t>
            </w:r>
          </w:p>
        </w:tc>
        <w:tc>
          <w:tcPr>
            <w:tcW w:w="10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w:t>
            </w: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5700" w:type="dxa"/>
            <w:vAlign w:val="bottom"/>
            <w:gridSpan w:val="7"/>
          </w:tcPr>
          <w:p>
            <w:pPr>
              <w:spacing w:after="0"/>
              <w:rPr>
                <w:sz w:val="20"/>
                <w:szCs w:val="20"/>
                <w:color w:val="auto"/>
              </w:rPr>
            </w:pPr>
            <w:r>
              <w:rPr>
                <w:rFonts w:ascii="Arial" w:cs="Arial" w:eastAsia="Arial" w:hAnsi="Arial"/>
                <w:sz w:val="16"/>
                <w:szCs w:val="16"/>
                <w:b w:val="1"/>
                <w:bCs w:val="1"/>
                <w:color w:val="auto"/>
              </w:rPr>
              <w:t>Summary compensation table - Year ended December 31, 2022</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 &amp; principal</w:t>
            </w:r>
          </w:p>
        </w:tc>
        <w:tc>
          <w:tcPr>
            <w:tcW w:w="700" w:type="dxa"/>
            <w:vAlign w:val="bottom"/>
            <w:tcBorders>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Year</w:t>
            </w:r>
          </w:p>
        </w:tc>
        <w:tc>
          <w:tcPr>
            <w:tcW w:w="3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Salary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3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b w:val="1"/>
                <w:bCs w:val="1"/>
                <w:color w:val="auto"/>
              </w:rPr>
              <w:t>Pension</w:t>
            </w:r>
          </w:p>
        </w:tc>
        <w:tc>
          <w:tcPr>
            <w:tcW w:w="1080" w:type="dxa"/>
            <w:vAlign w:val="bottom"/>
            <w:tcBorders>
              <w:right w:val="single" w:sz="8" w:color="auto"/>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b w:val="1"/>
                <w:bCs w:val="1"/>
                <w:color w:val="auto"/>
              </w:rPr>
              <w:t>All other</w:t>
            </w:r>
          </w:p>
        </w:tc>
        <w:tc>
          <w:tcPr>
            <w:tcW w:w="10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124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Share-based</w:t>
            </w:r>
          </w:p>
        </w:tc>
        <w:tc>
          <w:tcPr>
            <w:tcW w:w="100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Director’s</w:t>
            </w:r>
          </w:p>
        </w:tc>
        <w:tc>
          <w:tcPr>
            <w:tcW w:w="114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Total</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2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contribution compensation</w:t>
            </w:r>
          </w:p>
        </w:tc>
        <w:tc>
          <w:tcPr>
            <w:tcW w:w="10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Fees</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$’000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$’000</w:t>
            </w:r>
          </w:p>
        </w:tc>
        <w:tc>
          <w:tcPr>
            <w:tcW w:w="1000" w:type="dxa"/>
            <w:vAlign w:val="bottom"/>
            <w:tcBorders>
              <w:right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Dr. Steve Cutler</w:t>
            </w:r>
          </w:p>
        </w:tc>
        <w:tc>
          <w:tcPr>
            <w:tcW w:w="700" w:type="dxa"/>
            <w:vAlign w:val="bottom"/>
            <w:tcBorders>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2022</w:t>
            </w:r>
          </w:p>
        </w:tc>
        <w:tc>
          <w:tcPr>
            <w:tcW w:w="3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3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125</w:t>
            </w:r>
          </w:p>
        </w:tc>
        <w:tc>
          <w:tcPr>
            <w:tcW w:w="108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0" w:type="dxa"/>
            <w:vAlign w:val="bottom"/>
            <w:tcBorders>
              <w:right w:val="single" w:sz="8" w:color="auto"/>
            </w:tcBorders>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2,497</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7,487</w:t>
            </w:r>
          </w:p>
        </w:tc>
        <w:tc>
          <w:tcPr>
            <w:tcW w:w="10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10,028</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70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80" w:type="dxa"/>
            <w:vAlign w:val="bottom"/>
            <w:tcBorders>
              <w:right w:val="single" w:sz="8" w:color="auto"/>
            </w:tcBorders>
            <w:gridSpan w:val="2"/>
            <w:vMerge w:val="continue"/>
            <w:shd w:val="clear" w:color="auto" w:fill="CCEEFF"/>
          </w:tcPr>
          <w:p>
            <w:pPr>
              <w:spacing w:after="0"/>
              <w:rPr>
                <w:sz w:val="18"/>
                <w:szCs w:val="18"/>
                <w:color w:val="auto"/>
              </w:rPr>
            </w:pPr>
          </w:p>
        </w:tc>
        <w:tc>
          <w:tcPr>
            <w:tcW w:w="1000" w:type="dxa"/>
            <w:vAlign w:val="bottom"/>
            <w:tcBorders>
              <w:right w:val="single" w:sz="8" w:color="auto"/>
            </w:tcBorders>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0" w:type="dxa"/>
            <w:vAlign w:val="bottom"/>
            <w:tcBorders>
              <w:right w:val="single" w:sz="8" w:color="auto"/>
            </w:tcBorders>
            <w:vMerge w:val="continue"/>
            <w:shd w:val="clear" w:color="auto" w:fill="CCEEFF"/>
          </w:tcPr>
          <w:p>
            <w:pPr>
              <w:spacing w:after="0"/>
              <w:rPr>
                <w:sz w:val="18"/>
                <w:szCs w:val="18"/>
                <w:color w:val="auto"/>
              </w:rPr>
            </w:pPr>
          </w:p>
        </w:tc>
        <w:tc>
          <w:tcPr>
            <w:tcW w:w="114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Brendan Brennan,</w:t>
            </w:r>
          </w:p>
        </w:tc>
        <w:tc>
          <w:tcPr>
            <w:tcW w:w="700" w:type="dxa"/>
            <w:vAlign w:val="bottom"/>
            <w:tcBorders>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2022</w:t>
            </w:r>
          </w:p>
        </w:tc>
        <w:tc>
          <w:tcPr>
            <w:tcW w:w="3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3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108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1000" w:type="dxa"/>
            <w:vAlign w:val="bottom"/>
            <w:tcBorders>
              <w:right w:val="single" w:sz="8" w:color="auto"/>
            </w:tcBorders>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1,645</w:t>
            </w:r>
          </w:p>
        </w:tc>
        <w:tc>
          <w:tcPr>
            <w:tcW w:w="10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0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right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195</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61</w:t>
            </w:r>
          </w:p>
        </w:tc>
        <w:tc>
          <w:tcPr>
            <w:tcW w:w="1000" w:type="dxa"/>
            <w:vAlign w:val="bottom"/>
            <w:tcBorders>
              <w:bottom w:val="single" w:sz="8" w:color="auto"/>
              <w:right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3,495</w:t>
            </w: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9,132</w:t>
            </w:r>
          </w:p>
        </w:tc>
        <w:tc>
          <w:tcPr>
            <w:tcW w:w="10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12,671</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194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00" w:type="dxa"/>
            <w:vAlign w:val="bottom"/>
            <w:gridSpan w:val="7"/>
          </w:tcPr>
          <w:p>
            <w:pPr>
              <w:spacing w:after="0"/>
              <w:rPr>
                <w:sz w:val="20"/>
                <w:szCs w:val="20"/>
                <w:color w:val="auto"/>
              </w:rPr>
            </w:pPr>
            <w:r>
              <w:rPr>
                <w:rFonts w:ascii="Arial" w:cs="Arial" w:eastAsia="Arial" w:hAnsi="Arial"/>
                <w:sz w:val="16"/>
                <w:szCs w:val="16"/>
                <w:b w:val="1"/>
                <w:bCs w:val="1"/>
                <w:color w:val="auto"/>
              </w:rPr>
              <w:t>Summary compensation table - Year ended December 31, 2023</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CCEEFF"/>
            </w:tcBorders>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Company</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26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Share-based</w:t>
            </w:r>
          </w:p>
        </w:tc>
        <w:tc>
          <w:tcPr>
            <w:tcW w:w="10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Director’s</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CCEEFF"/>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200" w:type="dxa"/>
            <w:vAlign w:val="bottom"/>
            <w:tcBorders>
              <w:right w:val="single" w:sz="8" w:color="auto"/>
            </w:tcBorders>
            <w:shd w:val="clear" w:color="auto" w:fill="CCEEFF"/>
          </w:tcPr>
          <w:p>
            <w:pPr>
              <w:spacing w:after="0"/>
              <w:rPr>
                <w:sz w:val="7"/>
                <w:szCs w:val="7"/>
                <w:color w:val="auto"/>
              </w:rPr>
            </w:pPr>
          </w:p>
        </w:tc>
        <w:tc>
          <w:tcPr>
            <w:tcW w:w="840" w:type="dxa"/>
            <w:vAlign w:val="bottom"/>
            <w:tcBorders>
              <w:right w:val="single" w:sz="8" w:color="auto"/>
            </w:tcBorders>
            <w:gridSpan w:val="2"/>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54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ind w:right="239"/>
              <w:spacing w:after="0" w:line="162" w:lineRule="exact"/>
              <w:rPr>
                <w:sz w:val="20"/>
                <w:szCs w:val="20"/>
                <w:color w:val="auto"/>
              </w:rPr>
            </w:pPr>
            <w:r>
              <w:rPr>
                <w:rFonts w:ascii="Arial" w:cs="Arial" w:eastAsia="Arial" w:hAnsi="Arial"/>
                <w:sz w:val="16"/>
                <w:szCs w:val="16"/>
                <w:b w:val="1"/>
                <w:bCs w:val="1"/>
                <w:color w:val="auto"/>
              </w:rPr>
              <w:t>Salary</w:t>
            </w:r>
          </w:p>
        </w:tc>
        <w:tc>
          <w:tcPr>
            <w:tcW w:w="1340" w:type="dxa"/>
            <w:vAlign w:val="bottom"/>
            <w:vMerge w:val="restart"/>
            <w:shd w:val="clear" w:color="auto" w:fill="CCEEFF"/>
          </w:tcPr>
          <w:p>
            <w:pPr>
              <w:jc w:val="right"/>
              <w:ind w:right="339"/>
              <w:spacing w:after="0" w:line="162" w:lineRule="exact"/>
              <w:rPr>
                <w:sz w:val="20"/>
                <w:szCs w:val="20"/>
                <w:color w:val="auto"/>
              </w:rPr>
            </w:pPr>
            <w:r>
              <w:rPr>
                <w:rFonts w:ascii="Arial" w:cs="Arial" w:eastAsia="Arial" w:hAnsi="Arial"/>
                <w:sz w:val="16"/>
                <w:szCs w:val="16"/>
                <w:b w:val="1"/>
                <w:bCs w:val="1"/>
                <w:color w:val="auto"/>
              </w:rPr>
              <w:t>pension</w:t>
            </w:r>
          </w:p>
        </w:tc>
        <w:tc>
          <w:tcPr>
            <w:tcW w:w="820" w:type="dxa"/>
            <w:vAlign w:val="bottom"/>
            <w:tcBorders>
              <w:right w:val="single" w:sz="8" w:color="auto"/>
            </w:tcBorders>
            <w:vMerge w:val="continue"/>
            <w:shd w:val="clear" w:color="auto" w:fill="CCEEFF"/>
          </w:tcPr>
          <w:p>
            <w:pPr>
              <w:spacing w:after="0"/>
              <w:rPr>
                <w:sz w:val="7"/>
                <w:szCs w:val="7"/>
                <w:color w:val="auto"/>
              </w:rPr>
            </w:pPr>
          </w:p>
        </w:tc>
        <w:tc>
          <w:tcPr>
            <w:tcW w:w="260" w:type="dxa"/>
            <w:vAlign w:val="bottom"/>
            <w:tcBorders>
              <w:right w:val="single" w:sz="8" w:color="CCEEFF"/>
            </w:tcBorders>
            <w:shd w:val="clear" w:color="auto" w:fill="CCEEFF"/>
          </w:tcPr>
          <w:p>
            <w:pPr>
              <w:spacing w:after="0"/>
              <w:rPr>
                <w:sz w:val="7"/>
                <w:szCs w:val="7"/>
                <w:color w:val="auto"/>
              </w:rPr>
            </w:pPr>
          </w:p>
        </w:tc>
        <w:tc>
          <w:tcPr>
            <w:tcW w:w="86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40" w:type="dxa"/>
            <w:vAlign w:val="bottom"/>
            <w:tcBorders>
              <w:right w:val="single" w:sz="8" w:color="CCEEFF"/>
            </w:tcBorders>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1140" w:type="dxa"/>
            <w:vAlign w:val="bottom"/>
            <w:tcBorders>
              <w:right w:val="single" w:sz="8" w:color="auto"/>
            </w:tcBorders>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CCEEFF"/>
            </w:tcBorders>
            <w:vMerge w:val="continue"/>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40" w:type="dxa"/>
            <w:vAlign w:val="bottom"/>
            <w:tcBorders>
              <w:right w:val="single" w:sz="8" w:color="auto"/>
            </w:tcBorders>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260" w:type="dxa"/>
            <w:vAlign w:val="bottom"/>
            <w:tcBorders>
              <w:right w:val="single" w:sz="8" w:color="CCEEFF"/>
            </w:tcBorders>
            <w:shd w:val="clear" w:color="auto" w:fill="CCEEFF"/>
          </w:tcPr>
          <w:p>
            <w:pPr>
              <w:spacing w:after="0"/>
              <w:rPr>
                <w:sz w:val="7"/>
                <w:szCs w:val="7"/>
                <w:color w:val="auto"/>
              </w:rPr>
            </w:pPr>
          </w:p>
        </w:tc>
        <w:tc>
          <w:tcPr>
            <w:tcW w:w="86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compensation</w:t>
            </w:r>
          </w:p>
        </w:tc>
        <w:tc>
          <w:tcPr>
            <w:tcW w:w="1000" w:type="dxa"/>
            <w:vAlign w:val="bottom"/>
            <w:tcBorders>
              <w:right w:val="single" w:sz="8" w:color="auto"/>
            </w:tcBorders>
            <w:vMerge w:val="restart"/>
            <w:shd w:val="clear" w:color="auto" w:fill="CCEEFF"/>
          </w:tcPr>
          <w:p>
            <w:pPr>
              <w:jc w:val="center"/>
              <w:ind w:left="359"/>
              <w:spacing w:after="0"/>
              <w:rPr>
                <w:sz w:val="20"/>
                <w:szCs w:val="20"/>
                <w:color w:val="auto"/>
              </w:rPr>
            </w:pPr>
            <w:r>
              <w:rPr>
                <w:rFonts w:ascii="Arial" w:cs="Arial" w:eastAsia="Arial" w:hAnsi="Arial"/>
                <w:sz w:val="16"/>
                <w:szCs w:val="16"/>
                <w:b w:val="1"/>
                <w:bCs w:val="1"/>
                <w:color w:val="auto"/>
                <w:w w:val="99"/>
              </w:rPr>
              <w:t>fees</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Compensation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00" w:type="dxa"/>
            <w:vAlign w:val="bottom"/>
            <w:tcBorders>
              <w:bottom w:val="single" w:sz="8" w:color="auto"/>
              <w:right w:val="single" w:sz="8" w:color="CCEEFF"/>
            </w:tcBorders>
            <w:shd w:val="clear" w:color="auto" w:fill="CCEEFF"/>
          </w:tcPr>
          <w:p>
            <w:pPr>
              <w:spacing w:after="0"/>
              <w:rPr>
                <w:sz w:val="19"/>
                <w:szCs w:val="19"/>
                <w:color w:val="auto"/>
              </w:rPr>
            </w:pP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contribution</w:t>
            </w:r>
            <w:r>
              <w:rPr>
                <w:rFonts w:ascii="Arial" w:cs="Arial" w:eastAsia="Arial" w:hAnsi="Arial"/>
                <w:sz w:val="14"/>
                <w:szCs w:val="14"/>
                <w:b w:val="1"/>
                <w:bCs w:val="1"/>
                <w:color w:val="auto"/>
              </w:rPr>
              <w:t xml:space="preserve"> compensation</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vMerge w:val="continue"/>
            <w:shd w:val="clear" w:color="auto" w:fill="CCEEFF"/>
          </w:tcPr>
          <w:p>
            <w:pPr>
              <w:spacing w:after="0"/>
              <w:rPr>
                <w:sz w:val="19"/>
                <w:szCs w:val="19"/>
                <w:color w:val="auto"/>
              </w:rPr>
            </w:pPr>
          </w:p>
        </w:tc>
        <w:tc>
          <w:tcPr>
            <w:tcW w:w="10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$’000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4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300</w:t>
            </w:r>
          </w:p>
        </w:tc>
        <w:tc>
          <w:tcPr>
            <w:tcW w:w="100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356</w:t>
            </w:r>
          </w:p>
        </w:tc>
        <w:tc>
          <w:tcPr>
            <w:tcW w:w="11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1,191</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125</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1,228</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140" w:type="dxa"/>
            <w:vAlign w:val="bottom"/>
          </w:tcPr>
          <w:p>
            <w:pPr>
              <w:spacing w:after="0"/>
              <w:rPr>
                <w:sz w:val="18"/>
                <w:szCs w:val="18"/>
                <w:color w:val="auto"/>
              </w:rPr>
            </w:pPr>
          </w:p>
        </w:tc>
        <w:tc>
          <w:tcPr>
            <w:tcW w:w="1240" w:type="dxa"/>
            <w:vAlign w:val="bottom"/>
          </w:tcPr>
          <w:p>
            <w:pPr>
              <w:ind w:left="540"/>
              <w:spacing w:after="0"/>
              <w:rPr>
                <w:sz w:val="20"/>
                <w:szCs w:val="20"/>
                <w:color w:val="auto"/>
              </w:rPr>
            </w:pPr>
            <w:r>
              <w:rPr>
                <w:rFonts w:ascii="Arial" w:cs="Arial" w:eastAsia="Arial" w:hAnsi="Arial"/>
                <w:sz w:val="16"/>
                <w:szCs w:val="16"/>
                <w:color w:val="auto"/>
              </w:rPr>
              <w:t>4,656</w:t>
            </w:r>
          </w:p>
        </w:tc>
        <w:tc>
          <w:tcPr>
            <w:tcW w:w="10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159</w:t>
            </w:r>
          </w:p>
        </w:tc>
        <w:tc>
          <w:tcPr>
            <w:tcW w:w="11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John Climax</w:t>
            </w: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90</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Joan Garahy</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123</w:t>
            </w:r>
          </w:p>
        </w:tc>
        <w:tc>
          <w:tcPr>
            <w:tcW w:w="11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2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123</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115</w:t>
            </w:r>
          </w:p>
        </w:tc>
        <w:tc>
          <w:tcPr>
            <w:tcW w:w="11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Linda Grais</w:t>
            </w:r>
          </w:p>
        </w:tc>
        <w:tc>
          <w:tcPr>
            <w:tcW w:w="2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200</w:t>
            </w:r>
          </w:p>
        </w:tc>
        <w:tc>
          <w:tcPr>
            <w:tcW w:w="10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103</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1,191</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125</w:t>
            </w:r>
          </w:p>
        </w:tc>
        <w:tc>
          <w:tcPr>
            <w:tcW w:w="8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1,228</w:t>
            </w:r>
          </w:p>
        </w:tc>
        <w:tc>
          <w:tcPr>
            <w:tcW w:w="260" w:type="dxa"/>
            <w:vAlign w:val="bottom"/>
            <w:tcBorders>
              <w:bottom w:val="single" w:sz="8" w:color="auto"/>
              <w:right w:val="single" w:sz="8" w:color="CCEEFF"/>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2,544</w:t>
            </w:r>
          </w:p>
        </w:tc>
        <w:tc>
          <w:tcPr>
            <w:tcW w:w="140" w:type="dxa"/>
            <w:vAlign w:val="bottom"/>
            <w:tcBorders>
              <w:bottom w:val="single" w:sz="8" w:color="auto"/>
              <w:right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6,156</w:t>
            </w:r>
          </w:p>
        </w:tc>
        <w:tc>
          <w:tcPr>
            <w:tcW w:w="100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1,113</w:t>
            </w:r>
          </w:p>
        </w:tc>
        <w:tc>
          <w:tcPr>
            <w:tcW w:w="114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Summary compensation table - Year ended December 31, 2022</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Company</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top w:val="single" w:sz="8" w:color="auto"/>
              <w:right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Director’s</w:t>
            </w:r>
          </w:p>
        </w:tc>
        <w:tc>
          <w:tcPr>
            <w:tcW w:w="12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1220" w:type="dxa"/>
            <w:vAlign w:val="bottom"/>
            <w:vMerge w:val="restart"/>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Salary</w:t>
            </w:r>
          </w:p>
        </w:tc>
        <w:tc>
          <w:tcPr>
            <w:tcW w:w="1380" w:type="dxa"/>
            <w:vAlign w:val="bottom"/>
            <w:vMerge w:val="restart"/>
            <w:shd w:val="clear" w:color="auto" w:fill="CCEEFF"/>
          </w:tcPr>
          <w:p>
            <w:pPr>
              <w:jc w:val="right"/>
              <w:ind w:right="220"/>
              <w:spacing w:after="0" w:line="162" w:lineRule="exact"/>
              <w:rPr>
                <w:sz w:val="20"/>
                <w:szCs w:val="20"/>
                <w:color w:val="auto"/>
              </w:rPr>
            </w:pPr>
            <w:r>
              <w:rPr>
                <w:rFonts w:ascii="Arial" w:cs="Arial" w:eastAsia="Arial" w:hAnsi="Arial"/>
                <w:sz w:val="16"/>
                <w:szCs w:val="16"/>
                <w:b w:val="1"/>
                <w:bCs w:val="1"/>
                <w:color w:val="auto"/>
              </w:rPr>
              <w:t>pension</w:t>
            </w: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2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fees</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14"/>
                <w:szCs w:val="14"/>
                <w:b w:val="1"/>
                <w:bCs w:val="1"/>
                <w:color w:val="auto"/>
              </w:rPr>
              <w:t xml:space="preserve">contribution </w:t>
            </w:r>
            <w:r>
              <w:rPr>
                <w:rFonts w:ascii="Arial" w:cs="Arial" w:eastAsia="Arial" w:hAnsi="Arial"/>
                <w:sz w:val="25"/>
                <w:szCs w:val="25"/>
                <w:b w:val="1"/>
                <w:bCs w:val="1"/>
                <w:color w:val="auto"/>
                <w:vertAlign w:val="superscript"/>
              </w:rPr>
              <w:t>compensation</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267</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1,168</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125</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1,204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7,487</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10,028</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Colin Shannon**</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Linda Grais</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2022</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41"/>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1,168</w:t>
            </w:r>
          </w:p>
        </w:tc>
        <w:tc>
          <w:tcPr>
            <w:tcW w:w="1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125</w:t>
            </w: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1,204</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2,497</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9,140</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1,354</w:t>
            </w:r>
          </w:p>
        </w:tc>
        <w:tc>
          <w:tcPr>
            <w:tcW w:w="12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12,991</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80" w:right="2820" w:firstLine="9"/>
        <w:spacing w:after="0" w:line="356" w:lineRule="auto"/>
        <w:tabs>
          <w:tab w:leader="none" w:pos="1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Professor Hugh Brady, Professor William Hall and Ms. Mary Pendergast resigned from the Board on July 26, 2022. ** Mr. Colin Shannon resigned from the Board on December 9, 2022.</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Contracts, Termination of Employment and Change in Control Arrangements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and Executive Officers’ service agreements and letters of engagement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reflects the agreements in effect as of December 31, 2023.</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Ciaran Murray</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Mr. Ciaran Murray has served as Chair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 The current arrangement with Mr. Murray provides for the payment to him of fees of €330,000 (translated at average rate for the year: $356,235) per annum in respect of his position as Chairman.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 employee on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February 23, 2024 1,389 Restricted Share Units, which vest in May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$1,196,716 effective from April 1, 2023 and a bonus to be agreed by the Compensation and Organization Committee. He is also entitled to receive a pension contribution, a car allowance of $12,000 and medical insurance coverage for himself and his dependents. He was previously granted and held at February 23, 2024 222,001 ordinary share options at exercise prices ranging from $83.47 to $233.88 per share, 18,146 Restricted Share Units which vest on various dates between March 2024 and March 2026 and 31,594 (up to a maximum of 63,188) Performance Share Units which vest between March 2024 and March 2026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Brendan Brennan</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$591,558 (€547,993) effective from April 1, 2023 and a bonus to be agreed by the Compensation and Organization Committee. He is also entitled to receive a pension contribution, a car allowance of €20,000 and medical insurance coverage for himself and his dependents. He was previously granted and held at February 23, 2024 32,952 ordinary share options at exercise prices ranging from $140.38 to $233.88 per share, 3,758 Restricted Share Units, which vest on various dates between March 2024 and March 2026, and 6,739 (up to a maximum of 13,478) Performance Share Units which vest between March 2024 and March 2026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Rónán Murphy</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Mr. Rónán Murphy has served as Lead Independent Director from January 2019 having served as an outside Director of the Company since October 2016. The current arrangements with Mr. Murphy provide for the payment to him of Directors fees of $162,500 per annum. He was previously granted and held at February 23, 2024 8,084 ordinary share options at an exercise prices ranging from $90.03 to $125.74 and 926 Restricted Share Units, which vest in May 2024.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current arrangements with Dr. Climax provide for the payment to him of Directors fees of $90,000 per annum. He was previously granted and held at February 23, 2024 23,255 ordinary share options at exercise prices ranging from $65.60 to $125.74 per share and 926 Restricted Share Units, which vest in May 2024.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Joan Garahy</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Ms. Joan Garahy has served as an outside Director of the Company since November 2017. The current arrangements with Ms. Garahy provide for the payment to her of Directors fees of $122,500 per annum. She was previously granted and held at February 23, 2024 5,005 ordinary share options at an exercise price of $125.74 and 926 Restricted Share Units, which vest in May 2024.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Eugene McCague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Mr. Eugene McCague has served as an outside Director of the Company since October 2017. The current arrangements with Mr. McCague provide for the payment to him of Directors fees of $122,500 per annum. He was previously granted and held at February 23, 2024 5,005 ordinary share options at an exercise price of $125.74 and 926 Restricted Share Units, which vest in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i w:val="1"/>
          <w:iCs w:val="1"/>
          <w:color w:val="auto"/>
        </w:rPr>
        <w:t>Ms. Julie O'Neill</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Ms. Julie O'Neill has served as an outside Director of the Company since July 2019. The current arrangements with Ms. O'Neill provide for the payment to her of Directors fees of $115,000 per annum. She was previously granted and held at February 23, 2024 926 Restricted Share Units, which vest in May 2024.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24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Dr. Linda Grais has served as an outside Director of the Company since July 2021 having served as a member of the PRA Health Sciences, Inc. board since October 2015. The current arrangements with Dr. Grais provide for the payment to her of Director fees of $102,500 per annum. She was previously granted and held at February 23, 2024 926 Restricted Share Units, which vest in May 2024.</w:t>
      </w:r>
    </w:p>
    <w:p>
      <w:pPr>
        <w:spacing w:after="0" w:line="19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Board Practices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of Directors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Board comprises one executive and seven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(8 Directors) to be adequate but continues to look for suitable qualified potential candidates to join the Board.</w:t>
      </w: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Sustainability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2023 the Board held five board meetings. All Directors allocated sufficient time to the Company during the year ended December 31, 2023 to effectively discharge their responsibilities to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retirement and re-election</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The Constitution also provides that one third of the Directors who are subject to retirement by rotation, rounded down to the next whole number if it is a fractional number, shall retire from office at each annual general meeting.</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Board of Directors adopted a Non-Executive Director Policy for Service on April 24, 2018. The Policy was amended on April 21, 2020 and provides that, subject to individual waiver by the Board, an outside Director of ICON plc shall serve on the Board of the Directors for an initial term which expires at the fourth annual general meeting after their appointment. Each outside director may serve a further term of 3 years, subject to the Board’s approval. After the second 3 year term the Board may request that the outside Director serve up to 3 further terms of 1 year each. After a third 1 year term the Board may request that the outside director serve for further 1 year terms in the event that the Board has particular requirement or desire for the outside director’s skill, knowledge or experience. For an outside Director who previously served as an executive of the Company, the initial 3 year term referred to in this policy is deemed to commence on the date that he/she is determined to be independent as per the NASDAQ Rules. This policy does not apply to Dr. John Climax as he is a founder of the Company.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However in July 2022, the Board of Directors unanimously agreed that all of the Directors will retire and stand for re-election annually at the Annual General Meeting (AGM). Accordingly, at the AGM of the Company held in 2023, all directors retired and offered themselves for re-election and the same approach will be followed for 2024.</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i w:val="1"/>
          <w:iCs w:val="1"/>
          <w:color w:val="auto"/>
        </w:rPr>
        <w:t>Lead Independent Director</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Rónán Murphy was appointed as Lead Independent Director with effect from January 1, 2019.</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Committees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Board has delegated some of its responsibilities to Board Committees. There are currently four Committees. These are the Audit Committee, the Compensation and Organization Committee, the Nominating, Sustainability and Governance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Sustainability and Governance Committee each completed a self-evaluation of the performance of the Committee in respect to the year ended December 31, 2022 and each Committee was satisfied with their performance. The evaluations in respect to the year ended December 31, 2023 will be completed in 2024.</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Charter was updated in February 2024 to include specific responsibilities in respect to the oversight and monitoring of the external reporting on environmental, social and governance (ESG) matters included in the financial statements and data quality related to such reporting in coordination with the Nominating, Sustainability and Governance Committee. The Audit Committee is currently comprised of three independent Directors: Rónán Murphy (Chairperson), Eugene McCague and Julie O'Neill.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and Organization Committee</w:t>
      </w:r>
    </w:p>
    <w:p>
      <w:pPr>
        <w:spacing w:after="0" w:line="2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and also oversees the Company’s overall compensation strategy and programs which management approve and implement. The Compensation and Organization Committee is currently comprised of the following independent Directors: Joan Garahy (Chairperson), Rónán Murphy and Linda Grais.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Sustainability and Governance Committee</w:t>
      </w:r>
    </w:p>
    <w:p>
      <w:pPr>
        <w:spacing w:after="0" w:line="24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Nominating, Sustainability and Governance Committee is responsible for Board succession, oversight of the Board and committee composition and performance and oversight of the Company's corporate governance and business ethics initiatives and strategies and activities in respect to environmental, social and governance (ESG) matters. The Committee reviews the membership of the Board of the Company and Board Committees on an ongoing basis. As part of this, it regularly evaluates the balance of skills, knowledge, experience and diversity on the Board and then, based on this evaluation, identifies and, if appropriate, recommends individuals to join the Board of the Company. In selecting candidates for recommendation to the Board, the Committee makes proposals based on merit while seeking to achieve a mix of Board members that enhances the diversity of background, skills and experience on the Board, including with respect to professional skills, relevant industry experience, specialized expertise, international experience, gender, race and ethnicity. When conducting a formal search for new director candidates, the Committee endeavors to include qualified female and racially or ethnically diverse candidates on the initial list of candidates from which new director nominees are chosen. The Committee uses external search consultants as needed to assist it in identifying potential new outside Directors. Any external search consultants engaged to assist in the search shall also be instructed to endeavor to include such candidates on the initial list. Once potential suitable candidates are identified either by the external search consultants or by members of the Nominating, Sustainability and Governance Committee, the Committee then discusses and considers the skills, knowledge and experience of the potential candidate. The Committee will assess if the Board of the Company requires and would benefit from the potential candidate’s skills, knowledge and experience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6"/>
          <w:szCs w:val="16"/>
          <w:color w:val="auto"/>
        </w:rPr>
        <w:t>and, if it decides the potential candidate is suitable, the Committee would recommend to the Board of the Company that the potential candidate be appointed. The Board of the Company then decides whether or not to appoint the candidate. The Nominating, Sustainability and Governance Committee currently comprises the following independent Directors: Eugene McCague (Chairperson), Joan Garahy and Julie O'Neill.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Execution Committee</w:t>
      </w:r>
    </w:p>
    <w:p>
      <w:pPr>
        <w:spacing w:after="0" w:line="20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Steve Cutler (Chairperson), Rónán Murphy and Brendan Brennan.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Attendance at Board and Committee meetings by the Directors who held office during 2023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Directors’ Attendance Table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ind w:left="499"/>
              <w:spacing w:after="0" w:line="169" w:lineRule="exact"/>
              <w:rPr>
                <w:sz w:val="20"/>
                <w:szCs w:val="20"/>
                <w:color w:val="auto"/>
              </w:rPr>
            </w:pPr>
            <w:r>
              <w:rPr>
                <w:rFonts w:ascii="Arial" w:cs="Arial" w:eastAsia="Arial" w:hAnsi="Arial"/>
                <w:sz w:val="16"/>
                <w:szCs w:val="16"/>
                <w:b w:val="1"/>
                <w:bCs w:val="1"/>
                <w:color w:val="auto"/>
                <w:w w:val="99"/>
              </w:rPr>
              <w:t>Board</w:t>
            </w:r>
          </w:p>
        </w:tc>
        <w:tc>
          <w:tcPr>
            <w:tcW w:w="1580" w:type="dxa"/>
            <w:vAlign w:val="bottom"/>
            <w:tcBorders>
              <w:top w:val="single" w:sz="8" w:color="auto"/>
            </w:tcBorders>
          </w:tcPr>
          <w:p>
            <w:pPr>
              <w:ind w:left="620"/>
              <w:spacing w:after="0" w:line="169" w:lineRule="exact"/>
              <w:rPr>
                <w:sz w:val="20"/>
                <w:szCs w:val="20"/>
                <w:color w:val="auto"/>
              </w:rPr>
            </w:pPr>
            <w:r>
              <w:rPr>
                <w:rFonts w:ascii="Arial" w:cs="Arial" w:eastAsia="Arial" w:hAnsi="Arial"/>
                <w:sz w:val="16"/>
                <w:szCs w:val="16"/>
                <w:b w:val="1"/>
                <w:bCs w:val="1"/>
                <w:color w:val="auto"/>
              </w:rPr>
              <w:t>Audit (3)</w:t>
            </w:r>
          </w:p>
        </w:tc>
        <w:tc>
          <w:tcPr>
            <w:tcW w:w="1640" w:type="dxa"/>
            <w:vAlign w:val="bottom"/>
            <w:tcBorders>
              <w:top w:val="single" w:sz="8" w:color="auto"/>
            </w:tcBorders>
          </w:tcPr>
          <w:p>
            <w:pPr>
              <w:jc w:val="center"/>
              <w:ind w:left="39"/>
              <w:spacing w:after="0" w:line="169" w:lineRule="exact"/>
              <w:rPr>
                <w:sz w:val="20"/>
                <w:szCs w:val="20"/>
                <w:color w:val="auto"/>
              </w:rPr>
            </w:pPr>
            <w:r>
              <w:rPr>
                <w:rFonts w:ascii="Arial" w:cs="Arial" w:eastAsia="Arial" w:hAnsi="Arial"/>
                <w:sz w:val="16"/>
                <w:szCs w:val="16"/>
                <w:b w:val="1"/>
                <w:bCs w:val="1"/>
                <w:color w:val="auto"/>
              </w:rPr>
              <w:t>Compensation</w:t>
            </w:r>
          </w:p>
        </w:tc>
        <w:tc>
          <w:tcPr>
            <w:tcW w:w="15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rPr>
              <w:t>Nominating,</w:t>
            </w:r>
          </w:p>
        </w:tc>
        <w:tc>
          <w:tcPr>
            <w:tcW w:w="1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9"/>
              </w:rPr>
              <w:t>Execution</w:t>
            </w: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and</w:t>
            </w: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Sustainability</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Committee</w:t>
            </w: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Organization</w:t>
            </w: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and</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(2)</w:t>
            </w:r>
          </w:p>
        </w:tc>
      </w:tr>
      <w:tr>
        <w:trPr>
          <w:trHeight w:val="223"/>
        </w:trPr>
        <w:tc>
          <w:tcPr>
            <w:tcW w:w="27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c>
          <w:tcPr>
            <w:tcW w:w="1480" w:type="dxa"/>
            <w:vAlign w:val="bottom"/>
            <w:tcBorders>
              <w:bottom w:val="single" w:sz="8" w:color="auto"/>
            </w:tcBorders>
          </w:tcPr>
          <w:p>
            <w:pPr>
              <w:spacing w:after="0"/>
              <w:rPr>
                <w:sz w:val="19"/>
                <w:szCs w:val="19"/>
                <w:color w:val="auto"/>
              </w:rPr>
            </w:pPr>
          </w:p>
        </w:tc>
      </w:tr>
      <w:tr>
        <w:trPr>
          <w:trHeight w:val="223"/>
        </w:trPr>
        <w:tc>
          <w:tcPr>
            <w:tcW w:w="27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Director</w:t>
            </w:r>
          </w:p>
        </w:tc>
        <w:tc>
          <w:tcPr>
            <w:tcW w:w="8480" w:type="dxa"/>
            <w:vAlign w:val="bottom"/>
            <w:gridSpan w:val="5"/>
          </w:tcPr>
          <w:p>
            <w:pPr>
              <w:ind w:left="1280"/>
              <w:spacing w:after="0"/>
              <w:rPr>
                <w:sz w:val="20"/>
                <w:szCs w:val="20"/>
                <w:color w:val="auto"/>
              </w:rPr>
            </w:pPr>
            <w:r>
              <w:rPr>
                <w:rFonts w:ascii="Arial" w:cs="Arial" w:eastAsia="Arial" w:hAnsi="Arial"/>
                <w:sz w:val="16"/>
                <w:szCs w:val="16"/>
                <w:b w:val="1"/>
                <w:bCs w:val="1"/>
                <w:color w:val="auto"/>
              </w:rPr>
              <w:t>Number of meetings attended / number of meetings eligible to attend as a Director</w:t>
            </w:r>
          </w:p>
        </w:tc>
      </w:tr>
      <w:tr>
        <w:trPr>
          <w:trHeight w:val="215"/>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Ciaran Murray (1)</w:t>
            </w:r>
          </w:p>
        </w:tc>
        <w:tc>
          <w:tcPr>
            <w:tcW w:w="22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6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Steve Cutler</w:t>
            </w:r>
          </w:p>
        </w:tc>
        <w:tc>
          <w:tcPr>
            <w:tcW w:w="22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9"/>
              </w:rPr>
              <w:t>—</w:t>
            </w:r>
          </w:p>
        </w:tc>
        <w:tc>
          <w:tcPr>
            <w:tcW w:w="16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Rónán Murphy (1)</w:t>
            </w:r>
          </w:p>
        </w:tc>
        <w:tc>
          <w:tcPr>
            <w:tcW w:w="22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rPr>
              <w:t>4/4</w:t>
            </w:r>
          </w:p>
        </w:tc>
        <w:tc>
          <w:tcPr>
            <w:tcW w:w="164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4/4</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John Climax (1)</w:t>
            </w:r>
          </w:p>
        </w:tc>
        <w:tc>
          <w:tcPr>
            <w:tcW w:w="22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9"/>
              </w:rPr>
              <w:t>—</w:t>
            </w:r>
          </w:p>
        </w:tc>
        <w:tc>
          <w:tcPr>
            <w:tcW w:w="16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Joan Garahy (1)</w:t>
            </w:r>
          </w:p>
        </w:tc>
        <w:tc>
          <w:tcPr>
            <w:tcW w:w="22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64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4/4</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Eugene McCague (1)</w:t>
            </w:r>
          </w:p>
        </w:tc>
        <w:tc>
          <w:tcPr>
            <w:tcW w:w="22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4/4</w:t>
            </w:r>
          </w:p>
        </w:tc>
        <w:tc>
          <w:tcPr>
            <w:tcW w:w="16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Julie O'Neill (1)</w:t>
            </w:r>
          </w:p>
        </w:tc>
        <w:tc>
          <w:tcPr>
            <w:tcW w:w="22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rPr>
              <w:t>4/4</w:t>
            </w:r>
          </w:p>
        </w:tc>
        <w:tc>
          <w:tcPr>
            <w:tcW w:w="16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Linda Grais (1)</w:t>
            </w:r>
          </w:p>
        </w:tc>
        <w:tc>
          <w:tcPr>
            <w:tcW w:w="22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8"/>
              </w:rPr>
              <w:t>5/5</w:t>
            </w:r>
          </w:p>
        </w:tc>
        <w:tc>
          <w:tcPr>
            <w:tcW w:w="1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9"/>
              </w:rPr>
              <w:t>—</w:t>
            </w:r>
          </w:p>
        </w:tc>
        <w:tc>
          <w:tcPr>
            <w:tcW w:w="16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4/4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14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Independent Director as defined under NASDAQ Rule 5605(a)(2).</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decisions by the Execution Committee were made by written resolution and therefore no meetings were held.</w:t>
      </w:r>
    </w:p>
    <w:p>
      <w:pPr>
        <w:spacing w:after="0" w:line="14" w:lineRule="exact"/>
        <w:rPr>
          <w:rFonts w:ascii="Arial" w:cs="Arial" w:eastAsia="Arial" w:hAnsi="Arial"/>
          <w:sz w:val="16"/>
          <w:szCs w:val="16"/>
          <w:color w:val="auto"/>
        </w:rPr>
      </w:pPr>
    </w:p>
    <w:p>
      <w:pPr>
        <w:ind w:left="660" w:hanging="328"/>
        <w:spacing w:after="0" w:line="270"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addition to these meetings, the Audit Committee of the Company engaged in a competitive audit tender process. Refer to Item 16F. Changes in Registrant's Certifying Accountant.</w:t>
      </w:r>
    </w:p>
    <w:p>
      <w:pPr>
        <w:spacing w:after="0" w:line="23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Employees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2023, December 31, 2022 and December 31, 2021 we employed approximately 41,100, 41,100 and 38,330 people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Our employees are not unionized and we believe we have a satisfactory relationship with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ind w:left="660" w:right="9260" w:hanging="328"/>
        <w:spacing w:after="0" w:line="537" w:lineRule="auto"/>
        <w:tabs>
          <w:tab w:leader="none" w:pos="651"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 Shares</w:t>
      </w:r>
    </w:p>
    <w:p>
      <w:pPr>
        <w:jc w:val="both"/>
        <w:ind w:firstLine="648"/>
        <w:spacing w:after="0" w:line="275" w:lineRule="auto"/>
        <w:rPr>
          <w:sz w:val="20"/>
          <w:szCs w:val="20"/>
          <w:color w:val="auto"/>
        </w:rPr>
      </w:pPr>
      <w:r>
        <w:rPr>
          <w:rFonts w:ascii="Arial" w:cs="Arial" w:eastAsia="Arial" w:hAnsi="Arial"/>
          <w:sz w:val="16"/>
          <w:szCs w:val="16"/>
          <w:color w:val="auto"/>
        </w:rPr>
        <w:t>The following table sets forth certain information as of February 23, 2024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48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No. of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of total</w:t>
            </w:r>
          </w:p>
        </w:tc>
      </w:tr>
      <w:tr>
        <w:trPr>
          <w:trHeight w:val="216"/>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48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Shares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19,343</w:t>
            </w:r>
          </w:p>
        </w:tc>
        <w:tc>
          <w:tcPr>
            <w:tcW w:w="1180" w:type="dxa"/>
            <w:vAlign w:val="bottom"/>
          </w:tcPr>
          <w:p>
            <w:pPr>
              <w:jc w:val="right"/>
              <w:spacing w:after="0"/>
              <w:rPr>
                <w:sz w:val="20"/>
                <w:szCs w:val="20"/>
                <w:color w:val="auto"/>
              </w:rPr>
            </w:pPr>
            <w:r>
              <w:rPr>
                <w:rFonts w:ascii="Arial" w:cs="Arial" w:eastAsia="Arial" w:hAnsi="Arial"/>
                <w:sz w:val="16"/>
                <w:szCs w:val="16"/>
                <w:color w:val="auto"/>
              </w:rPr>
              <w:t>0.02 %</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37,098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0.04 %</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22,105</w:t>
            </w:r>
          </w:p>
        </w:tc>
        <w:tc>
          <w:tcPr>
            <w:tcW w:w="1180" w:type="dxa"/>
            <w:vAlign w:val="bottom"/>
          </w:tcPr>
          <w:p>
            <w:pPr>
              <w:jc w:val="right"/>
              <w:spacing w:after="0"/>
              <w:rPr>
                <w:sz w:val="20"/>
                <w:szCs w:val="20"/>
                <w:color w:val="auto"/>
              </w:rPr>
            </w:pPr>
            <w:r>
              <w:rPr>
                <w:rFonts w:ascii="Arial" w:cs="Arial" w:eastAsia="Arial" w:hAnsi="Arial"/>
                <w:sz w:val="16"/>
                <w:szCs w:val="16"/>
                <w:color w:val="auto"/>
              </w:rPr>
              <w:t>0.03 %</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Rónán Murphy</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2,121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449,775</w:t>
            </w:r>
          </w:p>
        </w:tc>
        <w:tc>
          <w:tcPr>
            <w:tcW w:w="1180" w:type="dxa"/>
            <w:vAlign w:val="bottom"/>
          </w:tcPr>
          <w:p>
            <w:pPr>
              <w:jc w:val="right"/>
              <w:spacing w:after="0"/>
              <w:rPr>
                <w:sz w:val="20"/>
                <w:szCs w:val="20"/>
                <w:color w:val="auto"/>
              </w:rPr>
            </w:pPr>
            <w:r>
              <w:rPr>
                <w:rFonts w:ascii="Arial" w:cs="Arial" w:eastAsia="Arial" w:hAnsi="Arial"/>
                <w:sz w:val="16"/>
                <w:szCs w:val="16"/>
                <w:color w:val="auto"/>
              </w:rPr>
              <w:t>0.55 %</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Joan Garahy</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2,121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Mr. Eugene McCague</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2,121</w:t>
            </w: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Julie O'Neill</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1,931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Dr. Linda Grais</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4,435</w:t>
            </w:r>
          </w:p>
        </w:tc>
        <w:tc>
          <w:tcPr>
            <w:tcW w:w="1180" w:type="dxa"/>
            <w:vAlign w:val="bottom"/>
          </w:tcPr>
          <w:p>
            <w:pPr>
              <w:jc w:val="right"/>
              <w:spacing w:after="0"/>
              <w:rPr>
                <w:sz w:val="20"/>
                <w:szCs w:val="20"/>
                <w:color w:val="auto"/>
              </w:rPr>
            </w:pPr>
            <w:r>
              <w:rPr>
                <w:rFonts w:ascii="Arial" w:cs="Arial" w:eastAsia="Arial" w:hAnsi="Arial"/>
                <w:sz w:val="16"/>
                <w:szCs w:val="16"/>
                <w:color w:val="auto"/>
              </w:rPr>
              <w:t>0.01 %</w:t>
            </w:r>
          </w:p>
        </w:tc>
      </w:tr>
    </w:tbl>
    <w:p>
      <w:pPr>
        <w:spacing w:after="0" w:line="325" w:lineRule="exact"/>
        <w:rPr>
          <w:sz w:val="20"/>
          <w:szCs w:val="20"/>
          <w:color w:val="auto"/>
        </w:rPr>
      </w:pPr>
    </w:p>
    <w:p>
      <w:pPr>
        <w:jc w:val="both"/>
        <w:ind w:left="500" w:hanging="330"/>
        <w:spacing w:after="0" w:line="266" w:lineRule="auto"/>
        <w:tabs>
          <w:tab w:leader="none" w:pos="4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Share Units and Performance Share Units</w:t>
      </w:r>
    </w:p>
    <w:p>
      <w:pPr>
        <w:spacing w:after="0" w:line="248"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following table sets forth certain information as of February 23, 2024 regarding beneficial ownership of Restricted Share Units (“RSUs”) and Performance Share Units (“PSUs”) which have been issued to our current Directors and executive officers.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18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No. of</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Vesting Date</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No. of</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Vesting Date</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1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RSUs</w:t>
            </w:r>
          </w:p>
        </w:tc>
        <w:tc>
          <w:tcPr>
            <w:tcW w:w="18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9"/>
              <w:spacing w:after="0" w:line="216" w:lineRule="exact"/>
              <w:rPr>
                <w:sz w:val="20"/>
                <w:szCs w:val="20"/>
                <w:color w:val="auto"/>
              </w:rPr>
            </w:pPr>
            <w:r>
              <w:rPr>
                <w:rFonts w:ascii="Arial" w:cs="Arial" w:eastAsia="Arial" w:hAnsi="Arial"/>
                <w:sz w:val="16"/>
                <w:szCs w:val="16"/>
                <w:b w:val="1"/>
                <w:bCs w:val="1"/>
                <w:color w:val="auto"/>
              </w:rPr>
              <w:t xml:space="preserve">PSUs </w:t>
            </w:r>
            <w:r>
              <w:rPr>
                <w:rFonts w:ascii="Arial" w:cs="Arial" w:eastAsia="Arial" w:hAnsi="Arial"/>
                <w:sz w:val="21"/>
                <w:szCs w:val="21"/>
                <w:b w:val="1"/>
                <w:bCs w:val="1"/>
                <w:color w:val="auto"/>
                <w:vertAlign w:val="superscript"/>
              </w:rPr>
              <w:t>(1)</w:t>
            </w: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Ciaran Murray</w:t>
            </w: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1,389</w:t>
            </w: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540" w:type="dxa"/>
            <w:vAlign w:val="bottom"/>
          </w:tcPr>
          <w:p>
            <w:pPr>
              <w:ind w:left="20"/>
              <w:spacing w:after="0"/>
              <w:rPr>
                <w:sz w:val="20"/>
                <w:szCs w:val="20"/>
                <w:color w:val="auto"/>
              </w:rPr>
            </w:pPr>
            <w:r>
              <w:rPr>
                <w:rFonts w:ascii="Arial" w:cs="Arial" w:eastAsia="Arial" w:hAnsi="Arial"/>
                <w:sz w:val="16"/>
                <w:szCs w:val="16"/>
                <w:color w:val="auto"/>
              </w:rPr>
              <w:t>Dr. Steve Cutler</w:t>
            </w: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2,959</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10,354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2024</w:t>
            </w: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3"/>
                <w:szCs w:val="23"/>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3,018</w:t>
            </w:r>
          </w:p>
        </w:tc>
        <w:tc>
          <w:tcPr>
            <w:tcW w:w="1800" w:type="dxa"/>
            <w:vAlign w:val="bottom"/>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10,565</w:t>
            </w:r>
          </w:p>
        </w:tc>
        <w:tc>
          <w:tcPr>
            <w:tcW w:w="1320" w:type="dxa"/>
            <w:vAlign w:val="bottom"/>
          </w:tcPr>
          <w:p>
            <w:pPr>
              <w:jc w:val="right"/>
              <w:spacing w:after="0"/>
              <w:rPr>
                <w:sz w:val="20"/>
                <w:szCs w:val="20"/>
                <w:color w:val="auto"/>
              </w:rPr>
            </w:pPr>
            <w:r>
              <w:rPr>
                <w:rFonts w:ascii="Arial" w:cs="Arial" w:eastAsia="Arial" w:hAnsi="Arial"/>
                <w:sz w:val="16"/>
                <w:szCs w:val="16"/>
                <w:color w:val="auto"/>
              </w:rPr>
              <w:t>March 3, 2025</w:t>
            </w: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3,050</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10,675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2026</w:t>
            </w: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3"/>
                <w:szCs w:val="23"/>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3,019</w:t>
            </w:r>
          </w:p>
        </w:tc>
        <w:tc>
          <w:tcPr>
            <w:tcW w:w="1800" w:type="dxa"/>
            <w:vAlign w:val="bottom"/>
          </w:tcPr>
          <w:p>
            <w:pPr>
              <w:jc w:val="right"/>
              <w:ind w:right="419"/>
              <w:spacing w:after="0"/>
              <w:rPr>
                <w:sz w:val="20"/>
                <w:szCs w:val="20"/>
                <w:color w:val="auto"/>
              </w:rPr>
            </w:pPr>
            <w:r>
              <w:rPr>
                <w:rFonts w:ascii="Arial" w:cs="Arial" w:eastAsia="Arial" w:hAnsi="Arial"/>
                <w:sz w:val="16"/>
                <w:szCs w:val="16"/>
                <w:color w:val="auto"/>
              </w:rPr>
              <w:t>March 3, 2025</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3,050</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March 3, 2025</w:t>
            </w:r>
          </w:p>
        </w:tc>
        <w:tc>
          <w:tcPr>
            <w:tcW w:w="1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3,050</w:t>
            </w: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March 3, 2026</w:t>
            </w:r>
          </w:p>
        </w:tc>
        <w:tc>
          <w:tcPr>
            <w:tcW w:w="1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540" w:type="dxa"/>
            <w:vAlign w:val="bottom"/>
          </w:tcPr>
          <w:p>
            <w:pPr>
              <w:ind w:left="20"/>
              <w:spacing w:after="0"/>
              <w:rPr>
                <w:sz w:val="20"/>
                <w:szCs w:val="20"/>
                <w:color w:val="auto"/>
              </w:rPr>
            </w:pPr>
            <w:r>
              <w:rPr>
                <w:rFonts w:ascii="Arial" w:cs="Arial" w:eastAsia="Arial" w:hAnsi="Arial"/>
                <w:sz w:val="16"/>
                <w:szCs w:val="16"/>
                <w:color w:val="auto"/>
              </w:rPr>
              <w:t>Mr. Brendan</w:t>
            </w:r>
          </w:p>
        </w:tc>
        <w:tc>
          <w:tcPr>
            <w:tcW w:w="1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698</w:t>
            </w:r>
          </w:p>
        </w:tc>
        <w:tc>
          <w:tcPr>
            <w:tcW w:w="18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2,444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3, 2024</w:t>
            </w: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line="161" w:lineRule="exact"/>
              <w:rPr>
                <w:sz w:val="20"/>
                <w:szCs w:val="20"/>
                <w:color w:val="auto"/>
              </w:rPr>
            </w:pPr>
            <w:r>
              <w:rPr>
                <w:rFonts w:ascii="Arial" w:cs="Arial" w:eastAsia="Arial" w:hAnsi="Arial"/>
                <w:sz w:val="16"/>
                <w:szCs w:val="16"/>
                <w:color w:val="auto"/>
              </w:rPr>
              <w:t>Brennan</w:t>
            </w:r>
          </w:p>
        </w:tc>
        <w:tc>
          <w:tcPr>
            <w:tcW w:w="1800" w:type="dxa"/>
            <w:vAlign w:val="bottom"/>
            <w:vMerge w:val="restart"/>
          </w:tcPr>
          <w:p>
            <w:pPr>
              <w:jc w:val="right"/>
              <w:ind w:right="239"/>
              <w:spacing w:after="0"/>
              <w:rPr>
                <w:sz w:val="20"/>
                <w:szCs w:val="20"/>
                <w:color w:val="auto"/>
              </w:rPr>
            </w:pPr>
            <w:r>
              <w:rPr>
                <w:rFonts w:ascii="Arial" w:cs="Arial" w:eastAsia="Arial" w:hAnsi="Arial"/>
                <w:sz w:val="16"/>
                <w:szCs w:val="16"/>
                <w:color w:val="auto"/>
              </w:rPr>
              <w:t>622</w:t>
            </w:r>
          </w:p>
        </w:tc>
        <w:tc>
          <w:tcPr>
            <w:tcW w:w="1800" w:type="dxa"/>
            <w:vAlign w:val="bottom"/>
            <w:vMerge w:val="restart"/>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vMerge w:val="restart"/>
          </w:tcPr>
          <w:p>
            <w:pPr>
              <w:jc w:val="right"/>
              <w:ind w:right="239"/>
              <w:spacing w:after="0"/>
              <w:rPr>
                <w:sz w:val="20"/>
                <w:szCs w:val="20"/>
                <w:color w:val="auto"/>
              </w:rPr>
            </w:pPr>
            <w:r>
              <w:rPr>
                <w:rFonts w:ascii="Arial" w:cs="Arial" w:eastAsia="Arial" w:hAnsi="Arial"/>
                <w:sz w:val="16"/>
                <w:szCs w:val="16"/>
                <w:color w:val="auto"/>
              </w:rPr>
              <w:t>2,179</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March 3, 2025</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604</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March 3, 2024</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2,116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2026</w:t>
            </w: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3"/>
                <w:szCs w:val="23"/>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624</w:t>
            </w:r>
          </w:p>
        </w:tc>
        <w:tc>
          <w:tcPr>
            <w:tcW w:w="1800" w:type="dxa"/>
            <w:vAlign w:val="bottom"/>
          </w:tcPr>
          <w:p>
            <w:pPr>
              <w:jc w:val="right"/>
              <w:ind w:right="419"/>
              <w:spacing w:after="0"/>
              <w:rPr>
                <w:sz w:val="20"/>
                <w:szCs w:val="20"/>
                <w:color w:val="auto"/>
              </w:rPr>
            </w:pPr>
            <w:r>
              <w:rPr>
                <w:rFonts w:ascii="Arial" w:cs="Arial" w:eastAsia="Arial" w:hAnsi="Arial"/>
                <w:sz w:val="16"/>
                <w:szCs w:val="16"/>
                <w:color w:val="auto"/>
              </w:rPr>
              <w:t>March 3, 2025</w:t>
            </w:r>
          </w:p>
        </w:tc>
        <w:tc>
          <w:tcPr>
            <w:tcW w:w="1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604</w:t>
            </w:r>
          </w:p>
        </w:tc>
        <w:tc>
          <w:tcPr>
            <w:tcW w:w="1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March 3, 2025</w:t>
            </w:r>
          </w:p>
        </w:tc>
        <w:tc>
          <w:tcPr>
            <w:tcW w:w="1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606</w:t>
            </w: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March 3, 2026</w:t>
            </w:r>
          </w:p>
        </w:tc>
        <w:tc>
          <w:tcPr>
            <w:tcW w:w="1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Rónán Murphy</w:t>
            </w:r>
          </w:p>
        </w:tc>
        <w:tc>
          <w:tcPr>
            <w:tcW w:w="1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John Climax</w:t>
            </w: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Joan Garahy</w:t>
            </w:r>
          </w:p>
        </w:tc>
        <w:tc>
          <w:tcPr>
            <w:tcW w:w="1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540" w:type="dxa"/>
            <w:vAlign w:val="bottom"/>
          </w:tcPr>
          <w:p>
            <w:pPr>
              <w:ind w:left="20"/>
              <w:spacing w:after="0" w:line="156" w:lineRule="exact"/>
              <w:rPr>
                <w:sz w:val="20"/>
                <w:szCs w:val="20"/>
                <w:color w:val="auto"/>
              </w:rPr>
            </w:pPr>
            <w:r>
              <w:rPr>
                <w:rFonts w:ascii="Arial" w:cs="Arial" w:eastAsia="Arial" w:hAnsi="Arial"/>
                <w:sz w:val="16"/>
                <w:szCs w:val="16"/>
                <w:color w:val="auto"/>
              </w:rPr>
              <w:t>Mr. Eugene</w:t>
            </w:r>
          </w:p>
        </w:tc>
        <w:tc>
          <w:tcPr>
            <w:tcW w:w="1800" w:type="dxa"/>
            <w:vAlign w:val="bottom"/>
            <w:vMerge w:val="restart"/>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vMerge w:val="restart"/>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McCague</w:t>
            </w:r>
          </w:p>
        </w:tc>
        <w:tc>
          <w:tcPr>
            <w:tcW w:w="18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Julie O'Neill</w:t>
            </w:r>
          </w:p>
        </w:tc>
        <w:tc>
          <w:tcPr>
            <w:tcW w:w="1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Linda Grais</w:t>
            </w: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926</w:t>
            </w: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May 22, 2024</w:t>
            </w: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-1499235</wp:posOffset>
            </wp:positionV>
            <wp:extent cx="1457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-1670685</wp:posOffset>
            </wp:positionV>
            <wp:extent cx="1457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0" w:name="page81"/>
    <w:bookmarkEnd w:id="80"/>
    <w:p>
      <w:pPr>
        <w:jc w:val="both"/>
        <w:ind w:left="500" w:right="20" w:hanging="330"/>
        <w:spacing w:after="0" w:line="253"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2021 – 2023, 2022 – 2024 and 2023 - 2025. Depending on the actual amount of EPS from 2021 to 2025, up to a maximum of 38,333 additional PSUs may also be granted to Dr. Steve Cutler and Mr. Brendan Brennan.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Options</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following table sets forth certain information as of February 23, 2024 regarding options to acquire ordinary shares of the Company by all of our current Directors and executive officers.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No. of</w:t>
            </w:r>
          </w:p>
        </w:tc>
        <w:tc>
          <w:tcPr>
            <w:tcW w:w="528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rPr>
              <w:t>Exercise price Expiration Date</w:t>
            </w: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3700" w:type="dxa"/>
            <w:vAlign w:val="bottom"/>
            <w:tcBorders>
              <w:bottom w:val="single" w:sz="8" w:color="auto"/>
            </w:tcBorders>
            <w:shd w:val="clear" w:color="auto" w:fill="CCEEFF"/>
          </w:tcPr>
          <w:p>
            <w:pPr>
              <w:jc w:val="right"/>
              <w:ind w:right="639"/>
              <w:spacing w:after="0" w:line="216"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18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18"/>
                <w:szCs w:val="18"/>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color w:val="auto"/>
              </w:rPr>
              <w:t>Dr. Steve Cutler</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15,284</w:t>
            </w:r>
          </w:p>
        </w:tc>
        <w:tc>
          <w:tcPr>
            <w:tcW w:w="1840" w:type="dxa"/>
            <w:vAlign w:val="bottom"/>
          </w:tcPr>
          <w:p>
            <w:pPr>
              <w:jc w:val="right"/>
              <w:spacing w:after="0"/>
              <w:rPr>
                <w:sz w:val="20"/>
                <w:szCs w:val="20"/>
                <w:color w:val="auto"/>
              </w:rPr>
            </w:pPr>
            <w:r>
              <w:rPr>
                <w:rFonts w:ascii="Arial" w:cs="Arial" w:eastAsia="Arial" w:hAnsi="Arial"/>
                <w:sz w:val="16"/>
                <w:szCs w:val="16"/>
                <w:color w:val="auto"/>
              </w:rPr>
              <w:t>$83.47</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2025</w:t>
            </w:r>
          </w:p>
        </w:tc>
      </w:tr>
      <w:tr>
        <w:trPr>
          <w:trHeight w:val="258"/>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29,613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2026</w:t>
            </w:r>
          </w:p>
        </w:tc>
      </w:tr>
      <w:tr>
        <w:trPr>
          <w:trHeight w:val="256"/>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32,272</w:t>
            </w:r>
          </w:p>
        </w:tc>
        <w:tc>
          <w:tcPr>
            <w:tcW w:w="1840" w:type="dxa"/>
            <w:vAlign w:val="bottom"/>
          </w:tcPr>
          <w:p>
            <w:pPr>
              <w:jc w:val="right"/>
              <w:spacing w:after="0"/>
              <w:rPr>
                <w:sz w:val="20"/>
                <w:szCs w:val="20"/>
                <w:color w:val="auto"/>
              </w:rPr>
            </w:pPr>
            <w:r>
              <w:rPr>
                <w:rFonts w:ascii="Arial" w:cs="Arial" w:eastAsia="Arial" w:hAnsi="Arial"/>
                <w:sz w:val="16"/>
                <w:szCs w:val="16"/>
                <w:color w:val="auto"/>
              </w:rPr>
              <w:t>$140.38</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2027</w:t>
            </w:r>
          </w:p>
        </w:tc>
      </w:tr>
      <w:tr>
        <w:trPr>
          <w:trHeight w:val="258"/>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42,386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2028</w:t>
            </w:r>
          </w:p>
        </w:tc>
      </w:tr>
      <w:tr>
        <w:trPr>
          <w:trHeight w:val="255"/>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37,461</w:t>
            </w:r>
          </w:p>
        </w:tc>
        <w:tc>
          <w:tcPr>
            <w:tcW w:w="1840" w:type="dxa"/>
            <w:vAlign w:val="bottom"/>
          </w:tcPr>
          <w:p>
            <w:pPr>
              <w:jc w:val="right"/>
              <w:spacing w:after="0"/>
              <w:rPr>
                <w:sz w:val="20"/>
                <w:szCs w:val="20"/>
                <w:color w:val="auto"/>
              </w:rPr>
            </w:pPr>
            <w:r>
              <w:rPr>
                <w:rFonts w:ascii="Arial" w:cs="Arial" w:eastAsia="Arial" w:hAnsi="Arial"/>
                <w:sz w:val="16"/>
                <w:szCs w:val="16"/>
                <w:color w:val="auto"/>
              </w:rPr>
              <w:t>$174.96</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2029</w:t>
            </w:r>
          </w:p>
        </w:tc>
      </w:tr>
      <w:tr>
        <w:trPr>
          <w:trHeight w:val="258"/>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35,869</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$231.68</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2030</w:t>
            </w:r>
          </w:p>
        </w:tc>
      </w:tr>
      <w:tr>
        <w:trPr>
          <w:trHeight w:val="255"/>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29,116</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March 3, 2031</w:t>
            </w:r>
          </w:p>
        </w:tc>
      </w:tr>
      <w:tr>
        <w:trPr>
          <w:trHeight w:val="238"/>
        </w:trPr>
        <w:tc>
          <w:tcPr>
            <w:tcW w:w="224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1,760</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2027</w:t>
            </w:r>
          </w:p>
        </w:tc>
      </w:tr>
      <w:tr>
        <w:trPr>
          <w:trHeight w:val="255"/>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9,176</w:t>
            </w:r>
          </w:p>
        </w:tc>
        <w:tc>
          <w:tcPr>
            <w:tcW w:w="1840" w:type="dxa"/>
            <w:vAlign w:val="bottom"/>
          </w:tcPr>
          <w:p>
            <w:pPr>
              <w:jc w:val="right"/>
              <w:spacing w:after="0"/>
              <w:rPr>
                <w:sz w:val="20"/>
                <w:szCs w:val="20"/>
                <w:color w:val="auto"/>
              </w:rPr>
            </w:pPr>
            <w:r>
              <w:rPr>
                <w:rFonts w:ascii="Arial" w:cs="Arial" w:eastAsia="Arial" w:hAnsi="Arial"/>
                <w:sz w:val="16"/>
                <w:szCs w:val="16"/>
                <w:color w:val="auto"/>
              </w:rPr>
              <w:t>$159.33</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2028</w:t>
            </w:r>
          </w:p>
        </w:tc>
      </w:tr>
      <w:tr>
        <w:trPr>
          <w:trHeight w:val="258"/>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8,842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$174.96</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2029</w:t>
            </w:r>
          </w:p>
        </w:tc>
      </w:tr>
      <w:tr>
        <w:trPr>
          <w:trHeight w:val="256"/>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7,401</w:t>
            </w:r>
          </w:p>
        </w:tc>
        <w:tc>
          <w:tcPr>
            <w:tcW w:w="1840" w:type="dxa"/>
            <w:vAlign w:val="bottom"/>
          </w:tcPr>
          <w:p>
            <w:pPr>
              <w:jc w:val="right"/>
              <w:spacing w:after="0"/>
              <w:rPr>
                <w:sz w:val="20"/>
                <w:szCs w:val="20"/>
                <w:color w:val="auto"/>
              </w:rPr>
            </w:pPr>
            <w:r>
              <w:rPr>
                <w:rFonts w:ascii="Arial" w:cs="Arial" w:eastAsia="Arial" w:hAnsi="Arial"/>
                <w:sz w:val="16"/>
                <w:szCs w:val="16"/>
                <w:color w:val="auto"/>
              </w:rPr>
              <w:t>$231.68</w:t>
            </w:r>
          </w:p>
        </w:tc>
        <w:tc>
          <w:tcPr>
            <w:tcW w:w="3440" w:type="dxa"/>
            <w:vAlign w:val="bottom"/>
          </w:tcPr>
          <w:p>
            <w:pPr>
              <w:ind w:left="40"/>
              <w:spacing w:after="0"/>
              <w:rPr>
                <w:sz w:val="20"/>
                <w:szCs w:val="20"/>
                <w:color w:val="auto"/>
              </w:rPr>
            </w:pPr>
            <w:r>
              <w:rPr>
                <w:rFonts w:ascii="Arial" w:cs="Arial" w:eastAsia="Arial" w:hAnsi="Arial"/>
                <w:sz w:val="16"/>
                <w:szCs w:val="16"/>
                <w:color w:val="auto"/>
              </w:rPr>
              <w:t>March 3, 2030</w:t>
            </w:r>
          </w:p>
        </w:tc>
      </w:tr>
      <w:tr>
        <w:trPr>
          <w:trHeight w:val="256"/>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5,773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$233.88</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 3, 2031</w:t>
            </w:r>
          </w:p>
        </w:tc>
      </w:tr>
      <w:tr>
        <w:trPr>
          <w:trHeight w:val="237"/>
        </w:trPr>
        <w:tc>
          <w:tcPr>
            <w:tcW w:w="2240" w:type="dxa"/>
            <w:vAlign w:val="bottom"/>
          </w:tcPr>
          <w:p>
            <w:pPr>
              <w:ind w:left="20"/>
              <w:spacing w:after="0"/>
              <w:rPr>
                <w:sz w:val="20"/>
                <w:szCs w:val="20"/>
                <w:color w:val="auto"/>
              </w:rPr>
            </w:pPr>
            <w:r>
              <w:rPr>
                <w:rFonts w:ascii="Arial" w:cs="Arial" w:eastAsia="Arial" w:hAnsi="Arial"/>
                <w:sz w:val="16"/>
                <w:szCs w:val="16"/>
                <w:color w:val="auto"/>
              </w:rPr>
              <w:t>Mr. Rónán Murphy</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3,079</w:t>
            </w:r>
          </w:p>
        </w:tc>
        <w:tc>
          <w:tcPr>
            <w:tcW w:w="1840" w:type="dxa"/>
            <w:vAlign w:val="bottom"/>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tcPr>
          <w:p>
            <w:pPr>
              <w:ind w:left="40"/>
              <w:spacing w:after="0"/>
              <w:rPr>
                <w:sz w:val="20"/>
                <w:szCs w:val="20"/>
                <w:color w:val="auto"/>
              </w:rPr>
            </w:pPr>
            <w:r>
              <w:rPr>
                <w:rFonts w:ascii="Arial" w:cs="Arial" w:eastAsia="Arial" w:hAnsi="Arial"/>
                <w:sz w:val="16"/>
                <w:szCs w:val="16"/>
                <w:color w:val="auto"/>
              </w:rPr>
              <w:t>May 19, 2025</w:t>
            </w:r>
          </w:p>
        </w:tc>
      </w:tr>
      <w:tr>
        <w:trPr>
          <w:trHeight w:val="256"/>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r>
      <w:tr>
        <w:trPr>
          <w:trHeight w:val="237"/>
        </w:trPr>
        <w:tc>
          <w:tcPr>
            <w:tcW w:w="224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10,557</w:t>
            </w:r>
          </w:p>
        </w:tc>
        <w:tc>
          <w:tcPr>
            <w:tcW w:w="1840" w:type="dxa"/>
            <w:vAlign w:val="bottom"/>
          </w:tcPr>
          <w:p>
            <w:pPr>
              <w:jc w:val="right"/>
              <w:spacing w:after="0"/>
              <w:rPr>
                <w:sz w:val="20"/>
                <w:szCs w:val="20"/>
                <w:color w:val="auto"/>
              </w:rPr>
            </w:pPr>
            <w:r>
              <w:rPr>
                <w:rFonts w:ascii="Arial" w:cs="Arial" w:eastAsia="Arial" w:hAnsi="Arial"/>
                <w:sz w:val="16"/>
                <w:szCs w:val="16"/>
                <w:color w:val="auto"/>
              </w:rPr>
              <w:t>$65.60</w:t>
            </w:r>
          </w:p>
        </w:tc>
        <w:tc>
          <w:tcPr>
            <w:tcW w:w="3440" w:type="dxa"/>
            <w:vAlign w:val="bottom"/>
          </w:tcPr>
          <w:p>
            <w:pPr>
              <w:ind w:left="40"/>
              <w:spacing w:after="0"/>
              <w:rPr>
                <w:sz w:val="20"/>
                <w:szCs w:val="20"/>
                <w:color w:val="auto"/>
              </w:rPr>
            </w:pPr>
            <w:r>
              <w:rPr>
                <w:rFonts w:ascii="Arial" w:cs="Arial" w:eastAsia="Arial" w:hAnsi="Arial"/>
                <w:sz w:val="16"/>
                <w:szCs w:val="16"/>
                <w:color w:val="auto"/>
              </w:rPr>
              <w:t>May 20, 2024</w:t>
            </w:r>
          </w:p>
        </w:tc>
      </w:tr>
      <w:tr>
        <w:trPr>
          <w:trHeight w:val="258"/>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7,693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19, 2025</w:t>
            </w:r>
          </w:p>
        </w:tc>
      </w:tr>
      <w:tr>
        <w:trPr>
          <w:trHeight w:val="255"/>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18, 2026</w:t>
            </w:r>
          </w:p>
        </w:tc>
      </w:tr>
      <w:tr>
        <w:trPr>
          <w:trHeight w:val="21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Joan Garahy</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 18, 2026</w:t>
            </w:r>
          </w:p>
        </w:tc>
      </w:tr>
      <w:tr>
        <w:trPr>
          <w:trHeight w:val="21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Eugene McCague</w:t>
            </w: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5,005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18, 2026</w:t>
            </w: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title of securities covered by all of the above options are non-qualified.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81" w:name="page82"/>
    <w:bookmarkEnd w:id="81"/>
    <w:p>
      <w:pPr>
        <w:jc w:val="both"/>
        <w:ind w:firstLine="648"/>
        <w:spacing w:after="0" w:line="259"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Legacy PRA Equity Incentive Plans</w:t>
      </w:r>
    </w:p>
    <w:p>
      <w:pPr>
        <w:spacing w:after="0" w:line="26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following represent the legacy PRA equity incentive plans, which still have equity outstanding but have been terminated as of July 1, 2021 as to grants of future awards.</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6"/>
          <w:szCs w:val="16"/>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9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PRA Health Sciences, Inc. 2020 Stock Incentive Plan was amended and restated and assumed by the Company effective as of July 1, 2021. The 2020 Stock Incentive Plan (“the 2020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PRA Health Sciences, Inc. 2018 Stock Incentive Plan was amended and restated and assumed by the Company effective as of July 1, 2021. 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 million shares of common stock plus all shares that remained available under the 2014 Plan on May 31, 2018 (which included shares carried over from the 2013 Plan).</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PRA Health Sciences, Inc. 2014 Omnibus Incentive Plan was amended and restated and assumed by the Company effective as of July 1, 2021 (the “2014 Plan”). 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00" w:lineRule="exact"/>
        <w:rPr>
          <w:sz w:val="20"/>
          <w:szCs w:val="20"/>
          <w:color w:val="auto"/>
        </w:rPr>
      </w:pPr>
    </w:p>
    <w:p>
      <w:pPr>
        <w:spacing w:after="0" w:line="243" w:lineRule="exact"/>
        <w:rPr>
          <w:sz w:val="20"/>
          <w:szCs w:val="20"/>
          <w:color w:val="auto"/>
        </w:rPr>
      </w:pPr>
    </w:p>
    <w:p>
      <w:pPr>
        <w:ind w:left="660" w:right="4360" w:hanging="328"/>
        <w:spacing w:after="0" w:line="621" w:lineRule="auto"/>
        <w:tabs>
          <w:tab w:leader="none" w:pos="63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Disclosure of a registrant's action to recover erroneously awarded compensation </w:t>
      </w: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Major Shareholders and Related Party Transactions.</w:t>
      </w:r>
    </w:p>
    <w:p>
      <w:pPr>
        <w:spacing w:after="0" w:line="20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Major Shareholders</w:t>
      </w:r>
    </w:p>
    <w:p>
      <w:pPr>
        <w:spacing w:after="0" w:line="248"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February 23, 2024 (i) by each person that beneficially owns more than 5% of the outstanding ordinary shares, based upon information known to us and publicly available information; and</w:t>
      </w:r>
    </w:p>
    <w:p>
      <w:pPr>
        <w:spacing w:after="0" w:line="1" w:lineRule="exact"/>
        <w:rPr>
          <w:sz w:val="20"/>
          <w:szCs w:val="20"/>
          <w:color w:val="auto"/>
        </w:rPr>
      </w:pPr>
    </w:p>
    <w:p>
      <w:pPr>
        <w:jc w:val="both"/>
        <w:ind w:firstLine="8"/>
        <w:spacing w:after="0" w:line="264" w:lineRule="auto"/>
        <w:tabs>
          <w:tab w:leader="none" w:pos="2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539"/>
              <w:spacing w:after="0"/>
              <w:rPr>
                <w:sz w:val="20"/>
                <w:szCs w:val="20"/>
                <w:color w:val="auto"/>
              </w:rPr>
            </w:pPr>
            <w:r>
              <w:rPr>
                <w:rFonts w:ascii="Arial" w:cs="Arial" w:eastAsia="Arial" w:hAnsi="Arial"/>
                <w:sz w:val="16"/>
                <w:szCs w:val="16"/>
                <w:b w:val="1"/>
                <w:bCs w:val="1"/>
                <w:color w:val="auto"/>
                <w:shd w:val="clear" w:color="auto" w:fill="CCEEFF"/>
              </w:rPr>
              <w:t>2023 (4)</w:t>
            </w:r>
          </w:p>
        </w:tc>
        <w:tc>
          <w:tcPr>
            <w:tcW w:w="1600" w:type="dxa"/>
            <w:vAlign w:val="bottom"/>
            <w:tcBorders>
              <w:bottom w:val="single" w:sz="8" w:color="auto"/>
            </w:tcBorders>
            <w:gridSpan w:val="2"/>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2022 (5)</w:t>
            </w:r>
          </w:p>
        </w:tc>
        <w:tc>
          <w:tcPr>
            <w:tcW w:w="146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2021 (6)</w:t>
            </w: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Owner or Identity</w:t>
            </w:r>
          </w:p>
        </w:tc>
        <w:tc>
          <w:tcPr>
            <w:tcW w:w="9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 of</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7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 of</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 of</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840" w:type="dxa"/>
            <w:vAlign w:val="bottom"/>
            <w:vMerge w:val="continue"/>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840" w:type="dxa"/>
            <w:vAlign w:val="bottom"/>
            <w:vMerge w:val="continue"/>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of Group</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of Class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of Class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of Class</w:t>
            </w: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WCM Investment</w:t>
            </w: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(2)</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6,869,881</w:t>
            </w:r>
          </w:p>
        </w:tc>
        <w:tc>
          <w:tcPr>
            <w:tcW w:w="16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8.3 % 5,885,414</w:t>
            </w:r>
          </w:p>
        </w:tc>
        <w:tc>
          <w:tcPr>
            <w:tcW w:w="15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7.2 % 7,179,979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Massachusetts Financial</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5,532,676</w:t>
            </w:r>
          </w:p>
        </w:tc>
        <w:tc>
          <w:tcPr>
            <w:tcW w:w="16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6.7 % 8,119,214</w:t>
            </w:r>
          </w:p>
        </w:tc>
        <w:tc>
          <w:tcPr>
            <w:tcW w:w="15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9.9 % 7,228,317</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5"/>
        </w:trPr>
        <w:tc>
          <w:tcPr>
            <w:tcW w:w="2160" w:type="dxa"/>
            <w:vAlign w:val="bottom"/>
          </w:tcPr>
          <w:p>
            <w:pPr>
              <w:ind w:left="20"/>
              <w:spacing w:after="0"/>
              <w:rPr>
                <w:sz w:val="20"/>
                <w:szCs w:val="20"/>
                <w:color w:val="auto"/>
              </w:rPr>
            </w:pPr>
            <w:r>
              <w:rPr>
                <w:rFonts w:ascii="Arial" w:cs="Arial" w:eastAsia="Arial" w:hAnsi="Arial"/>
                <w:sz w:val="16"/>
                <w:szCs w:val="16"/>
                <w:color w:val="auto"/>
              </w:rPr>
              <w:t>Services Company (2)</w:t>
            </w:r>
          </w:p>
        </w:tc>
        <w:tc>
          <w:tcPr>
            <w:tcW w:w="96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shd w:val="clear" w:color="auto" w:fill="CCEEFF"/>
              </w:rPr>
              <w:t>All Directors, officers and</w:t>
            </w: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shd w:val="clear" w:color="auto" w:fill="CCEEFF"/>
              </w:rPr>
              <w:t>other key employees as a</w:t>
            </w: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group (3)</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987,551</w:t>
            </w:r>
          </w:p>
        </w:tc>
        <w:tc>
          <w:tcPr>
            <w:tcW w:w="160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1.2 % 1,116,311</w:t>
            </w:r>
          </w:p>
        </w:tc>
        <w:tc>
          <w:tcPr>
            <w:tcW w:w="158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1.4 % 1,129,726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500" w:hanging="330"/>
        <w:spacing w:after="0" w:line="275" w:lineRule="auto"/>
        <w:tabs>
          <w:tab w:leader="none" w:pos="4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56" w:lineRule="exact"/>
        <w:rPr>
          <w:rFonts w:ascii="Arial" w:cs="Arial" w:eastAsia="Arial" w:hAnsi="Arial"/>
          <w:sz w:val="16"/>
          <w:szCs w:val="16"/>
          <w:color w:val="auto"/>
        </w:rPr>
      </w:pPr>
    </w:p>
    <w:p>
      <w:pPr>
        <w:ind w:left="480" w:hanging="310"/>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Neither the Company nor any of its officers, Directors or affiliates holds any voting power in this entity.</w:t>
      </w:r>
    </w:p>
    <w:p>
      <w:pPr>
        <w:spacing w:after="0" w:line="126" w:lineRule="exact"/>
        <w:rPr>
          <w:rFonts w:ascii="Arial" w:cs="Arial" w:eastAsia="Arial" w:hAnsi="Arial"/>
          <w:sz w:val="16"/>
          <w:szCs w:val="16"/>
          <w:color w:val="auto"/>
        </w:rPr>
      </w:pPr>
    </w:p>
    <w:p>
      <w:pPr>
        <w:jc w:val="both"/>
        <w:ind w:left="500" w:hanging="330"/>
        <w:spacing w:after="0" w:line="265" w:lineRule="auto"/>
        <w:tabs>
          <w:tab w:leader="none" w:pos="4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319,729 ordinary shares issuable upon the exercise of stock options granted by the Company, 31,856 RSUs awarded by the Company to Directors, officers and other key employees and 86,936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64" w:lineRule="exact"/>
        <w:rPr>
          <w:rFonts w:ascii="Arial" w:cs="Arial" w:eastAsia="Arial" w:hAnsi="Arial"/>
          <w:sz w:val="16"/>
          <w:szCs w:val="16"/>
          <w:color w:val="auto"/>
        </w:rPr>
      </w:pPr>
    </w:p>
    <w:p>
      <w:pPr>
        <w:jc w:val="both"/>
        <w:ind w:left="500" w:hanging="330"/>
        <w:spacing w:after="0" w:line="275" w:lineRule="auto"/>
        <w:tabs>
          <w:tab w:leader="none" w:pos="4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information is based on the Schedule 13G, Amendment No. 9 filed with the SEC by WCM Investment Management on January 30, 2024 for shares held on December 31, 2023; and the Schedule 13G, Amendment No. 3, filed with the SEC by Massachusetts Financial Services Company on February 9, 2024 for shares held on December 29, 2023, respectively.</w:t>
      </w:r>
    </w:p>
    <w:p>
      <w:pPr>
        <w:spacing w:after="0" w:line="56" w:lineRule="exact"/>
        <w:rPr>
          <w:rFonts w:ascii="Arial" w:cs="Arial" w:eastAsia="Arial" w:hAnsi="Arial"/>
          <w:sz w:val="16"/>
          <w:szCs w:val="16"/>
          <w:color w:val="auto"/>
        </w:rPr>
      </w:pPr>
    </w:p>
    <w:p>
      <w:pPr>
        <w:jc w:val="both"/>
        <w:ind w:left="500" w:hanging="330"/>
        <w:spacing w:after="0" w:line="275" w:lineRule="auto"/>
        <w:tabs>
          <w:tab w:leader="none" w:pos="4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information is based on the Schedule 13G, Amendment No. 8 filed with the SEC by WCM Investment Management on February 10, 2023 for shares held on December 31, 2022; and the Schedule 13G, Amendment No. 2, filed with the SEC by Massachusetts Financial Services Company on February 8, 2023 for shares held on December 30, 2022, respectively.</w:t>
      </w:r>
    </w:p>
    <w:p>
      <w:pPr>
        <w:spacing w:after="0" w:line="69" w:lineRule="exact"/>
        <w:rPr>
          <w:rFonts w:ascii="Arial" w:cs="Arial" w:eastAsia="Arial" w:hAnsi="Arial"/>
          <w:sz w:val="16"/>
          <w:szCs w:val="16"/>
          <w:color w:val="auto"/>
        </w:rPr>
      </w:pPr>
    </w:p>
    <w:p>
      <w:pPr>
        <w:jc w:val="both"/>
        <w:ind w:left="500" w:hanging="330"/>
        <w:spacing w:after="0" w:line="266" w:lineRule="auto"/>
        <w:tabs>
          <w:tab w:leader="none" w:pos="4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information is based on the Schedule 13G, Amendment No.7 filed with the SEC by WCM Investment Management on February 10, 2022 for shares held on December 31, 2021; and the Schedule 13G, Amendment No. 1, filed with the SEC by Massachusetts Financial Services Co on February 2, 2022 for shares held on December 31, 2021,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ICON plc, is not directly or indirectly, owned or controlled by another corporation or by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Related Party Transactions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Subsidiaries of the Company earned revenue of $243,000 (December 31, 2022: $428,000) from Corvus Pharmaceuticals during the year. Dr. Linda Grais serves as a Director and shareholder of Corvus Pharmaceuticals. $101,000 (December 31, 2022: $231,000) was noted as due from Corvus Pharmaceuticals at December 31, 2023.</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Subsidiaries of the Company earned revenue of $45,000 (December 31, 2022: $235,000) from Afimmune Limited during the year. Dr. John Climax is Chief Executive Officer and a Director and shareholder of Afimmune Limited. $47,000 was noted as due from Afimmune Limited at December 31, 2023 (December 31, 2022: $263,000).</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and $3.1 million representing its pro rata share of the losses in Oncacare during the year ended December 31, 2023 and December 31, 2022, respectively. The Oncacare acquisition also resulted in goodwill of $13.4 million and gave rise to an acquisition-related gain of $6.2 million.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Interests of experts and counsel</w:t>
      </w:r>
    </w:p>
    <w:p>
      <w:pPr>
        <w:spacing w:after="0" w:line="262" w:lineRule="exact"/>
        <w:rPr>
          <w:sz w:val="20"/>
          <w:szCs w:val="20"/>
          <w:color w:val="auto"/>
        </w:rPr>
      </w:pPr>
    </w:p>
    <w:p>
      <w:pPr>
        <w:jc w:val="center"/>
        <w:ind w:right="890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Information.</w:t>
      </w:r>
    </w:p>
    <w:p>
      <w:pPr>
        <w:spacing w:after="0" w:line="208" w:lineRule="exact"/>
        <w:rPr>
          <w:sz w:val="20"/>
          <w:szCs w:val="20"/>
          <w:color w:val="auto"/>
        </w:rPr>
      </w:pPr>
    </w:p>
    <w:p>
      <w:pPr>
        <w:ind w:left="660" w:right="6140" w:hanging="328"/>
        <w:spacing w:after="0" w:line="563" w:lineRule="auto"/>
        <w:tabs>
          <w:tab w:leader="none" w:pos="6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Consolidated Statements and Other Financial Information </w:t>
      </w:r>
      <w:r>
        <w:rPr>
          <w:rFonts w:ascii="Arial" w:cs="Arial" w:eastAsia="Arial" w:hAnsi="Arial"/>
          <w:sz w:val="16"/>
          <w:szCs w:val="16"/>
          <w:color w:val="auto"/>
        </w:rPr>
        <w:t>See Item 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19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Significant Changes</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There have been no significant changes to our business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The Offer and Listing.</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Offer and listing details</w:t>
      </w:r>
    </w:p>
    <w:p>
      <w:pPr>
        <w:spacing w:after="0" w:line="2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ICON’s ordinary shares are traded on the NASDAQ Global Select Market under the symbol “ICLR”. ICON plc’s American Depositary Receipt ("ADR") program was terminated on January 31, 2013 and ICON plc’s ordinary shares began directly trading on NASDAQ on February 4, 2013. Prior to that date, ICON plc’s American Depositary Shares ("ADSs") were traded on NASDAQ and ICON plc’s Depository for the ADSs was The Bank of New York Mellon.</w:t>
      </w:r>
    </w:p>
    <w:p>
      <w:pPr>
        <w:spacing w:after="0" w:line="396" w:lineRule="exact"/>
        <w:rPr>
          <w:sz w:val="20"/>
          <w:szCs w:val="20"/>
          <w:color w:val="auto"/>
        </w:rPr>
      </w:pPr>
    </w:p>
    <w:p>
      <w:pPr>
        <w:ind w:left="660" w:right="9100" w:hanging="328"/>
        <w:spacing w:after="0" w:line="572" w:lineRule="auto"/>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328"/>
        <w:spacing w:after="0"/>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6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NASDAQ.</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4" w:name="page85"/>
    <w:bookmarkEnd w:id="84"/>
    <w:p>
      <w:pPr>
        <w:ind w:left="660" w:right="9000" w:hanging="328"/>
        <w:spacing w:after="0" w:line="572" w:lineRule="auto"/>
        <w:tabs>
          <w:tab w:leader="none" w:pos="6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ind w:left="640" w:hanging="308"/>
        <w:spacing w:after="0"/>
        <w:tabs>
          <w:tab w:leader="none" w:pos="6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4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Not applicable.</w:t>
      </w:r>
    </w:p>
    <w:p>
      <w:pPr>
        <w:spacing w:after="0" w:line="261" w:lineRule="exact"/>
        <w:rPr>
          <w:rFonts w:ascii="Arial" w:cs="Arial" w:eastAsia="Arial" w:hAnsi="Arial"/>
          <w:sz w:val="16"/>
          <w:szCs w:val="16"/>
          <w:b w:val="1"/>
          <w:bCs w:val="1"/>
          <w:color w:val="auto"/>
        </w:rPr>
      </w:pPr>
    </w:p>
    <w:p>
      <w:pPr>
        <w:ind w:left="660" w:right="8900" w:hanging="328"/>
        <w:spacing w:after="0" w:line="563" w:lineRule="auto"/>
        <w:tabs>
          <w:tab w:leader="none" w:pos="63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Additional Information.</w:t>
      </w:r>
    </w:p>
    <w:p>
      <w:pPr>
        <w:spacing w:after="0" w:line="262" w:lineRule="exact"/>
        <w:rPr>
          <w:sz w:val="20"/>
          <w:szCs w:val="20"/>
          <w:color w:val="auto"/>
        </w:rPr>
      </w:pPr>
    </w:p>
    <w:p>
      <w:pPr>
        <w:jc w:val="both"/>
        <w:ind w:left="660" w:right="9520" w:hanging="328"/>
        <w:spacing w:after="0" w:line="572" w:lineRule="auto"/>
        <w:tabs>
          <w:tab w:leader="none" w:pos="66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180" w:right="7440" w:firstLine="152"/>
        <w:spacing w:after="0" w:line="563" w:lineRule="auto"/>
        <w:tabs>
          <w:tab w:leader="none" w:pos="648"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Constitution</w:t>
      </w: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We hereby incorporate by reference our Constitution, as amended, located under the heading “Constitution of the Company” in Exhibit 3.1.</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Objects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Directors</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There is no requirement for Directors to hold shares set out in the Constitution. The Directors are not required to retire at any particular age. The Constitution provides that one-third of the Directors must retire and offer themselves for re-election at each Annual General Meeting ("AGM") of the Company and that the Directors to retire by rotation are those who have been longest in office since their last appointment or reappointment. However in July 2022, the Board of Directors unanimously agreed that all of the Directors will retire and stand for re-election annually at each AGM. All of the shareholders entitled to attend and vote at the AGM may vote on the re-election of Directors.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Rights, Preferences and Dividends Attaching to Shares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Action Necessary to Change the Rights of Shareholders</w:t>
      </w:r>
    </w:p>
    <w:p>
      <w:pPr>
        <w:spacing w:after="0" w:line="246"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5" w:name="page86"/>
    <w:bookmarkEnd w:id="85"/>
    <w:p>
      <w:pPr>
        <w:ind w:left="660"/>
        <w:spacing w:after="0"/>
        <w:rPr>
          <w:sz w:val="20"/>
          <w:szCs w:val="20"/>
          <w:color w:val="auto"/>
        </w:rPr>
      </w:pPr>
      <w:r>
        <w:rPr>
          <w:rFonts w:ascii="Arial" w:cs="Arial" w:eastAsia="Arial" w:hAnsi="Arial"/>
          <w:sz w:val="16"/>
          <w:szCs w:val="16"/>
          <w:i w:val="1"/>
          <w:iCs w:val="1"/>
          <w:color w:val="auto"/>
        </w:rPr>
        <w:t>Annual and General Meetings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Disclosure of Share Ownership</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Provisions of the Constitution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248" w:lineRule="exact"/>
        <w:rPr>
          <w:sz w:val="20"/>
          <w:szCs w:val="20"/>
          <w:color w:val="auto"/>
        </w:rPr>
      </w:pPr>
    </w:p>
    <w:p>
      <w:pPr>
        <w:ind w:left="660" w:hanging="4"/>
        <w:spacing w:after="0" w:line="304" w:lineRule="auto"/>
        <w:tabs>
          <w:tab w:leader="none" w:pos="879"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168" w:lineRule="exact"/>
        <w:rPr>
          <w:rFonts w:ascii="Arial" w:cs="Arial" w:eastAsia="Arial" w:hAnsi="Arial"/>
          <w:sz w:val="16"/>
          <w:szCs w:val="16"/>
          <w:color w:val="auto"/>
        </w:rPr>
      </w:pPr>
    </w:p>
    <w:p>
      <w:pPr>
        <w:ind w:left="880" w:hanging="224"/>
        <w:spacing w:after="0"/>
        <w:tabs>
          <w:tab w:leader="none" w:pos="8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pacing w:after="0" w:line="2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C.  Material Contracts</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is a summary of each contract (not being a contract entered into in the ordinary course of business) that has been entered into: (a) within the two years immediately preceding the date of this Form 20-F which are, or may be, material to us; or (b) at any time which contain obligations or entitlements which is, or may be, material to us as at the date of this Form 20-F:</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Agreement and Plan of Merge</w:t>
      </w:r>
      <w:r>
        <w:rPr>
          <w:rFonts w:ascii="Arial" w:cs="Arial" w:eastAsia="Arial" w:hAnsi="Arial"/>
          <w:sz w:val="16"/>
          <w:szCs w:val="16"/>
          <w:color w:val="auto"/>
        </w:rPr>
        <w:t>r</w:t>
      </w:r>
    </w:p>
    <w:p>
      <w:pPr>
        <w:spacing w:after="0" w:line="18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24, 2021, we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On July 1, 2021 (the “Closing Date”), pursuant to the terms and subject to the conditions of the Merger Agreement, Merger Sub was merged with and into PRA, with PRA surviving as a subsidiary of ICON and US HoldCo.</w:t>
      </w:r>
    </w:p>
    <w:p>
      <w:pPr>
        <w:spacing w:after="0" w:line="1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a result of the Merger, each share of PRA common stock issued and outstanding immediately prior to the completion of the Merger (other than shares held by any shareholder who properly demands and perfects his, her or its appraisal rights with respect to such shares and treasury shares held by PRA) was canceled and converted into the right to receive: (i) from ICON, 0.4125 of one ICON ordinary share and (ii) from US Holdco and the surviving corporation $80.00 in cash, without interest.</w:t>
      </w:r>
    </w:p>
    <w:p>
      <w:pPr>
        <w:spacing w:after="0" w:line="1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Equity awards of PRA that are outstanding prior to the effective time of the Merger were generally treated as follows (subject to the terms and conditions set forth in the Merger Agreement):</w:t>
      </w:r>
    </w:p>
    <w:p>
      <w:pPr>
        <w:spacing w:after="0" w:line="115" w:lineRule="exact"/>
        <w:rPr>
          <w:sz w:val="20"/>
          <w:szCs w:val="20"/>
          <w:color w:val="auto"/>
        </w:rPr>
      </w:pPr>
    </w:p>
    <w:p>
      <w:pPr>
        <w:jc w:val="both"/>
        <w:ind w:left="660" w:hanging="328"/>
        <w:spacing w:after="0" w:line="266"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outstanding PRA stock option and restricted stock unit was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130"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outstanding share of PRA restricted stock was vested at the Closing and was canceled and converted into the right to receive the per share merger consideration.</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86" w:name="page87"/>
    <w:bookmarkEnd w:id="86"/>
    <w:p>
      <w:pPr>
        <w:jc w:val="both"/>
        <w:ind w:firstLine="648"/>
        <w:spacing w:after="0" w:line="268" w:lineRule="auto"/>
        <w:rPr>
          <w:sz w:val="20"/>
          <w:szCs w:val="20"/>
          <w:color w:val="auto"/>
        </w:rPr>
      </w:pPr>
      <w:r>
        <w:rPr>
          <w:rFonts w:ascii="Arial" w:cs="Arial" w:eastAsia="Arial" w:hAnsi="Arial"/>
          <w:sz w:val="16"/>
          <w:szCs w:val="16"/>
          <w:color w:val="auto"/>
        </w:rPr>
        <w:t>The foregoing description of the Merger and the Merger Agreement, and the related transactions contemplated thereby, does not purport to be complete and is subject to, and qualified in its entirety by reference to, the full text of the Merger Agreement which is attached as Exhibit 2.1 to ICON’s Current Report on Form 6-K filed with the Securities and Exchange Commission (the “SEC”) on February 24, 2021 and incorporated herein by reference herein.</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Senior Secured Credit Facilities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proceeds of the senior secured term loan facility were used to repay the outstanding amount of (i) PRA’s existing credit facilities and (ii) the Company's senior secured notes and fund, in part, the Merger. The senior secured term loan facility will mature in July 2028 and the revolving loan facility will mature in July 2026.</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(with a step up of 0.25% if the first lien net leverage ratio exceeds 4.00 to 1.00). The senior secured term loan facility is subject to a floor of 0.50%. 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S&amp;P and Moody's have upgraded the instrument rating of the secured term loan facility of $5,515 million and $500 million senior secured revolving loan facility from BB+ to BBB- and Baa3 to Ba1 in the fourth quarter of 2023. The Borrowers’ (as defined in the Senior Secured Credit Facilities) obligations under the Senior Secured Credit Facilities are guaranteed by ICON and the subsidiary guarantors. The Senior Secured Credit Facilities are secured by a lien on substantially all assets of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loan facility contains a financial covenant that requires ICON to maintain a Total Net Leverage Ratio (as defined in the Senior Secured Credit Facilities) of 5.75:1.00 prior to June 30, 2023 and 4.50:1.00 on and after June 30, 2023, subject to a step-down of 0.50:1.00 following a Material Acquisition (as defined in the Senior Secured Credit Facilities), which will be tested at the end of any fiscal quarter only if amounts are drawn under the revolving credit loan facility (excluding cash collateralized and backstopped letters of credit) in excess of 30% of the revolving commitments.</w:t>
      </w:r>
    </w:p>
    <w:p>
      <w:pPr>
        <w:spacing w:after="0" w:line="1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Senior Secured Notes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addition to the Senior Secured Credit Facilities, on July 1, 2021, Indigo Merger Sub, Inc. (which was merged with and into PRA Health Sciences, Inc.) (the “Issuer”), a wholly-owned subsidiary of the Company, issued $500.0 million in aggregate principal amount of 2.875% senior secured notes due July 2026 (the “Senior Secured Notes”) in a private offering (the “Offering”). The Senior Secured Notes will mature on July 15, 2026. The Issuer will pay interest on the Senior Secured Notes on January 15 and July 15 of each year. Interest on the Senior Secured Notes will accrue at a rate of 2.875% per annum.</w:t>
      </w:r>
    </w:p>
    <w:p>
      <w:pPr>
        <w:spacing w:after="0" w:line="1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w:t>
      </w:r>
    </w:p>
    <w:p>
      <w:pPr>
        <w:spacing w:after="0" w:line="11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Senior Secured Notes are guaranteed on a senior secured basis by ICON and its direct and indirect subsidiaries that guarantee the Senior Secured Credit Facilities. The Senior Secured Notes are secured by a lien on substantially all of ICON’s, the Issuer’s and each of the subsidiary guarantor’s assets (subject to certain exceptions), and the Senior Secured Notes have a first-priority lien on such assets, which rank pari passu with the liens securing the Senior Secured Credit Facilities, subject to other permitted liens.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jc w:val="both"/>
        <w:ind w:firstLine="648"/>
        <w:spacing w:after="0" w:line="257" w:lineRule="auto"/>
        <w:rPr>
          <w:sz w:val="20"/>
          <w:szCs w:val="20"/>
          <w:color w:val="auto"/>
        </w:rPr>
      </w:pPr>
      <w:r>
        <w:rPr>
          <w:rFonts w:ascii="Arial" w:cs="Arial" w:eastAsia="Arial" w:hAnsi="Arial"/>
          <w:sz w:val="16"/>
          <w:szCs w:val="16"/>
          <w:color w:val="auto"/>
        </w:rPr>
        <w:t>At any time prior to July 15, 2023, the Issuer could have redeemed all or part of the Senior Secured Notes at a redemption price equal to 100% of the principal amount of the Senior Secured Notes plus an applicable make whole premium and accrued and unpaid interest to, but not including the redemption date. At any time prior to July 15, 2023, the Issuer could have, with the proceeds of certain equity offerings, redeemed up to 40% of the aggregate principal amount of the Senior Secured Notes at a redemption price of 102.875% of the principal amount plus accrued and unpaid interest to, but not including, the date of redemption. In addition, at any time prior to July 15, 2023, the Issuer could have redeemed up to 10% per annum of the aggregate principal amount of the Senior Secured Notes at a redemption price of 103.000% of the aggregate principal amount thereof, plus accrued and unpaid interest, if any, to, but excluding, the date of redemption. Further, at any time on or after July 15, 2023 to July 14, 2024 the Issuer may redeem all or part of the Senior Secured Notes at a redemption price equal to 101.438% of the principal amount of the Senior Secured Notes plus accrued and unpaid interest to, but not including the redemption date. At any time on or after July 15, 2024 to July 14, 2025 the Issuer may redeem all or part of the Senior Secured Notes at a redemption price equal to 100.719% of the principal amount of the Senior Secured Notes plus accrued and unpaid interest to, but not including the redemption date</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S&amp;P and Moody's upgraded the instrument rating of the $500 million senior secured notes from BB+ to BBB- and Baa3 to Ba1 in the fourth quarter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2023.</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Indenture contains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The Indenture contains customary events of default and remedies. As of December 8, 2023 ICON notified the holders of the Senior Secured Notes of the upgrade of the instrument rating to investment grade and the consequent suspension of certain of the covenants under the Indenture. The suspension of these covenants remains in place so long as the instrument remains at investment grade.</w:t>
      </w:r>
    </w:p>
    <w:p>
      <w:pPr>
        <w:spacing w:after="0" w:line="40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Exchange Controls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entities, bodies and activities in Belarus, Bosnia &amp; Herzegovina, Burundi, Sudan, South Sudan, the Central African Republic, Libya, Lebanon, Mali, the Democratic People's Republic of Korea, Myanmar/Burma, Tunisia, Zimbabwe, Venezuela, Syrian Arab Republic, the Republic of Guinea-Bissau, Nicaragua, Democratic Republic of Congo, Iran, Ukraine and Russia; persons associated with the Taliban, ISIL (Da’esh) and Al-Qaeda, Turkey’s unauthorized drilling activities in the Eastern Mediterranean, certain known terrorists and terrorist groups and countries that harbor certain terrorist groups, without the prior permission of the Central Bank of Ireland.</w:t>
      </w:r>
    </w:p>
    <w:p>
      <w:pPr>
        <w:spacing w:after="0" w:line="20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There are no restrictions under the Company’s Constitution or under Irish Law that limit the right of non-residents or foreign owners to hold the Company’s ordinary shares or vote at general meetings of the Company.</w:t>
      </w:r>
    </w:p>
    <w:p>
      <w:pPr>
        <w:spacing w:after="0" w:line="16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6"/>
          <w:szCs w:val="16"/>
          <w:b w:val="1"/>
          <w:bCs w:val="1"/>
          <w:color w:val="auto"/>
        </w:rPr>
        <w:t>E.</w:t>
        <w:tab/>
        <w:t>Taxation</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taxes on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for U.S. federal income tax purposes, is an individual who is a U.S. citizen or resident, a U.S. corporation, an estate the income of which is subject to U.S. federal income taxation regardless of its source or a trust that (x) meets the following two tests: (A) a U.S. court is able to exercise primary supervision over the administration of the trust, and (B) one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jc w:val="both"/>
        <w:spacing w:after="0" w:line="257" w:lineRule="auto"/>
        <w:rPr>
          <w:sz w:val="20"/>
          <w:szCs w:val="20"/>
          <w:color w:val="auto"/>
        </w:rPr>
      </w:pPr>
      <w:r>
        <w:rPr>
          <w:rFonts w:ascii="Arial" w:cs="Arial" w:eastAsia="Arial" w:hAnsi="Arial"/>
          <w:sz w:val="16"/>
          <w:szCs w:val="16"/>
          <w:color w:val="auto"/>
        </w:rPr>
        <w:t>more U.S. persons have the authority to control all substantial decisions of the trust, or (y) has elected to be treated as a U.S. person for federal income tax purposes;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USED HEREIN, REFERENCES TO THE ORDINARY SHARES SHALL INCLUDE SHARES HELD IN THE ACCOUNTS OF PARTICIPANTS THROUGH THE DEPOSITARY TRUST COMPANY (“THE DTC”).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Taxation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corporation tax on income</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is a public limited company incorporated and resident for tax purposes in Ireland by virtue of its place of central management and control being in Ireland.</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Companies which are resident in the Republic of Ireland ("Ireland") are subject to Irish corporation tax on their total profits (wherever arising and, generally, whether or not remitted to Ireland). The question of residence, by virtue of management and control, is essentially one of fact. It is the present intention of the Company's management to continue to manage and control the Company from Ireland, so that the Company will continue to be resident in Ireland.</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standard rate of Irish corporation tax on trading income (with certain exceptions) is currently 12.5%. Corporation tax is charged at the rate of 25% on a company's non-trading income and certain types of trading income not eligible for the lower rate of 12.5% referred to above. An Irish Qualifying Domestic Top-up tax ("QDTT") and Income Inclusion rule ("IIR"), applying to businesses with consolidated group revenues of €750m or more in at least two of the four preceding fiscal years, has been enacted with effect 1 January 2024, providing for a minimum effective tax rate of 15% on Irish profits (QDTT) and a top up to a minimum of 15% on overseas profits of subsidiaries, if applicable (IIR).</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accounting periods commencing on or before 31 December 2023 results in a tax credit of 25% of that expenditure. For accounting period commencing on or after 1 January 2024, the tax credit will be increased to 30%.</w:t>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exemption from capital gains tax on the disposal of shares by an Irish resident company will apply where certain conditions are met. These conditions principally are:</w:t>
      </w:r>
    </w:p>
    <w:p>
      <w:pPr>
        <w:spacing w:after="0" w:line="169" w:lineRule="exact"/>
        <w:rPr>
          <w:sz w:val="20"/>
          <w:szCs w:val="20"/>
          <w:color w:val="auto"/>
        </w:rPr>
      </w:pPr>
    </w:p>
    <w:p>
      <w:pPr>
        <w:ind w:left="660" w:right="20" w:hanging="328"/>
        <w:spacing w:after="0" w:line="268"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claiming the exemption must hold (directly or indirectly) at least 5% of the ordinary share capital of the company in which the interest is being disposed of, throughout a continuous period of at least 12 months, in the two-year period prior to disposal;</w:t>
      </w:r>
    </w:p>
    <w:p>
      <w:pPr>
        <w:spacing w:after="0" w:line="196"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96"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must be in a company which is primarily a trading company or the company making the disposal together with its “5% plus subsidiaries” should be primarily a trading group; and</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must not derive the greater part of their value from land or mineral rights in Ireland.</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Unless specifically exempted, all dividends paid by the Company, will be subject to Irish withholding tax. The current rate for dividend withholding tax is 25%.</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An individual shareholder who is neither resident nor ordinarily resident for tax purposes in Ireland but is resident in a country with which Ireland has a double tax treaty (which includes the U.S.), or in a member state of the European Communities, other than Ireland (together, a Relevant Territory), will be exempt from withholding tax provided he or she makes the requisite declaration.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Irish resident corporate shareholders will be exempt from withholding tax. Where the shareholding held by the recipient company, in the company paying the dividend is not 51% or greater, a declaration must be made to avail of the exemption.</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(directly or indirectly) by Irish residents;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are ultimately controlled (directly or indirectly) by residents of a Relevant Territory;</w:t>
      </w:r>
    </w:p>
    <w:p>
      <w:pPr>
        <w:spacing w:after="0" w:line="248"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have the principal class of their shares, or shares of a 75% parent, substantially and regularly traded on one or more recognized stock exchanges in a Relevant Territory (including Ireland) or Territories; or</w:t>
      </w:r>
    </w:p>
    <w:p>
      <w:pPr>
        <w:spacing w:after="0" w:line="196"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05"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depositary or the DTC is resident in a Relevant Territory;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depositary or the DTC have entered into a qualifying intermediary agreement with the Irish tax authorities (Irish Revenue Commissioners); and</w:t>
      </w:r>
    </w:p>
    <w:p>
      <w:pPr>
        <w:spacing w:after="0" w:line="23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depositary or the DTC have been authorized by the Irish Revenue Commissioners as a qualifying intermediary and such authorization has not expired or been revoked.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income tax on dividends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20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Under certain circumstances, non-Irish resident shareholders will be subject to Irish income tax on dividend income. Where withholding tax of 25% has been deducted, this will fully satisfy the non-Irish resident shareholder’s tax liability. No PRSI or USC should apply in these circumstances.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However, a non-Irish resident shareholder will not have an Irish income tax liability on dividends from the Company if the holder is neither resident nor ordinarily resident in Ireland and the holder is:</w:t>
      </w:r>
    </w:p>
    <w:p>
      <w:pPr>
        <w:spacing w:after="0" w:line="197"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individual resident in a Relevant Territory;</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that is ultimately controlled by person(s) resident in a Relevant Territory;</w:t>
      </w:r>
    </w:p>
    <w:p>
      <w:pPr>
        <w:spacing w:after="0" w:line="23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in a Relevant Territory;</w:t>
      </w:r>
    </w:p>
    <w:p>
      <w:pPr>
        <w:spacing w:after="0" w:line="169"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48"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in a Relevant Territory.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 Holders who do not qualify for the above income tax exemption may be able to obtain treaty benefits under the Treaty.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domicile levy</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 market value of their Irish-located property on 31 December exceeds €5,000,000, their worldwide annual income exceeds €1,000,000 and their liability to Irish income tax in that year is less than €200,000.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gains tax on disposal of shares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Irish resident or ordinarily resident shareholders will be liable to capital gains tax at 33% on gains arising from the disposal or part disposal of their shareholding.</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90" w:name="page91"/>
    <w:bookmarkEnd w:id="90"/>
    <w:p>
      <w:pPr>
        <w:jc w:val="both"/>
        <w:ind w:firstLine="648"/>
        <w:spacing w:after="0" w:line="257"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r>
        <w:rPr>
          <w:rFonts w:ascii="Arial" w:cs="Arial" w:eastAsia="Arial" w:hAnsi="Arial"/>
          <w:sz w:val="16"/>
          <w:szCs w:val="16"/>
          <w:color w:val="FF0000"/>
        </w:rPr>
        <w: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There are provisions to subject a person who disposes of an interest in a company while temporarily being a non-Irish resident, to Irish capital gains tax. This treatment will apply to Irish domiciled individuals:</w:t>
      </w:r>
    </w:p>
    <w:p>
      <w:pPr>
        <w:spacing w:after="0" w:line="169"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who cease to be an Irish resident;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who beneficially own the relevant assets when they cease to be a resident;</w:t>
      </w:r>
    </w:p>
    <w:p>
      <w:pPr>
        <w:spacing w:after="0" w:line="23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there are not more than 5 years of assessment between the last year of Irish tax residence prior to becoming temporarily non-resident and the tax year that he/she resumes Irish tax residency;</w:t>
      </w:r>
    </w:p>
    <w:p>
      <w:pPr>
        <w:spacing w:after="0" w:line="169"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who dispose of the relevant assets during this temporary non-residence; and</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interest disposed of represents 5% or greater of the issued share capital of the company or is worth at least €500,000.</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acquisitions tax</w:t>
      </w:r>
    </w:p>
    <w:p>
      <w:pPr>
        <w:spacing w:after="0" w:line="23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Irish capital acquisitions tax (referred to as CAT) applies to gifts and inheritances. Subject to certain tax-free thresholds, gifts and inheritances are liable to tax at 33%.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a gift or inheritance is taken under a disposition made after December 1, 1999 it will be within the charge to CAT:</w:t>
      </w:r>
    </w:p>
    <w:p>
      <w:pPr>
        <w:spacing w:after="0" w:line="235"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Ireland at the date of the gift or inheritance;</w:t>
      </w:r>
    </w:p>
    <w:p>
      <w:pPr>
        <w:spacing w:after="0" w:line="248"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where the person making the gift or inheritance is or was resident or ordinarily resident in Ireland at the date of the disposition under which the gift or inheritance is taken;</w:t>
      </w:r>
    </w:p>
    <w:p>
      <w:pPr>
        <w:spacing w:after="0" w:line="196"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Ireland at the date he/she made the settlement, or at the date of the gift or, if he/she is dead at the date of the gift, at the date of his/her death; or</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Ireland at the date of the gift or inheritance.</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For these purposes a non-Irish domiciled individual will not be regarded as resident or ordinarily resident in the Republic of Ireland on a particular date unless they are resident or ordinarily resident in Ireland on that date and have been resident for the 5 consecutive tax years immediately preceding the year of assessment in which the date falls.</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beneficiary and the aggregation since December 5, 1991 of all previous gifts and inheritances, within the same tax threshold.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tax-free threshold amounts that apply are:</w:t>
      </w:r>
    </w:p>
    <w:p>
      <w:pPr>
        <w:spacing w:after="0" w:line="235"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€16,250 in the case of persons who are not related to one another;</w:t>
      </w:r>
    </w:p>
    <w:p>
      <w:pPr>
        <w:spacing w:after="0" w:line="234"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€32,500 in the case of gifts or inheritances received from inter alia a brother or sister or from a brother or sister of a parent or from a grandparent; and</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€335,000 in the case of gifts and inheritances received by a child from a parent (or by a minor child of a deceased child of a grandparent) and specified inheritances received by a parent from a child for gifts or inheritances taken on or after October 9, 2019.</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Gifts and inheritances passing between spouses are exempt from CAT.</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91" w:name="page92"/>
    <w:bookmarkEnd w:id="91"/>
    <w:p>
      <w:pPr>
        <w:jc w:val="both"/>
        <w:ind w:firstLine="648"/>
        <w:spacing w:after="0" w:line="268" w:lineRule="auto"/>
        <w:rPr>
          <w:sz w:val="20"/>
          <w:szCs w:val="20"/>
          <w:color w:val="auto"/>
        </w:rPr>
      </w:pPr>
      <w:r>
        <w:rPr>
          <w:rFonts w:ascii="Arial" w:cs="Arial" w:eastAsia="Arial" w:hAnsi="Arial"/>
          <w:sz w:val="16"/>
          <w:szCs w:val="16"/>
          <w:color w:val="auto"/>
        </w:rPr>
        <w:t>A gift or inheritance of the ordinary shares or American Depositary Shares (ADSs) in the Company will be within the charge to CAT, notwithstanding that the person from whom or by whom the gift or inheritance is received is domiciled or resident outside Ireland.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Estate Tax Convention between Ireland and the United States generally provides for CAT paid on inheritances in Ireland to be credited against Federal Estate tax payable in the U.S. and for tax paid in the U.S. to be credited against tax payable in Ireland, based on priority rules set forth in the Estate Tax Convention. The Estate Tax Convention does not apply to CAT paid on gifts.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stamp duty</w:t>
      </w:r>
    </w:p>
    <w:p>
      <w:pPr>
        <w:spacing w:after="0" w:line="2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of shares,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Transfers through the DTC of book entry interests in shares are not subject to Irish stamp duty.</w:t>
      </w:r>
    </w:p>
    <w:p>
      <w:pPr>
        <w:spacing w:after="0" w:line="23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subject to stamp duty at the 1% rate if the transfer relates to a sale, a contemplated sale, a gift or any other change in the beneficial ownership of such ordinary shares. However, transfers of ordinary shares into or out of the DTC are not subject to Irish stamp duty where no change in beneficial ownership of the shares has occurred and provided a contract for sale in respect of the transferring shares is not in place.</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person accountable for payment of stamp duty is normally the transferee or, in the case of a transfer by way of gift, or for a consideration less than the market value, all parties to the transfer.</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Transfers of ordinary shares between associated companies (broadly, companies within a 90% group relationship and subject to the satisfaction of certain conditions) are exempt from stamp duty in Ireland. In the case of transfers of ordinary shares where no beneficial interest passes (e.g. a transfer of shares from a beneficial owner to his nominee), no stamp duty arises.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05" w:lineRule="exact"/>
        <w:rPr>
          <w:sz w:val="20"/>
          <w:szCs w:val="20"/>
          <w:color w:val="auto"/>
        </w:rPr>
      </w:pPr>
    </w:p>
    <w:p>
      <w:pPr>
        <w:ind w:left="660" w:right="8360" w:hanging="328"/>
        <w:spacing w:after="0" w:line="572" w:lineRule="auto"/>
        <w:tabs>
          <w:tab w:leader="none" w:pos="637"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60" w:right="8960" w:hanging="328"/>
        <w:spacing w:after="0" w:line="572" w:lineRule="auto"/>
        <w:tabs>
          <w:tab w:leader="none" w:pos="65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As a foreign private issuer, we are exempt from certain rules under the Exchange Act, including prescribing the furnishing and content of proxy statements to shareholders.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jc w:val="both"/>
        <w:ind w:firstLine="648"/>
        <w:spacing w:after="0" w:line="265"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D18 X5R3 Attention: Corporate Governance, email: corporate.governance@iconplc.com.</w:t>
      </w:r>
    </w:p>
    <w:p>
      <w:pPr>
        <w:spacing w:after="0" w:line="213" w:lineRule="exact"/>
        <w:rPr>
          <w:sz w:val="20"/>
          <w:szCs w:val="20"/>
          <w:color w:val="auto"/>
        </w:rPr>
      </w:pPr>
    </w:p>
    <w:p>
      <w:pPr>
        <w:ind w:left="660" w:right="8820" w:hanging="328"/>
        <w:spacing w:after="0" w:line="563" w:lineRule="auto"/>
        <w:tabs>
          <w:tab w:leader="none" w:pos="65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ind w:left="660" w:hanging="328"/>
        <w:spacing w:after="0"/>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to Security Holders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ICON is required to provide an annual report to security holders in response to the requirements of Form 6-K and will submit the annual report in electronic format.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 From Corporate Governance Listing Requirements Under the NASDAQ Marketplace Rules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262" w:lineRule="exact"/>
        <w:rPr>
          <w:sz w:val="20"/>
          <w:szCs w:val="20"/>
          <w:color w:val="auto"/>
        </w:rPr>
      </w:pPr>
    </w:p>
    <w:p>
      <w:pPr>
        <w:jc w:val="both"/>
        <w:ind w:left="660" w:hanging="328"/>
        <w:spacing w:after="0" w:line="265"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99"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16"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w:t>
      </w:r>
      <w:r>
        <w:rPr>
          <w:rFonts w:ascii="Arial" w:cs="Arial" w:eastAsia="Arial" w:hAnsi="Arial"/>
          <w:sz w:val="16"/>
          <w:szCs w:val="16"/>
          <w:b w:val="1"/>
          <w:bCs w:val="1"/>
          <w:i w:val="1"/>
          <w:iCs w:val="1"/>
          <w:color w:val="auto"/>
        </w:rPr>
        <w:t>. Quantitative and Qualitative Disclosures about Market Risk.</w:t>
      </w:r>
    </w:p>
    <w:p>
      <w:pPr>
        <w:spacing w:after="0" w:line="248"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principal market risks (i.e. risk of loss arising from adverse changes in market rates and prices) to which we are exposed include foreign currency risk and interest rate risk.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48"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6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jc w:val="both"/>
        <w:ind w:firstLine="648"/>
        <w:spacing w:after="0" w:line="259"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ind w:left="660"/>
              <w:spacing w:after="0"/>
              <w:rPr>
                <w:sz w:val="20"/>
                <w:szCs w:val="20"/>
                <w:color w:val="auto"/>
              </w:rPr>
            </w:pPr>
            <w:r>
              <w:rPr>
                <w:rFonts w:ascii="Arial" w:cs="Arial" w:eastAsia="Arial" w:hAnsi="Arial"/>
                <w:sz w:val="16"/>
                <w:szCs w:val="16"/>
                <w:color w:val="auto"/>
              </w:rPr>
              <w:t>The following significant exchange rates applied during the year:</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2"/>
        </w:trPr>
        <w:tc>
          <w:tcPr>
            <w:tcW w:w="58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16"/>
        </w:trPr>
        <w:tc>
          <w:tcPr>
            <w:tcW w:w="58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Average Rate</w:t>
            </w:r>
          </w:p>
        </w:tc>
        <w:tc>
          <w:tcPr>
            <w:tcW w:w="1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Closing Rate</w:t>
            </w:r>
          </w:p>
        </w:tc>
        <w:tc>
          <w:tcPr>
            <w:tcW w:w="760" w:type="dxa"/>
            <w:vAlign w:val="bottom"/>
            <w:shd w:val="clear" w:color="auto" w:fill="CCEEFF"/>
          </w:tcPr>
          <w:p>
            <w:pPr>
              <w:spacing w:after="0"/>
              <w:rPr>
                <w:sz w:val="18"/>
                <w:szCs w:val="18"/>
                <w:color w:val="auto"/>
              </w:rPr>
            </w:pPr>
          </w:p>
        </w:tc>
      </w:tr>
      <w:tr>
        <w:trPr>
          <w:trHeight w:val="216"/>
        </w:trPr>
        <w:tc>
          <w:tcPr>
            <w:tcW w:w="58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Euro:USD</w:t>
            </w:r>
          </w:p>
        </w:tc>
        <w:tc>
          <w:tcPr>
            <w:tcW w:w="18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1.0795</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1.0512</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1.1039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1.0705</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Pound Sterling:USD</w:t>
            </w:r>
          </w:p>
        </w:tc>
        <w:tc>
          <w:tcPr>
            <w:tcW w:w="1800" w:type="dxa"/>
            <w:vAlign w:val="bottom"/>
          </w:tcPr>
          <w:p>
            <w:pPr>
              <w:jc w:val="right"/>
              <w:ind w:right="639"/>
              <w:spacing w:after="0"/>
              <w:rPr>
                <w:sz w:val="20"/>
                <w:szCs w:val="20"/>
                <w:color w:val="auto"/>
              </w:rPr>
            </w:pPr>
            <w:r>
              <w:rPr>
                <w:rFonts w:ascii="Arial" w:cs="Arial" w:eastAsia="Arial" w:hAnsi="Arial"/>
                <w:sz w:val="16"/>
                <w:szCs w:val="16"/>
                <w:color w:val="auto"/>
              </w:rPr>
              <w:t>1.2382</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1.2347</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1.2731</w:t>
            </w:r>
          </w:p>
        </w:tc>
        <w:tc>
          <w:tcPr>
            <w:tcW w:w="760" w:type="dxa"/>
            <w:vAlign w:val="bottom"/>
          </w:tcPr>
          <w:p>
            <w:pPr>
              <w:jc w:val="right"/>
              <w:spacing w:after="0"/>
              <w:rPr>
                <w:sz w:val="20"/>
                <w:szCs w:val="20"/>
                <w:color w:val="auto"/>
              </w:rPr>
            </w:pPr>
            <w:r>
              <w:rPr>
                <w:rFonts w:ascii="Arial" w:cs="Arial" w:eastAsia="Arial" w:hAnsi="Arial"/>
                <w:sz w:val="16"/>
                <w:szCs w:val="16"/>
                <w:color w:val="auto"/>
              </w:rPr>
              <w:t>1.2083</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are exposed to interest rate risk in respect of our cash and cash equivalents and available for sale investments. Our treasury function actively manages our available cash resources and invests surplus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Because the Company has variable rate debt, fluctuations in interest rates affect our business. We attempt to minimize interest rate risk and lower our overall borrowing costs through the utilization of interest rate cap and interest rate swap derivative agreements. We have entered into certain interest rate cap and interest rate swap agreements with three financial institutions with respect to a portion of our outstanding debt. Accordingly, any change in market value associated with these agreements is offset by the opposite market impact on the portion of the debt covered by such agreements. As December 31, 2023, we have interest rate cap agreements with a notional value of $1.6 billion to minimize interest rate risk on approximately $3.3 billion of variable rate indebtedness. Because we do not attempt to hedge all of our variable rate debt, we may incur higher interest costs for the portions of our unhedged debt.</w:t>
      </w:r>
    </w:p>
    <w:p>
      <w:pPr>
        <w:spacing w:after="0" w:line="39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sensitivity analysis below represents the hypothetical change in the net interest payable of a 1% movement in market interest rates.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shd w:val="clear" w:color="auto" w:fill="CCEEFF"/>
          </w:tcPr>
          <w:p>
            <w:pPr>
              <w:spacing w:after="0"/>
              <w:rPr>
                <w:sz w:val="16"/>
                <w:szCs w:val="16"/>
                <w:color w:val="auto"/>
              </w:rPr>
            </w:pPr>
          </w:p>
        </w:tc>
        <w:tc>
          <w:tcPr>
            <w:tcW w:w="364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Interest for the year ended</w:t>
            </w:r>
          </w:p>
        </w:tc>
        <w:tc>
          <w:tcPr>
            <w:tcW w:w="28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Interest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3640" w:type="dxa"/>
            <w:vAlign w:val="bottom"/>
            <w:vMerge w:val="continue"/>
            <w:shd w:val="clear" w:color="auto" w:fill="CCEEFF"/>
          </w:tcPr>
          <w:p>
            <w:pPr>
              <w:spacing w:after="0"/>
              <w:rPr>
                <w:sz w:val="14"/>
                <w:szCs w:val="14"/>
                <w:color w:val="auto"/>
              </w:rPr>
            </w:pPr>
          </w:p>
        </w:tc>
        <w:tc>
          <w:tcPr>
            <w:tcW w:w="2860" w:type="dxa"/>
            <w:vAlign w:val="bottom"/>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Change 1% increase in</w:t>
            </w:r>
          </w:p>
        </w:tc>
        <w:tc>
          <w:tcPr>
            <w:tcW w:w="2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Change 1% decrease in</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3640" w:type="dxa"/>
            <w:vAlign w:val="bottom"/>
            <w:shd w:val="clear" w:color="auto" w:fill="CCEEFF"/>
          </w:tcPr>
          <w:p>
            <w:pPr>
              <w:jc w:val="right"/>
              <w:ind w:right="519"/>
              <w:spacing w:after="0" w:line="162" w:lineRule="exact"/>
              <w:rPr>
                <w:sz w:val="20"/>
                <w:szCs w:val="20"/>
                <w:color w:val="auto"/>
              </w:rPr>
            </w:pPr>
            <w:r>
              <w:rPr>
                <w:rFonts w:ascii="Arial" w:cs="Arial" w:eastAsia="Arial" w:hAnsi="Arial"/>
                <w:sz w:val="16"/>
                <w:szCs w:val="16"/>
                <w:b w:val="1"/>
                <w:bCs w:val="1"/>
                <w:color w:val="auto"/>
              </w:rPr>
              <w:t>December 31, 2023</w:t>
            </w:r>
          </w:p>
        </w:tc>
        <w:tc>
          <w:tcPr>
            <w:tcW w:w="2860" w:type="dxa"/>
            <w:vAlign w:val="bottom"/>
            <w:shd w:val="clear" w:color="auto" w:fill="CCEEFF"/>
          </w:tcPr>
          <w:p>
            <w:pPr>
              <w:jc w:val="right"/>
              <w:ind w:right="459"/>
              <w:spacing w:after="0" w:line="162" w:lineRule="exact"/>
              <w:rPr>
                <w:sz w:val="20"/>
                <w:szCs w:val="20"/>
                <w:color w:val="auto"/>
              </w:rPr>
            </w:pPr>
            <w:r>
              <w:rPr>
                <w:rFonts w:ascii="Arial" w:cs="Arial" w:eastAsia="Arial" w:hAnsi="Arial"/>
                <w:sz w:val="16"/>
                <w:szCs w:val="16"/>
                <w:b w:val="1"/>
                <w:bCs w:val="1"/>
                <w:color w:val="auto"/>
              </w:rPr>
              <w:t>market interest rate</w:t>
            </w:r>
          </w:p>
        </w:tc>
        <w:tc>
          <w:tcPr>
            <w:tcW w:w="2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market interest rate</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c>
          <w:tcPr>
            <w:tcW w:w="2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640" w:type="dxa"/>
            <w:vAlign w:val="bottom"/>
          </w:tcPr>
          <w:p>
            <w:pPr>
              <w:jc w:val="right"/>
              <w:ind w:right="539"/>
              <w:spacing w:after="0"/>
              <w:rPr>
                <w:sz w:val="20"/>
                <w:szCs w:val="20"/>
                <w:color w:val="auto"/>
              </w:rPr>
            </w:pPr>
            <w:r>
              <w:rPr>
                <w:rFonts w:ascii="Arial" w:cs="Arial" w:eastAsia="Arial" w:hAnsi="Arial"/>
                <w:sz w:val="16"/>
                <w:szCs w:val="16"/>
                <w:color w:val="auto"/>
              </w:rPr>
              <w:t>$5,014</w:t>
            </w:r>
          </w:p>
        </w:tc>
        <w:tc>
          <w:tcPr>
            <w:tcW w:w="2860" w:type="dxa"/>
            <w:vAlign w:val="bottom"/>
          </w:tcPr>
          <w:p>
            <w:pPr>
              <w:jc w:val="right"/>
              <w:ind w:right="499"/>
              <w:spacing w:after="0"/>
              <w:rPr>
                <w:sz w:val="20"/>
                <w:szCs w:val="20"/>
                <w:color w:val="auto"/>
              </w:rPr>
            </w:pPr>
            <w:r>
              <w:rPr>
                <w:rFonts w:ascii="Arial" w:cs="Arial" w:eastAsia="Arial" w:hAnsi="Arial"/>
                <w:sz w:val="16"/>
                <w:szCs w:val="16"/>
                <w:color w:val="auto"/>
              </w:rPr>
              <w:t>$8,073</w:t>
            </w:r>
          </w:p>
        </w:tc>
        <w:tc>
          <w:tcPr>
            <w:tcW w:w="238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24"/>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($336,699)</w:t>
            </w:r>
          </w:p>
        </w:tc>
        <w:tc>
          <w:tcPr>
            <w:tcW w:w="2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($376,036)</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($297,362)</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($331,685)</w:t>
            </w:r>
          </w:p>
        </w:tc>
        <w:tc>
          <w:tcPr>
            <w:tcW w:w="2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($367,963)</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($295,409)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*5% of the interest costs fixed due to high yield bond issuance. $16.4 million of merger related financing fees have been allocated to interest cost which are not impacted by a change in interest 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w:t>
      </w:r>
      <w:r>
        <w:rPr>
          <w:rFonts w:ascii="Arial" w:cs="Arial" w:eastAsia="Arial" w:hAnsi="Arial"/>
          <w:sz w:val="16"/>
          <w:szCs w:val="16"/>
          <w:b w:val="1"/>
          <w:bCs w:val="1"/>
          <w:i w:val="1"/>
          <w:iCs w:val="1"/>
          <w:color w:val="auto"/>
        </w:rPr>
        <w:t>. Description of Securities Other than Equity Securities.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w:t>
      </w:r>
      <w:r>
        <w:rPr>
          <w:rFonts w:ascii="Arial" w:cs="Arial" w:eastAsia="Arial" w:hAnsi="Arial"/>
          <w:sz w:val="16"/>
          <w:szCs w:val="16"/>
          <w:b w:val="1"/>
          <w:bCs w:val="1"/>
          <w:i w:val="1"/>
          <w:iCs w:val="1"/>
          <w:color w:val="auto"/>
        </w:rPr>
        <w:t>. Defaults, Dividend Arrearages and Delinquencies.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Material Modifications to the Rights of Security Holders and Use of Proceeds.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Controls and Procedures.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24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2023.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217" w:lineRule="exact"/>
        <w:rPr>
          <w:sz w:val="20"/>
          <w:szCs w:val="20"/>
          <w:color w:val="auto"/>
        </w:rPr>
      </w:pPr>
    </w:p>
    <w:p>
      <w:pPr>
        <w:ind w:left="660" w:right="3920" w:hanging="328"/>
        <w:spacing w:after="0" w:line="572" w:lineRule="auto"/>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Management's Annual Report on Internal Accounting Control over Financial Reporting </w:t>
      </w:r>
      <w:r>
        <w:rPr>
          <w:rFonts w:ascii="Arial" w:cs="Arial" w:eastAsia="Arial" w:hAnsi="Arial"/>
          <w:sz w:val="16"/>
          <w:szCs w:val="16"/>
          <w:color w:val="auto"/>
        </w:rPr>
        <w:t>Reference is made to page 98 of this Form 20-F.</w:t>
      </w:r>
    </w:p>
    <w:p>
      <w:pPr>
        <w:ind w:left="660" w:right="5220" w:hanging="328"/>
        <w:spacing w:after="0" w:line="572" w:lineRule="auto"/>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Independent Registered Public Accounting Firm </w:t>
      </w:r>
      <w:r>
        <w:rPr>
          <w:rFonts w:ascii="Arial" w:cs="Arial" w:eastAsia="Arial" w:hAnsi="Arial"/>
          <w:sz w:val="16"/>
          <w:szCs w:val="16"/>
          <w:color w:val="auto"/>
        </w:rPr>
        <w:t>Reference is made to page 101 of this Form 20-F.</w:t>
      </w:r>
    </w:p>
    <w:p>
      <w:pPr>
        <w:ind w:left="660" w:hanging="328"/>
        <w:spacing w:after="0"/>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Controls over Financial Reporting</w:t>
      </w:r>
    </w:p>
    <w:p>
      <w:pPr>
        <w:spacing w:after="0" w:line="23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There were no changes in our internal controls over financial reporting during the period covered by this Form 20-F that have materially affected or are reasonably likely to materially affect our internal controls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Reserved.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Mr. Rónán Murphy acts as the Audit Committee financial expert serving on our Audit Committee and Board of Directors. The Board has determined that Mr. Murphy is independent.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Ethical Conduct</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Our Global Code of Ethical Conduct applies to all officers, directors (including a non-executive director when carrying out their duties as a director of ICON plc), and employees of ICON plc, its subsidiaries and branches. There are no waivers from the provisions of the Code of Ethical Conduct that are required to be disclosed. This Code of Ethical Conduct is available on our website at: </w:t>
      </w:r>
      <w:r>
        <w:rPr>
          <w:rFonts w:ascii="Arial" w:cs="Arial" w:eastAsia="Arial" w:hAnsi="Arial"/>
          <w:sz w:val="16"/>
          <w:szCs w:val="16"/>
          <w:u w:val="single" w:color="auto"/>
          <w:color w:val="0000FF"/>
        </w:rPr>
        <w:t>https://investor.iconplc.com/corporate-governance/governance-documents</w:t>
      </w:r>
      <w:r>
        <w:rPr>
          <w:rFonts w:ascii="Arial" w:cs="Arial" w:eastAsia="Arial" w:hAnsi="Arial"/>
          <w:sz w:val="16"/>
          <w:szCs w:val="16"/>
          <w:color w:val="000000"/>
        </w:rPr>
        <w:t>.</w:t>
      </w:r>
    </w:p>
    <w:p>
      <w:pPr>
        <w:sectPr>
          <w:pgSz w:w="11900" w:h="16838" w:orient="portrait"/>
          <w:cols w:equalWidth="0" w:num="1">
            <w:col w:w="11240"/>
          </w:cols>
          <w:pgMar w:left="320" w:top="895" w:right="339"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736"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principal accountants for the years ended December 31, 2023 and December 31, 2022 were KPMG, Dublin, Ireland (Audit firm ID: 1116). The table below summarizes the fees for professional services rendered by KPMG for the audit of our annual financial statements for the years ended December 31, 2023 and December 31, 2022 and fees billed for other services rendered by KPMG.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2"/>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Year Ended</w:t>
            </w:r>
          </w:p>
        </w:tc>
        <w:tc>
          <w:tcPr>
            <w:tcW w:w="1380" w:type="dxa"/>
            <w:vAlign w:val="bottom"/>
            <w:tcBorders>
              <w:bottom w:val="single" w:sz="8" w:color="auto"/>
            </w:tcBorders>
            <w:shd w:val="clear" w:color="auto" w:fill="CCEEFF"/>
          </w:tcPr>
          <w:p>
            <w:pPr>
              <w:spacing w:after="0"/>
              <w:rPr>
                <w:sz w:val="18"/>
                <w:szCs w:val="18"/>
                <w:color w:val="auto"/>
              </w:rPr>
            </w:pPr>
          </w:p>
        </w:tc>
      </w:tr>
      <w:tr>
        <w:trPr>
          <w:trHeight w:val="210"/>
        </w:trPr>
        <w:tc>
          <w:tcPr>
            <w:tcW w:w="5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December 31, 2023</w:t>
            </w:r>
          </w:p>
        </w:tc>
        <w:tc>
          <w:tcPr>
            <w:tcW w:w="28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 of total</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 of total</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Audit fees (1)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3,818</w:t>
            </w:r>
          </w:p>
        </w:tc>
        <w:tc>
          <w:tcPr>
            <w:tcW w:w="1520" w:type="dxa"/>
            <w:vAlign w:val="bottom"/>
          </w:tcPr>
          <w:p>
            <w:pPr>
              <w:jc w:val="right"/>
              <w:spacing w:after="0"/>
              <w:rPr>
                <w:sz w:val="20"/>
                <w:szCs w:val="20"/>
                <w:color w:val="auto"/>
              </w:rPr>
            </w:pPr>
            <w:r>
              <w:rPr>
                <w:rFonts w:ascii="Arial" w:cs="Arial" w:eastAsia="Arial" w:hAnsi="Arial"/>
                <w:sz w:val="16"/>
                <w:szCs w:val="16"/>
                <w:color w:val="auto"/>
              </w:rPr>
              <w:t>63.7 % $</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4,680</w:t>
            </w:r>
          </w:p>
        </w:tc>
        <w:tc>
          <w:tcPr>
            <w:tcW w:w="1380" w:type="dxa"/>
            <w:vAlign w:val="bottom"/>
          </w:tcPr>
          <w:p>
            <w:pPr>
              <w:jc w:val="right"/>
              <w:spacing w:after="0"/>
              <w:rPr>
                <w:sz w:val="20"/>
                <w:szCs w:val="20"/>
                <w:color w:val="auto"/>
              </w:rPr>
            </w:pPr>
            <w:r>
              <w:rPr>
                <w:rFonts w:ascii="Arial" w:cs="Arial" w:eastAsia="Arial" w:hAnsi="Arial"/>
                <w:sz w:val="16"/>
                <w:szCs w:val="16"/>
                <w:color w:val="auto"/>
              </w:rPr>
              <w:t>47.1 %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related fees (2)</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compliance and the preparation of tax returns and refund claims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931</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15.5 %</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audit, audit related and tax compliance fees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4,849</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80.9 %</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5,034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50.7 %</w:t>
            </w:r>
          </w:p>
        </w:tc>
      </w:tr>
      <w:tr>
        <w:trPr>
          <w:trHeight w:val="257"/>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tax planning and consulting services (3)</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249</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advice relating to integration of ICON and PRA (4)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897</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15.0 %</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37.4 %</w:t>
            </w:r>
          </w:p>
        </w:tc>
      </w:tr>
      <w:tr>
        <w:trPr>
          <w:trHeight w:val="20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non-audit service 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1,146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 $</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4,899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49.3 %</w:t>
            </w:r>
          </w:p>
        </w:tc>
      </w:tr>
      <w:tr>
        <w:trPr>
          <w:trHeight w:val="21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5,995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 $</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9,933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Audit fees include annual audit and quarterly review fees for the Company and its subsidiaries.</w:t>
      </w:r>
    </w:p>
    <w:p>
      <w:pPr>
        <w:spacing w:after="0" w:line="248" w:lineRule="exact"/>
        <w:rPr>
          <w:rFonts w:ascii="Arial" w:cs="Arial" w:eastAsia="Arial" w:hAnsi="Arial"/>
          <w:sz w:val="16"/>
          <w:szCs w:val="16"/>
          <w:color w:val="auto"/>
        </w:rPr>
      </w:pPr>
    </w:p>
    <w:p>
      <w:pPr>
        <w:ind w:firstLine="8"/>
        <w:spacing w:after="0" w:line="304" w:lineRule="auto"/>
        <w:tabs>
          <w:tab w:leader="none" w:pos="2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Audit related fees principally consist of fees for assurance and related services, such as financial due diligence services, fees for the audit of employee benefit plans and fees for pension reviews.</w:t>
      </w:r>
    </w:p>
    <w:p>
      <w:pPr>
        <w:spacing w:after="0" w:line="168" w:lineRule="exact"/>
        <w:rPr>
          <w:rFonts w:ascii="Arial" w:cs="Arial" w:eastAsia="Arial" w:hAnsi="Arial"/>
          <w:sz w:val="16"/>
          <w:szCs w:val="16"/>
          <w:color w:val="auto"/>
        </w:rPr>
      </w:pPr>
    </w:p>
    <w:p>
      <w:pPr>
        <w:ind w:firstLine="8"/>
        <w:spacing w:after="0" w:line="286" w:lineRule="auto"/>
        <w:tabs>
          <w:tab w:leader="none" w:pos="2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Other tax planning and consulting services represents services across a number of areas including in relation to the Group's financing facilities and other ad hoc tax advisory and planning.</w:t>
      </w:r>
    </w:p>
    <w:p>
      <w:pPr>
        <w:spacing w:after="0" w:line="182" w:lineRule="exact"/>
        <w:rPr>
          <w:rFonts w:ascii="Arial" w:cs="Arial" w:eastAsia="Arial" w:hAnsi="Arial"/>
          <w:sz w:val="16"/>
          <w:szCs w:val="16"/>
          <w:color w:val="auto"/>
        </w:rPr>
      </w:pPr>
    </w:p>
    <w:p>
      <w:pPr>
        <w:jc w:val="both"/>
        <w:ind w:firstLine="8"/>
        <w:spacing w:after="0"/>
        <w:tabs>
          <w:tab w:leader="none" w:pos="2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Tax advice relating to the integration of ICON and PRA are fees directly related to the Merger and subsequent integration of PRA and are not expected to recur in future periods. These fees directly related to tax advice on the steps required to integrate and eliminate legal entities of PRA and ICON following the merger. The fees also included detailed transfer pricing advice on business model integration.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fees billed to the company in the “all other fees” category in the years ended December 31, 2023 and December 31, 2022.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provided to the Company by its auditors.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ordinary shares were redeemed by the Company during the year ended December 31, 2023.</w:t>
      </w:r>
    </w:p>
    <w:p>
      <w:pPr>
        <w:spacing w:after="0" w:line="2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the year ended December 31, 2022, 420,530 ordinary shares were redeemed by the Company at an average price of $237.75 per share for a total consideration of $100.0 million. All ordinary shares that were redeemed under the repurchase program were canceled in accordance with the constitutional documents of the Company and the nominal value of these shares transferred to an undenominated capital fund as required under Irish Company law.</w:t>
      </w:r>
    </w:p>
    <w:p>
      <w:pPr>
        <w:spacing w:after="0" w:line="3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Changes in Registrant's Certifying Accountant</w:t>
      </w:r>
    </w:p>
    <w:p>
      <w:pPr>
        <w:spacing w:after="0" w:line="24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While there has been no change yet in our certifying accountant, in 2023, the Audit Committee of the Company engaged in a competitive audit tender process for the position of statutory auditor. Based on the results of this process, the Audit Committee is recommending that Ernst &amp; Young be appointed as statutory auditors and independent registered public accounting firm to the Company in respect of the financial year ending December 31, 2025. Ernst &amp; Young's appointment will be subject to the passing of an ordinary resolution confirming the appointment at the Company's 2025 Annual General Meeting.</w:t>
      </w: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KPMG, our current independent registered public accounting firm, who will audit the financial statements for the year ending December 31, 2024, is expected to resign shortly after completion of the audit of the Company's financial statements for the year ending December 31, 2024.</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two fiscal years ended December 31, 2023 and December 31, 2022 and any subsequent interim period there were: (1) no disagreements with KPMG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and (2) no reportable events as defined under Item 16F(a)(1)(v).</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audit reports of KPMG on the financial statements of the Company as of and for the years ended December 31, 2023 and 2022, did not contain any adverse opinion or disclaimer of opinion, nor were they qualified or modified as to uncertainty, audit scope or accounting principles.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requested that KPMG furnish it with a letter addressed to the SEC stating whether or not it agrees with the above statements. A copy of such letter, dated February 23, 2024 is filed as Exhibit 16.1 to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16J. Insider Trading Policies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Item 16K. Cybersecurity</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has a cybersecurity strategy and program designed to protect our information systems and data from an evolving cyber threat landscape. The cybersecurity program, overseen by the Chief Information Officer (CIO), has the support of executive leadership and the Board, and we have invested heavily in cybersecurity technologies to protect our environment.</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Chief Information Officer (CIO), who reports to the CEO, has oversight responsibility for the cybersecurity strategy and program and has over a decade experience leading cybersecurity oversight. The Vice President of Cyber &amp; Information Security reports to the CIO and is responsible for the delivery of the cyber and information security strategy. The Vice President of Cyber &amp; Information Security as well as the overall security team have many years’ experience and are all appropriately qualified. ICON’s cybersecurity processes are integrated into ICON’s overall risk management processes which are monitored by ICON’s executive leadership team and reported to the Board. The Chief Information Officer provides cybersecurity updates to the Board on a quarterly basis.</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ICON has an enterprise-wide assessment, performed twice annually by a third party, of the Company’s cyber risk management program against ISO 27001. We also conduct an annual independent maturity review with a third party which is based on the NIST cybersecurity framework. ICON also maintains the Cyber Essentials certification.</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has a dedicated Cybersecurity Operations Center that continuously monitors for threats and unauthorized access. The Cybersecurity Operations Center is staffed by appropriately qualified cyber and information security professionals. ICON has put in place controls and processes to inform and monitor the prevention, detection, mitigation, and remediation of cybersecurity incidents. These controls and procedures are designed to ensure prompt escalation of certain cybersecurity incidents so that decisions regarding public disclosure and reporting of such incidents can be made by executive management in a timely manner. The escalation processes are based on defined prioritization and severity assessment criteria.</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ICON partners with leading cybersecurity experts and organizations, leveraging third-party technology and expertise. ICON engages with these partners to monitor and maintain the performance and effectiveness of products and services that are deployed in ICON’s environment. We leverage the knowledge and expertise of external cybersecurity experts and vendors and employ an array of third-party tools to secure ICON’s information infrastructure and protect systems and information from unauthorized access.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has training in place for all employees and contingent workers on information security and privacy practices so that they understand their responsibilities with respect to data security and privacy. Annual training includes topics such as data protection and IT security essentials. We also annually host cyber crisis response simulations with management and other employees to practice rapid cyber incident response. We work with our customers, peers and other partners within the wider healthcare, pharmaceutical and biotech communities to continuously share and receive cyber threat intelligence through various avenues, such as the Health-ISAC.</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has a Supplier Risk Management program which governs the use of approved suppliers within ICON. All suppliers must be on-boarded and approved for use in line with the Supplier Onboarding, Assessment and Management procedure. Security due diligence is conducted in line with industry good practice. As part of the onboarding assessment, the Information Security team uses an industry leading solution to risk profile of the supplier. This information is leveraged by the security team with the vendor during the assessment. In addition, we require our third-party providers to meet appropriate security requirements, controls and responsibilities and as applicable, we investigate security incidents that have impacted our third-party providers. We rely on the third-parties we use to implement security programs commensurate with their risk, and we cannot ensure in all circumstances that their efforts will be successful.</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an acquisition process, we conduct security and privacy due diligence and risk assessments, implement policies, deliver employee training, and securely integrate IT systems.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date, no cyber-attacks have had a material impact on operations or financial reporting. For more information about the cybersecurity risks we face, please see Item 3D-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Financial Statements.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Item 18</w:t>
      </w:r>
      <w:r>
        <w:rPr>
          <w:rFonts w:ascii="Arial" w:cs="Arial" w:eastAsia="Arial" w:hAnsi="Arial"/>
          <w:sz w:val="16"/>
          <w:szCs w:val="16"/>
          <w:b w:val="1"/>
          <w:bCs w:val="1"/>
          <w:i w:val="1"/>
          <w:iCs w:val="1"/>
          <w:color w:val="auto"/>
        </w:rPr>
        <w:t>. Financial Statements.</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consolidated financial statements of ICON plc and its subsidiaries, and the independent registered public accounting firm's report thereon, are included in Part III, Item 18 of this Annual Report: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4"/>
            <w:shd w:val="clear" w:color="auto" w:fill="CCEEFF"/>
          </w:tcPr>
          <w:p>
            <w:pPr>
              <w:ind w:left="8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60" w:type="dxa"/>
            <w:vAlign w:val="bottom"/>
            <w:gridSpan w:val="9"/>
          </w:tcPr>
          <w:p>
            <w:pPr>
              <w:spacing w:after="0" w:line="169" w:lineRule="exact"/>
              <w:rPr>
                <w:sz w:val="20"/>
                <w:szCs w:val="20"/>
                <w:color w:val="auto"/>
              </w:rPr>
            </w:pPr>
            <w:r>
              <w:rPr>
                <w:rFonts w:ascii="Arial" w:cs="Arial" w:eastAsia="Arial" w:hAnsi="Arial"/>
                <w:sz w:val="16"/>
                <w:szCs w:val="16"/>
                <w:color w:val="0000FF"/>
              </w:rPr>
              <w:t>Management's Report on Internal Control Over Financial Reporting</w:t>
            </w:r>
          </w:p>
        </w:tc>
        <w:tc>
          <w:tcPr>
            <w:tcW w:w="1240" w:type="dxa"/>
            <w:vAlign w:val="bottom"/>
            <w:gridSpan w:val="3"/>
          </w:tcPr>
          <w:p>
            <w:pPr>
              <w:jc w:val="right"/>
              <w:spacing w:after="0" w:line="169" w:lineRule="exact"/>
              <w:rPr>
                <w:sz w:val="20"/>
                <w:szCs w:val="20"/>
                <w:color w:val="auto"/>
              </w:rPr>
            </w:pPr>
            <w:r>
              <w:rPr>
                <w:rFonts w:ascii="Arial" w:cs="Arial" w:eastAsia="Arial" w:hAnsi="Arial"/>
                <w:sz w:val="16"/>
                <w:szCs w:val="16"/>
                <w:color w:val="0000FF"/>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Reports of Independent Registered Public Accounting Firm</w:t>
            </w:r>
          </w:p>
        </w:tc>
        <w:tc>
          <w:tcPr>
            <w:tcW w:w="1060" w:type="dxa"/>
            <w:vAlign w:val="bottom"/>
            <w:gridSpan w:val="2"/>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000FF"/>
                <w:w w:val="89"/>
              </w:rPr>
              <w:t>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14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3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gridSpan w:val="2"/>
            <w:vMerge w:val="continue"/>
            <w:shd w:val="clear" w:color="auto" w:fill="CCEEFF"/>
          </w:tcPr>
          <w:p>
            <w:pPr>
              <w:spacing w:after="0"/>
              <w:rPr>
                <w:sz w:val="14"/>
                <w:szCs w:val="14"/>
                <w:color w:val="auto"/>
              </w:rPr>
            </w:pPr>
          </w:p>
        </w:tc>
        <w:tc>
          <w:tcPr>
            <w:tcW w:w="18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960" w:type="dxa"/>
            <w:vAlign w:val="bottom"/>
            <w:gridSpan w:val="9"/>
          </w:tcPr>
          <w:p>
            <w:pPr>
              <w:spacing w:after="0" w:line="175" w:lineRule="exact"/>
              <w:rPr>
                <w:sz w:val="20"/>
                <w:szCs w:val="20"/>
                <w:color w:val="auto"/>
              </w:rPr>
            </w:pPr>
            <w:r>
              <w:rPr>
                <w:rFonts w:ascii="Arial" w:cs="Arial" w:eastAsia="Arial" w:hAnsi="Arial"/>
                <w:sz w:val="16"/>
                <w:szCs w:val="16"/>
                <w:color w:val="0000FF"/>
              </w:rPr>
              <w:t>Consolidated Balance Sheets</w:t>
            </w: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Operations</w:t>
            </w:r>
          </w:p>
        </w:tc>
        <w:tc>
          <w:tcPr>
            <w:tcW w:w="7120" w:type="dxa"/>
            <w:vAlign w:val="bottom"/>
            <w:gridSpan w:val="7"/>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960" w:type="dxa"/>
            <w:vAlign w:val="bottom"/>
            <w:gridSpan w:val="9"/>
          </w:tcPr>
          <w:p>
            <w:pPr>
              <w:spacing w:after="0" w:line="175" w:lineRule="exact"/>
              <w:rPr>
                <w:sz w:val="20"/>
                <w:szCs w:val="20"/>
                <w:color w:val="auto"/>
              </w:rPr>
            </w:pPr>
            <w:r>
              <w:rPr>
                <w:rFonts w:ascii="Arial" w:cs="Arial" w:eastAsia="Arial" w:hAnsi="Arial"/>
                <w:sz w:val="16"/>
                <w:szCs w:val="16"/>
                <w:color w:val="0000FF"/>
              </w:rPr>
              <w:t>Consolidated Statements of Comprehensive Income</w:t>
            </w: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Shareholders' Equity and Comprehensive Income</w:t>
            </w: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gridSpan w:val="8"/>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4360" w:type="dxa"/>
            <w:vAlign w:val="bottom"/>
          </w:tcPr>
          <w:p>
            <w:pPr>
              <w:spacing w:after="0"/>
              <w:rPr>
                <w:sz w:val="15"/>
                <w:szCs w:val="15"/>
                <w:color w:val="auto"/>
              </w:rPr>
            </w:pP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Notes to the Consolidated Financial Statements</w:t>
            </w: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Securities Exchange Act of 1934.</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Management assessed the effectiveness of the Company's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xml:space="preserve"> as of December 31, 2023.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upon the assessment performed, we determined that, as of December 31, 2023 the Company's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was effective. There have been no changes in the Company's internal control over financial reporting during 2023 that have materially affected, or are reasonably likely to affect materially, the Group's internal control over financial reporting.</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KPMG, an independent registered public accounting firm, has audited the consolidated financial statements of ICON plc and subsidiaries as of and for the year ended December 31, 2023, included herein, and has issued an audit report on the effectiveness of our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8" w:lineRule="exact"/>
        <w:rPr>
          <w:sz w:val="20"/>
          <w:szCs w:val="20"/>
          <w:color w:val="auto"/>
        </w:rPr>
      </w:pPr>
    </w:p>
    <w:p>
      <w:pPr>
        <w:jc w:val="both"/>
        <w:spacing w:after="0" w:line="186" w:lineRule="exact"/>
        <w:rPr>
          <w:sz w:val="20"/>
          <w:szCs w:val="20"/>
          <w:color w:val="auto"/>
        </w:rPr>
      </w:pPr>
      <w:r>
        <w:rPr>
          <w:rFonts w:ascii="Arial" w:cs="Arial" w:eastAsia="Arial" w:hAnsi="Arial"/>
          <w:sz w:val="16"/>
          <w:szCs w:val="16"/>
          <w:color w:val="auto"/>
        </w:rPr>
        <w:t>We have audited the accompanying consolidated balance sheets of ICON plc and subsidiaries (the Company) as of December 31, 2023 and 2022, the related consolidated statements of operations, comprehensive income, shareholders’ equity and comprehensive income,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2023, in conformity with U.S. generally accepted accounting principles.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23, 2024 expressed an unqualified opinion on the effectiveness of the Company’s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w:t>
      </w:r>
    </w:p>
    <w:p>
      <w:pPr>
        <w:spacing w:after="0"/>
        <w:rPr>
          <w:sz w:val="20"/>
          <w:szCs w:val="20"/>
          <w:color w:val="auto"/>
        </w:rPr>
      </w:pPr>
      <w:r>
        <w:rPr>
          <w:rFonts w:ascii="Arial" w:cs="Arial" w:eastAsia="Arial" w:hAnsi="Arial"/>
          <w:sz w:val="16"/>
          <w:szCs w:val="16"/>
          <w:color w:val="auto"/>
        </w:rPr>
        <w:t>well as evaluating the overall presentation of the consolidated financial statements. We believe that our audits provide a reasonable basis for our opinion</w:t>
      </w:r>
      <w:r>
        <w:rPr>
          <w:rFonts w:ascii="Arial" w:cs="Arial" w:eastAsia="Arial" w:hAnsi="Arial"/>
          <w:sz w:val="21"/>
          <w:szCs w:val="2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for clinical trial service contracts.</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discussed in Note 3 to the consolidated financial statements, the Company recognized revenue of $8,120,176 thousand for the year ended 31 December 2023, a portion of which relates to clinical trial service revenue. As discussed in Note 2 to the consolidated financial statements, clinical trial service revenue is recognized over time, using an input measure, being total project costs (inclusive of third-party costs, principally pass-through/ reimbursable expenses) incurred at each reporting period as a percentage of forecasted total project costs, to measure progress towards satisfying the Company’s performance obligation. The transaction price is based on the contract or latest change order value, adjusted to reflect the estimated realizable contract value.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identified the evaluation of revenue recognition for clinical trial service revenue as a critical audit matter. Complex and subjective auditor judgment was required to evaluate the Company’s estimate of total forecast project costs and the estimated realizable contract values.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primary procedures we performed to address this critical audit matter:</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evaluated the design and tested the operating effectiveness of certain internal controls related to the revenue process, including controls over total forecast project costs and estimated realizable contract values.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We tested the total forecast project costs and the realizable contract values for a selection of clinical trial service contracts, by evaluating:</w:t>
      </w:r>
    </w:p>
    <w:p>
      <w:pPr>
        <w:spacing w:after="0" w:line="248" w:lineRule="exact"/>
        <w:rPr>
          <w:sz w:val="20"/>
          <w:szCs w:val="20"/>
          <w:color w:val="auto"/>
        </w:rPr>
      </w:pPr>
    </w:p>
    <w:p>
      <w:pPr>
        <w:ind w:left="1300" w:right="20" w:hanging="324"/>
        <w:spacing w:after="0" w:line="265" w:lineRule="auto"/>
        <w:rPr>
          <w:sz w:val="20"/>
          <w:szCs w:val="20"/>
          <w:color w:val="auto"/>
        </w:rPr>
      </w:pPr>
      <w:r>
        <w:rPr>
          <w:rFonts w:ascii="Arial" w:cs="Arial" w:eastAsia="Arial" w:hAnsi="Arial"/>
          <w:sz w:val="16"/>
          <w:szCs w:val="16"/>
          <w:color w:val="auto"/>
        </w:rPr>
        <w:t>– direct costs incurred, both during the year and cumulative over the life of the contracts. We tested the accuracy and completeness of the direct costs by comparing the amounts to source data</w:t>
      </w:r>
    </w:p>
    <w:p>
      <w:pPr>
        <w:spacing w:after="0" w:line="1" w:lineRule="exact"/>
        <w:rPr>
          <w:sz w:val="20"/>
          <w:szCs w:val="20"/>
          <w:color w:val="auto"/>
        </w:rPr>
      </w:pPr>
    </w:p>
    <w:p>
      <w:pPr>
        <w:ind w:left="1300" w:hanging="324"/>
        <w:spacing w:after="0" w:line="255" w:lineRule="auto"/>
        <w:rPr>
          <w:sz w:val="20"/>
          <w:szCs w:val="20"/>
          <w:color w:val="auto"/>
        </w:rPr>
      </w:pPr>
      <w:r>
        <w:rPr>
          <w:rFonts w:ascii="Arial" w:cs="Arial" w:eastAsia="Arial" w:hAnsi="Arial"/>
          <w:sz w:val="16"/>
          <w:szCs w:val="16"/>
          <w:color w:val="auto"/>
        </w:rPr>
        <w:t>– third-party costs incurred, both during the year and cumulative over the life of the contracts. We tested the accuracy and completeness of the third-party costs incurred by comparing the costs to invoices received</w:t>
      </w:r>
    </w:p>
    <w:p>
      <w:pPr>
        <w:ind w:left="1300" w:hanging="324"/>
        <w:spacing w:after="0" w:line="252" w:lineRule="auto"/>
        <w:rPr>
          <w:sz w:val="20"/>
          <w:szCs w:val="20"/>
          <w:color w:val="auto"/>
        </w:rPr>
      </w:pPr>
      <w:r>
        <w:rPr>
          <w:rFonts w:ascii="Arial" w:cs="Arial" w:eastAsia="Arial" w:hAnsi="Arial"/>
          <w:sz w:val="16"/>
          <w:szCs w:val="16"/>
          <w:color w:val="auto"/>
        </w:rPr>
        <w:t>– findings from interviews with operational personnel of the Company to assess progress to date, the estimate of remaining costs to be incurred and factors impacting the amount of time and costs to complete the selected contracts, including an understanding of the nature and complexity of the work to be performed</w:t>
      </w:r>
    </w:p>
    <w:p>
      <w:pPr>
        <w:ind w:left="1300" w:right="20" w:hanging="324"/>
        <w:spacing w:after="0" w:line="255" w:lineRule="auto"/>
        <w:rPr>
          <w:sz w:val="20"/>
          <w:szCs w:val="20"/>
          <w:color w:val="auto"/>
        </w:rPr>
      </w:pPr>
      <w:r>
        <w:rPr>
          <w:rFonts w:ascii="Arial" w:cs="Arial" w:eastAsia="Arial" w:hAnsi="Arial"/>
          <w:sz w:val="16"/>
          <w:szCs w:val="16"/>
          <w:color w:val="auto"/>
        </w:rPr>
        <w:t>– correspondence of amendments to the scope or contract value, if any, between the Company and the customer for the selected contracts as part of our evaluation of contract progress</w:t>
      </w:r>
    </w:p>
    <w:p>
      <w:pPr>
        <w:ind w:left="980"/>
        <w:spacing w:after="0"/>
        <w:rPr>
          <w:sz w:val="20"/>
          <w:szCs w:val="20"/>
          <w:color w:val="auto"/>
        </w:rPr>
      </w:pPr>
      <w:r>
        <w:rPr>
          <w:rFonts w:ascii="Arial" w:cs="Arial" w:eastAsia="Arial" w:hAnsi="Arial"/>
          <w:sz w:val="16"/>
          <w:szCs w:val="16"/>
          <w:color w:val="auto"/>
        </w:rPr>
        <w:t>–   quarterly movements in forecast project costs and project margins and investigating the reasons for those movements, and</w:t>
      </w:r>
    </w:p>
    <w:p>
      <w:pPr>
        <w:spacing w:after="0" w:line="5" w:lineRule="exact"/>
        <w:rPr>
          <w:sz w:val="20"/>
          <w:szCs w:val="20"/>
          <w:color w:val="auto"/>
        </w:rPr>
      </w:pPr>
    </w:p>
    <w:p>
      <w:pPr>
        <w:ind w:left="1300" w:hanging="324"/>
        <w:spacing w:after="0" w:line="264" w:lineRule="auto"/>
        <w:rPr>
          <w:sz w:val="20"/>
          <w:szCs w:val="20"/>
          <w:color w:val="auto"/>
        </w:rPr>
      </w:pPr>
      <w:r>
        <w:rPr>
          <w:rFonts w:ascii="Arial" w:cs="Arial" w:eastAsia="Arial" w:hAnsi="Arial"/>
          <w:sz w:val="16"/>
          <w:szCs w:val="16"/>
          <w:color w:val="auto"/>
        </w:rPr>
        <w:t>– 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20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also evaluated the Company’s methods, assumptions and data used to accurately estimate total forecast project costs and realizable contract values, by comparing historical estimates developed at contract inception to actual results for a selection of clinical trial service contracts.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ectPr>
          <w:pgSz w:w="11900" w:h="16838" w:orient="portrait"/>
          <w:cols w:equalWidth="0" w:num="1">
            <w:col w:w="11240"/>
          </w:cols>
          <w:pgMar w:left="320" w:top="895" w:right="339" w:bottom="5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547" w:gutter="0" w:footer="0" w:header="0"/>
          <w:type w:val="continuous"/>
        </w:sectPr>
      </w:pPr>
    </w:p>
    <w:bookmarkStart w:id="102" w:name="page103"/>
    <w:bookmarkEnd w:id="102"/>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audited ICON plc and subsidiaries's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shareholders’ equity and comprehensive income, and cash flows for each of the years in the three-year period ended December 31, 2023, and the related notes (collectively, the consolidated financial statements), and our report dated February 23, 2024,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380" w:type="dxa"/>
            <w:vAlign w:val="bottom"/>
          </w:tcPr>
          <w:p>
            <w:pPr>
              <w:spacing w:after="0"/>
              <w:rPr>
                <w:sz w:val="18"/>
                <w:szCs w:val="18"/>
                <w:color w:val="auto"/>
              </w:rPr>
            </w:pPr>
          </w:p>
        </w:tc>
        <w:tc>
          <w:tcPr>
            <w:tcW w:w="32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378,102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288,768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Available for sale investments (Note 8a)</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(Note 4)</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1,790,322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1,731,388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revenue (Note 4)</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951,936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957,655</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65,797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63,658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Prepayments and other current assets</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132,105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137,094</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Income taxes receivable</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91,254</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3,411,470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3,229,066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Property, plant and equipment, net (Note 9)</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361,184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350,320</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(Note 10)</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9,022,075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8,971,670</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Intangible assets, net (Note 11)</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3,855,865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4,278,659</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right-of-use assets (Note 15)</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140,333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153,832</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78,470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70,790</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21,380</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Deferred tax asset (Note 20)</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73,662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76,930</w:t>
            </w:r>
          </w:p>
        </w:tc>
        <w:tc>
          <w:tcPr>
            <w:tcW w:w="0" w:type="dxa"/>
            <w:vAlign w:val="bottom"/>
          </w:tcPr>
          <w:p>
            <w:pPr>
              <w:spacing w:after="0"/>
              <w:rPr>
                <w:sz w:val="1"/>
                <w:szCs w:val="1"/>
                <w:color w:val="auto"/>
              </w:rPr>
            </w:pPr>
          </w:p>
        </w:tc>
      </w:tr>
      <w:tr>
        <w:trPr>
          <w:trHeight w:val="224"/>
        </w:trPr>
        <w:tc>
          <w:tcPr>
            <w:tcW w:w="6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Investments in equity-long term (Note 8b)</w:t>
            </w:r>
          </w:p>
        </w:tc>
        <w:tc>
          <w:tcPr>
            <w:tcW w:w="1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16,989,863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131,584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81,194</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Unearned revenue (Note 4)</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1,654,507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1,507,449</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Other liabilities (Note 12)</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915,399</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1,005,025</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Current bank credit lines and loan facilities (Note 13)</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2,690,601</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bank credit lines and loan facilities (Note 13)</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3,665,439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4,599,037</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Lease liabilities (Note 15)</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126,321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131,644</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other liabilities (Note 16)</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38,260</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Non-current income taxes payable</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186,654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239,188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liability (Note 20)</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899,100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988,585</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Commitments and contingencies (Note 17)</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7,749,120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8,687,315</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360"/>
              <w:spacing w:after="0" w:line="162" w:lineRule="exact"/>
              <w:rPr>
                <w:sz w:val="20"/>
                <w:szCs w:val="20"/>
                <w:color w:val="auto"/>
              </w:rPr>
            </w:pPr>
            <w:r>
              <w:rPr>
                <w:rFonts w:ascii="Arial" w:cs="Arial" w:eastAsia="Arial" w:hAnsi="Arial"/>
                <w:sz w:val="16"/>
                <w:szCs w:val="16"/>
                <w:color w:val="auto"/>
              </w:rPr>
              <w:t>Ordinary shares par value 6 euro cents per share;</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100,000,000 shares authorized (Note 18)</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82,495,086 shares issued and outstanding at December 31, 2023 and</w:t>
            </w:r>
          </w:p>
        </w:tc>
        <w:tc>
          <w:tcPr>
            <w:tcW w:w="13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81,723,555 shares issued and outstanding at December 31, 2022.</w:t>
            </w:r>
          </w:p>
        </w:tc>
        <w:tc>
          <w:tcPr>
            <w:tcW w:w="13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6,942,669</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6,840,306</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 (Note 18b)</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Accumulated other comprehensive loss (Note 25)</w:t>
            </w:r>
          </w:p>
        </w:tc>
        <w:tc>
          <w:tcPr>
            <w:tcW w:w="1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(143,506)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(171,538)</w:t>
            </w:r>
          </w:p>
        </w:tc>
        <w:tc>
          <w:tcPr>
            <w:tcW w:w="0" w:type="dxa"/>
            <w:vAlign w:val="bottom"/>
          </w:tcPr>
          <w:p>
            <w:pPr>
              <w:spacing w:after="0"/>
              <w:rPr>
                <w:sz w:val="1"/>
                <w:szCs w:val="1"/>
                <w:color w:val="auto"/>
              </w:rPr>
            </w:pPr>
          </w:p>
        </w:tc>
      </w:tr>
      <w:tr>
        <w:trPr>
          <w:trHeight w:val="224"/>
        </w:trPr>
        <w:tc>
          <w:tcPr>
            <w:tcW w:w="6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Shareholders' Equity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9,240,743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40"/>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16,989,863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17,185,278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3480" w:type="dxa"/>
            <w:vAlign w:val="bottom"/>
            <w:tcBorders>
              <w:top w:val="single" w:sz="8" w:color="auto"/>
              <w:bottom w:val="single" w:sz="8" w:color="auto"/>
            </w:tcBorders>
            <w:gridSpan w:val="4"/>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8,120,176</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7,741,386</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5,480,826</w:t>
            </w:r>
          </w:p>
        </w:tc>
      </w:tr>
      <w:tr>
        <w:trPr>
          <w:trHeight w:val="257"/>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 costs (excluding depreciation and amortization)</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5,719,949</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5,527,045</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3,972,612</w:t>
            </w:r>
          </w:p>
        </w:tc>
      </w:tr>
      <w:tr>
        <w:trPr>
          <w:trHeight w:val="215"/>
        </w:trPr>
        <w:tc>
          <w:tcPr>
            <w:tcW w:w="606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768,559</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778,753</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585,330</w:t>
            </w:r>
          </w:p>
        </w:tc>
      </w:tr>
      <w:tr>
        <w:trPr>
          <w:trHeight w:val="21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585,950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569,513</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314,987</w:t>
            </w:r>
          </w:p>
        </w:tc>
      </w:tr>
      <w:tr>
        <w:trPr>
          <w:trHeight w:val="215"/>
        </w:trPr>
        <w:tc>
          <w:tcPr>
            <w:tcW w:w="6060" w:type="dxa"/>
            <w:vAlign w:val="bottom"/>
          </w:tcPr>
          <w:p>
            <w:pPr>
              <w:ind w:left="360"/>
              <w:spacing w:after="0"/>
              <w:rPr>
                <w:sz w:val="20"/>
                <w:szCs w:val="20"/>
                <w:color w:val="auto"/>
              </w:rPr>
            </w:pPr>
            <w:r>
              <w:rPr>
                <w:rFonts w:ascii="Arial" w:cs="Arial" w:eastAsia="Arial" w:hAnsi="Arial"/>
                <w:sz w:val="16"/>
                <w:szCs w:val="16"/>
                <w:color w:val="auto"/>
              </w:rPr>
              <w:t>Transaction and integration related (Note 6)</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44,176</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39,695</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198,263</w:t>
            </w:r>
          </w:p>
        </w:tc>
      </w:tr>
      <w:tr>
        <w:trPr>
          <w:trHeight w:val="224"/>
        </w:trPr>
        <w:tc>
          <w:tcPr>
            <w:tcW w:w="6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Restructuring (Note 19)</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7,164,024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6,946,149</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5,102,297</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956,152</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795,237</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378,529</w:t>
            </w:r>
          </w:p>
        </w:tc>
      </w:tr>
      <w:tr>
        <w:trPr>
          <w:trHeight w:val="21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23"/>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Interest expense (Note 13)</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(336,699)</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(229,731)</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(182,423)</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624,467</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567,851</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196,680</w:t>
            </w:r>
          </w:p>
        </w:tc>
      </w:tr>
      <w:tr>
        <w:trPr>
          <w:trHeight w:val="224"/>
        </w:trPr>
        <w:tc>
          <w:tcPr>
            <w:tcW w:w="6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 expense (Note 20)</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(11,749)</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share of losses from equity method investments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612,718</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508,440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155,346</w:t>
            </w:r>
          </w:p>
        </w:tc>
      </w:tr>
      <w:tr>
        <w:trPr>
          <w:trHeight w:val="223"/>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Share of losses from equity method investments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r>
      <w:tr>
        <w:trPr>
          <w:trHeight w:val="236"/>
        </w:trPr>
        <w:tc>
          <w:tcPr>
            <w:tcW w:w="60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612,335</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505,304</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153,185</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Net income per ordinary share (Note 24):</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7.46</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6.20</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4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(Note 24):</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82,101,813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81,532,320</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67,110,186</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82,717,640</w:t>
            </w: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82,468,363</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68,068,311</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2960" w:type="dxa"/>
            <w:vAlign w:val="bottom"/>
            <w:tcBorders>
              <w:top w:val="single" w:sz="8" w:color="auto"/>
              <w:bottom w:val="single" w:sz="8" w:color="auto"/>
            </w:tcBorders>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9"/>
        </w:trPr>
        <w:tc>
          <w:tcPr>
            <w:tcW w:w="6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612,335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505,304</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153,185</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26,221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(89,530)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(60,617)</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Amortization of cash flow hedge</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Gain/(loss) on cash flow hedge</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640,367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424,703</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97,725</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9780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78015" cy="13716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97801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78015"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4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9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00" w:type="dxa"/>
            <w:vAlign w:val="bottom"/>
            <w:shd w:val="clear" w:color="auto" w:fill="CCEEFF"/>
          </w:tcPr>
          <w:p>
            <w:pPr>
              <w:spacing w:after="0"/>
              <w:rPr>
                <w:sz w:val="14"/>
                <w:szCs w:val="14"/>
                <w:color w:val="auto"/>
              </w:rPr>
            </w:pPr>
          </w:p>
        </w:tc>
        <w:tc>
          <w:tcPr>
            <w:tcW w:w="336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92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Balance at January 1, 2021</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52,788,093</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4,580</w:t>
            </w: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(35,477)</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$1,262,895</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153,185</w:t>
            </w:r>
          </w:p>
        </w:tc>
        <w:tc>
          <w:tcPr>
            <w:tcW w:w="920" w:type="dxa"/>
            <w:vAlign w:val="bottom"/>
          </w:tcPr>
          <w:p>
            <w:pPr>
              <w:jc w:val="right"/>
              <w:spacing w:after="0"/>
              <w:rPr>
                <w:sz w:val="20"/>
                <w:szCs w:val="20"/>
                <w:color w:val="auto"/>
              </w:rPr>
            </w:pPr>
            <w:r>
              <w:rPr>
                <w:rFonts w:ascii="Arial" w:cs="Arial" w:eastAsia="Arial" w:hAnsi="Arial"/>
                <w:sz w:val="16"/>
                <w:szCs w:val="16"/>
                <w:color w:val="auto"/>
              </w:rPr>
              <w:t>153,185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(60,617)</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4,266</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4,266</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cash flow hedge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cash flow hedge</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778</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97,725</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1,065,529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118,512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118,589</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 share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328,634</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133,553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133,553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162"/>
        </w:trPr>
        <w:tc>
          <w:tcPr>
            <w:tcW w:w="3900" w:type="dxa"/>
            <w:vAlign w:val="bottom"/>
          </w:tcPr>
          <w:p>
            <w:pPr>
              <w:ind w:left="20"/>
              <w:spacing w:after="0" w:line="162" w:lineRule="exact"/>
              <w:rPr>
                <w:sz w:val="20"/>
                <w:szCs w:val="20"/>
                <w:color w:val="auto"/>
              </w:rPr>
            </w:pPr>
            <w:r>
              <w:rPr>
                <w:rFonts w:ascii="Arial" w:cs="Arial" w:eastAsia="Arial" w:hAnsi="Arial"/>
                <w:sz w:val="16"/>
                <w:szCs w:val="16"/>
                <w:color w:val="auto"/>
              </w:rPr>
              <w:t>Issue of shares associated with a business</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27,372,427</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5,656,195</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5,658,155</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combination</w:t>
            </w: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Replacement share-based awards issued to acquiree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76" w:right="4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34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505,304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505,304</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(89,530)</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12,657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12,657</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cash flow hedge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424,703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348,286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35,828</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 share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241,116</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units</w:t>
            </w: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70,606</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repurchase costs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81,723,555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34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81,723,555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1,821,384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612,335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612,335</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26,221</w:t>
            </w:r>
          </w:p>
        </w:tc>
        <w:tc>
          <w:tcPr>
            <w:tcW w:w="0" w:type="dxa"/>
            <w:vAlign w:val="bottom"/>
          </w:tcPr>
          <w:p>
            <w:pPr>
              <w:spacing w:after="0"/>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cash flow hedge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640,367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535,705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50,958</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 share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235,826</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6"/>
                <w:szCs w:val="16"/>
                <w:color w:val="auto"/>
              </w:rPr>
              <w:t>units</w:t>
            </w: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82,495,086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$6,942,669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9,240,743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2860" w:type="dxa"/>
            <w:vAlign w:val="bottom"/>
            <w:tcBorders>
              <w:top w:val="single" w:sz="8" w:color="auto"/>
              <w:bottom w:val="single" w:sz="8" w:color="auto"/>
            </w:tcBorders>
            <w:gridSpan w:val="4"/>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612,335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505,304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153,185</w:t>
            </w:r>
          </w:p>
        </w:tc>
      </w:tr>
      <w:tr>
        <w:trPr>
          <w:trHeight w:val="95"/>
        </w:trPr>
        <w:tc>
          <w:tcPr>
            <w:tcW w:w="7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585,950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569,513</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314,987</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Impairment of long lived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8,686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28,767</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20,037</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Reduction in carrying value of operating right-of-use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45,339</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Loss on equity method investments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3,136</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2,161</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gain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Charge on cash flow hedge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financing costs and debt discount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17,749</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12,890</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55,667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70,523</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133,844</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14,434</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Loss on issuance of debt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59,460</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benefit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(60,616)</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Unrealized foreign exchange movements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(13,009)</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(6,054)</w:t>
            </w:r>
          </w:p>
        </w:tc>
      </w:tr>
      <w:tr>
        <w:trPr>
          <w:trHeight w:val="217"/>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non-cash items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(83,296)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(420,695)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113,513</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Unbilled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4,716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(332,592)</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(17,656)</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192,944</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(69,121)</w:t>
            </w:r>
          </w:p>
        </w:tc>
      </w:tr>
      <w:tr>
        <w:trPr>
          <w:trHeight w:val="215"/>
        </w:trPr>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(170,810)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108,259</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563,315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829,142</w:t>
            </w:r>
          </w:p>
        </w:tc>
      </w:tr>
      <w:tr>
        <w:trPr>
          <w:trHeight w:val="95"/>
        </w:trPr>
        <w:tc>
          <w:tcPr>
            <w:tcW w:w="7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(140,692)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(142,160)</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(93,750)</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subsidiary undertakings (net of cash acquired)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(5,914,475)</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Investment in equity method investments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Loan to equity method investment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Sale of available for sale investments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available for sale investments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Proceeds from investments in equity - long term</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1,906</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7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Purchase of investments in equity - long term</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(13,954)</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(226,653)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(145,867)</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(6,024,235)</w:t>
            </w:r>
          </w:p>
        </w:tc>
      </w:tr>
      <w:tr>
        <w:trPr>
          <w:trHeight w:val="95"/>
        </w:trPr>
        <w:tc>
          <w:tcPr>
            <w:tcW w:w="7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(30,328)</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Drawdown of credit lines and facilities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5,905,100</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credit lines and facilities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(877,780)</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Proceeds from the exercise of equity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50,973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35,844</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118,589</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 issue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Repurchase of ordinary shares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(99,983)</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Share repurchase costs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Net cash (used in)/provided by financing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(844,043)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(864,173)</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5,114,728</w:t>
            </w:r>
          </w:p>
        </w:tc>
      </w:tr>
      <w:tr>
        <w:trPr>
          <w:trHeight w:val="95"/>
        </w:trPr>
        <w:tc>
          <w:tcPr>
            <w:tcW w:w="7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1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cash and cash equivalents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(463,445)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(88,092)</w:t>
            </w:r>
          </w:p>
        </w:tc>
      </w:tr>
      <w:tr>
        <w:trPr>
          <w:trHeight w:val="21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288,768</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752,213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840,305</w:t>
            </w:r>
          </w:p>
        </w:tc>
      </w:tr>
      <w:tr>
        <w:trPr>
          <w:trHeight w:val="235"/>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288,768</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752,213</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mission is to improve the lives of patients by accelerating the development of our customers' drugs and devices through innovative solutions.</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2023 we had approximately 41,100 employees, in 106 locations in 53 countries. During the year ended December 31, 2023, we derived approximately 40.4%, 48.7% and 10.9% of our revenue in the United States, Europe and Rest of World,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ICON’s ordinary shares are traded on the NASDAQ Global Select Market under the symbol “ICLR”.</w:t>
      </w:r>
    </w:p>
    <w:p>
      <w:pPr>
        <w:spacing w:after="0" w:line="2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began operations in 1990 and have expanded our business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accounting policies noted below were applied in the preparation of the accompanying financial statements of the Company and are in conformity with accounting principles generally accepted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intangible assets acquired in a business combination and income taxation.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Disclosure of fair value of financial instruments</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the net present value of estimated future cash flows. Debt is measured at amortized cost.</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Financial instruments are measured in the Consolidated Balance Sheet at amortized cost or fair value using a fair value hierarchy of valuation inputs.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Level 1: Inputs are based upon unadjusted quoted prices for identical instruments traded in active markets.</w:t>
      </w:r>
    </w:p>
    <w:p>
      <w:pPr>
        <w:spacing w:after="0" w:line="2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9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Level 3: Inputs are generally unobservable and typically reflect management’s estimates of assumptions that market participants would use in pricing the asset or liability.</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1" w:name="page112"/>
    <w:bookmarkEnd w:id="111"/>
    <w:p>
      <w:pPr>
        <w:jc w:val="both"/>
        <w:ind w:firstLine="648"/>
        <w:spacing w:after="0" w:line="265" w:lineRule="auto"/>
        <w:rPr>
          <w:sz w:val="20"/>
          <w:szCs w:val="20"/>
          <w:color w:val="auto"/>
        </w:rPr>
      </w:pPr>
      <w:r>
        <w:rPr>
          <w:rFonts w:ascii="Arial" w:cs="Arial" w:eastAsia="Arial" w:hAnsi="Arial"/>
          <w:sz w:val="16"/>
          <w:szCs w:val="16"/>
          <w:color w:val="auto"/>
        </w:rPr>
        <w:t>The Company classifies its investments in short-term debt or equity as available for sale, as it does not actively trade such securities nor does it intend to hold them to maturity. The fair value of short term investments are represented by Level 1 fair value measurements – quoted prices in active markets for identical assets. The changes in fair value are recognized in equity until disposal or sale, at which time, those unrealized movements from prior periods are recognized in the Consolidated Statement of Operations. Losses, other than temporary, which reduce the carrying amount below cost are recognized in the Consolidated Statement of Operations.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Where a business combination agreement provides for an adjustment to the cost of the acquisition which is contingent upon future events, the amount of the estimated adjustment is recognized at the acquisition date at the fair value of the contingent consideration. Accounting for contingent consideration, after the acquisition, depends on the classification of the contingent consideration. Equity-classified contingent consideration is not remeasured after the acquisition date and subsequent settlement is accounted for within equity. Contingent consideration, which is classified as a liability or an asset, is remeasured to fair value at each reporting date until the contingency is resolved. The changes in fair value are recognized in earnings, unless the arrangement is a derivative which has been designated as a hedging instrument in a cash flow hedging relationship, in which case, the changes are initially recognized in other comprehensive income/loss.</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any contingent liabilities are made within twelve months of the acquisition date and presented as adjustments to goodwill in the reporting period in which the adjustments are determined.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Foreign currencies and translation of subsidiaries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Company's financial statements are prepared in United States dollars. 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income/loss.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Transactions in currencies other than the functional currency of the subsidiaries of the Company are recorded at the rate ruling at the date of the transaction. Monetary assets and liabilities denominated in currencies other than the functional currency of the subsidiaries of the Company are translated into the functional currency of that entity at exchange rates prevailing at the balance sheet date. Adjustments resulting from these translations are charged or credited to income. Foreign currency gains and losses on intercompany transactions classified as long-term investments are reported in other comprehensive income/loss as currency translation adjustments. Amounts charged or credited to the Consolidated Statements of Operations for the years ended December 31, 2023, December 31, 2022 and December 31, 2021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Amounts charged/(credited)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(14,316)</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6"/>
          <w:szCs w:val="16"/>
          <w:i w:val="1"/>
          <w:iCs w:val="1"/>
          <w:color w:val="auto"/>
        </w:rPr>
        <w:t>Clinical trial service revenue</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Laboratory services revenue</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Contracting services revenue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Consulting services revenue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Data services revenue</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113" w:name="page114"/>
    <w:bookmarkEnd w:id="113"/>
    <w:p>
      <w:pPr>
        <w:jc w:val="both"/>
        <w:spacing w:after="0" w:line="286" w:lineRule="auto"/>
        <w:rPr>
          <w:sz w:val="20"/>
          <w:szCs w:val="20"/>
          <w:color w:val="auto"/>
        </w:rPr>
      </w:pPr>
      <w:r>
        <w:rPr>
          <w:rFonts w:ascii="Arial" w:cs="Arial" w:eastAsia="Arial" w:hAnsi="Arial"/>
          <w:sz w:val="16"/>
          <w:szCs w:val="16"/>
          <w:color w:val="auto"/>
        </w:rPr>
        <w:t>At the end of the contract year, any unused customer purchase credits may be forfeited or carried over to the next contract year based on the terms of the data supplier contract.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Commissions</w:t>
      </w:r>
    </w:p>
    <w:p>
      <w:pPr>
        <w:spacing w:after="0" w:line="24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Reimbursable expenses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Direct costs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Direct costs consist of compensation, associated employee benefits and share-based payments for project-related employees and other direct project-related costs.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4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Cash and cash equivalents include cash and highly liquid investments with initial maturities of three months or less and are stated at cost, which approximates market value.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Investments in debt, equity and other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Available for sale investments</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classifies short-term investments as available for sale. The investments are reported at fair value, with unrealized gains or losses reported in a separate component of shareholders' equity. Any differences between the cost and fair value of the investments are represented by accrued interest and unrealized gains/losses. Realized gains and losses are determined using specific identification.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Long term investments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2023 and December 31, 2022 meet the definition of equity securities without readily determinable fair values. The Company concluded that the interests held at December 31, 2023 and December 31, 2022 qualify for the Net Asset Value ("NAV") practical expedient in ASC Topic 820, </w:t>
      </w:r>
      <w:r>
        <w:rPr>
          <w:rFonts w:ascii="Arial" w:cs="Arial" w:eastAsia="Arial" w:hAnsi="Arial"/>
          <w:sz w:val="16"/>
          <w:szCs w:val="16"/>
          <w:i w:val="1"/>
          <w:iCs w:val="1"/>
          <w:color w:val="auto"/>
        </w:rPr>
        <w:t>Fair value Measurements ("ASC</w:t>
      </w:r>
      <w:r>
        <w:rPr>
          <w:rFonts w:ascii="Arial" w:cs="Arial" w:eastAsia="Arial" w:hAnsi="Arial"/>
          <w:sz w:val="16"/>
          <w:szCs w:val="16"/>
          <w:color w:val="auto"/>
        </w:rPr>
        <w:t xml:space="preserve"> </w:t>
      </w:r>
      <w:r>
        <w:rPr>
          <w:rFonts w:ascii="Arial" w:cs="Arial" w:eastAsia="Arial" w:hAnsi="Arial"/>
          <w:sz w:val="16"/>
          <w:szCs w:val="16"/>
          <w:i w:val="1"/>
          <w:iCs w:val="1"/>
          <w:color w:val="auto"/>
        </w:rPr>
        <w:t>820")</w:t>
      </w:r>
      <w:r>
        <w:rPr>
          <w:rFonts w:ascii="Arial" w:cs="Arial" w:eastAsia="Arial" w:hAnsi="Arial"/>
          <w:sz w:val="16"/>
          <w:szCs w:val="16"/>
          <w:color w:val="auto"/>
        </w:rPr>
        <w:t>. Any increases or decreases in fair value are recognized in earnings in the period.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Equity method investments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investments that are not consolidated are accounted for under the equity method if the Company exercises significant influence that is considered to be greater than minor. These investments are classified as equity method investments on the Consolidated Balance Sheet. The Company records its pro rata share of the earnings/losses of these investments in Share of losses in equity investments in the Consolidated Statement of Operations. The Company reviews equity method investments for impairment whenever events or changes in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6"/>
          <w:szCs w:val="16"/>
          <w:b w:val="1"/>
          <w:bCs w:val="1"/>
          <w:i w:val="1"/>
          <w:iCs w:val="1"/>
          <w:color w:val="auto"/>
        </w:rPr>
        <w:t>Accounts receivable, net and unbilled revenue</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20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Accounts receivable early payment discounting</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Agreements which result in true sales of the transferred receivables, as defined in ASC 860, are excluded from amounts reported in the Consolidated Balance Sheet. Cash proceeds received from such sales are included in operating cash flows.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bottom w:val="single" w:sz="8" w:color="auto"/>
            </w:tcBorders>
            <w:shd w:val="clear" w:color="auto" w:fill="CCEEFF"/>
          </w:tcPr>
          <w:p>
            <w:pPr>
              <w:spacing w:after="0"/>
              <w:rPr>
                <w:sz w:val="18"/>
                <w:szCs w:val="18"/>
                <w:color w:val="auto"/>
              </w:rPr>
            </w:pPr>
          </w:p>
        </w:tc>
        <w:tc>
          <w:tcPr>
            <w:tcW w:w="4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6240" w:type="dxa"/>
            <w:vAlign w:val="bottom"/>
          </w:tcPr>
          <w:p>
            <w:pPr>
              <w:ind w:left="440"/>
              <w:spacing w:after="0"/>
              <w:rPr>
                <w:sz w:val="20"/>
                <w:szCs w:val="20"/>
                <w:color w:val="auto"/>
              </w:rPr>
            </w:pPr>
            <w:r>
              <w:rPr>
                <w:rFonts w:ascii="Arial" w:cs="Arial" w:eastAsia="Arial" w:hAnsi="Arial"/>
                <w:sz w:val="16"/>
                <w:szCs w:val="16"/>
                <w:color w:val="auto"/>
              </w:rPr>
              <w:t>Buildings</w:t>
            </w:r>
          </w:p>
        </w:tc>
        <w:tc>
          <w:tcPr>
            <w:tcW w:w="4980" w:type="dxa"/>
            <w:vAlign w:val="bottom"/>
          </w:tcPr>
          <w:p>
            <w:pPr>
              <w:jc w:val="right"/>
              <w:spacing w:after="0"/>
              <w:rPr>
                <w:sz w:val="20"/>
                <w:szCs w:val="20"/>
                <w:color w:val="auto"/>
              </w:rPr>
            </w:pPr>
            <w:r>
              <w:rPr>
                <w:rFonts w:ascii="Arial" w:cs="Arial" w:eastAsia="Arial" w:hAnsi="Arial"/>
                <w:sz w:val="16"/>
                <w:szCs w:val="16"/>
                <w:color w:val="auto"/>
              </w:rPr>
              <w:t>40 years</w:t>
            </w:r>
          </w:p>
        </w:tc>
      </w:tr>
      <w:tr>
        <w:trPr>
          <w:trHeight w:val="217"/>
        </w:trPr>
        <w:tc>
          <w:tcPr>
            <w:tcW w:w="6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Computer equipment and software</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2 - 8 years</w:t>
            </w:r>
          </w:p>
        </w:tc>
      </w:tr>
      <w:tr>
        <w:trPr>
          <w:trHeight w:val="215"/>
        </w:trPr>
        <w:tc>
          <w:tcPr>
            <w:tcW w:w="6240" w:type="dxa"/>
            <w:vAlign w:val="bottom"/>
          </w:tcPr>
          <w:p>
            <w:pPr>
              <w:ind w:left="480"/>
              <w:spacing w:after="0"/>
              <w:rPr>
                <w:sz w:val="20"/>
                <w:szCs w:val="20"/>
                <w:color w:val="auto"/>
              </w:rPr>
            </w:pPr>
            <w:r>
              <w:rPr>
                <w:rFonts w:ascii="Arial" w:cs="Arial" w:eastAsia="Arial" w:hAnsi="Arial"/>
                <w:sz w:val="16"/>
                <w:szCs w:val="16"/>
                <w:color w:val="auto"/>
              </w:rPr>
              <w:t>Office furniture and fixtures</w:t>
            </w:r>
          </w:p>
        </w:tc>
        <w:tc>
          <w:tcPr>
            <w:tcW w:w="4980" w:type="dxa"/>
            <w:vAlign w:val="bottom"/>
          </w:tcPr>
          <w:p>
            <w:pPr>
              <w:jc w:val="right"/>
              <w:spacing w:after="0"/>
              <w:rPr>
                <w:sz w:val="20"/>
                <w:szCs w:val="20"/>
                <w:color w:val="auto"/>
              </w:rPr>
            </w:pPr>
            <w:r>
              <w:rPr>
                <w:rFonts w:ascii="Arial" w:cs="Arial" w:eastAsia="Arial" w:hAnsi="Arial"/>
                <w:sz w:val="16"/>
                <w:szCs w:val="16"/>
                <w:color w:val="auto"/>
              </w:rPr>
              <w:t>8 years</w:t>
            </w:r>
          </w:p>
        </w:tc>
      </w:tr>
      <w:tr>
        <w:trPr>
          <w:trHeight w:val="217"/>
        </w:trPr>
        <w:tc>
          <w:tcPr>
            <w:tcW w:w="6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Laboratory equipment</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15"/>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Motor vehicles</w:t>
            </w: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shorter.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Leases</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determines if an arrangement is a lease at inception and reassess if there are changes in terms and conditions of the contract. Finance leases, if any, are depreciated on the same basis as property, plant and equipment. At December 31, 2023 and December 31, 2022, the Company did not account for any leases as finance leases.</w:t>
      </w:r>
    </w:p>
    <w:p>
      <w:pPr>
        <w:spacing w:after="0" w:line="144" w:lineRule="exact"/>
        <w:rPr>
          <w:sz w:val="20"/>
          <w:szCs w:val="20"/>
          <w:color w:val="auto"/>
        </w:rPr>
      </w:pPr>
    </w:p>
    <w:p>
      <w:pPr>
        <w:jc w:val="both"/>
        <w:ind w:firstLine="251"/>
        <w:spacing w:after="0" w:line="259" w:lineRule="auto"/>
        <w:rPr>
          <w:sz w:val="20"/>
          <w:szCs w:val="20"/>
          <w:color w:val="auto"/>
        </w:rPr>
      </w:pPr>
      <w:r>
        <w:rPr>
          <w:rFonts w:ascii="Arial" w:cs="Arial" w:eastAsia="Arial" w:hAnsi="Arial"/>
          <w:sz w:val="16"/>
          <w:szCs w:val="16"/>
          <w:color w:val="auto"/>
        </w:rPr>
        <w:t>Operating leases are included in operating right-of-use ("ROU")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the lease commencement date.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accounts for lease and non-lease components separately with lease components flowing through the Consolidated Balance Sheet and non-lease components expensed directly to the Consolidated Statements of Operations.</w:t>
      </w:r>
    </w:p>
    <w:p>
      <w:pPr>
        <w:spacing w:after="0" w:line="1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21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some cases, the Company enters into sublease agreements and becomes both a lessee and a lessor for the same underlying asset. Subleases are accounted for as operating leases separately from the lease they relate to, but similar in manner as all other leases.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15" w:name="page116"/>
    <w:bookmarkEnd w:id="115"/>
    <w:p>
      <w:pPr>
        <w:jc w:val="both"/>
        <w:ind w:firstLine="648"/>
        <w:spacing w:after="0" w:line="275" w:lineRule="auto"/>
        <w:rPr>
          <w:sz w:val="20"/>
          <w:szCs w:val="20"/>
          <w:color w:val="auto"/>
        </w:rPr>
      </w:pPr>
      <w:r>
        <w:rPr>
          <w:rFonts w:ascii="Arial" w:cs="Arial" w:eastAsia="Arial" w:hAnsi="Arial"/>
          <w:sz w:val="16"/>
          <w:szCs w:val="16"/>
          <w:color w:val="auto"/>
        </w:rPr>
        <w:t xml:space="preserve">ROU assets for operating leases are occasionally reduced by impairment losses. The Company uses the long-lived assets impairment guidance in ASC Subtopic 360-10, </w:t>
      </w:r>
      <w:r>
        <w:rPr>
          <w:rFonts w:ascii="Arial" w:cs="Arial" w:eastAsia="Arial" w:hAnsi="Arial"/>
          <w:sz w:val="16"/>
          <w:szCs w:val="16"/>
          <w:i w:val="1"/>
          <w:iCs w:val="1"/>
          <w:color w:val="auto"/>
        </w:rPr>
        <w:t>Property, Plant, and Equipment – Overall</w:t>
      </w:r>
      <w:r>
        <w:rPr>
          <w:rFonts w:ascii="Arial" w:cs="Arial" w:eastAsia="Arial" w:hAnsi="Arial"/>
          <w:sz w:val="16"/>
          <w:szCs w:val="16"/>
          <w:color w:val="auto"/>
        </w:rPr>
        <w:t>, to determine whether an ROU asset is impaired, and if so, the amount of the impairment loss to recognize.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straight-line basis over their estimated useful lives, as set forth in the table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56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5600" w:type="dxa"/>
            <w:vAlign w:val="bottom"/>
          </w:tcPr>
          <w:p>
            <w:pPr>
              <w:jc w:val="right"/>
              <w:spacing w:after="0"/>
              <w:rPr>
                <w:sz w:val="20"/>
                <w:szCs w:val="20"/>
                <w:color w:val="auto"/>
              </w:rPr>
            </w:pPr>
            <w:r>
              <w:rPr>
                <w:rFonts w:ascii="Arial" w:cs="Arial" w:eastAsia="Arial" w:hAnsi="Arial"/>
                <w:sz w:val="16"/>
                <w:szCs w:val="16"/>
                <w:color w:val="auto"/>
              </w:rPr>
              <w:t>16 - 23 years</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5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56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5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periodically assesses the estimated useful lives of intangible assets to evaluate whether what was established at acquisition continues to be appropriate.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Impairment of goodwill and long-lived assets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Goodwill is tested for impairment annually, or more frequently, if an event or circumstance indicates that an impairment loss may have been incurred.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Fair value is determined through various valuation techniques including discounted cash flow models and third-party independent appraisals, as considered necessary. Assets to be disposed of are reported at the lower of the carrying amount of the asset or fair value less selling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 Early repayment of debt facilities can result in modification of the debt and the acceleration of the amortization of debt issuance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uses derivative financial instruments to reduce exposures to interest rates. Derivatives are recorded on the Consolidated Balance Sheet at fair value at each balance sheet date utilizing pricing models for non-exchange-traded contracts.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criteria for designating a derivative as a hedge include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6" w:name="page117"/>
    <w:bookmarkEnd w:id="116"/>
    <w:p>
      <w:pPr>
        <w:jc w:val="both"/>
        <w:spacing w:after="0" w:line="265" w:lineRule="auto"/>
        <w:rPr>
          <w:sz w:val="20"/>
          <w:szCs w:val="20"/>
          <w:color w:val="auto"/>
        </w:rPr>
      </w:pPr>
      <w:r>
        <w:rPr>
          <w:rFonts w:ascii="Arial" w:cs="Arial" w:eastAsia="Arial" w:hAnsi="Arial"/>
          <w:sz w:val="16"/>
          <w:szCs w:val="16"/>
          <w:color w:val="auto"/>
        </w:rPr>
        <w:t>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Income taxes</w:t>
      </w:r>
    </w:p>
    <w:p>
      <w:pPr>
        <w:spacing w:after="0" w:line="2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Government grants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Research and development credits</w:t>
      </w:r>
    </w:p>
    <w:p>
      <w:pPr>
        <w:spacing w:after="0" w:line="2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may be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Pension costs</w:t>
      </w:r>
    </w:p>
    <w:p>
      <w:pPr>
        <w:spacing w:after="0" w:line="246"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operates, through certain subsidiaries, a defined benefit plan for certain employees located in the United Kingdom and Switzerland. The Company accounts for these plans in accordance with ASC Subtopic 715-30, </w:t>
      </w:r>
      <w:r>
        <w:rPr>
          <w:rFonts w:ascii="Arial" w:cs="Arial" w:eastAsia="Arial" w:hAnsi="Arial"/>
          <w:sz w:val="16"/>
          <w:szCs w:val="16"/>
          <w:i w:val="1"/>
          <w:iCs w:val="1"/>
          <w:color w:val="auto"/>
        </w:rPr>
        <w:t>Defined Benefit Plans – Pension</w:t>
      </w:r>
      <w:r>
        <w:rPr>
          <w:rFonts w:ascii="Arial" w:cs="Arial" w:eastAsia="Arial" w:hAnsi="Arial"/>
          <w:sz w:val="16"/>
          <w:szCs w:val="16"/>
          <w:color w:val="auto"/>
        </w:rPr>
        <w:t>. The Company also maintains various retirement plans across the Group, many of which are required by local employment laws.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w:t>
      </w:r>
      <w:r>
        <w:rPr>
          <w:rFonts w:ascii="Arial" w:cs="Arial" w:eastAsia="Arial" w:hAnsi="Arial"/>
          <w:sz w:val="16"/>
          <w:szCs w:val="16"/>
          <w:i w:val="1"/>
          <w:iCs w:val="1"/>
          <w:color w:val="auto"/>
        </w:rPr>
        <w:t>.</w:t>
      </w:r>
    </w:p>
    <w:p>
      <w:pPr>
        <w:spacing w:after="0" w:line="1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1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7" w:name="page118"/>
    <w:bookmarkEnd w:id="117"/>
    <w:p>
      <w:pPr>
        <w:jc w:val="both"/>
        <w:spacing w:after="0" w:line="286" w:lineRule="auto"/>
        <w:rPr>
          <w:sz w:val="20"/>
          <w:szCs w:val="20"/>
          <w:color w:val="auto"/>
        </w:rPr>
      </w:pPr>
      <w:r>
        <w:rPr>
          <w:rFonts w:ascii="Arial" w:cs="Arial" w:eastAsia="Arial" w:hAnsi="Arial"/>
          <w:sz w:val="16"/>
          <w:szCs w:val="16"/>
          <w:color w:val="auto"/>
        </w:rPr>
        <w:t>variables. These variables include, but are not limited to, the expected share price volatility over the term of the awards, risk-free interest rates and the expected term of the awards.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Liability classified awards are measured at the fair value of the award on the grant date and remeasured at each reporting period at fair value until the award is settled.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Replacement awards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In connection with the completion of the Merger, the company issued replacement awards to the holders of PRA equity awards on July 1, 2021. An exchange of share-based compensation awards in a business combination is treated as a modification under ASC 718. The replacement awards and the original acquiree awards are measured at fair value at the acquisition date and calculated using the fair-value-based measurement principles in ASC 718. Amounts attributable to pre-combination vesting are accounted for as part of the consideration transferred for the acquiree. Amounts attributable to post-combination vesting are accounted for separate from the business combination and are recognized as compensation cost in the post-combination period.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Transaction and integration-related expenses</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Transaction and integration-related expenses are the incremental costs directly attributable to completion and integration activities associated with the Company’s recent acquisitions. The costs consist of investment banking fees, advisory costs, professional fees, retention agreements with employees, accelerated share-based compensation charges and ongoing integration activities. The Company accounts for these transaction and integration-related costs as expenses in the period in which the costs are incurred and the services are received.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Restructuring</w:t>
      </w:r>
    </w:p>
    <w:p>
      <w:pPr>
        <w:spacing w:after="0" w:line="2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Restructuring charges reflect certain one-time costs arising from reorganization programs announced by Company management. These programs generally result in asset impairments and workforce reductions in order to optimize the Company’s structure and facilitate improved long-term performance. Asset related impairment charges are taken when the fair value is less than the asset’s carrying value. Workforce related charges are taken when an approved reorganization program is communicated to the relevant employee groups.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Net income per ordinary share</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Impact of Recently Issued or Adopted Accounting Standards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Accounting pronouncements, effective for the year ended December 31, 2023, did not have any significant impact on the Company’s consolidated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accounting pronouncements have been issued, but not yet adopted, as of December 31, 2023:</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2023-07, </w:t>
      </w:r>
      <w:r>
        <w:rPr>
          <w:rFonts w:ascii="Arial" w:cs="Arial" w:eastAsia="Arial" w:hAnsi="Arial"/>
          <w:sz w:val="16"/>
          <w:szCs w:val="16"/>
          <w:i w:val="1"/>
          <w:iCs w:val="1"/>
          <w:color w:val="auto"/>
        </w:rPr>
        <w:t>Segment Reporting</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 xml:space="preserve">– Improvements to Reportable Segment Disclosures </w:t>
      </w:r>
      <w:r>
        <w:rPr>
          <w:rFonts w:ascii="Arial" w:cs="Arial" w:eastAsia="Arial" w:hAnsi="Arial"/>
          <w:sz w:val="16"/>
          <w:szCs w:val="16"/>
          <w:color w:val="auto"/>
        </w:rPr>
        <w:t>(“ASU 2023-07”), which amends the guidance in ASC Topic 280,</w:t>
      </w:r>
      <w:r>
        <w:rPr>
          <w:rFonts w:ascii="Arial" w:cs="Arial" w:eastAsia="Arial" w:hAnsi="Arial"/>
          <w:sz w:val="16"/>
          <w:szCs w:val="16"/>
          <w:i w:val="1"/>
          <w:iCs w:val="1"/>
          <w:color w:val="auto"/>
        </w:rPr>
        <w:t xml:space="preserve"> Segment Reporting. </w:t>
      </w:r>
      <w:r>
        <w:rPr>
          <w:rFonts w:ascii="Arial" w:cs="Arial" w:eastAsia="Arial" w:hAnsi="Arial"/>
          <w:sz w:val="16"/>
          <w:szCs w:val="16"/>
          <w:color w:val="auto"/>
        </w:rPr>
        <w:t>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disclosure of significant segment expenses and other segment items on an annual and interim basis. Furthermore, all disclosures about a reportable segment’s profit or loss, which are currently required annually, will be mandated for interim periods. The additional disclosures required by ASU 2023-07 apply to entities with a single reportable segment. The amended guidance is effective for fiscal periods beginning after December 15, 2023, and for interim periods within fiscal years beginning after December 15, 2024, with retrospective application required. The Company is currently evaluating the impact of this ASU on disclosures within its consolidated financial statements.</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xml:space="preserve"> which requires disaggregated information about an entity’s effective tax rate reconciliation and additional discloses on income taxes paid. The new requirements are effective for annual periods beginning after December 15, 2024. The guidance is to be applied prospectively, with an option for retrospective application. The Company is currently evaluating the impact of this new guidance on disclosures within its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3. Disaggregation of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ind w:left="660"/>
              <w:spacing w:after="0"/>
              <w:rPr>
                <w:sz w:val="20"/>
                <w:szCs w:val="20"/>
                <w:color w:val="auto"/>
              </w:rPr>
            </w:pPr>
            <w:r>
              <w:rPr>
                <w:rFonts w:ascii="Arial" w:cs="Arial" w:eastAsia="Arial" w:hAnsi="Arial"/>
                <w:sz w:val="16"/>
                <w:szCs w:val="16"/>
                <w:color w:val="auto"/>
              </w:rPr>
              <w:t>Revenue disaggregated by customer profile is as follows: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2"/>
        </w:trPr>
        <w:tc>
          <w:tcPr>
            <w:tcW w:w="6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6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Top client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721,309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683,546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441,173</w:t>
            </w: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2-5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1,453,508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1,506,087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1,291,946</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1,188,943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1,112,636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752,325</w:t>
            </w: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1,743,539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1,585,739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1,077,073</w:t>
            </w:r>
          </w:p>
        </w:tc>
      </w:tr>
      <w:tr>
        <w:trPr>
          <w:trHeight w:val="215"/>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3,012,877</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2,853,378</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1,918,309</w:t>
            </w:r>
          </w:p>
        </w:tc>
      </w:tr>
      <w:tr>
        <w:trPr>
          <w:trHeight w:val="23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$8,120,176</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$7,741,386</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$5,480,826</w:t>
            </w:r>
          </w:p>
        </w:tc>
      </w:tr>
      <w:tr>
        <w:trPr>
          <w:trHeight w:val="20"/>
        </w:trPr>
        <w:tc>
          <w:tcPr>
            <w:tcW w:w="6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customers have similar profiles and economic characteristics, and therefore have similar degrees of risk and growth opportunities.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Contract Balances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 and unbilled revenue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Billed services (accounts receivable)</w:t>
            </w: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1,821,855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1,751,950</w:t>
            </w:r>
          </w:p>
        </w:tc>
        <w:tc>
          <w:tcPr>
            <w:tcW w:w="0" w:type="dxa"/>
            <w:vAlign w:val="bottom"/>
          </w:tcPr>
          <w:p>
            <w:pPr>
              <w:spacing w:after="0"/>
              <w:rPr>
                <w:sz w:val="1"/>
                <w:szCs w:val="1"/>
                <w:color w:val="auto"/>
              </w:rPr>
            </w:pPr>
          </w:p>
        </w:tc>
      </w:tr>
      <w:tr>
        <w:trPr>
          <w:trHeight w:val="215"/>
        </w:trPr>
        <w:tc>
          <w:tcPr>
            <w:tcW w:w="4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Allowance for credit losses (note 5)</w:t>
            </w: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(20,562)</w:t>
            </w: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1,731,388</w:t>
            </w:r>
          </w:p>
        </w:tc>
        <w:tc>
          <w:tcPr>
            <w:tcW w:w="0" w:type="dxa"/>
            <w:vAlign w:val="bottom"/>
          </w:tcPr>
          <w:p>
            <w:pPr>
              <w:spacing w:after="0"/>
              <w:rPr>
                <w:sz w:val="1"/>
                <w:szCs w:val="1"/>
                <w:color w:val="auto"/>
              </w:rPr>
            </w:pPr>
          </w:p>
        </w:tc>
      </w:tr>
      <w:tr>
        <w:trPr>
          <w:trHeight w:val="215"/>
        </w:trPr>
        <w:tc>
          <w:tcPr>
            <w:tcW w:w="4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Unbilled services (unbilled revenue)</w:t>
            </w: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951,936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957,655</w:t>
            </w:r>
          </w:p>
        </w:tc>
        <w:tc>
          <w:tcPr>
            <w:tcW w:w="0" w:type="dxa"/>
            <w:vAlign w:val="bottom"/>
          </w:tcPr>
          <w:p>
            <w:pPr>
              <w:spacing w:after="0"/>
              <w:rPr>
                <w:sz w:val="1"/>
                <w:szCs w:val="1"/>
                <w:color w:val="auto"/>
              </w:rPr>
            </w:pPr>
          </w:p>
        </w:tc>
      </w:tr>
      <w:tr>
        <w:trPr>
          <w:trHeight w:val="235"/>
        </w:trPr>
        <w:tc>
          <w:tcPr>
            <w:tcW w:w="41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and unbilled revenue, net</w:t>
            </w:r>
          </w:p>
        </w:tc>
        <w:tc>
          <w:tcPr>
            <w:tcW w:w="10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2,742,258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2,689,043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bottom w:val="single" w:sz="8" w:color="auto"/>
            </w:tcBorders>
          </w:tcPr>
          <w:p>
            <w:pPr>
              <w:spacing w:after="0" w:line="20" w:lineRule="exact"/>
              <w:rPr>
                <w:sz w:val="1"/>
                <w:szCs w:val="1"/>
                <w:color w:val="auto"/>
              </w:rPr>
            </w:pPr>
          </w:p>
        </w:tc>
        <w:tc>
          <w:tcPr>
            <w:tcW w:w="9680" w:type="dxa"/>
            <w:vAlign w:val="bottom"/>
            <w:tcBorders>
              <w:top w:val="single" w:sz="8" w:color="CCEEFF"/>
              <w:bottom w:val="single" w:sz="8" w:color="auto"/>
            </w:tcBorders>
            <w:gridSpan w:val="7"/>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0" w:type="dxa"/>
            <w:vAlign w:val="bottom"/>
          </w:tcPr>
          <w:p>
            <w:pPr>
              <w:spacing w:after="0"/>
              <w:rPr>
                <w:sz w:val="24"/>
                <w:szCs w:val="24"/>
                <w:color w:val="auto"/>
              </w:rPr>
            </w:pPr>
          </w:p>
        </w:tc>
        <w:tc>
          <w:tcPr>
            <w:tcW w:w="9680" w:type="dxa"/>
            <w:vAlign w:val="bottom"/>
            <w:gridSpan w:val="7"/>
          </w:tcPr>
          <w:p>
            <w:pPr>
              <w:jc w:val="right"/>
              <w:ind w:right="919"/>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4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b w:val="1"/>
                <w:bCs w:val="1"/>
                <w:color w:val="auto"/>
                <w:w w:val="99"/>
              </w:rPr>
              <w:t>$ Change</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Unbilled services (unbilled revenue)</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951,936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957,655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(5,719)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Unearned revenue (payments on account)</w:t>
            </w: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(1,654,507)</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(1,507,449)</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(147,058)</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balance</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(702,571)</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(549,794)</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(152,777)</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at December 31, 2023 and December 31, 2022 were $333.0 million and $406.3 million (see </w:t>
      </w:r>
      <w:r>
        <w:rPr>
          <w:rFonts w:ascii="Arial" w:cs="Arial" w:eastAsia="Arial" w:hAnsi="Arial"/>
          <w:sz w:val="16"/>
          <w:szCs w:val="16"/>
          <w:i w:val="1"/>
          <w:iCs w:val="1"/>
          <w:color w:val="auto"/>
        </w:rPr>
        <w:t>note 12 - Other liabilities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9" w:name="page120"/>
    <w:bookmarkEnd w:id="119"/>
    <w:p>
      <w:pPr>
        <w:jc w:val="both"/>
        <w:ind w:firstLine="648"/>
        <w:spacing w:after="0" w:line="261" w:lineRule="auto"/>
        <w:rPr>
          <w:sz w:val="20"/>
          <w:szCs w:val="20"/>
          <w:color w:val="auto"/>
        </w:rPr>
      </w:pPr>
      <w:r>
        <w:rPr>
          <w:rFonts w:ascii="Arial" w:cs="Arial" w:eastAsia="Arial" w:hAnsi="Arial"/>
          <w:sz w:val="16"/>
          <w:szCs w:val="16"/>
          <w:color w:val="auto"/>
        </w:rPr>
        <w:t>Unbilled services as at December 31, 2023 decreased by $5.7 million as compared to December 31, 2022. Unearned revenue increased by $147.1 million over the same period resulting in an increase of $152.8 million in the net balance of unbilled services and unearned revenue or payments on account between December 31, 2022 and December 31, 2023. These fluctuations are primarily due to the timing of payments and invoicing related to the Company's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credit loss expense recognized on the Company's receivables and unbilled services was $24.6 million and $17.8 million for the year ended December 31, 2023 and 2022, respectively.</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of December 31, 2023 approximately $14.8 billion of revenue is expected to be recognized in the future in respect of unsatisfied performance obligations compared to $13.7 billion as of December 31, 2022. As of December 31, 2023 the Company expects to recognize revenue on approximately 52% of the unsatisfied performance obligation over the next twelve months compared to 52% as of December 31, 2022, with the remainder recognized thereafter over the duration of the customer contracts.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Allowance for Credit Losses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business with most major international pharmaceutical companies. Provision for credit losses at December 31, 2023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comprises: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4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3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Amounts used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(13,358)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(3,913)</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provided during the year</w:t>
            </w:r>
          </w:p>
        </w:tc>
        <w:tc>
          <w:tcPr>
            <w:tcW w:w="3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17,800</w:t>
            </w:r>
          </w:p>
        </w:tc>
      </w:tr>
      <w:tr>
        <w:trPr>
          <w:trHeight w:val="21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w:t>
            </w:r>
          </w:p>
        </w:tc>
        <w:tc>
          <w:tcPr>
            <w:tcW w:w="3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35"/>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provision</w:t>
            </w:r>
          </w:p>
        </w:tc>
        <w:tc>
          <w:tcPr>
            <w:tcW w:w="3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20,562</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6. Business Combinations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BioTel Research LLC Acquisition</w:t>
      </w:r>
    </w:p>
    <w:p>
      <w:pPr>
        <w:spacing w:after="0" w:line="2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On October 2, 2023, the Company acquired the entire outstanding equity interests of BioTel Research LLC (“BioTel”), a leading provider of medical imaging and cardiac safety monitoring services, from BioTelemetry Inc. in exchange for initial cash consideration of $68.1 million. Cash acquired amounted to $1.4 million. The purchase price allocation, as of the date of acquisition, was based on a preliminary valuation and may be subject to revision. Preliminarily, the BioTel acquisition resulted in the initial recognition of intangible assets of $36.4 million and goodwill of $23.4 million. Preliminary goodwill arising in connection with the acquisition is primarily attributable to the assembled workforce of BioTel and the expected synergies of the acquisition. The goodwill recognized is deductible for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Oncacare Limited Acquisition</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On April 20, 2023, the Company completed the purchase of the majority investor's 51% majority voting share capital of Oncacare Limited ("Oncacare") for $5.1 million, such that Oncacare and its subsidiaries became wholly-owned subsidiaries of the ICON Group. The Oncacare acquisition resulted in goodwill of $13.4 million and also gave rise to an acquisition-related gain of $6.2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Acquisition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Health Sciences, Inc., the parent of PRA Health Sciences ("the Acquisition" and "the Merger"). The combined company has retained the name ICON and brought together approximately 38,000 (as at the Merger date) employees across the globe, creating the world's largest clinical research organization with a singular focus on clinical research and commercialization. The Merger was accounted for as a business combination using the acquisition method of accounting in accordance with </w:t>
      </w:r>
      <w:r>
        <w:rPr>
          <w:rFonts w:ascii="Arial" w:cs="Arial" w:eastAsia="Arial" w:hAnsi="Arial"/>
          <w:sz w:val="16"/>
          <w:szCs w:val="16"/>
          <w:i w:val="1"/>
          <w:iCs w:val="1"/>
          <w:color w:val="auto"/>
        </w:rPr>
        <w:t>ASC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combined company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the ICON Group. Under the terms of the Merger, PRA shareholders received, per share, $80 in cash and 0.4125 shares of ICON stock.</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years ended December 31, 2023, December 31, 2022 and December 31, 2021, the Company incurred Merger-related expenses of $44.2 million, $39.7 million and $198.3 million, respectively, which were accounted for separately from the business combination and expensed as incurred within the “Transaction and integration related” line item of the Consolidated Statement of Operations. The costs consist of investment banking fees, advisory costs, professional fees, retention agreements with employees, accelerated share-based compensation charges and ongoing integration activities.</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the years ended December 31, 2023, December 31, 2022 and December 31, 2021 the Company incurred approximately $16.4 million, $17.7 million and $86.7 million of Merger-related financing fees which are included in the “Interest expense” line item in the Consolidated Statement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Date fair value of the consideration transferred consisted of the following: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708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23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2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2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2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09"/>
        </w:trPr>
        <w:tc>
          <w:tcPr>
            <w:tcW w:w="70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1"/>
        </w:trPr>
        <w:tc>
          <w:tcPr>
            <w:tcW w:w="70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8"/>
        <w:spacing w:after="0" w:line="304" w:lineRule="auto"/>
        <w:tabs>
          <w:tab w:leader="none" w:pos="1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ind w:firstLine="648"/>
        <w:spacing w:after="0" w:line="286" w:lineRule="auto"/>
        <w:rPr>
          <w:sz w:val="20"/>
          <w:szCs w:val="20"/>
          <w:color w:val="auto"/>
        </w:rPr>
      </w:pPr>
      <w:r>
        <w:rPr>
          <w:rFonts w:ascii="Arial" w:cs="Arial" w:eastAsia="Arial" w:hAnsi="Arial"/>
          <w:sz w:val="16"/>
          <w:szCs w:val="16"/>
          <w:color w:val="auto"/>
        </w:rPr>
        <w:t>The following table summarizes the allocation of the consideration transferred based on the Merger Date fair values of assets acquired and liabilities assumed, with the excess of the purchase price over the estimated fair values of the identifiable net assets acquired recorded as goodwill: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6"/>
        </w:trPr>
        <w:tc>
          <w:tcPr>
            <w:tcW w:w="6500" w:type="dxa"/>
            <w:vAlign w:val="bottom"/>
            <w:tcBorders>
              <w:bottom w:val="single" w:sz="8" w:color="auto"/>
            </w:tcBorders>
            <w:shd w:val="clear" w:color="auto" w:fill="CCEEFF"/>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5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259,971</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934,308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125,156</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156,851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180,601</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Goodwill *</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8,084,314</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4,919,000</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25,190</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(50,259)</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(380,048)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(36,506)</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(739,278)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(147,204)</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(1,119,762)</w:t>
            </w:r>
          </w:p>
        </w:tc>
      </w:tr>
      <w:tr>
        <w:trPr>
          <w:trHeight w:val="21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(204,291)</w:t>
            </w:r>
          </w:p>
        </w:tc>
      </w:tr>
      <w:tr>
        <w:trPr>
          <w:trHeight w:val="234"/>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12,041,971</w:t>
            </w:r>
          </w:p>
        </w:tc>
      </w:tr>
      <w:tr>
        <w:trPr>
          <w:trHeight w:val="20"/>
        </w:trPr>
        <w:tc>
          <w:tcPr>
            <w:tcW w:w="650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8"/>
        <w:spacing w:after="0" w:line="256" w:lineRule="auto"/>
        <w:tabs>
          <w:tab w:leader="none" w:pos="1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deductible for income tax purposes.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following table summarizes the fair value of identified intangible assets and their respective useful lives as of the Merger Date: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Estimated Fair Value</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0"/>
        </w:trPr>
        <w:tc>
          <w:tcPr>
            <w:tcW w:w="3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60" w:type="dxa"/>
            <w:vAlign w:val="bottom"/>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23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3,938,000</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years</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Order backlog</w:t>
            </w:r>
          </w:p>
        </w:tc>
        <w:tc>
          <w:tcPr>
            <w:tcW w:w="2480" w:type="dxa"/>
            <w:vAlign w:val="bottom"/>
          </w:tcPr>
          <w:p>
            <w:pPr>
              <w:spacing w:after="0"/>
              <w:rPr>
                <w:sz w:val="18"/>
                <w:szCs w:val="18"/>
                <w:color w:val="auto"/>
              </w:rPr>
            </w:pP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500,000</w:t>
            </w:r>
          </w:p>
        </w:tc>
        <w:tc>
          <w:tcPr>
            <w:tcW w:w="23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248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202,000</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2480" w:type="dxa"/>
            <w:vAlign w:val="bottom"/>
          </w:tcPr>
          <w:p>
            <w:pPr>
              <w:spacing w:after="0"/>
              <w:rPr>
                <w:sz w:val="18"/>
                <w:szCs w:val="18"/>
                <w:color w:val="auto"/>
              </w:rPr>
            </w:pP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168,000</w:t>
            </w:r>
          </w:p>
        </w:tc>
        <w:tc>
          <w:tcPr>
            <w:tcW w:w="2380" w:type="dxa"/>
            <w:vAlign w:val="bottom"/>
          </w:tcPr>
          <w:p>
            <w:pPr>
              <w:jc w:val="right"/>
              <w:spacing w:after="0"/>
              <w:rPr>
                <w:sz w:val="20"/>
                <w:szCs w:val="20"/>
                <w:color w:val="auto"/>
              </w:rPr>
            </w:pPr>
            <w:r>
              <w:rPr>
                <w:rFonts w:ascii="Arial" w:cs="Arial" w:eastAsia="Arial" w:hAnsi="Arial"/>
                <w:sz w:val="16"/>
                <w:szCs w:val="16"/>
                <w:color w:val="auto"/>
              </w:rPr>
              <w:t>7 years</w:t>
            </w:r>
          </w:p>
        </w:tc>
      </w:tr>
      <w:tr>
        <w:trPr>
          <w:trHeight w:val="216"/>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Technology assets</w:t>
            </w:r>
          </w:p>
        </w:tc>
        <w:tc>
          <w:tcPr>
            <w:tcW w:w="248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111,000</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10"/>
        </w:trPr>
        <w:tc>
          <w:tcPr>
            <w:tcW w:w="3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4,919,000</w:t>
            </w:r>
          </w:p>
        </w:tc>
        <w:tc>
          <w:tcPr>
            <w:tcW w:w="2380" w:type="dxa"/>
            <w:vAlign w:val="bottom"/>
            <w:tcBorders>
              <w:bottom w:val="single" w:sz="8" w:color="auto"/>
            </w:tcBorders>
          </w:tcPr>
          <w:p>
            <w:pPr>
              <w:spacing w:after="0"/>
              <w:rPr>
                <w:sz w:val="18"/>
                <w:szCs w:val="18"/>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jc w:val="both"/>
        <w:ind w:firstLine="648"/>
        <w:spacing w:after="0" w:line="266" w:lineRule="auto"/>
        <w:rPr>
          <w:sz w:val="20"/>
          <w:szCs w:val="20"/>
          <w:color w:val="auto"/>
        </w:rPr>
      </w:pPr>
      <w:r>
        <w:rPr>
          <w:rFonts w:ascii="Arial" w:cs="Arial" w:eastAsia="Arial" w:hAnsi="Arial"/>
          <w:sz w:val="16"/>
          <w:szCs w:val="16"/>
          <w:color w:val="auto"/>
        </w:rPr>
        <w:t>At June 30, 2022, the Company completed its review of the July 1, 2021 acquisition balance sheet of PRA and completed the final valuation associated with certain assets acquired and liabilities assumed. In the period since the Merger Date, the Company recognized certain measurement period adjustments as shown in the table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Measurement period</w:t>
            </w:r>
          </w:p>
        </w:tc>
      </w:tr>
      <w:tr>
        <w:trPr>
          <w:trHeight w:val="216"/>
        </w:trPr>
        <w:tc>
          <w:tcPr>
            <w:tcW w:w="616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r>
      <w:tr>
        <w:trPr>
          <w:trHeight w:val="210"/>
        </w:trPr>
        <w:tc>
          <w:tcPr>
            <w:tcW w:w="6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70,436</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(147,039)</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1,865</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19,623</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10,454</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193,837</w:t>
            </w:r>
          </w:p>
        </w:tc>
      </w:tr>
      <w:tr>
        <w:trPr>
          <w:trHeight w:val="21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(151,098)</w:t>
            </w:r>
          </w:p>
        </w:tc>
      </w:tr>
    </w:tbl>
    <w:p>
      <w:pPr>
        <w:spacing w:after="0" w:line="80" w:lineRule="exact"/>
        <w:rPr>
          <w:sz w:val="20"/>
          <w:szCs w:val="20"/>
          <w:color w:val="auto"/>
        </w:rPr>
      </w:pPr>
    </w:p>
    <w:p>
      <w:pPr>
        <w:ind w:right="20" w:firstLine="8"/>
        <w:spacing w:after="0" w:line="304" w:lineRule="auto"/>
        <w:tabs>
          <w:tab w:leader="none" w:pos="1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year ended December 31, 2022, the Company incurred a $2.2 million amortization expense which related to the year ended December 31, 2021 due to the timing of the measurement period adjustment.</w:t>
      </w:r>
    </w:p>
    <w:p>
      <w:pPr>
        <w:spacing w:after="0" w:line="168" w:lineRule="exact"/>
        <w:rPr>
          <w:sz w:val="20"/>
          <w:szCs w:val="20"/>
          <w:color w:val="auto"/>
        </w:rPr>
      </w:pPr>
    </w:p>
    <w:p>
      <w:pPr>
        <w:ind w:firstLine="8"/>
        <w:spacing w:after="0" w:line="286" w:lineRule="auto"/>
        <w:tabs>
          <w:tab w:leader="none" w:pos="2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unearned revenue measurement period adjustment also includes $16.0 million as a result of the early adoption of ASU 2021-08 'Business Combinations (Topic 805) - Accounting for Contract Assets and Contract Liabilities from Contracts with Customers' in Quarter 4 2021.</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30"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70"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0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and accounts payable approximate fair value due to the short maturities of these instruments.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23" w:name="page124"/>
    <w:bookmarkEnd w:id="123"/>
    <w:p>
      <w:pPr>
        <w:ind w:firstLine="648"/>
        <w:spacing w:after="0" w:line="286" w:lineRule="auto"/>
        <w:rPr>
          <w:sz w:val="20"/>
          <w:szCs w:val="20"/>
          <w:color w:val="auto"/>
        </w:rPr>
      </w:pPr>
      <w:r>
        <w:rPr>
          <w:rFonts w:ascii="Arial" w:cs="Arial" w:eastAsia="Arial" w:hAnsi="Arial"/>
          <w:sz w:val="16"/>
          <w:szCs w:val="16"/>
          <w:color w:val="auto"/>
        </w:rPr>
        <w:t>As of December 31, 2023, the fair value of the major classes of the Company's assets and liabilities measured at fair value on a recurring basis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Investments</w:t>
            </w: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8"/>
              </w:rPr>
              <w:t>Measured at Net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0" w:type="dxa"/>
            <w:vAlign w:val="bottom"/>
          </w:tcPr>
          <w:p>
            <w:pPr>
              <w:spacing w:after="0"/>
              <w:rPr>
                <w:sz w:val="1"/>
                <w:szCs w:val="1"/>
                <w:color w:val="auto"/>
              </w:rPr>
            </w:pPr>
          </w:p>
        </w:tc>
      </w:tr>
      <w:tr>
        <w:trPr>
          <w:trHeight w:val="21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48,758</w:t>
            </w:r>
          </w:p>
        </w:tc>
        <w:tc>
          <w:tcPr>
            <w:tcW w:w="0" w:type="dxa"/>
            <w:vAlign w:val="bottom"/>
          </w:tcPr>
          <w:p>
            <w:pPr>
              <w:spacing w:after="0"/>
              <w:rPr>
                <w:sz w:val="1"/>
                <w:szCs w:val="1"/>
                <w:color w:val="auto"/>
              </w:rPr>
            </w:pPr>
          </w:p>
        </w:tc>
      </w:tr>
      <w:tr>
        <w:trPr>
          <w:trHeight w:val="217"/>
        </w:trPr>
        <w:tc>
          <w:tcPr>
            <w:tcW w:w="5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7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486"/>
        </w:trPr>
        <w:tc>
          <w:tcPr>
            <w:tcW w:w="11240" w:type="dxa"/>
            <w:vAlign w:val="bottom"/>
            <w:tcBorders>
              <w:top w:val="single" w:sz="8" w:color="auto"/>
            </w:tcBorders>
            <w:gridSpan w:val="11"/>
          </w:tcPr>
          <w:p>
            <w:pPr>
              <w:ind w:left="660"/>
              <w:spacing w:after="0"/>
              <w:rPr>
                <w:sz w:val="20"/>
                <w:szCs w:val="20"/>
                <w:color w:val="auto"/>
              </w:rPr>
            </w:pPr>
            <w:r>
              <w:rPr>
                <w:rFonts w:ascii="Arial" w:cs="Arial" w:eastAsia="Arial" w:hAnsi="Arial"/>
                <w:sz w:val="16"/>
                <w:szCs w:val="16"/>
                <w:color w:val="auto"/>
              </w:rPr>
              <w:t>As of December 31, 2022, the fair value of the major classes of the Company's assets and liabilities measured at fair value on a recurring basis</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were as follows: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0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Investments</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8"/>
              </w:rPr>
              <w:t>Measured at Net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0" w:type="dxa"/>
            <w:vAlign w:val="bottom"/>
          </w:tcPr>
          <w:p>
            <w:pPr>
              <w:spacing w:after="0"/>
              <w:rPr>
                <w:sz w:val="1"/>
                <w:szCs w:val="1"/>
                <w:color w:val="auto"/>
              </w:rPr>
            </w:pPr>
          </w:p>
        </w:tc>
      </w:tr>
      <w:tr>
        <w:trPr>
          <w:trHeight w:val="21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c>
          <w:tcPr>
            <w:tcW w:w="0" w:type="dxa"/>
            <w:vAlign w:val="bottom"/>
          </w:tcPr>
          <w:p>
            <w:pPr>
              <w:spacing w:after="0"/>
              <w:rPr>
                <w:sz w:val="1"/>
                <w:szCs w:val="1"/>
                <w:color w:val="auto"/>
              </w:rPr>
            </w:pPr>
          </w:p>
        </w:tc>
      </w:tr>
      <w:tr>
        <w:trPr>
          <w:trHeight w:val="203"/>
        </w:trPr>
        <w:tc>
          <w:tcPr>
            <w:tcW w:w="50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0"/>
        </w:trPr>
        <w:tc>
          <w:tcPr>
            <w:tcW w:w="50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8"/>
        <w:spacing w:after="0" w:line="286" w:lineRule="auto"/>
        <w:tabs>
          <w:tab w:leader="none" w:pos="251"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fair value of highly liquid investments with maturities greater than three months, a minimum "A-" rated fixed term deposit and are based on quoted market prices.</w:t>
      </w:r>
    </w:p>
    <w:p>
      <w:pPr>
        <w:spacing w:after="0" w:line="196" w:lineRule="exact"/>
        <w:rPr>
          <w:rFonts w:ascii="Arial" w:cs="Arial" w:eastAsia="Arial" w:hAnsi="Arial"/>
          <w:sz w:val="16"/>
          <w:szCs w:val="16"/>
          <w:color w:val="auto"/>
        </w:rPr>
      </w:pPr>
    </w:p>
    <w:p>
      <w:pPr>
        <w:jc w:val="both"/>
        <w:ind w:firstLine="8"/>
        <w:spacing w:after="0" w:line="260" w:lineRule="auto"/>
        <w:tabs>
          <w:tab w:leader="none" w:pos="25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determine the classification of interests in long-term investments, the Company considered the nature of its investment, the extent of influence over operating and financial decisions and the availability of readily determinable fair values. The Company determined that the interests in funds at December 31, 2023 and December 31, 2022 meet the definition of equity securities without readily determinable fair values. The Company concluded that the interests held at December 31, 2023 and December 31, 2022 qualify for the NAV practical expedient in ASC 820. Any increases or decreases in fair value are recognized in net income in the period.</w:t>
      </w:r>
    </w:p>
    <w:p>
      <w:pPr>
        <w:spacing w:after="0" w:line="218" w:lineRule="exact"/>
        <w:rPr>
          <w:rFonts w:ascii="Arial" w:cs="Arial" w:eastAsia="Arial" w:hAnsi="Arial"/>
          <w:sz w:val="16"/>
          <w:szCs w:val="16"/>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fair value of the interest rate caps and the interest rate swap.</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Certain assets and liabilities are carried on the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December 31, 2023, assets carried on the balance sheet and not re-measured to fair value on a recurring basis totaled approximately $12,878.0 million (December 31, 2022: $13,250.4 million) and are identified as Level 3 assets. These assets are comprised of goodwill of $9,022.1 million (December 31, 2022: $8,971.7 million) and intangible assets of $3,855.9 million (December 31, 2022: $4,278.7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both"/>
        <w:ind w:right="20" w:firstLine="648"/>
        <w:spacing w:after="0" w:line="275" w:lineRule="auto"/>
        <w:rPr>
          <w:sz w:val="20"/>
          <w:szCs w:val="20"/>
          <w:color w:val="auto"/>
        </w:rPr>
      </w:pPr>
      <w:r>
        <w:rPr>
          <w:rFonts w:ascii="Arial" w:cs="Arial" w:eastAsia="Arial" w:hAnsi="Arial"/>
          <w:sz w:val="16"/>
          <w:szCs w:val="16"/>
          <w:color w:val="auto"/>
        </w:rPr>
        <w:t>The estimated fair value of the Company’s debt was $3,793.5 million at December 31, 2023 (December 31, 2022: $4,650.3 million).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Investments</w:t>
      </w:r>
    </w:p>
    <w:p>
      <w:pPr>
        <w:spacing w:after="0" w:line="262"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for sale investments (short-term)</w:t>
      </w:r>
    </w:p>
    <w:p>
      <w:pPr>
        <w:spacing w:after="0" w:line="10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As at December 31, 2023, the Company held $2.0 million of available for sale investments (December 31, 2022: $1.7 million). Short-term investments comprise highly liquid investments with maturities of greater than three months and minimum "A-" rated fixed term deposits. The Company classifies its short- term investments as available for sale.</w:t>
      </w:r>
    </w:p>
    <w:p>
      <w:pPr>
        <w:spacing w:after="0" w:line="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Short term investments at December 31, 2023 have an average maturity of 3.6 years compared to 2.8 years at December 31, 2022. The contractual maturity of certain investments in the portfolio is greater than 12 months; however, classification as short-term investments reflects the Company's practice and intention in respect of these investments. The Company recognizes the unrealized losses in equity as these unrealized losses on short-term investments have been considered as temporary.</w:t>
      </w:r>
    </w:p>
    <w:p>
      <w:pPr>
        <w:spacing w:after="0" w:line="195"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for sale investments (long-term)</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entered into subscription agreements with a number of funds. During the year ended December 31, 2023, capital totaling $14.0 million (December 31, 2022: $3.7 million) had been advanced under the terms of the subscription agreements. The Company determined that the interest in funds meets the definition of equity securities without readily determinable fair values. The Company therefore concluded that the interests held at December 31, 2023 and December 31, 2022 qualify for the NAV practical expedient in ASC 820.</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There was an increase in fair value of $0.2 million (December 31, 2022: $6.3 million) recognized in net income during the year bringing the carrying value of the subscriptions to $46.8 million at December 31, 2023 (December 31, 2022: $32.6 million). At December 31, 2023, the Company had committed to future investments of $66.4 million in respect of these funds.</w:t>
      </w:r>
    </w:p>
    <w:p>
      <w:pPr>
        <w:spacing w:after="0" w:line="191"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24, 2020, the Company obtained a 49% interest in the voting share capital of Oncacare in exchange for consideration of $4.9 million. At that time, the Company’s investment in Oncacare was accounted for under the equity method due to the Company's ability to exercise significant influence over Oncacare. The Company recorded its pro rata share of the earnings/losses of this investment in 'Share of losses in equity investments' in the Consolidated Statement of Operations.</w:t>
      </w:r>
    </w:p>
    <w:p>
      <w:pPr>
        <w:spacing w:after="0" w:line="212"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Company has recorded losses of $0.4 million, $3.1 million and $2.2 million representing its pro rata share of the losses in Oncacare during the year ended December 31, 2023, December 31, 2022 and December 31, 2021, respectively.</w:t>
      </w:r>
    </w:p>
    <w:p>
      <w:pPr>
        <w:spacing w:after="0" w:line="168" w:lineRule="exact"/>
        <w:rPr>
          <w:sz w:val="20"/>
          <w:szCs w:val="20"/>
          <w:color w:val="auto"/>
        </w:rPr>
      </w:pPr>
    </w:p>
    <w:p>
      <w:pPr>
        <w:ind w:right="2100" w:firstLine="648"/>
        <w:spacing w:after="0" w:line="286" w:lineRule="auto"/>
        <w:rPr>
          <w:sz w:val="20"/>
          <w:szCs w:val="20"/>
          <w:color w:val="auto"/>
        </w:rPr>
      </w:pPr>
      <w:r>
        <w:rPr>
          <w:rFonts w:ascii="Arial" w:cs="Arial" w:eastAsia="Arial" w:hAnsi="Arial"/>
          <w:sz w:val="16"/>
          <w:szCs w:val="16"/>
          <w:color w:val="auto"/>
        </w:rPr>
        <w:t>On April 20, 2023, the Company completed the purchase of the majority investor's 51% majority voting share capital of Oncacare, such that Oncacare and its subsidiaries became wholly-owned subsidiaries of the ICON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9. Property, Plant and Equipment, net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Property, Plant and Equipment for the years ended December 31, 2023 and 2022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0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6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Land</w:t>
            </w:r>
          </w:p>
        </w:tc>
        <w:tc>
          <w:tcPr>
            <w:tcW w:w="2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70,880</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550,119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500,135</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fixtures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56,217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59,946</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65,167</w:t>
            </w:r>
          </w:p>
        </w:tc>
      </w:tr>
      <w:tr>
        <w:trPr>
          <w:trHeight w:val="21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Motor vehicles</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60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781,067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750,493</w:t>
            </w:r>
          </w:p>
        </w:tc>
      </w:tr>
      <w:tr>
        <w:trPr>
          <w:trHeight w:val="20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 and asset write offs</w:t>
            </w:r>
          </w:p>
        </w:tc>
        <w:tc>
          <w:tcPr>
            <w:tcW w:w="2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(419,883)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(400,173)</w:t>
            </w:r>
          </w:p>
        </w:tc>
      </w:tr>
      <w:tr>
        <w:trPr>
          <w:trHeight w:val="24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361,184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350,320</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The depreciation expense recognized by the Company was $126.1 million, $106.4 million, and $75.5 million for the twelve months ended December 31, 2023, 2022, and 2021, respectively.</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regularly updates its register of property, plant and equipment and during the year ended December 31, 2023 and the year ended December 31, 2022, certain fully depreciated assets were written off as they were no longer used by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Goodwill</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the carrying amount of goodwill for the years ended December 31, 2023 and 2022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38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goodwill</w:t>
            </w:r>
          </w:p>
        </w:tc>
        <w:tc>
          <w:tcPr>
            <w:tcW w:w="3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8,971,670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9,037,931</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Current year acquisitions (note 6)</w:t>
            </w:r>
          </w:p>
        </w:tc>
        <w:tc>
          <w:tcPr>
            <w:tcW w:w="3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36,750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acquisition (note 6)</w:t>
            </w:r>
          </w:p>
        </w:tc>
        <w:tc>
          <w:tcPr>
            <w:tcW w:w="3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(35,692)</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(30,569)</w:t>
            </w:r>
          </w:p>
        </w:tc>
      </w:tr>
      <w:tr>
        <w:trPr>
          <w:trHeight w:val="24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goodwill</w:t>
            </w:r>
          </w:p>
        </w:tc>
        <w:tc>
          <w:tcPr>
            <w:tcW w:w="3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9,022,075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8,971,670</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goodwill impairment losses for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t>11. 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for the years ended December 31, 2023 and 2022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12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34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4,090,393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4,076,435</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Order backlog</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541,302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536,934</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&amp; brands</w:t>
            </w:r>
          </w:p>
        </w:tc>
        <w:tc>
          <w:tcPr>
            <w:tcW w:w="3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204,653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204,621</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170,366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170,238</w:t>
            </w:r>
          </w:p>
        </w:tc>
      </w:tr>
      <w:tr>
        <w:trPr>
          <w:trHeight w:val="224"/>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Technology assets</w:t>
            </w:r>
          </w:p>
        </w:tc>
        <w:tc>
          <w:tcPr>
            <w:tcW w:w="3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141,257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120,984</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5,147,971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5,109,212</w:t>
            </w:r>
          </w:p>
        </w:tc>
      </w:tr>
      <w:tr>
        <w:trPr>
          <w:trHeight w:val="257"/>
        </w:trPr>
        <w:tc>
          <w:tcPr>
            <w:tcW w:w="512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(1,292,106)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(830,553)</w:t>
            </w:r>
          </w:p>
        </w:tc>
      </w:tr>
      <w:tr>
        <w:trPr>
          <w:trHeight w:val="402"/>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book value</w:t>
            </w:r>
          </w:p>
        </w:tc>
        <w:tc>
          <w:tcPr>
            <w:tcW w:w="3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3,855,865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4,278,659</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amortization expense recognized by the Company was $459.9 million, $463.1 million, and $239.5 million for the twelve months ended December 31, 2023, 2022, and 2021, respectively.</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October 2, 2023, the Company acquired the entire outstanding equity interests of BioTel Research LLC (“BioTel”), a leading provider of medical imaging and cardiac safety monitoring services, from BioTelemetry Inc. in exchange for initial cash consideration of $68.1 million. The acquisition resulted in the recognition of intangible assets of $36.4 million, comprising customer relationships of $12.5 million, order backlog of $3.9 million and technology assets of $20.0 million. These assets will be amortized over their expected useful lives of between 3 and 16 years. In total, $1.5 million has been amortized in the period since the date of acquisition.</w:t>
      </w:r>
    </w:p>
    <w:p>
      <w:pPr>
        <w:spacing w:after="0" w:line="1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1, 2021, ICON plc announced the completion of its Merger with PRA Health Sciences, Inc. The Merger resulted in the recognition of Customer relationships of $3,938.0 million, Order backlog of $500.0 million, Trade names of $202.0 million, Patient database of $168.0 million and Technology assets of $111.0 million. These assets are being amortized over their expected useful lives of between 3 and 23 years. The valuation of these assets was finalized in June 30, 2022. In total, $1,128.5 million has been amortized in the period since the date of acquisition, $451.4 million has been amortized in the year ended December 31, 2023.</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Future intangible asset amortization expense for the years ended December 31, 2024 to December 31, 2028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Borders>
              <w:bottom w:val="single" w:sz="8" w:color="auto"/>
            </w:tcBorders>
            <w:shd w:val="clear" w:color="auto" w:fill="CCEEFF"/>
          </w:tcPr>
          <w:p>
            <w:pPr>
              <w:spacing w:after="0"/>
              <w:rPr>
                <w:sz w:val="18"/>
                <w:szCs w:val="18"/>
                <w:color w:val="auto"/>
              </w:rPr>
            </w:pPr>
          </w:p>
        </w:tc>
        <w:tc>
          <w:tcPr>
            <w:tcW w:w="49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2024</w:t>
            </w:r>
          </w:p>
        </w:tc>
        <w:tc>
          <w:tcPr>
            <w:tcW w:w="4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344,518</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229,106</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2026</w:t>
            </w:r>
          </w:p>
        </w:tc>
        <w:tc>
          <w:tcPr>
            <w:tcW w:w="4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214,869</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202,539</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2028</w:t>
            </w:r>
          </w:p>
        </w:tc>
        <w:tc>
          <w:tcPr>
            <w:tcW w:w="4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189,539</w:t>
            </w:r>
          </w:p>
        </w:tc>
      </w:tr>
      <w:tr>
        <w:trPr>
          <w:trHeight w:val="24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1,180,571</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49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12. Other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Other Liabilities for the years ended December 31, 2023 and 2022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56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trade and overhead liabilities*</w:t>
            </w:r>
          </w:p>
        </w:tc>
        <w:tc>
          <w:tcPr>
            <w:tcW w:w="3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463,882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530,204</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Personnel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385,499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395,862</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43,657</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Facility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11,078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16,896</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Restructuring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5,512</w:t>
            </w:r>
          </w:p>
        </w:tc>
      </w:tr>
      <w:tr>
        <w:trPr>
          <w:trHeight w:val="224"/>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Short term government grants</w:t>
            </w:r>
          </w:p>
        </w:tc>
        <w:tc>
          <w:tcPr>
            <w:tcW w:w="3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55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915,399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1,005,025</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*includes amounts due to third parties in respect of accrued reimbursable investigator expenses of $333.0 million at December 31, 2023 and $406.3 million at December 31, 2022.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Bank Credit Lines and Loan Facilities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December 31, 2023 and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00" w:type="dxa"/>
            <w:vAlign w:val="bottom"/>
            <w:tcBorders>
              <w:bottom w:val="single" w:sz="8" w:color="auto"/>
            </w:tcBorders>
            <w:gridSpan w:val="2"/>
            <w:shd w:val="clear" w:color="auto" w:fill="CCEEFF"/>
          </w:tcPr>
          <w:p>
            <w:pPr>
              <w:jc w:val="right"/>
              <w:ind w:right="1017"/>
              <w:spacing w:after="0"/>
              <w:rPr>
                <w:sz w:val="20"/>
                <w:szCs w:val="20"/>
                <w:color w:val="auto"/>
              </w:rPr>
            </w:pPr>
            <w:r>
              <w:rPr>
                <w:rFonts w:ascii="Arial" w:cs="Arial" w:eastAsia="Arial" w:hAnsi="Arial"/>
                <w:sz w:val="16"/>
                <w:szCs w:val="16"/>
                <w:b w:val="1"/>
                <w:bCs w:val="1"/>
                <w:color w:val="auto"/>
              </w:rPr>
              <w:t>Interest rate as of</w:t>
            </w:r>
          </w:p>
        </w:tc>
        <w:tc>
          <w:tcPr>
            <w:tcW w:w="2620" w:type="dxa"/>
            <w:vAlign w:val="bottom"/>
            <w:tcBorders>
              <w:bottom w:val="single" w:sz="8" w:color="auto"/>
            </w:tcBorders>
            <w:gridSpan w:val="3"/>
            <w:shd w:val="clear" w:color="auto" w:fill="CCEEFF"/>
          </w:tcPr>
          <w:p>
            <w:pPr>
              <w:jc w:val="right"/>
              <w:ind w:right="478"/>
              <w:spacing w:after="0"/>
              <w:rPr>
                <w:sz w:val="20"/>
                <w:szCs w:val="20"/>
                <w:color w:val="auto"/>
              </w:rPr>
            </w:pPr>
            <w:r>
              <w:rPr>
                <w:rFonts w:ascii="Arial" w:cs="Arial" w:eastAsia="Arial" w:hAnsi="Arial"/>
                <w:sz w:val="16"/>
                <w:szCs w:val="16"/>
                <w:b w:val="1"/>
                <w:bCs w:val="1"/>
                <w:color w:val="auto"/>
              </w:rPr>
              <w:t>Principal amount as of</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7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Maturity Date</w:t>
            </w: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December 31, 2023</w:t>
            </w:r>
          </w:p>
        </w:tc>
        <w:tc>
          <w:tcPr>
            <w:tcW w:w="1740" w:type="dxa"/>
            <w:vAlign w:val="bottom"/>
            <w:vMerge w:val="restart"/>
          </w:tcPr>
          <w:p>
            <w:pPr>
              <w:jc w:val="right"/>
              <w:ind w:right="157"/>
              <w:spacing w:after="0"/>
              <w:rPr>
                <w:sz w:val="20"/>
                <w:szCs w:val="20"/>
                <w:color w:val="auto"/>
              </w:rPr>
            </w:pPr>
            <w:r>
              <w:rPr>
                <w:rFonts w:ascii="Arial" w:cs="Arial" w:eastAsia="Arial" w:hAnsi="Arial"/>
                <w:sz w:val="16"/>
                <w:szCs w:val="16"/>
                <w:b w:val="1"/>
                <w:bCs w:val="1"/>
                <w:color w:val="auto"/>
              </w:rPr>
              <w:t>December 31, 2022</w:t>
            </w: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778"/>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Senior Secured Term Loan</w:t>
            </w:r>
          </w:p>
        </w:tc>
        <w:tc>
          <w:tcPr>
            <w:tcW w:w="1760" w:type="dxa"/>
            <w:vAlign w:val="bottom"/>
          </w:tcPr>
          <w:p>
            <w:pPr>
              <w:ind w:left="400"/>
              <w:spacing w:after="0"/>
              <w:rPr>
                <w:sz w:val="20"/>
                <w:szCs w:val="20"/>
                <w:color w:val="auto"/>
              </w:rPr>
            </w:pPr>
            <w:r>
              <w:rPr>
                <w:rFonts w:ascii="Arial" w:cs="Arial" w:eastAsia="Arial" w:hAnsi="Arial"/>
                <w:sz w:val="16"/>
                <w:szCs w:val="16"/>
                <w:color w:val="auto"/>
              </w:rPr>
              <w:t>July 2028</w:t>
            </w:r>
          </w:p>
        </w:tc>
        <w:tc>
          <w:tcPr>
            <w:tcW w:w="1560" w:type="dxa"/>
            <w:vAlign w:val="bottom"/>
          </w:tcPr>
          <w:p>
            <w:pPr>
              <w:jc w:val="right"/>
              <w:spacing w:after="0"/>
              <w:rPr>
                <w:sz w:val="20"/>
                <w:szCs w:val="20"/>
                <w:color w:val="auto"/>
              </w:rPr>
            </w:pPr>
            <w:r>
              <w:rPr>
                <w:rFonts w:ascii="Arial" w:cs="Arial" w:eastAsia="Arial" w:hAnsi="Arial"/>
                <w:sz w:val="16"/>
                <w:szCs w:val="16"/>
                <w:color w:val="auto"/>
              </w:rPr>
              <w:t>7.860 %</w:t>
            </w:r>
          </w:p>
        </w:tc>
        <w:tc>
          <w:tcPr>
            <w:tcW w:w="1740" w:type="dxa"/>
            <w:vAlign w:val="bottom"/>
          </w:tcPr>
          <w:p>
            <w:pPr>
              <w:jc w:val="right"/>
              <w:ind w:right="37"/>
              <w:spacing w:after="0"/>
              <w:rPr>
                <w:sz w:val="20"/>
                <w:szCs w:val="20"/>
                <w:color w:val="auto"/>
              </w:rPr>
            </w:pPr>
            <w:r>
              <w:rPr>
                <w:rFonts w:ascii="Arial" w:cs="Arial" w:eastAsia="Arial" w:hAnsi="Arial"/>
                <w:sz w:val="16"/>
                <w:szCs w:val="16"/>
                <w:color w:val="auto"/>
              </w:rPr>
              <w:t>7.092 % $</w:t>
            </w:r>
          </w:p>
        </w:tc>
        <w:tc>
          <w:tcPr>
            <w:tcW w:w="1180" w:type="dxa"/>
            <w:vAlign w:val="bottom"/>
          </w:tcPr>
          <w:p>
            <w:pPr>
              <w:jc w:val="right"/>
              <w:spacing w:after="0"/>
              <w:rPr>
                <w:sz w:val="20"/>
                <w:szCs w:val="20"/>
                <w:color w:val="auto"/>
              </w:rPr>
            </w:pPr>
            <w:r>
              <w:rPr>
                <w:rFonts w:ascii="Arial" w:cs="Arial" w:eastAsia="Arial" w:hAnsi="Arial"/>
                <w:sz w:val="16"/>
                <w:szCs w:val="16"/>
                <w:color w:val="auto"/>
              </w:rPr>
              <w:t>3,251,213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4,201,213</w:t>
            </w: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17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July 2026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2.875 %</w:t>
            </w:r>
          </w:p>
        </w:tc>
        <w:tc>
          <w:tcPr>
            <w:tcW w:w="174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2.875 %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Senior Secured Revolving Loan Facility</w:t>
            </w:r>
          </w:p>
        </w:tc>
        <w:tc>
          <w:tcPr>
            <w:tcW w:w="17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January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6.720 %</w:t>
            </w:r>
          </w:p>
        </w:tc>
        <w:tc>
          <w:tcPr>
            <w:tcW w:w="17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4,701,213</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 of debt</w:t>
            </w:r>
          </w:p>
        </w:tc>
        <w:tc>
          <w:tcPr>
            <w:tcW w:w="1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3,696,063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4,646,063</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3,665,439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4,599,037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both"/>
        <w:ind w:firstLine="648"/>
        <w:spacing w:after="0" w:line="265" w:lineRule="auto"/>
        <w:rPr>
          <w:sz w:val="20"/>
          <w:szCs w:val="20"/>
          <w:color w:val="auto"/>
        </w:rPr>
      </w:pPr>
      <w:r>
        <w:rPr>
          <w:rFonts w:ascii="Arial" w:cs="Arial" w:eastAsia="Arial" w:hAnsi="Arial"/>
          <w:sz w:val="16"/>
          <w:szCs w:val="16"/>
          <w:color w:val="auto"/>
        </w:rPr>
        <w:t>The Company incurred interest costs from various financing arrangements during the years ended December 31, 2023, December 31, 2022 and December 31, 2021 as set out in the table below. These costs have been charged in the interest expense line of the Consolidated Statement of Operations. In the years ending December 31, 2023, December 31, 2022 and December 31, 2021, the Company expensed $16.4 million, $17.7 million and $86.7 million of transaction related financing costs, inclusive of the amortization of financing fees which were previously capitalized, associated with the debt facilities used to finance the Merger.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209"/>
        </w:trPr>
        <w:tc>
          <w:tcPr>
            <w:tcW w:w="5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Interest expense on drawn facilities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311,019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209,189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93,809</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merger related financing fees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16,402</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17,749</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12,890</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Transaction and one time financing costs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75,391</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financing costs*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9,278</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financing costs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336,699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182,423</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8"/>
        </w:trPr>
        <w:tc>
          <w:tcPr>
            <w:tcW w:w="5620" w:type="dxa"/>
            <w:vAlign w:val="bottom"/>
          </w:tcPr>
          <w:p>
            <w:pPr>
              <w:spacing w:after="0"/>
              <w:rPr>
                <w:sz w:val="20"/>
                <w:szCs w:val="20"/>
                <w:color w:val="auto"/>
              </w:rPr>
            </w:pPr>
            <w:r>
              <w:rPr>
                <w:rFonts w:ascii="Arial" w:cs="Arial" w:eastAsia="Arial" w:hAnsi="Arial"/>
                <w:sz w:val="16"/>
                <w:szCs w:val="16"/>
                <w:color w:val="auto"/>
              </w:rPr>
              <w:t>*Includes costs associated with the senior secured revolving loan facility.</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9360" w:type="dxa"/>
            <w:vAlign w:val="bottom"/>
            <w:gridSpan w:val="5"/>
          </w:tcPr>
          <w:p>
            <w:pPr>
              <w:jc w:val="right"/>
              <w:ind w:right="1199"/>
              <w:spacing w:after="0"/>
              <w:rPr>
                <w:sz w:val="20"/>
                <w:szCs w:val="20"/>
                <w:color w:val="auto"/>
              </w:rPr>
            </w:pPr>
            <w:r>
              <w:rPr>
                <w:rFonts w:ascii="Arial" w:cs="Arial" w:eastAsia="Arial" w:hAnsi="Arial"/>
                <w:sz w:val="16"/>
                <w:szCs w:val="16"/>
                <w:color w:val="auto"/>
              </w:rPr>
              <w:t>As of December 31, 2023, the contractual maturities of the Company's debt obligations were as follows: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debt:</w:t>
            </w:r>
          </w:p>
        </w:tc>
        <w:tc>
          <w:tcPr>
            <w:tcW w:w="40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2024</w:t>
            </w:r>
          </w:p>
        </w:tc>
        <w:tc>
          <w:tcPr>
            <w:tcW w:w="40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110,150</w:t>
            </w: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0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2026</w:t>
            </w:r>
          </w:p>
        </w:tc>
        <w:tc>
          <w:tcPr>
            <w:tcW w:w="40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555,150</w:t>
            </w: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0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2028 and thereafter</w:t>
            </w:r>
          </w:p>
        </w:tc>
        <w:tc>
          <w:tcPr>
            <w:tcW w:w="4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3,030,613</w:t>
            </w:r>
          </w:p>
        </w:tc>
      </w:tr>
      <w:tr>
        <w:trPr>
          <w:trHeight w:val="234"/>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3,806,213</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May 2, 2023, the Company agreed with its lenders to increase the aggregate principal amount of the senior secured revolving loan facility from $300 million to $500 million.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As of December 31, 2023, the applicable margin is 2.25%. The senior secured term loan facility is subject to a floor of 0.50%.</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As at December 31, 2023, $445.0 million remained undrawn under the senior secured revolving loan facility.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jc w:val="both"/>
        <w:ind w:right="20" w:firstLine="648"/>
        <w:spacing w:after="0" w:line="265"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199" w:lineRule="exact"/>
        <w:rPr>
          <w:sz w:val="20"/>
          <w:szCs w:val="20"/>
          <w:color w:val="auto"/>
        </w:rPr>
      </w:pPr>
    </w:p>
    <w:p>
      <w:pPr>
        <w:jc w:val="both"/>
        <w:ind w:firstLine="256"/>
        <w:spacing w:after="0" w:line="286" w:lineRule="auto"/>
        <w:rPr>
          <w:sz w:val="20"/>
          <w:szCs w:val="20"/>
          <w:color w:val="auto"/>
        </w:rPr>
      </w:pPr>
      <w:r>
        <w:rPr>
          <w:rFonts w:ascii="Arial" w:cs="Arial" w:eastAsia="Arial" w:hAnsi="Arial"/>
          <w:sz w:val="16"/>
          <w:szCs w:val="16"/>
          <w:color w:val="auto"/>
        </w:rPr>
        <w:t>Principal repayments, comprising mandatory and voluntary repayments, during the year ended December 31, 2023 and December 31, 2022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29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4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w:t>
            </w:r>
          </w:p>
        </w:tc>
        <w:tc>
          <w:tcPr>
            <w:tcW w:w="29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Quarter 2</w:t>
            </w:r>
          </w:p>
        </w:tc>
        <w:tc>
          <w:tcPr>
            <w:tcW w:w="29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150,000</w:t>
            </w:r>
          </w:p>
        </w:tc>
        <w:tc>
          <w:tcPr>
            <w:tcW w:w="6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w:t>
            </w:r>
          </w:p>
        </w:tc>
        <w:tc>
          <w:tcPr>
            <w:tcW w:w="29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5"/>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w:t>
            </w:r>
          </w:p>
        </w:tc>
        <w:tc>
          <w:tcPr>
            <w:tcW w:w="29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r>
      <w:tr>
        <w:trPr>
          <w:trHeight w:val="234"/>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950,000</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56"/>
        <w:spacing w:after="0" w:line="304" w:lineRule="auto"/>
        <w:rPr>
          <w:sz w:val="20"/>
          <w:szCs w:val="20"/>
          <w:color w:val="auto"/>
        </w:rPr>
      </w:pPr>
      <w:r>
        <w:rPr>
          <w:rFonts w:ascii="Arial" w:cs="Arial" w:eastAsia="Arial" w:hAnsi="Arial"/>
          <w:sz w:val="16"/>
          <w:szCs w:val="16"/>
          <w:color w:val="auto"/>
        </w:rPr>
        <w:t>The voluntary repayments made during the year resulted in an accelerated charge associated with previously capitalized fees of $7.9 million (December 31, 2022: $7.8 million).</w:t>
      </w:r>
    </w:p>
    <w:p>
      <w:pPr>
        <w:spacing w:after="0" w:line="168" w:lineRule="exact"/>
        <w:rPr>
          <w:sz w:val="20"/>
          <w:szCs w:val="20"/>
          <w:color w:val="auto"/>
        </w:rPr>
      </w:pPr>
    </w:p>
    <w:p>
      <w:pPr>
        <w:jc w:val="both"/>
        <w:ind w:firstLine="256"/>
        <w:spacing w:after="0" w:line="275" w:lineRule="auto"/>
        <w:rPr>
          <w:sz w:val="20"/>
          <w:szCs w:val="20"/>
          <w:color w:val="auto"/>
        </w:rPr>
      </w:pPr>
      <w:r>
        <w:rPr>
          <w:rFonts w:ascii="Arial" w:cs="Arial" w:eastAsia="Arial" w:hAnsi="Arial"/>
          <w:sz w:val="16"/>
          <w:szCs w:val="16"/>
          <w:color w:val="auto"/>
        </w:rPr>
        <w:t>During the year ended December 31, 2023, the Company drew down $370.0 million (December 31, 2022: $75.0 million) of the senior secured revolving loan facility and repaid $315.0 million (December 31, 2022: $75.0 million) as shown below. As at December 31, 2023, $55.0 million (December 31, 2022: $nil) was drawn under the senior secured revolving loan facility.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3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Repayment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10"/>
        </w:trPr>
        <w:tc>
          <w:tcPr>
            <w:tcW w:w="3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1700" w:type="dxa"/>
            <w:vAlign w:val="bottom"/>
          </w:tcPr>
          <w:p>
            <w:pPr>
              <w:spacing w:after="0"/>
              <w:rPr>
                <w:sz w:val="18"/>
                <w:szCs w:val="18"/>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22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2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2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180,000</w:t>
            </w:r>
          </w:p>
        </w:tc>
        <w:tc>
          <w:tcPr>
            <w:tcW w:w="340" w:type="dxa"/>
            <w:vAlign w:val="bottom"/>
          </w:tcPr>
          <w:p>
            <w:pPr>
              <w:spacing w:after="0"/>
              <w:rPr>
                <w:sz w:val="18"/>
                <w:szCs w:val="18"/>
                <w:color w:val="auto"/>
              </w:rPr>
            </w:pPr>
          </w:p>
        </w:tc>
        <w:tc>
          <w:tcPr>
            <w:tcW w:w="2440" w:type="dxa"/>
            <w:vAlign w:val="bottom"/>
          </w:tcPr>
          <w:p>
            <w:pPr>
              <w:jc w:val="right"/>
              <w:ind w:right="539"/>
              <w:spacing w:after="0"/>
              <w:rPr>
                <w:sz w:val="20"/>
                <w:szCs w:val="20"/>
                <w:color w:val="auto"/>
              </w:rPr>
            </w:pPr>
            <w:r>
              <w:rPr>
                <w:rFonts w:ascii="Arial" w:cs="Arial" w:eastAsia="Arial" w:hAnsi="Arial"/>
                <w:sz w:val="16"/>
                <w:szCs w:val="16"/>
                <w:color w:val="auto"/>
              </w:rPr>
              <w:t>100,000</w:t>
            </w:r>
          </w:p>
        </w:tc>
        <w:tc>
          <w:tcPr>
            <w:tcW w:w="17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1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2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80,000</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2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18"/>
                <w:szCs w:val="18"/>
                <w:color w:val="auto"/>
              </w:rPr>
            </w:pPr>
          </w:p>
        </w:tc>
        <w:tc>
          <w:tcPr>
            <w:tcW w:w="2440" w:type="dxa"/>
            <w:vAlign w:val="bottom"/>
          </w:tcPr>
          <w:p>
            <w:pPr>
              <w:jc w:val="right"/>
              <w:ind w:right="539"/>
              <w:spacing w:after="0"/>
              <w:rPr>
                <w:sz w:val="20"/>
                <w:szCs w:val="20"/>
                <w:color w:val="auto"/>
              </w:rPr>
            </w:pPr>
            <w:r>
              <w:rPr>
                <w:rFonts w:ascii="Arial" w:cs="Arial" w:eastAsia="Arial" w:hAnsi="Arial"/>
                <w:sz w:val="16"/>
                <w:szCs w:val="16"/>
                <w:color w:val="auto"/>
              </w:rPr>
              <w:t>50,000</w:t>
            </w:r>
          </w:p>
        </w:tc>
        <w:tc>
          <w:tcPr>
            <w:tcW w:w="170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216"/>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2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34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85,000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r>
      <w:tr>
        <w:trPr>
          <w:trHeight w:val="210"/>
        </w:trPr>
        <w:tc>
          <w:tcPr>
            <w:tcW w:w="30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370,000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315,000</w:t>
            </w:r>
          </w:p>
        </w:tc>
        <w:tc>
          <w:tcPr>
            <w:tcW w:w="1700" w:type="dxa"/>
            <w:vAlign w:val="bottom"/>
            <w:tcBorders>
              <w:bottom w:val="single" w:sz="8" w:color="auto"/>
            </w:tcBorders>
          </w:tcPr>
          <w:p>
            <w:pPr>
              <w:spacing w:after="0"/>
              <w:rPr>
                <w:sz w:val="18"/>
                <w:szCs w:val="18"/>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“Offering”). The Senior Secured Notes will mature on July 15, 2026.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estimated fair value of the Company’s debt was $3,793.5 million and $4,650.3 million at December 31, 2023 and December 31, 2022, respectively.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14. Derivatives</w:t>
      </w:r>
    </w:p>
    <w:p>
      <w:pPr>
        <w:spacing w:after="0" w:line="248" w:lineRule="exact"/>
        <w:rPr>
          <w:sz w:val="20"/>
          <w:szCs w:val="20"/>
          <w:color w:val="auto"/>
        </w:rPr>
      </w:pPr>
    </w:p>
    <w:p>
      <w:pPr>
        <w:jc w:val="both"/>
        <w:ind w:firstLine="259"/>
        <w:spacing w:after="0" w:line="304" w:lineRule="auto"/>
        <w:rPr>
          <w:sz w:val="20"/>
          <w:szCs w:val="20"/>
          <w:color w:val="auto"/>
        </w:rPr>
      </w:pPr>
      <w:r>
        <w:rPr>
          <w:rFonts w:ascii="Arial" w:cs="Arial" w:eastAsia="Arial" w:hAnsi="Arial"/>
          <w:sz w:val="16"/>
          <w:szCs w:val="16"/>
          <w:color w:val="auto"/>
        </w:rPr>
        <w:t>The Company has entered into interest rate cap and swap agreements for purposes of managing its exposure to interest rate fluctuations. These financial derivative agreements are designated as cash flow hedges.</w:t>
      </w:r>
    </w:p>
    <w:p>
      <w:pPr>
        <w:spacing w:after="0" w:line="168" w:lineRule="exact"/>
        <w:rPr>
          <w:sz w:val="20"/>
          <w:szCs w:val="20"/>
          <w:color w:val="auto"/>
        </w:rPr>
      </w:pPr>
    </w:p>
    <w:p>
      <w:pPr>
        <w:jc w:val="both"/>
        <w:ind w:right="20" w:firstLine="259"/>
        <w:spacing w:after="0" w:line="265"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expire on December 31, 2024. The Company pays a fixed rate of 0.42% and receives a variable rate equal to the amount that the three-month SOFR rate exceeds 4.75%.</w:t>
      </w:r>
    </w:p>
    <w:p>
      <w:pPr>
        <w:spacing w:after="0" w:line="213" w:lineRule="exact"/>
        <w:rPr>
          <w:sz w:val="20"/>
          <w:szCs w:val="20"/>
          <w:color w:val="auto"/>
        </w:rPr>
      </w:pPr>
    </w:p>
    <w:p>
      <w:pPr>
        <w:jc w:val="both"/>
        <w:ind w:firstLine="259"/>
        <w:spacing w:after="0" w:line="265"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begins accruing on December 31, 2024 and the interest rate swap expires on September 30, 2026. The Company pays a fixed rate of 3.4% and receives a variable rate of interest equal to the three-month SOFR on the 2022 Swap.</w:t>
      </w:r>
    </w:p>
    <w:p>
      <w:pPr>
        <w:spacing w:after="0" w:line="200" w:lineRule="exact"/>
        <w:rPr>
          <w:sz w:val="20"/>
          <w:szCs w:val="20"/>
          <w:color w:val="auto"/>
        </w:rPr>
      </w:pPr>
    </w:p>
    <w:p>
      <w:pPr>
        <w:jc w:val="both"/>
        <w:ind w:firstLine="259"/>
        <w:spacing w:after="0" w:line="304" w:lineRule="auto"/>
        <w:rPr>
          <w:sz w:val="20"/>
          <w:szCs w:val="20"/>
          <w:color w:val="auto"/>
        </w:rPr>
      </w:pPr>
      <w:r>
        <w:rPr>
          <w:rFonts w:ascii="Arial" w:cs="Arial" w:eastAsia="Arial" w:hAnsi="Arial"/>
          <w:sz w:val="16"/>
          <w:szCs w:val="16"/>
          <w:color w:val="auto"/>
        </w:rPr>
        <w:t>The 2022 Caps and the 2022 Swap are designated as cash flow hedges. Gains and losses are initially reported as a component of other comprehensive income/loss and subsequently recognized in net income.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derivative financial instruments, on a gross basis, are summarized in the following table:</w:t>
      </w:r>
    </w:p>
    <w:p>
      <w:pPr>
        <w:sectPr>
          <w:pgSz w:w="11900" w:h="16838" w:orient="portrait"/>
          <w:cols w:equalWidth="0" w:num="1">
            <w:col w:w="11240"/>
          </w:cols>
          <w:pgMar w:left="320" w:top="881" w:right="339" w:bottom="1440" w:gutter="0" w:footer="0" w:header="0"/>
        </w:sectPr>
      </w:pPr>
    </w:p>
    <w:p>
      <w:pPr>
        <w:spacing w:after="0" w:line="302" w:lineRule="exact"/>
        <w:rPr>
          <w:sz w:val="20"/>
          <w:szCs w:val="20"/>
          <w:color w:val="auto"/>
        </w:rPr>
      </w:pPr>
    </w:p>
    <w:p>
      <w:pPr>
        <w:jc w:val="center"/>
        <w:ind w:left="4320"/>
        <w:spacing w:after="0"/>
        <w:rPr>
          <w:sz w:val="20"/>
          <w:szCs w:val="20"/>
          <w:color w:val="auto"/>
        </w:rPr>
      </w:pPr>
      <w:r>
        <w:rPr>
          <w:rFonts w:ascii="Arial" w:cs="Arial" w:eastAsia="Arial" w:hAnsi="Arial"/>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4360"/>
        <w:spacing w:after="0"/>
        <w:tabs>
          <w:tab w:leader="none" w:pos="5360" w:val="left"/>
          <w:tab w:leader="none" w:pos="656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r>
        <w:rPr>
          <w:sz w:val="20"/>
          <w:szCs w:val="20"/>
          <w:color w:val="auto"/>
        </w:rPr>
        <w:tab/>
      </w:r>
      <w:r>
        <w:rPr>
          <w:rFonts w:ascii="Arial" w:cs="Arial" w:eastAsia="Arial" w:hAnsi="Arial"/>
          <w:sz w:val="16"/>
          <w:szCs w:val="16"/>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20955</wp:posOffset>
            </wp:positionV>
            <wp:extent cx="22542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20955</wp:posOffset>
            </wp:positionV>
            <wp:extent cx="22713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6" w:lineRule="exact"/>
        <w:rPr>
          <w:sz w:val="20"/>
          <w:szCs w:val="20"/>
          <w:color w:val="auto"/>
        </w:rPr>
      </w:pPr>
    </w:p>
    <w:p>
      <w:pPr>
        <w:spacing w:after="0"/>
        <w:tabs>
          <w:tab w:leader="none" w:pos="1000" w:val="left"/>
          <w:tab w:leader="none" w:pos="222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r>
        <w:rPr>
          <w:sz w:val="20"/>
          <w:szCs w:val="20"/>
          <w:color w:val="auto"/>
        </w:rPr>
        <w:tab/>
      </w:r>
      <w:r>
        <w:rPr>
          <w:rFonts w:ascii="Arial" w:cs="Arial" w:eastAsia="Arial" w:hAnsi="Arial"/>
          <w:sz w:val="15"/>
          <w:szCs w:val="15"/>
          <w:b w:val="1"/>
          <w:bCs w:val="1"/>
          <w:color w:val="auto"/>
        </w:rPr>
        <w:t>Notional</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20955</wp:posOffset>
            </wp:positionV>
            <wp:extent cx="22713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7280" w:space="720"/>
            <w:col w:w="3240"/>
          </w:cols>
          <w:pgMar w:left="320" w:top="88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Derivatives designated as hedging instruments: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Interest Rate Caps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1,871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1,600,606</w:t>
            </w:r>
          </w:p>
        </w:tc>
        <w:tc>
          <w:tcPr>
            <w:tcW w:w="100" w:type="dxa"/>
            <w:vAlign w:val="bottom"/>
          </w:tcPr>
          <w:p>
            <w:pPr>
              <w:spacing w:after="0"/>
              <w:rPr>
                <w:sz w:val="19"/>
                <w:szCs w:val="19"/>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3,363</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2,100,606</w:t>
            </w:r>
          </w:p>
        </w:tc>
      </w:tr>
      <w:tr>
        <w:trPr>
          <w:trHeight w:val="21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r>
      <w:tr>
        <w:trPr>
          <w:trHeight w:val="251"/>
        </w:trPr>
        <w:tc>
          <w:tcPr>
            <w:tcW w:w="40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hedging instruments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2,701,212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3,201,212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December 31, 2023, the Company recognized a current derivative liability of $1.9 million within other liabilities (December 31, 2022: $3.3 million within other liabilities and $0.01 million within other receivables) and a non current derivative liability of $0.5 million (December 31, 2022: $0.4 million) within non-current other liabilities.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year ended December 31, 2023, the Company recognized a gain of $1.6 million within other comprehensive income/loss (December 31, 2022: $3.7 million loss) after a reclassification of $2.4 million from other comprehensive income/loss to the income statement (December 31, 2022: $0.1 million).</w:t>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During the next 12 months, the Company estimates that an additional $3.2 million will be reflected as interest expense in the consolidated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15.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gridSpan w:val="5"/>
          </w:tcPr>
          <w:p>
            <w:pPr>
              <w:jc w:val="right"/>
              <w:ind w:right="539"/>
              <w:spacing w:after="0"/>
              <w:rPr>
                <w:sz w:val="20"/>
                <w:szCs w:val="20"/>
                <w:color w:val="auto"/>
              </w:rPr>
            </w:pPr>
            <w:r>
              <w:rPr>
                <w:rFonts w:ascii="Arial" w:cs="Arial" w:eastAsia="Arial" w:hAnsi="Arial"/>
                <w:sz w:val="16"/>
                <w:szCs w:val="16"/>
                <w:color w:val="auto"/>
              </w:rPr>
              <w:t>Lease costs recorded under operating leases for the years ended December 31, 2023, 2022 and 2021 were as follows: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2"/>
        </w:trPr>
        <w:tc>
          <w:tcPr>
            <w:tcW w:w="6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51,200</w:t>
            </w:r>
          </w:p>
        </w:tc>
      </w:tr>
      <w:tr>
        <w:trPr>
          <w:trHeight w:val="21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from sub-leases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w:t>
            </w:r>
          </w:p>
        </w:tc>
      </w:tr>
      <w:tr>
        <w:trPr>
          <w:trHeight w:val="23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operating lease costs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52,715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49,862</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Of the total cost of $45.7 million incurred in the year ended December 31, 2023, $37.9 million is recorded within selling, general and administration costs and $7.8 million is recorded within direct costs. Of the total cost of $52.7 million incurred in the year ended December 31, 2022, $48.3 million is recorded within selling, general and administration costs and $4.4 million is recorded within direct costs. Of the total cost of $49.9 million incurred in the year ended December 31, 2021, $47.5 million is recorded within selling, general and administration costs and $2.4 million is recorded within direct costs.</w:t>
      </w:r>
    </w:p>
    <w:p>
      <w:pPr>
        <w:spacing w:after="0" w:line="13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Right-of-use assets obtained, in exchange for lease obligations, during the years ended December 31, 2023 and December 31, 2022 totaled $37.7 million and $28.7 million, respectively.</w:t>
      </w:r>
    </w:p>
    <w:p>
      <w:pPr>
        <w:spacing w:after="0" w:line="10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During the years ended December 31, 2023, 2022 and 2021, impairments of operating right-of-use assets were recognized within restructuring charges for $8.7 million, $24.8 million, and $15.4 million, respectively, as part of an office consolidation program (see </w:t>
      </w:r>
      <w:r>
        <w:rPr>
          <w:rFonts w:ascii="Arial" w:cs="Arial" w:eastAsia="Arial" w:hAnsi="Arial"/>
          <w:sz w:val="16"/>
          <w:szCs w:val="16"/>
          <w:i w:val="1"/>
          <w:iCs w:val="1"/>
          <w:color w:val="auto"/>
        </w:rPr>
        <w:t>note 19 - Restructuring Charges</w:t>
      </w:r>
      <w:r>
        <w:rPr>
          <w:rFonts w:ascii="Arial" w:cs="Arial" w:eastAsia="Arial" w:hAnsi="Arial"/>
          <w:sz w:val="16"/>
          <w:szCs w:val="16"/>
          <w:color w:val="auto"/>
        </w:rPr>
        <w:t>).</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December 31, 2023 were 6.72 years and 3.29%,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and weighted-average discount rate at December 31, 2022 were 6.90 years and 2.45%, respectively.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leases as of December 31, 2023 were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4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5840" w:type="dxa"/>
            <w:vAlign w:val="bottom"/>
            <w:tcBorders>
              <w:bottom w:val="single" w:sz="8" w:color="auto"/>
            </w:tcBorders>
            <w:shd w:val="clear" w:color="auto" w:fill="CCEEFF"/>
          </w:tcPr>
          <w:p>
            <w:pPr>
              <w:spacing w:after="0"/>
              <w:rPr>
                <w:sz w:val="18"/>
                <w:szCs w:val="18"/>
                <w:color w:val="auto"/>
              </w:rPr>
            </w:pPr>
          </w:p>
        </w:tc>
        <w:tc>
          <w:tcPr>
            <w:tcW w:w="36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58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6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40,894</w:t>
            </w: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2025</w:t>
            </w:r>
          </w:p>
        </w:tc>
        <w:tc>
          <w:tcPr>
            <w:tcW w:w="36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34,585</w:t>
            </w: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29,172</w:t>
            </w: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2027</w:t>
            </w:r>
          </w:p>
        </w:tc>
        <w:tc>
          <w:tcPr>
            <w:tcW w:w="36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23,254</w:t>
            </w: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15,023</w:t>
            </w: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176,926</w:t>
            </w: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Lease imputed interest</w:t>
            </w:r>
          </w:p>
        </w:tc>
        <w:tc>
          <w:tcPr>
            <w:tcW w:w="3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(14,191)</w:t>
            </w:r>
          </w:p>
        </w:tc>
      </w:tr>
      <w:tr>
        <w:trPr>
          <w:trHeight w:val="240"/>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162,735</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$36.4 million and $43.7 million have been included in other liabilities as at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16. Non-current other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Non-current other liabilities for the years ended December 31, 2023 and 2022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9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60" w:type="dxa"/>
            <w:vAlign w:val="bottom"/>
            <w:gridSpan w:val="3"/>
          </w:tcPr>
          <w:p>
            <w:pPr>
              <w:ind w:left="660"/>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obligations, net (note 21)</w:t>
            </w:r>
          </w:p>
        </w:tc>
        <w:tc>
          <w:tcPr>
            <w:tcW w:w="2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14,738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31,260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25,227</w:t>
            </w:r>
          </w:p>
        </w:tc>
      </w:tr>
      <w:tr>
        <w:trPr>
          <w:trHeight w:val="240"/>
        </w:trPr>
        <w:tc>
          <w:tcPr>
            <w:tcW w:w="594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45,998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Commitments and Contingencies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has several non-cancelable operating leases, primarily for facilities, that expire over the next sixteen years. These leases generally contain renewal options and require the Company to pay all executory costs such as maintenance and insurance. See </w:t>
      </w:r>
      <w:r>
        <w:rPr>
          <w:rFonts w:ascii="Arial" w:cs="Arial" w:eastAsia="Arial" w:hAnsi="Arial"/>
          <w:sz w:val="16"/>
          <w:szCs w:val="16"/>
          <w:i w:val="1"/>
          <w:iCs w:val="1"/>
          <w:color w:val="auto"/>
        </w:rPr>
        <w:t>note 15 - Operating leases</w:t>
      </w:r>
      <w:r>
        <w:rPr>
          <w:rFonts w:ascii="Arial" w:cs="Arial" w:eastAsia="Arial" w:hAnsi="Arial"/>
          <w:sz w:val="16"/>
          <w:szCs w:val="16"/>
          <w:color w:val="auto"/>
        </w:rPr>
        <w:t xml:space="preserve"> for rental expense pursuant to ASC 842 for the years ended December 31, 2023, 2022 and 2021 and future minimum rental commitments as of December 31, 2023.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 Capital</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Holders of ordinary shares are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are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  Employee share based payments</w:t>
      </w:r>
    </w:p>
    <w:p>
      <w:pPr>
        <w:spacing w:after="0" w:line="2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During the year ended December 31, 2023, 535,705 options were exercised by employees at an average exercise price of $95.12 per share for total proceeds of $51.0 million. During the year ended December 31, 2023, 188,800 ordinary shares were issued in respect of certain RSUs and 47,026 ordinary shares were issued in respect of PSUs previously awarded by the Company.</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year ended December 31, 2022, 348,286 options were exercised by employees at an average exercise price of $102.87 per share for total proceeds of $35.8 million. During the year ended December 31, 2022, 195,029 ordinary shares were issued in respect of certain RSUs and 46,087 ordinary shares were issued in respect of PSUs previously awarded by the Company.</w:t>
      </w:r>
    </w:p>
    <w:p>
      <w:pPr>
        <w:spacing w:after="0" w:line="191"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During the year ended December 31, 2021, 1,065,529 options were exercised by employees at an average exercise price of $111.29 per share for total proceeds of $118.6 million. During the year ended December 31, 2021, 446,404 ordinary shares were issued in respect of certain RSUs and 44,132 ordinary shares were issued in respect of PSUs previously awarded by the Company.</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July 1, 2021, the Company completed the Acquisition of PRA. In accordance with the terms of the Merger Agreement, the Company issued 27,372,427 shares of the Company’s ordinary share capital at par value in exchange for all outstanding PRA shares of common stock.</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3" w:name="page134"/>
    <w:bookmarkEnd w:id="133"/>
    <w:p>
      <w:pPr>
        <w:ind w:left="220"/>
        <w:spacing w:after="0"/>
        <w:rPr>
          <w:sz w:val="20"/>
          <w:szCs w:val="20"/>
          <w:color w:val="auto"/>
        </w:rPr>
      </w:pPr>
      <w:r>
        <w:rPr>
          <w:rFonts w:ascii="Arial" w:cs="Arial" w:eastAsia="Arial" w:hAnsi="Arial"/>
          <w:sz w:val="16"/>
          <w:szCs w:val="16"/>
          <w:i w:val="1"/>
          <w:iCs w:val="1"/>
          <w:color w:val="auto"/>
        </w:rPr>
        <w:t>(b)  Share Repurchase Program</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 resolution was passed at the Company’s Annual General Meeting (“AGM”) on July 22, 2016, which authorized the Directors to purchase (buyback) up to 10% of the outstanding shares in the Company. This resolution has been renewed annually thereafter. On February 18, 2022, the Company commenced a share buyback program which was fully complete at March 31, 2022. Under this buyback program, 420,530 ordinary shares were redeemed by the Company for total consideration of $100.0 million.</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Restructuring Charges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year ended, December 31, 2023, a restructuring charge of $45.4 million was recognized in the Consolidated Statements of Operations under a restructuring plan adopted following a review of operations. The restructuring plan reflected a workforce reduction of $34.1 million and an office consolidation program to optimize the Company's office footprint of $11.3 million.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31,105</w:t>
            </w:r>
          </w:p>
        </w:tc>
      </w:tr>
      <w:tr>
        <w:trPr>
          <w:trHeight w:val="24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At December 31, 2023, a total liability of $7.0 million was recorded on the Consolidated Balance Sheet relating to restructuring activities. The total liability included $3.0 million of facilities related liabilities of which $1.0 million is included within other liabilities and $2.0 million is included within non-current other liabilities. The remaining provision of $4.0 million relates to workforce reduction and is included within other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80" w:type="dxa"/>
            <w:vAlign w:val="bottom"/>
            <w:tcBorders>
              <w:bottom w:val="single" w:sz="8" w:color="auto"/>
            </w:tcBorders>
            <w:gridSpan w:val="3"/>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7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Opening provision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6,022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10,311</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provision in the year</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w:t>
            </w:r>
          </w:p>
        </w:tc>
      </w:t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(35,727)</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(8,653)</w:t>
            </w:r>
          </w:p>
        </w:tc>
      </w:tr>
      <w:tr>
        <w:trPr>
          <w:trHeight w:val="240"/>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provision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w:t>
            </w:r>
          </w:p>
        </w:tc>
      </w:tr>
      <w:tr>
        <w:trPr>
          <w:trHeight w:val="20"/>
        </w:trPr>
        <w:tc>
          <w:tcPr>
            <w:tcW w:w="7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20. Income Taxes</w:t>
      </w:r>
    </w:p>
    <w:p>
      <w:pPr>
        <w:spacing w:after="0" w:line="248"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660"/>
              <w:spacing w:after="0"/>
              <w:rPr>
                <w:sz w:val="20"/>
                <w:szCs w:val="20"/>
                <w:color w:val="auto"/>
              </w:rPr>
            </w:pPr>
            <w:r>
              <w:rPr>
                <w:rFonts w:ascii="Arial" w:cs="Arial" w:eastAsia="Arial" w:hAnsi="Arial"/>
                <w:sz w:val="16"/>
                <w:szCs w:val="16"/>
                <w:color w:val="auto"/>
              </w:rPr>
              <w:t>The components of income before income tax expense are as follows: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10"/>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624,642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432,963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231,893</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(352,532)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(270,440)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(278,413)</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352,357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405,328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243,200</w:t>
            </w:r>
          </w:p>
        </w:tc>
      </w:tr>
      <w:tr>
        <w:trPr>
          <w:trHeight w:val="24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624,467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567,851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196,680</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13"/>
        </w:trPr>
        <w:tc>
          <w:tcPr>
            <w:tcW w:w="6900" w:type="dxa"/>
            <w:vAlign w:val="bottom"/>
          </w:tcPr>
          <w:p>
            <w:pPr>
              <w:spacing w:after="0"/>
              <w:rPr>
                <w:sz w:val="20"/>
                <w:szCs w:val="20"/>
                <w:color w:val="auto"/>
              </w:rPr>
            </w:pPr>
            <w:r>
              <w:rPr>
                <w:rFonts w:ascii="Arial" w:cs="Arial" w:eastAsia="Arial" w:hAnsi="Arial"/>
                <w:sz w:val="16"/>
                <w:szCs w:val="16"/>
                <w:color w:val="auto"/>
              </w:rPr>
              <w:t>The components of income tax expense are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0"/>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 (benefit)/expense: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80,427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53,248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18,469</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35,478</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59,153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70,395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48,003</w:t>
            </w:r>
          </w:p>
        </w:tc>
      </w:tr>
      <w:tr>
        <w:trPr>
          <w:trHeight w:val="37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97,152</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184,396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101,950</w:t>
            </w:r>
          </w:p>
        </w:tc>
      </w:tr>
      <w:tr>
        <w:trPr>
          <w:trHeight w:val="257"/>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(benefit)/expense: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45,253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(6,166)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(143,323)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(52,717)</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(8,452)</w:t>
            </w:r>
          </w:p>
        </w:tc>
      </w:tr>
      <w:tr>
        <w:trPr>
          <w:trHeight w:val="38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benefit</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(85,403)</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(124,985)</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(60,616)</w:t>
            </w:r>
          </w:p>
        </w:tc>
      </w:tr>
      <w:tr>
        <w:trPr>
          <w:trHeight w:val="243"/>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allocated to continuing operations</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11,749</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62"/>
        </w:trPr>
        <w:tc>
          <w:tcPr>
            <w:tcW w:w="6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tax expense was allocated to the following components of other comprehensive</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Currency impact on long term funding</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(3,903)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7,211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1,776</w:t>
            </w:r>
          </w:p>
        </w:tc>
      </w:tr>
      <w:tr>
        <w:trPr>
          <w:trHeight w:val="22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hedge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66,622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43,110</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55"/>
        </w:trPr>
        <w:tc>
          <w:tcPr>
            <w:tcW w:w="6900" w:type="dxa"/>
            <w:vAlign w:val="bottom"/>
          </w:tcPr>
          <w:p>
            <w:pPr>
              <w:ind w:left="5480"/>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7"/>
        </w:trPr>
        <w:tc>
          <w:tcPr>
            <w:tcW w:w="6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ind w:firstLine="648"/>
        <w:spacing w:after="0" w:line="286" w:lineRule="auto"/>
        <w:rPr>
          <w:sz w:val="20"/>
          <w:szCs w:val="20"/>
          <w:color w:val="auto"/>
        </w:rPr>
      </w:pPr>
      <w:r>
        <w:rPr>
          <w:rFonts w:ascii="Arial" w:cs="Arial" w:eastAsia="Arial" w:hAnsi="Arial"/>
          <w:sz w:val="16"/>
          <w:szCs w:val="16"/>
          <w:color w:val="auto"/>
        </w:rPr>
        <w:t>Ireland's statutory trading income tax rate, the rate of our country of domicile, is 12.5%. The Company's consolidated reported income tax expense differed from the amount that would result from applying the Irish statutory rate as set forth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Taxes at Irish statutory rate of 12.5% (2022:12.5%; 2021:12.5%)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78,058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70,980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24,586</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differential from amortization of intangible 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(71,223)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(31,228)</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Foreign and other income taxed at higher rates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35,778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52,464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51,273</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&amp; development tax incentives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Movement in valuation allowance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3,101</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change in tax rates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(Decrease)/ increase in unrecognized tax benefits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(54,347)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8,392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5,246</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Investor tax expense on foreign subsidiary earnings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39,165</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Impact of stock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(8,756)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(9,083)</w:t>
            </w:r>
          </w:p>
        </w:tc>
      </w:tr>
      <w:tr>
        <w:trPr>
          <w:trHeight w:val="22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41,334</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64"/>
        <w:spacing w:after="0" w:line="304" w:lineRule="auto"/>
        <w:rPr>
          <w:sz w:val="20"/>
          <w:szCs w:val="20"/>
          <w:color w:val="auto"/>
        </w:rPr>
      </w:pPr>
      <w:r>
        <w:rPr>
          <w:rFonts w:ascii="Arial" w:cs="Arial" w:eastAsia="Arial" w:hAnsi="Arial"/>
          <w:sz w:val="16"/>
          <w:szCs w:val="16"/>
          <w:color w:val="auto"/>
        </w:rPr>
        <w:t>The tax effects of temporary differences and carryforwards that give rise to significant portions of deferred tax assets and deferred tax liabilities are presented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76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7,547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10,927</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23,260</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39,014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37,150</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950,055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1,078,302</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Investments in foreign subsidiaries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52,408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224"/>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Total deferred tax liabilities recognized</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1,073,114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1,158,693</w:t>
            </w:r>
          </w:p>
        </w:tc>
      </w:tr>
      <w:tr>
        <w:trPr>
          <w:trHeight w:val="257"/>
        </w:trPr>
        <w:tc>
          <w:tcPr>
            <w:tcW w:w="57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and tax credits carryforwards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124,150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88,697</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9,082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6,010</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27,593</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21,862</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84,928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66,933</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66,565</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290,643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290,417</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(43,379)</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recognized</w:t>
            </w:r>
          </w:p>
        </w:tc>
        <w:tc>
          <w:tcPr>
            <w:tcW w:w="2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247,676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247,038</w:t>
            </w:r>
          </w:p>
        </w:tc>
      </w:tr>
      <w:tr>
        <w:trPr>
          <w:trHeight w:val="21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Overall net deferred tax liability</w:t>
            </w:r>
          </w:p>
        </w:tc>
        <w:tc>
          <w:tcPr>
            <w:tcW w:w="2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(825,438)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(911,655)</w:t>
            </w:r>
          </w:p>
        </w:tc>
      </w:tr>
      <w:tr>
        <w:trPr>
          <w:trHeight w:val="21"/>
        </w:trPr>
        <w:tc>
          <w:tcPr>
            <w:tcW w:w="57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36" w:name="page137"/>
    <w:bookmarkEnd w:id="136"/>
    <w:p>
      <w:pPr>
        <w:jc w:val="both"/>
        <w:ind w:right="20" w:firstLine="648"/>
        <w:spacing w:after="0" w:line="286" w:lineRule="auto"/>
        <w:rPr>
          <w:sz w:val="20"/>
          <w:szCs w:val="20"/>
          <w:color w:val="auto"/>
        </w:rPr>
      </w:pPr>
      <w:r>
        <w:rPr>
          <w:rFonts w:ascii="Arial" w:cs="Arial" w:eastAsia="Arial" w:hAnsi="Arial"/>
          <w:sz w:val="16"/>
          <w:szCs w:val="16"/>
          <w:color w:val="auto"/>
        </w:rPr>
        <w:t>At December 31, 2023 Ireland subsidiaries had tax credit carryforwards for income tax purposes that may be carried forward indefinitely, available for offset against future tax liabilities, if any, of $16.9 million.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At December 31, 2023 U.S. subsidiaries had U.S. federal and state net operating loss ("NOL") carryforwards of approximately $1.7 million and $331.4 million, respectively. These NOLs are available for offset against future taxable income and the expiry dates are shown in the table below. Of the $1.7 million U.S. federal NOLs, approximately $1.2 million is currently available for offset against future U.S. federal taxable income. The subsidiaries' ability to use the remaining U.S. federal and state NOL carryforwards is limited on an annual basis due to change of ownership in 2014, 2017, and 2019, as defined by Section 382 of the Internal Revenue Code of 1986, as amended. All $1.7 million of the U.S. federal NOLs are limited by Section 382 and expire between 2024 - 2037. As of December 31, 2023, U.S subsidiaries also had disallowed interest carryforwards of $204 million that can be carried forward indefinitely. These carryforwards are available for offset against future taxable income in the event that the U.S subsidiaries have excess capacity for interest deductions in future years.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expected expiry dates of the US NOLs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Federal</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State</w:t>
            </w:r>
          </w:p>
        </w:tc>
      </w:tr>
      <w:tr>
        <w:trPr>
          <w:trHeight w:val="216"/>
        </w:trPr>
        <w:tc>
          <w:tcPr>
            <w:tcW w:w="4580" w:type="dxa"/>
            <w:vAlign w:val="bottom"/>
            <w:tcBorders>
              <w:bottom w:val="single" w:sz="8" w:color="auto"/>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r>
      <w:tr>
        <w:trPr>
          <w:trHeight w:val="209"/>
        </w:trPr>
        <w:tc>
          <w:tcPr>
            <w:tcW w:w="4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2024-2037</w:t>
            </w:r>
          </w:p>
        </w:tc>
        <w:tc>
          <w:tcPr>
            <w:tcW w:w="4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271,434</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2038-2042</w:t>
            </w:r>
          </w:p>
        </w:tc>
        <w:tc>
          <w:tcPr>
            <w:tcW w:w="4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50,685</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9,251</w:t>
            </w:r>
          </w:p>
        </w:tc>
      </w:tr>
      <w:tr>
        <w:trPr>
          <w:trHeight w:val="210"/>
        </w:trPr>
        <w:tc>
          <w:tcPr>
            <w:tcW w:w="458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331,370</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addition, we also have general business tax credit carryforwards of approximately $0.8 million that are available to reduce future U.S. federal and state income taxes. The general business tax credits are non-refundable and are due to expire between the years 2026-2038.</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At December 31, 2023 other than those in the U.S. and Ireland, we had operating loss carryforwards for income tax purposes that may be carried forward indefinitely, available to offset against future taxable income, if any, of approximately $42.9 million. At December 31, 2023 those subsidiaries also had additional operating loss carryforwards of $12.9 million which are due to expire between 2024 and 2030. In addition, at December 31, 2023 those subsidiaries had tax credit carryforwards for income tax purposes that may be carried forward indefinitely, available to offset against future tax liabilities, if any, of $4.3 million.</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valuation allowance at December 31, 2023 was approximately $43.0 million. The valuation allowance for deferred tax assets as of December 31, 2022 and December 31, 2021 was $43.4 million and $45.5 million respectively. The net change in the total valuation allowance was a decrease of $0.4 million during 2023 and a decrease of $2.1 million during 2022. Of the total decrease of $0.4 million in 2023, $1.1 million was recognized within income tax expense and a increase of $0.7 million was recognized in Other Comprehensive Income. Of the total decrease of $2.1 million in 2022, $0.8 million was recognized within income tax expenses and $1.3 million was recognized in Other Comprehensive Income.</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valuation allowances at December 31, 2023 and December 31, 2022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loss utilization, projected future taxable income and tax planning strategies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20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has recognized a deferred tax liability of $52.4 million (2022: $1.6 million) for investments in foreign subsidiaries where the Company does not consider the earnings to be indefinitely reinvested. Given changes in various tax laws during 2023, the group has taken the decision to repatriate certain excess earnings which will not be permanently reinvested and consequently have provided for the relevant tax in the current year.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6"/>
          <w:szCs w:val="16"/>
          <w:color w:val="auto"/>
        </w:rPr>
        <w:t>A reconciliation of the beginning and ending amount of total unrecognized tax benefits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start of year</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217,584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19,078</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Increase related to acquired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170,047</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prior year tax positions</w:t>
            </w: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Decrease related to prior year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(5,442)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current year tax positions</w:t>
            </w: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18,613</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24"/>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20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(62,363)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r>
      <w:tr>
        <w:trPr>
          <w:trHeight w:val="21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217,584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202,065</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relevant statute of limitations for unrecognized tax benefits totaling $65.0 million could potentially expire during 2024.</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Included in the balance of total unrecognized tax benefits at December 31, 2023 were potential benefits of $160.0 million, which if recognized, would affect the effective rate on income from continuing operations. The balance of total unrecognized tax benefits at December 31, 2022 and December 31, 2021 included potential benefits which, if recognized, would affect the effective rate of income tax from continuing operations of $217.6 million and $202.1 million respectively.</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Interest and penalties recognized during the year ended December 31, 2023 amounted to a net charge of $4.2 million (2022: $7.1 million, 2021: $1.9 million) and are included within the income tax expense. Total accrued interest and penalties as of December 31, 2023 and December 31, 2022 were $27.1 million and $22.6 million respectively and are included in closing income taxes payable at those dates.</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major tax jurisdictions are Ireland and the United States. We may potentially be subjected to tax audits in both our major jurisdictions. In Ireland, tax periods open to audit include the years ended December 31, 2019, December 31, 2020, December 31, 2021, December 31, 2022 and December 31, 2023. In the United States, tax periods open to audit include the years ended December 31, 2019, December 31, 2020, December 31, 2021, December 31, 2022 and December 31, 2023. During such audits, local tax authorities may challenge the positions taken by us in our tax returns.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t>21. Employee Benefits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Plans</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Defined contribution or profit sharing style plans ("the Plans") are offered in a number of countries. In some cases, these plans are required by local laws or regulations. Certain employees are eligible to participate in the Plans and participants in the Plans may elect to defer a portion of their pre-tax earnings into a pension plan, which is run by an independent party. The Company matches participant's contributions up to certain levels of the participant's annual compensation.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Company's United States operations maintain retirement plans (the "U.S. Plans") that qualify as a deferred salary arrangement under Section 401(k) of the Internal Revenue Code. Participants in the U.S. Plans may elect to defer a portion of their earnings, up to the Internal Revenue Service annual contribution limit. The Company matches participant's contributions at varying amounts, subject to a maximum of 4.5% of the participant's annual compensation. Contributions to this U.S. Plan are recorded, in the year contributed, as an expense in the Consolidated Statement of Operations. Contributions for the years ended December 31, 2023, December 31, 2022 and December 31, 2021 were $40.4 million, $45.8 million and $23.7 million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Benefit Plans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maintains various retirement plans across the Group, many of which are required by local employment laws. The balances recorded to the balance sheet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50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4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w:t>
            </w:r>
          </w:p>
        </w:tc>
      </w:tr>
      <w:tr>
        <w:trPr>
          <w:trHeight w:val="21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16)</w:t>
            </w:r>
          </w:p>
        </w:tc>
        <w:tc>
          <w:tcPr>
            <w:tcW w:w="3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(14,738)</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(13,033)</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addition to the specific defined benefit schemes shown separately below, the Company maintains several other retirement plans which have a cumulative total net obligation of $12.3 million and $11.6 million recorded to non-current other liabilities as of December 31, 2023 and December 31,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ICON Development Solutions Limited pension plan</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ICON Development Solutions Limited, a subsidiary of ICON Plc, operates a defined benefit pension plan in the United Kingdom for its employees. The plan is managed externally and the related pension costs and liabilities are assessed in accordance with the advice of a professionally qualified actuary. Plan assets at December 31, 2023 and December 31, 2022 consist of units held in independently administered funds. Pension plan disclosures are presented in the following tables in accordance with the requirements of ASC 715-20, </w:t>
      </w:r>
      <w:r>
        <w:rPr>
          <w:rFonts w:ascii="Arial" w:cs="Arial" w:eastAsia="Arial" w:hAnsi="Arial"/>
          <w:sz w:val="16"/>
          <w:szCs w:val="16"/>
          <w:i w:val="1"/>
          <w:iCs w:val="1"/>
          <w:color w:val="auto"/>
        </w:rPr>
        <w:t>Defined Benefit Plans - General</w:t>
      </w:r>
      <w:r>
        <w:rPr>
          <w:rFonts w:ascii="Arial" w:cs="Arial" w:eastAsia="Arial" w:hAnsi="Arial"/>
          <w:sz w:val="16"/>
          <w:szCs w:val="16"/>
          <w:color w:val="auto"/>
        </w:rPr>
        <w:t>. The plan has been closed to new entrants with effect from July 1, 2003.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surplus</w:t>
            </w:r>
          </w:p>
        </w:tc>
        <w:tc>
          <w:tcPr>
            <w:tcW w:w="3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1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(19,558)</w:t>
            </w: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w:t>
            </w:r>
          </w:p>
        </w:tc>
      </w:tr>
      <w:tr>
        <w:trPr>
          <w:trHeight w:val="234"/>
        </w:trPr>
        <w:tc>
          <w:tcPr>
            <w:tcW w:w="5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surplus</w:t>
            </w:r>
          </w:p>
        </w:tc>
        <w:tc>
          <w:tcPr>
            <w:tcW w:w="3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6,492</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funded status as at December 31, 2023 and December 31, 2022 is included in other long-term receivables on the Consolidated Balance Sheet.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41,813</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(18,636)</w:t>
            </w:r>
          </w:p>
        </w:tc>
      </w:tr>
      <w:tr>
        <w:trPr>
          <w:trHeight w:val="21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r>
      <w:tr>
        <w:trPr>
          <w:trHeight w:val="20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19,558</w:t>
            </w: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8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36,198</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1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(credit)/cost: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62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2021</w:t>
            </w:r>
          </w:p>
        </w:tc>
      </w:tr>
      <w:tr>
        <w:trPr>
          <w:trHeight w:val="210"/>
        </w:trPr>
        <w:tc>
          <w:tcPr>
            <w:tcW w:w="4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7"/>
              </w:rPr>
              <w:t>134</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672</w:t>
            </w:r>
          </w:p>
        </w:tc>
        <w:tc>
          <w:tcPr>
            <w:tcW w:w="240" w:type="dxa"/>
            <w:vAlign w:val="bottom"/>
          </w:tcPr>
          <w:p>
            <w:pPr>
              <w:spacing w:after="0"/>
              <w:rPr>
                <w:sz w:val="18"/>
                <w:szCs w:val="18"/>
                <w:color w:val="auto"/>
              </w:rPr>
            </w:pPr>
          </w:p>
        </w:tc>
        <w:tc>
          <w:tcPr>
            <w:tcW w:w="1200" w:type="dxa"/>
            <w:vAlign w:val="bottom"/>
          </w:tcPr>
          <w:p>
            <w:pPr>
              <w:jc w:val="center"/>
              <w:ind w:left="699"/>
              <w:spacing w:after="0"/>
              <w:rPr>
                <w:sz w:val="20"/>
                <w:szCs w:val="20"/>
                <w:color w:val="auto"/>
              </w:rPr>
            </w:pPr>
            <w:r>
              <w:rPr>
                <w:rFonts w:ascii="Arial" w:cs="Arial" w:eastAsia="Arial" w:hAnsi="Arial"/>
                <w:sz w:val="16"/>
                <w:szCs w:val="16"/>
                <w:color w:val="auto"/>
                <w:w w:val="97"/>
              </w:rPr>
              <w:t>665</w:t>
            </w: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1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(gain)/loss</w:t>
            </w:r>
          </w:p>
        </w:tc>
        <w:tc>
          <w:tcPr>
            <w:tcW w:w="2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7"/>
              </w:rPr>
              <w:t>625</w:t>
            </w:r>
          </w:p>
        </w:tc>
      </w:tr>
      <w:tr>
        <w:trPr>
          <w:trHeight w:val="235"/>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(credit)/cost</w:t>
            </w:r>
          </w:p>
        </w:tc>
        <w:tc>
          <w:tcPr>
            <w:tcW w:w="2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97"/>
              </w:rPr>
              <w:t>253</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(credit)/cost for the years ended December 31, 2023, December 31, 2022 and December 31,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3460" w:type="dxa"/>
            <w:vAlign w:val="bottom"/>
          </w:tcPr>
          <w:p>
            <w:pPr>
              <w:jc w:val="right"/>
              <w:spacing w:after="0"/>
              <w:rPr>
                <w:sz w:val="20"/>
                <w:szCs w:val="20"/>
                <w:color w:val="auto"/>
              </w:rPr>
            </w:pPr>
            <w:r>
              <w:rPr>
                <w:rFonts w:ascii="Arial" w:cs="Arial" w:eastAsia="Arial" w:hAnsi="Arial"/>
                <w:sz w:val="16"/>
                <w:szCs w:val="16"/>
                <w:color w:val="auto"/>
              </w:rPr>
              <w:t>4.9 %</w:t>
            </w:r>
          </w:p>
        </w:tc>
        <w:tc>
          <w:tcPr>
            <w:tcW w:w="1540" w:type="dxa"/>
            <w:vAlign w:val="bottom"/>
          </w:tcPr>
          <w:p>
            <w:pPr>
              <w:jc w:val="right"/>
              <w:spacing w:after="0"/>
              <w:rPr>
                <w:sz w:val="20"/>
                <w:szCs w:val="20"/>
                <w:color w:val="auto"/>
              </w:rPr>
            </w:pPr>
            <w:r>
              <w:rPr>
                <w:rFonts w:ascii="Arial" w:cs="Arial" w:eastAsia="Arial" w:hAnsi="Arial"/>
                <w:sz w:val="16"/>
                <w:szCs w:val="16"/>
                <w:color w:val="auto"/>
              </w:rPr>
              <w:t>1.8 %</w:t>
            </w:r>
          </w:p>
        </w:tc>
        <w:tc>
          <w:tcPr>
            <w:tcW w:w="152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3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rate of return on plan assets</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income/(loss)</w:t>
            </w: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 benefit obligation</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Actuarial loss/(gain) - plan assets</w:t>
            </w:r>
          </w:p>
        </w:tc>
        <w:tc>
          <w:tcPr>
            <w:tcW w:w="940" w:type="dxa"/>
            <w:vAlign w:val="bottom"/>
          </w:tcPr>
          <w:p>
            <w:pPr>
              <w:spacing w:after="0"/>
              <w:rPr>
                <w:sz w:val="18"/>
                <w:szCs w:val="18"/>
                <w:color w:val="auto"/>
              </w:rPr>
            </w:pPr>
          </w:p>
        </w:tc>
        <w:tc>
          <w:tcPr>
            <w:tcW w:w="1220" w:type="dxa"/>
            <w:vAlign w:val="bottom"/>
          </w:tcPr>
          <w:p>
            <w:pPr>
              <w:jc w:val="center"/>
              <w:ind w:left="69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7,305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216"/>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gain/(loss) recognized in net periodic benefit (credit)/cost</w:t>
            </w:r>
          </w:p>
        </w:tc>
        <w:tc>
          <w:tcPr>
            <w:tcW w:w="9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09"/>
        </w:trPr>
        <w:tc>
          <w:tcPr>
            <w:tcW w:w="6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(3,898)</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income/(loss) into net periodic benefit cost over the next year are $0.2 million and $nil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in determining the benefit obligation at December 31, 2023 and December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460" w:type="dxa"/>
            <w:vAlign w:val="bottom"/>
          </w:tcPr>
          <w:p>
            <w:pPr>
              <w:jc w:val="right"/>
              <w:spacing w:after="0"/>
              <w:rPr>
                <w:sz w:val="20"/>
                <w:szCs w:val="20"/>
                <w:color w:val="auto"/>
              </w:rPr>
            </w:pPr>
            <w:r>
              <w:rPr>
                <w:rFonts w:ascii="Arial" w:cs="Arial" w:eastAsia="Arial" w:hAnsi="Arial"/>
                <w:sz w:val="16"/>
                <w:szCs w:val="16"/>
                <w:color w:val="auto"/>
              </w:rPr>
              <w:t>4.8 %</w:t>
            </w:r>
          </w:p>
        </w:tc>
        <w:tc>
          <w:tcPr>
            <w:tcW w:w="154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16"/>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 single discount rate is used which, when used to discount the projected benefit cash flows underlying a pension scheme with a 19 year duration, gives the same result as a full AA corporate bond yield curve.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Actuarial gains on the benefit obligation during 2023 resulted from changes in the assumptions compared to those adopted at December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assumptions reflect the changes in market conditions from December 2022 to December 2023.</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pension plan asset allocation is as follows: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480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Government Bonds</w:t>
            </w:r>
          </w:p>
        </w:tc>
        <w:tc>
          <w:tcPr>
            <w:tcW w:w="4880" w:type="dxa"/>
            <w:vAlign w:val="bottom"/>
          </w:tcPr>
          <w:p>
            <w:pPr>
              <w:jc w:val="right"/>
              <w:spacing w:after="0"/>
              <w:rPr>
                <w:sz w:val="20"/>
                <w:szCs w:val="20"/>
                <w:color w:val="auto"/>
              </w:rPr>
            </w:pPr>
            <w:r>
              <w:rPr>
                <w:rFonts w:ascii="Arial" w:cs="Arial" w:eastAsia="Arial" w:hAnsi="Arial"/>
                <w:sz w:val="16"/>
                <w:szCs w:val="16"/>
                <w:color w:val="auto"/>
              </w:rPr>
              <w:t>78 %</w:t>
            </w:r>
          </w:p>
        </w:tc>
        <w:tc>
          <w:tcPr>
            <w:tcW w:w="154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Diversified Bonds</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0"/>
        </w:trPr>
        <w:tc>
          <w:tcPr>
            <w:tcW w:w="48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2022, the scheme's asset strategy changed to align the plan assets more closely with government and diversified bonds. There is no self-investment in employer related assets. The Company’s assumption for the expected return on plan assets was determined by the weighted average of the long-term expected rate of return on each of the asset classes invested as of the balance sheet date. The expected long-term rate of return on assets is 3.8% at December 31, 2023 and December 31, 2022,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Fair Value Measurements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88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4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Bonds</w:t>
            </w:r>
          </w:p>
        </w:tc>
        <w:tc>
          <w:tcPr>
            <w:tcW w:w="3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22,887</w:t>
            </w:r>
          </w:p>
        </w:tc>
      </w:tr>
      <w:tr>
        <w:trPr>
          <w:trHeight w:val="215"/>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Diversified Bonds</w:t>
            </w:r>
          </w:p>
        </w:tc>
        <w:tc>
          <w:tcPr>
            <w:tcW w:w="3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r>
      <w:tr>
        <w:trPr>
          <w:trHeight w:val="234"/>
        </w:trPr>
        <w:tc>
          <w:tcPr>
            <w:tcW w:w="488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26,050</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value of assets held by the plan are represented by quoted prices in active markets for identical assets and are therefore classified as level 1 investments.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Cash Flows</w:t>
      </w:r>
    </w:p>
    <w:p>
      <w:pPr>
        <w:spacing w:after="0" w:line="20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expects to contribute $0.1 million to the pension fund in the year ending December 31, 2024. The following annual benefit payments, which reflect expected future service as appropriate, are expected to be paid.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Borders>
              <w:bottom w:val="single" w:sz="8" w:color="auto"/>
            </w:tcBorders>
            <w:shd w:val="clear" w:color="auto" w:fill="CCEEFF"/>
          </w:tcPr>
          <w:p>
            <w:pPr>
              <w:spacing w:after="0"/>
              <w:rPr>
                <w:sz w:val="18"/>
                <w:szCs w:val="18"/>
                <w:color w:val="auto"/>
              </w:rPr>
            </w:pPr>
          </w:p>
        </w:tc>
        <w:tc>
          <w:tcPr>
            <w:tcW w:w="4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2024</w:t>
            </w:r>
          </w:p>
        </w:tc>
        <w:tc>
          <w:tcPr>
            <w:tcW w:w="4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2026</w:t>
            </w:r>
          </w:p>
        </w:tc>
        <w:tc>
          <w:tcPr>
            <w:tcW w:w="4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2028</w:t>
            </w:r>
          </w:p>
        </w:tc>
        <w:tc>
          <w:tcPr>
            <w:tcW w:w="4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41"/>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Years 2029 - 2033</w:t>
            </w:r>
          </w:p>
        </w:tc>
        <w:tc>
          <w:tcPr>
            <w:tcW w:w="4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4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withdrawals or commutation of pension for cash.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color w:val="auto"/>
        </w:rPr>
        <w:t>Aptiv Solutions pension plan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On May 7, 2014 the Company acquired 100% of the common stock of Aptiv Solutions ("Aptiv").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December 31, 2023 and December 31, 2022 consist of units held in independently administered funds. Pension plan disclosures are presented in the following tables in accordance with the requirements of ASC 715-20, </w:t>
      </w:r>
      <w:r>
        <w:rPr>
          <w:rFonts w:ascii="Arial" w:cs="Arial" w:eastAsia="Arial" w:hAnsi="Arial"/>
          <w:sz w:val="16"/>
          <w:szCs w:val="16"/>
          <w:i w:val="1"/>
          <w:iCs w:val="1"/>
          <w:color w:val="auto"/>
        </w:rPr>
        <w:t>Defined Benefit Plans - General</w:t>
      </w:r>
      <w:r>
        <w:rPr>
          <w:rFonts w:ascii="Arial" w:cs="Arial" w:eastAsia="Arial" w:hAnsi="Arial"/>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deficit</w:t>
            </w:r>
          </w:p>
        </w:tc>
        <w:tc>
          <w:tcPr>
            <w:tcW w:w="3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1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w:t>
            </w:r>
          </w:p>
        </w:tc>
      </w:tr>
      <w:tr>
        <w:trPr>
          <w:trHeight w:val="234"/>
        </w:trPr>
        <w:tc>
          <w:tcPr>
            <w:tcW w:w="5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deficit</w:t>
            </w:r>
          </w:p>
        </w:tc>
        <w:tc>
          <w:tcPr>
            <w:tcW w:w="3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funded deficit at December 31, 2023 and December 31, 2022 are included in non-current other liabilities on the Consolidated Balance Sheet.</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change in benefit obligation is presented in the following table. The discount rates used in calculating the benefit obligation in years ended December 31, 2023 and December 31, 2022 were 1.5% and 2.3%,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Actuarial loss/(gain)</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21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w:t>
            </w: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2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Scheme contributions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5"/>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648"/>
        <w:spacing w:after="0" w:line="304"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PRA Switzerland AG pension plan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On July 1, 2021, the Company completed the Acquisition of PRA. PRA Switzerland AG, a subsidiary of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December 31, 2023 consist of units held in independently administered funds. Pension plan disclosures are presented in the following tables in accordance with the requirements of ASC 715-20, </w:t>
      </w:r>
      <w:r>
        <w:rPr>
          <w:rFonts w:ascii="Arial" w:cs="Arial" w:eastAsia="Arial" w:hAnsi="Arial"/>
          <w:sz w:val="16"/>
          <w:szCs w:val="16"/>
          <w:i w:val="1"/>
          <w:iCs w:val="1"/>
          <w:color w:val="auto"/>
        </w:rPr>
        <w:t>Defined Benefit Plans - General</w:t>
      </w:r>
      <w:r>
        <w:rPr>
          <w:rFonts w:ascii="Arial" w:cs="Arial" w:eastAsia="Arial" w:hAnsi="Arial"/>
          <w:sz w:val="16"/>
          <w:szCs w:val="16"/>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deficit</w:t>
            </w:r>
          </w:p>
        </w:tc>
        <w:tc>
          <w:tcPr>
            <w:tcW w:w="304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35"/>
        </w:trPr>
        <w:tc>
          <w:tcPr>
            <w:tcW w:w="4840" w:type="dxa"/>
            <w:vAlign w:val="bottom"/>
            <w:tcBorders>
              <w:bottom w:val="single" w:sz="8" w:color="auto"/>
            </w:tcBorders>
            <w:shd w:val="clear" w:color="auto" w:fill="CCEEFF"/>
          </w:tcPr>
          <w:p>
            <w:pPr>
              <w:spacing w:after="0"/>
              <w:rPr>
                <w:sz w:val="11"/>
                <w:szCs w:val="11"/>
                <w:color w:val="auto"/>
              </w:rPr>
            </w:pPr>
          </w:p>
        </w:tc>
        <w:tc>
          <w:tcPr>
            <w:tcW w:w="304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vMerge w:val="continue"/>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60" w:type="dxa"/>
            <w:vAlign w:val="bottom"/>
            <w:gridSpan w:val="3"/>
          </w:tcPr>
          <w:p>
            <w:pPr>
              <w:ind w:left="10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(7,747)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5,529</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w w:val="99"/>
              </w:rPr>
              <w:t>4,059</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Funded deficit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(2,218)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funded deficit at December 31, 2023 and December 31, 2022 are included in non-current other liabilities on the Consolidated Balance Sheet.</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change in benefit obligation is presented in the following table. The discount rate used in calculating the benefit obligation in years ended December 31, 2023 and December 31, 2022 was 1.5% and 2.3%,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34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35"/>
        </w:trPr>
        <w:tc>
          <w:tcPr>
            <w:tcW w:w="5560" w:type="dxa"/>
            <w:vAlign w:val="bottom"/>
            <w:tcBorders>
              <w:bottom w:val="single" w:sz="8" w:color="auto"/>
            </w:tcBorders>
            <w:shd w:val="clear" w:color="auto" w:fill="CCEEFF"/>
          </w:tcPr>
          <w:p>
            <w:pPr>
              <w:spacing w:after="0"/>
              <w:rPr>
                <w:sz w:val="11"/>
                <w:szCs w:val="11"/>
                <w:color w:val="auto"/>
              </w:rPr>
            </w:pPr>
          </w:p>
        </w:tc>
        <w:tc>
          <w:tcPr>
            <w:tcW w:w="234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vMerge w:val="continue"/>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4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795</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loss/(gain)</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end of year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34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55"/>
        </w:trPr>
        <w:tc>
          <w:tcPr>
            <w:tcW w:w="5560" w:type="dxa"/>
            <w:vAlign w:val="bottom"/>
            <w:tcBorders>
              <w:bottom w:val="single" w:sz="8" w:color="auto"/>
            </w:tcBorders>
            <w:shd w:val="clear" w:color="auto" w:fill="CCEEFF"/>
          </w:tcPr>
          <w:p>
            <w:pPr>
              <w:spacing w:after="0"/>
              <w:rPr>
                <w:sz w:val="13"/>
                <w:szCs w:val="13"/>
                <w:color w:val="auto"/>
              </w:rPr>
            </w:pPr>
          </w:p>
        </w:tc>
        <w:tc>
          <w:tcPr>
            <w:tcW w:w="234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4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(loss)/gain</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Scheme contributions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795</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22. Equity Incentive Schemes and Stock Compensation Charges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Each option granted under the 2008 Option Plans is an employee stock option, or Nonqualified Stock Option ("NSO"), as described in Section 422 or 423 of the Internal Revenue Code. Each grant of an option under the 2008 Options Plans is evidenced by a Stock Option Agreement between the optionee and the Company. The exercise price is specified in each Stock Option Agreement, however option prices are not less than 100% of the fair market value of an ordinary share on the date the option is granted. Share option awards are granted with an exercise price equal to the market price of the Company's shares at date of grant. Share options typically vest over a period of five years from date of grant and expire eight years from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Equity Incentive Plans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 the PRA equity incentive plans, that have been terminated as of July 1, 2021, as to grants of future awards.</w:t>
      </w:r>
    </w:p>
    <w:p>
      <w:pPr>
        <w:spacing w:after="0" w:line="2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Pursuant to the Merger Agreement, effective on July 1, 2021, each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73"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PRA Health Sciences, Inc. 2020 Stock Incentive Plan (the "2020 Plan”), 2018 Stock Incentive Plan (the "2018 Plan"), 2014 Omnibus Incentive Plan (the "2014 Plan"), and 2013 Stock Incentive Plan (the "2013 Plan") were amended and restated and assumed by the Registrant effective as of July 1, 2021.</w:t>
      </w:r>
    </w:p>
    <w:p>
      <w:pPr>
        <w:spacing w:after="0" w:line="14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 million shares of common stock plus all shares that remained available under the 2014 Plan on May 31, 2018 (which included shares carried over from the 2013 Plan).</w:t>
      </w:r>
    </w:p>
    <w:p>
      <w:pPr>
        <w:spacing w:after="0" w:line="17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ind w:firstLine="648"/>
        <w:spacing w:after="0" w:line="268" w:lineRule="auto"/>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2023, December 31, 2022 and December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 Granted</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223"/>
        </w:trPr>
        <w:tc>
          <w:tcPr>
            <w:tcW w:w="75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Under Plans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2020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553,746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w:t>
            </w:r>
          </w:p>
        </w:tc>
      </w:tr>
      <w:tr>
        <w:trPr>
          <w:trHeight w:val="216"/>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Assumed through business combinations *</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2,177,130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r>
      <w:tr>
        <w:trPr>
          <w:trHeight w:val="215"/>
        </w:trPr>
        <w:tc>
          <w:tcPr>
            <w:tcW w:w="7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100,299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177.76</w:t>
            </w:r>
          </w:p>
        </w:tc>
      </w:tr>
      <w:tr>
        <w:trPr>
          <w:trHeight w:val="217"/>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(1,065,529)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111.29</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128.46</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1,695,460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110.38</w:t>
            </w:r>
          </w:p>
        </w:tc>
      </w:tr>
      <w:tr>
        <w:trPr>
          <w:trHeight w:val="215"/>
        </w:trPr>
        <w:tc>
          <w:tcPr>
            <w:tcW w:w="7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108,643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229.94</w:t>
            </w:r>
          </w:p>
        </w:tc>
      </w:tr>
      <w:tr>
        <w:trPr>
          <w:trHeight w:val="217"/>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(348,286)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Canceled/expired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1,378,119</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119.86</w:t>
            </w:r>
          </w:p>
        </w:tc>
      </w:tr>
      <w:tr>
        <w:trPr>
          <w:trHeight w:val="215"/>
        </w:trPr>
        <w:tc>
          <w:tcPr>
            <w:tcW w:w="7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82,472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232.48</w:t>
            </w:r>
          </w:p>
        </w:tc>
      </w:tr>
      <w:tr>
        <w:trPr>
          <w:trHeight w:val="217"/>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(535,705)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95.12</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Canceled/expired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196.20</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2023</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902,806</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142.96</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Vested and exercisable at December 31, 2023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654,386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119.67</w:t>
            </w:r>
          </w:p>
        </w:tc>
      </w:tr>
      <w:tr>
        <w:trPr>
          <w:trHeight w:val="281"/>
        </w:trPr>
        <w:tc>
          <w:tcPr>
            <w:tcW w:w="7500" w:type="dxa"/>
            <w:vAlign w:val="bottom"/>
          </w:tcPr>
          <w:p>
            <w:pPr>
              <w:ind w:left="660"/>
              <w:spacing w:after="0"/>
              <w:rPr>
                <w:sz w:val="20"/>
                <w:szCs w:val="20"/>
                <w:color w:val="auto"/>
              </w:rPr>
            </w:pPr>
            <w:r>
              <w:rPr>
                <w:rFonts w:ascii="Arial" w:cs="Arial" w:eastAsia="Arial" w:hAnsi="Arial"/>
                <w:sz w:val="16"/>
                <w:szCs w:val="16"/>
                <w:color w:val="auto"/>
              </w:rPr>
              <w:t>*Represents stock options issued as replacement awards in connection with the Merger.</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3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weighted average remaining contractual life of options outstanding and options exercisable at December 31, 2023, was 4.42 years and 3.89 years respectively (2022: 4.69 years and 4.25 years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and exercisable share options: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2"/>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80" w:type="dxa"/>
            <w:vAlign w:val="bottom"/>
            <w:tcBorders>
              <w:bottom w:val="single" w:sz="8" w:color="auto"/>
            </w:tcBorders>
            <w:gridSpan w:val="3"/>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Options Exercisable</w:t>
            </w:r>
          </w:p>
        </w:tc>
      </w:tr>
      <w:tr>
        <w:trPr>
          <w:trHeight w:val="155"/>
        </w:trPr>
        <w:tc>
          <w:tcPr>
            <w:tcW w:w="20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Range Exercise</w:t>
            </w:r>
          </w:p>
        </w:tc>
        <w:tc>
          <w:tcPr>
            <w:tcW w:w="192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Number of</w:t>
            </w: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c>
          <w:tcPr>
            <w:tcW w:w="160" w:type="dxa"/>
            <w:vAlign w:val="bottom"/>
          </w:tcPr>
          <w:p>
            <w:pPr>
              <w:spacing w:after="0"/>
              <w:rPr>
                <w:sz w:val="13"/>
                <w:szCs w:val="13"/>
                <w:color w:val="auto"/>
              </w:rPr>
            </w:pPr>
          </w:p>
        </w:tc>
        <w:tc>
          <w:tcPr>
            <w:tcW w:w="1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Price</w:t>
            </w:r>
          </w:p>
        </w:tc>
        <w:tc>
          <w:tcPr>
            <w:tcW w:w="192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60" w:type="dxa"/>
            <w:vAlign w:val="bottom"/>
          </w:tcPr>
          <w:p>
            <w:pPr>
              <w:spacing w:after="0"/>
              <w:rPr>
                <w:sz w:val="14"/>
                <w:szCs w:val="14"/>
                <w:color w:val="auto"/>
              </w:rPr>
            </w:pPr>
          </w:p>
        </w:tc>
        <w:tc>
          <w:tcPr>
            <w:tcW w:w="1740" w:type="dxa"/>
            <w:vAlign w:val="bottom"/>
            <w:gridSpan w:val="2"/>
          </w:tcPr>
          <w:p>
            <w:pPr>
              <w:jc w:val="right"/>
              <w:ind w:right="180"/>
              <w:spacing w:after="0" w:line="162" w:lineRule="exact"/>
              <w:rPr>
                <w:sz w:val="20"/>
                <w:szCs w:val="20"/>
                <w:color w:val="auto"/>
              </w:rPr>
            </w:pPr>
            <w:r>
              <w:rPr>
                <w:rFonts w:ascii="Arial" w:cs="Arial" w:eastAsia="Arial" w:hAnsi="Arial"/>
                <w:sz w:val="16"/>
                <w:szCs w:val="16"/>
                <w:b w:val="1"/>
                <w:bCs w:val="1"/>
                <w:color w:val="auto"/>
              </w:rPr>
              <w:t>Exercise Price</w:t>
            </w:r>
          </w:p>
        </w:tc>
        <w:tc>
          <w:tcPr>
            <w:tcW w:w="18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r>
      <w:tr>
        <w:trPr>
          <w:trHeight w:val="162"/>
        </w:trPr>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20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$20.83 - 96.15</w:t>
            </w:r>
          </w:p>
        </w:tc>
        <w:tc>
          <w:tcPr>
            <w:tcW w:w="1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201,306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201,306</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$103.81 - 121.68</w:t>
            </w: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132,964</w:t>
            </w:r>
          </w:p>
        </w:tc>
        <w:tc>
          <w:tcPr>
            <w:tcW w:w="1560" w:type="dxa"/>
            <w:vAlign w:val="bottom"/>
          </w:tcPr>
          <w:p>
            <w:pPr>
              <w:jc w:val="right"/>
              <w:spacing w:after="0"/>
              <w:rPr>
                <w:sz w:val="20"/>
                <w:szCs w:val="20"/>
                <w:color w:val="auto"/>
              </w:rPr>
            </w:pPr>
            <w:r>
              <w:rPr>
                <w:rFonts w:ascii="Arial" w:cs="Arial" w:eastAsia="Arial" w:hAnsi="Arial"/>
                <w:sz w:val="16"/>
                <w:szCs w:val="16"/>
                <w:color w:val="auto"/>
              </w:rPr>
              <w:t>4.54</w:t>
            </w: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132,964</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$125.74 - 147.26</w:t>
            </w:r>
          </w:p>
        </w:tc>
        <w:tc>
          <w:tcPr>
            <w:tcW w:w="1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249,194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233,371</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$159.33 - 233.88</w:t>
            </w:r>
          </w:p>
        </w:tc>
        <w:tc>
          <w:tcPr>
            <w:tcW w:w="1920" w:type="dxa"/>
            <w:vAlign w:val="bottom"/>
          </w:tcPr>
          <w:p>
            <w:pPr>
              <w:jc w:val="right"/>
              <w:ind w:right="279"/>
              <w:spacing w:after="0"/>
              <w:rPr>
                <w:sz w:val="20"/>
                <w:szCs w:val="20"/>
                <w:color w:val="auto"/>
              </w:rPr>
            </w:pPr>
            <w:r>
              <w:rPr>
                <w:rFonts w:ascii="Arial" w:cs="Arial" w:eastAsia="Arial" w:hAnsi="Arial"/>
                <w:sz w:val="16"/>
                <w:szCs w:val="16"/>
                <w:color w:val="auto"/>
              </w:rPr>
              <w:t>319,342</w:t>
            </w:r>
          </w:p>
        </w:tc>
        <w:tc>
          <w:tcPr>
            <w:tcW w:w="1560" w:type="dxa"/>
            <w:vAlign w:val="bottom"/>
          </w:tcPr>
          <w:p>
            <w:pPr>
              <w:jc w:val="right"/>
              <w:spacing w:after="0"/>
              <w:rPr>
                <w:sz w:val="20"/>
                <w:szCs w:val="20"/>
                <w:color w:val="auto"/>
              </w:rPr>
            </w:pPr>
            <w:r>
              <w:rPr>
                <w:rFonts w:ascii="Arial" w:cs="Arial" w:eastAsia="Arial" w:hAnsi="Arial"/>
                <w:sz w:val="16"/>
                <w:szCs w:val="16"/>
                <w:color w:val="auto"/>
              </w:rPr>
              <w:t>5.69</w:t>
            </w: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86,745</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206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spacing w:after="0"/>
              <w:rPr>
                <w:sz w:val="12"/>
                <w:szCs w:val="12"/>
                <w:color w:val="auto"/>
              </w:rPr>
            </w:pPr>
          </w:p>
        </w:tc>
      </w:tr>
      <w:tr>
        <w:trPr>
          <w:trHeight w:val="22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$20.83 - 233.88</w:t>
            </w:r>
          </w:p>
        </w:tc>
        <w:tc>
          <w:tcPr>
            <w:tcW w:w="1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902,806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142.96</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654,386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119.67</w:t>
            </w:r>
          </w:p>
        </w:tc>
      </w:tr>
    </w:tbl>
    <w:p>
      <w:pPr>
        <w:spacing w:after="0" w:line="26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Options outstanding include both vested and unvested options as at December 31, 2023. Options exercisable represent options which have vested at December 31, 2023. From the date of grant, substantially all options vest over a five year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weighted average fair value of options granted during the years ended December 31, 2023, December 31, 2022 and December 31, 2021 was calculated using the Black-Scholes option pricing model. The weighted average fair values and assumptions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10"/>
        </w:trPr>
        <w:tc>
          <w:tcPr>
            <w:tcW w:w="6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68.42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49.15</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Assumptions: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years</w:t>
            </w:r>
          </w:p>
        </w:tc>
      </w:tr>
    </w:tbl>
    <w:p>
      <w:pPr>
        <w:spacing w:after="0" w:line="31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weighted average fair value of options assumed on the date of the Merger was calculated using the Black-Scholes option pricing model. The weighted average fair values on the date of the Merger and assumptions used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1, 2021</w:t>
            </w:r>
          </w:p>
        </w:tc>
      </w:tr>
      <w:tr>
        <w:trPr>
          <w:trHeight w:val="209"/>
        </w:trPr>
        <w:tc>
          <w:tcPr>
            <w:tcW w:w="2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Weighted average grant date fair value</w:t>
            </w:r>
          </w:p>
        </w:tc>
        <w:tc>
          <w:tcPr>
            <w:tcW w:w="3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107.21</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6"/>
                <w:szCs w:val="16"/>
                <w:color w:val="auto"/>
                <w:w w:val="99"/>
              </w:rPr>
              <w:t>Assumptions:</w:t>
            </w:r>
          </w:p>
        </w:tc>
        <w:tc>
          <w:tcPr>
            <w:tcW w:w="524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0.56 %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Expected life</w:t>
            </w:r>
          </w:p>
        </w:tc>
        <w:tc>
          <w:tcPr>
            <w:tcW w:w="38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years</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47" w:name="page148"/>
    <w:bookmarkEnd w:id="147"/>
    <w:p>
      <w:pPr>
        <w:jc w:val="both"/>
        <w:ind w:firstLine="648"/>
        <w:spacing w:after="0" w:line="28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 December 31, 2023:</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shd w:val="clear" w:color="auto" w:fill="CCEEFF"/>
          </w:tcPr>
          <w:p>
            <w:pPr>
              <w:spacing w:after="0"/>
              <w:rPr>
                <w:sz w:val="16"/>
                <w:szCs w:val="16"/>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PSU</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Weighted</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139"/>
              <w:spacing w:after="0" w:line="162" w:lineRule="exact"/>
              <w:rPr>
                <w:sz w:val="20"/>
                <w:szCs w:val="20"/>
                <w:color w:val="auto"/>
              </w:rPr>
            </w:pPr>
            <w:r>
              <w:rPr>
                <w:rFonts w:ascii="Arial" w:cs="Arial" w:eastAsia="Arial" w:hAnsi="Arial"/>
                <w:sz w:val="16"/>
                <w:szCs w:val="16"/>
                <w:b w:val="1"/>
                <w:bCs w:val="1"/>
                <w:color w:val="auto"/>
              </w:rPr>
              <w:t>Average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439"/>
              <w:spacing w:after="0" w:line="162" w:lineRule="exact"/>
              <w:rPr>
                <w:sz w:val="20"/>
                <w:szCs w:val="20"/>
                <w:color w:val="auto"/>
              </w:rPr>
            </w:pPr>
            <w:r>
              <w:rPr>
                <w:rFonts w:ascii="Arial" w:cs="Arial" w:eastAsia="Arial" w:hAnsi="Arial"/>
                <w:sz w:val="16"/>
                <w:szCs w:val="16"/>
                <w:b w:val="1"/>
                <w:bCs w:val="1"/>
                <w:color w:val="auto"/>
              </w:rPr>
              <w:t>Average</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r>
      <w:tr>
        <w:trPr>
          <w:trHeight w:val="216"/>
        </w:trPr>
        <w:tc>
          <w:tcPr>
            <w:tcW w:w="440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Fair Value</w:t>
            </w: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Outstanding at December 31, 2022</w:t>
            </w:r>
          </w:p>
        </w:tc>
        <w:tc>
          <w:tcPr>
            <w:tcW w:w="2840" w:type="dxa"/>
            <w:vAlign w:val="bottom"/>
          </w:tcPr>
          <w:p>
            <w:pPr>
              <w:jc w:val="right"/>
              <w:spacing w:after="0"/>
              <w:rPr>
                <w:sz w:val="20"/>
                <w:szCs w:val="20"/>
                <w:color w:val="auto"/>
              </w:rPr>
            </w:pPr>
            <w:r>
              <w:rPr>
                <w:rFonts w:ascii="Arial" w:cs="Arial" w:eastAsia="Arial" w:hAnsi="Arial"/>
                <w:sz w:val="16"/>
                <w:szCs w:val="16"/>
                <w:color w:val="auto"/>
              </w:rPr>
              <w:t>152,420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179"/>
              <w:spacing w:after="0"/>
              <w:rPr>
                <w:sz w:val="20"/>
                <w:szCs w:val="20"/>
                <w:color w:val="auto"/>
              </w:rPr>
            </w:pPr>
            <w:r>
              <w:rPr>
                <w:rFonts w:ascii="Arial" w:cs="Arial" w:eastAsia="Arial" w:hAnsi="Arial"/>
                <w:sz w:val="16"/>
                <w:szCs w:val="16"/>
                <w:color w:val="auto"/>
                <w:w w:val="98"/>
              </w:rPr>
              <w:t>192.29</w:t>
            </w:r>
          </w:p>
        </w:tc>
        <w:tc>
          <w:tcPr>
            <w:tcW w:w="1160" w:type="dxa"/>
            <w:vAlign w:val="bottom"/>
          </w:tcPr>
          <w:p>
            <w:pPr>
              <w:jc w:val="right"/>
              <w:spacing w:after="0"/>
              <w:rPr>
                <w:sz w:val="20"/>
                <w:szCs w:val="20"/>
                <w:color w:val="auto"/>
              </w:rPr>
            </w:pPr>
            <w:r>
              <w:rPr>
                <w:rFonts w:ascii="Arial" w:cs="Arial" w:eastAsia="Arial" w:hAnsi="Arial"/>
                <w:sz w:val="16"/>
                <w:szCs w:val="16"/>
                <w:color w:val="auto"/>
              </w:rPr>
              <w:t>582,612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207.73</w:t>
            </w:r>
          </w:p>
        </w:tc>
      </w:tr>
      <w:tr>
        <w:trPr>
          <w:trHeight w:val="257"/>
        </w:trPr>
        <w:tc>
          <w:tcPr>
            <w:tcW w:w="440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Granted</w:t>
            </w:r>
          </w:p>
        </w:tc>
        <w:tc>
          <w:tcPr>
            <w:tcW w:w="2840" w:type="dxa"/>
            <w:vAlign w:val="bottom"/>
          </w:tcPr>
          <w:p>
            <w:pPr>
              <w:jc w:val="right"/>
              <w:spacing w:after="0"/>
              <w:rPr>
                <w:sz w:val="20"/>
                <w:szCs w:val="20"/>
                <w:color w:val="auto"/>
              </w:rPr>
            </w:pPr>
            <w:r>
              <w:rPr>
                <w:rFonts w:ascii="Arial" w:cs="Arial" w:eastAsia="Arial" w:hAnsi="Arial"/>
                <w:sz w:val="16"/>
                <w:szCs w:val="16"/>
                <w:color w:val="auto"/>
              </w:rPr>
              <w:t>60,374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179"/>
              <w:spacing w:after="0"/>
              <w:rPr>
                <w:sz w:val="20"/>
                <w:szCs w:val="20"/>
                <w:color w:val="auto"/>
              </w:rPr>
            </w:pPr>
            <w:r>
              <w:rPr>
                <w:rFonts w:ascii="Arial" w:cs="Arial" w:eastAsia="Arial" w:hAnsi="Arial"/>
                <w:sz w:val="16"/>
                <w:szCs w:val="16"/>
                <w:color w:val="auto"/>
                <w:w w:val="98"/>
              </w:rPr>
              <w:t>232.51</w:t>
            </w:r>
          </w:p>
        </w:tc>
        <w:tc>
          <w:tcPr>
            <w:tcW w:w="1160" w:type="dxa"/>
            <w:vAlign w:val="bottom"/>
          </w:tcPr>
          <w:p>
            <w:pPr>
              <w:jc w:val="right"/>
              <w:spacing w:after="0"/>
              <w:rPr>
                <w:sz w:val="20"/>
                <w:szCs w:val="20"/>
                <w:color w:val="auto"/>
              </w:rPr>
            </w:pPr>
            <w:r>
              <w:rPr>
                <w:rFonts w:ascii="Arial" w:cs="Arial" w:eastAsia="Arial" w:hAnsi="Arial"/>
                <w:sz w:val="16"/>
                <w:szCs w:val="16"/>
                <w:color w:val="auto"/>
              </w:rPr>
              <w:t>308,963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218.86</w:t>
            </w: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159.57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187.68</w:t>
            </w: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8"/>
              </w:rPr>
              <w:t>198.70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216.03</w:t>
            </w:r>
          </w:p>
        </w:tc>
      </w:tr>
      <w:tr>
        <w:trPr>
          <w:trHeight w:val="24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105,256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8"/>
              </w:rPr>
              <w:t>226.29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218.27</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year ended December 31, 2023 totaled $35.4 million (2022: $34.1 million). The share price range for the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$159.33 - $265.96 (2022: $137.47 - $265.96).</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year ended December 31, 2023 totaled $7.5 million (2022: $6.5 million). The share price range for the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$159.33 - $166.51 (2022: $137.47 - $166.51).</w:t>
      </w:r>
    </w:p>
    <w:p>
      <w:pPr>
        <w:spacing w:after="0" w:line="24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 2021 – 2023, 2022 – 2024, and 2023 - 2025. Depending on the actual amount of EPS from 2021 to 2025, up to an additional 49,340 PSUs may also be granted.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compensation expense</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Income from operations for the year ended December 31, 2023 is stated after charging $55.7 million in respect of stock compensation expense (inclusive of employer related taxes). Stock compensation expense has been allocated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26,595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22,854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18,551</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41,457</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and integration related *</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73,836</w:t>
            </w:r>
          </w:p>
        </w:tc>
      </w:tr>
      <w:tr>
        <w:trPr>
          <w:trHeight w:val="24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70,523</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133,844</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Represents the post combination portion of the accelerated vesting of awards following the completion of the Merger</w:t>
      </w:r>
    </w:p>
    <w:p>
      <w:pPr>
        <w:spacing w:after="0" w:line="2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income tax expense for the year ended December 31, 2023 reflects a net income tax benefit of $20.0 million in connection with stock compensation (including excess tax benefits) and the total tax benefit in connection with stock options exercised during 2023 was $10.9 million. The income tax expense for the year ended December 31, 2022 reflects a net income tax benefit of $12.9 million in connection with stock compensation (including excess tax benefits) and the total tax benefit in connection with stock options exercised during 2022 was $7.7 million. The income tax expense for the year ended December 31, 2021 reflects a net income tax benefit of $22.7 million in connection with stock compensation (including excess tax benefits) and the total tax benefit realized in connection with stock options exercised during 2021 was $23.9 million.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Business Segment and Geographical Information</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reportable segment, which is the provision of outsourced development services on a global basis to the pharmaceutical, biotechnology and medical devices industries.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8" w:name="page149"/>
    <w:bookmarkEnd w:id="148"/>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 assets owned, risks borne, and functions performed by each entity from these intercompany transactions. The arm’s length return is reviewed annually to ensure that it is market appropriate. The integration of entities acquired through the Merger into this global network and global transfer pricing model has been completed.</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changes to the overall basis of segmentation or the measurement basis for the segment results since the prior year.</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Reportable geographic information at December 31, 2023 and December 31, 2022 and for the years ended December 31, 2023, December 31, 2022 and December 31, 2021 is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2,377,104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1,984,567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1,365,909</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1,574,783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1,618,350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1,175,515</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3,283,790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3,574,610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2,581,007</w:t>
            </w:r>
          </w:p>
        </w:tc>
      </w:tr>
      <w:tr>
        <w:trPr>
          <w:trHeight w:val="22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884,499</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563,859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358,395</w:t>
            </w:r>
          </w:p>
        </w:tc>
      </w:tr>
      <w:tr>
        <w:trPr>
          <w:trHeight w:val="37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8,120,176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7,741,386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5,480,826</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(including Restructuring) by geographical area was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Ireland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432,026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218,088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131,961</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153,450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253,799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177,863</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310,343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254,849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39,132</w:t>
            </w:r>
          </w:p>
        </w:tc>
      </w:tr>
      <w:tr>
        <w:trPr>
          <w:trHeight w:val="22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68,501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29,573</w:t>
            </w:r>
          </w:p>
        </w:tc>
      </w:tr>
      <w:tr>
        <w:trPr>
          <w:trHeight w:val="37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956,152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795,237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378,529</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20" w:hanging="112"/>
        <w:spacing w:after="0"/>
        <w:tabs>
          <w:tab w:leader="none" w:pos="1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the full amount of the amortization charge associated with the intangible asset acquired in the Merger.</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74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4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143,025</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94,046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99,721</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213,311</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48,095</w:t>
            </w:r>
          </w:p>
        </w:tc>
      </w:tr>
      <w:tr>
        <w:trPr>
          <w:trHeight w:val="402"/>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501,517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504,152</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Net Income Per Ordinary Share</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Basic net income per ordinary share has been computed by dividing net income available to ordinary shareholders by the weighted average number of ordinary shares outstanding during the period.</w:t>
      </w:r>
    </w:p>
    <w:p>
      <w:pPr>
        <w:spacing w:after="0" w:line="1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940" w:type="dxa"/>
            <w:vAlign w:val="bottom"/>
          </w:tcPr>
          <w:p>
            <w:pPr>
              <w:spacing w:after="0"/>
              <w:rPr>
                <w:sz w:val="13"/>
                <w:szCs w:val="13"/>
                <w:color w:val="auto"/>
              </w:rPr>
            </w:pPr>
          </w:p>
        </w:tc>
        <w:tc>
          <w:tcPr>
            <w:tcW w:w="158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December 31,</w:t>
            </w:r>
          </w:p>
        </w:tc>
        <w:tc>
          <w:tcPr>
            <w:tcW w:w="146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December 31,</w:t>
            </w: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number of ordinary shares outstanding for basic net income per ordinary</w:t>
            </w:r>
          </w:p>
        </w:tc>
        <w:tc>
          <w:tcPr>
            <w:tcW w:w="1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82,101,813</w:t>
            </w:r>
          </w:p>
        </w:tc>
        <w:tc>
          <w:tcPr>
            <w:tcW w:w="14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81,532,320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67,110,186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5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Arial" w:cs="Arial" w:eastAsia="Arial" w:hAnsi="Arial"/>
                <w:sz w:val="16"/>
                <w:szCs w:val="16"/>
                <w:color w:val="auto"/>
              </w:rPr>
              <w:t>Effect of dilutive share options and other awards outstanding under share based compensation</w:t>
            </w:r>
          </w:p>
        </w:tc>
        <w:tc>
          <w:tcPr>
            <w:tcW w:w="1580" w:type="dxa"/>
            <w:vAlign w:val="bottom"/>
            <w:vMerge w:val="restart"/>
          </w:tcPr>
          <w:p>
            <w:pPr>
              <w:jc w:val="right"/>
              <w:ind w:right="139"/>
              <w:spacing w:after="0"/>
              <w:rPr>
                <w:sz w:val="20"/>
                <w:szCs w:val="20"/>
                <w:color w:val="auto"/>
              </w:rPr>
            </w:pPr>
            <w:r>
              <w:rPr>
                <w:rFonts w:ascii="Arial" w:cs="Arial" w:eastAsia="Arial" w:hAnsi="Arial"/>
                <w:sz w:val="16"/>
                <w:szCs w:val="16"/>
                <w:color w:val="auto"/>
              </w:rPr>
              <w:t>615,827</w:t>
            </w:r>
          </w:p>
        </w:tc>
        <w:tc>
          <w:tcPr>
            <w:tcW w:w="1460" w:type="dxa"/>
            <w:vAlign w:val="bottom"/>
            <w:vMerge w:val="restart"/>
          </w:tcPr>
          <w:p>
            <w:pPr>
              <w:jc w:val="right"/>
              <w:ind w:right="159"/>
              <w:spacing w:after="0"/>
              <w:rPr>
                <w:sz w:val="20"/>
                <w:szCs w:val="20"/>
                <w:color w:val="auto"/>
              </w:rPr>
            </w:pPr>
            <w:r>
              <w:rPr>
                <w:rFonts w:ascii="Arial" w:cs="Arial" w:eastAsia="Arial" w:hAnsi="Arial"/>
                <w:sz w:val="16"/>
                <w:szCs w:val="16"/>
                <w:color w:val="auto"/>
              </w:rPr>
              <w:t>936,043</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958,125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programs</w:t>
            </w:r>
          </w:p>
        </w:tc>
        <w:tc>
          <w:tcPr>
            <w:tcW w:w="158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9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for diluted net income per ordinary</w:t>
            </w:r>
          </w:p>
        </w:tc>
        <w:tc>
          <w:tcPr>
            <w:tcW w:w="1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82,717,640</w:t>
            </w:r>
          </w:p>
        </w:tc>
        <w:tc>
          <w:tcPr>
            <w:tcW w:w="14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82,468,363</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68,068,311</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3"/>
                <w:szCs w:val="13"/>
                <w:color w:val="auto"/>
              </w:rPr>
            </w:pPr>
          </w:p>
        </w:tc>
        <w:tc>
          <w:tcPr>
            <w:tcW w:w="124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2021</w:t>
            </w: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ordinary share: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rPr>
              <w:t>7.46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840"/>
              <w:spacing w:after="0"/>
              <w:rPr>
                <w:sz w:val="20"/>
                <w:szCs w:val="20"/>
                <w:color w:val="auto"/>
              </w:rPr>
            </w:pPr>
            <w:r>
              <w:rPr>
                <w:rFonts w:ascii="Arial" w:cs="Arial" w:eastAsia="Arial" w:hAnsi="Arial"/>
                <w:sz w:val="16"/>
                <w:szCs w:val="16"/>
                <w:color w:val="auto"/>
              </w:rPr>
              <w:t>6.20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2.28</w:t>
            </w:r>
          </w:p>
        </w:tc>
      </w:tr>
      <w:tr>
        <w:trPr>
          <w:trHeight w:val="241"/>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7.40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6.13</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2.25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23"/>
        </w:trPr>
        <w:tc>
          <w:tcPr>
            <w:tcW w:w="6900" w:type="dxa"/>
            <w:vAlign w:val="bottom"/>
          </w:tcPr>
          <w:p>
            <w:pPr>
              <w:spacing w:after="0"/>
              <w:rPr>
                <w:sz w:val="20"/>
                <w:szCs w:val="20"/>
                <w:color w:val="auto"/>
              </w:rPr>
            </w:pPr>
            <w:r>
              <w:rPr>
                <w:rFonts w:ascii="Arial" w:cs="Arial" w:eastAsia="Arial" w:hAnsi="Arial"/>
                <w:sz w:val="16"/>
                <w:szCs w:val="16"/>
                <w:b w:val="1"/>
                <w:bCs w:val="1"/>
                <w:color w:val="auto"/>
              </w:rPr>
              <w:t>25. Accumulated Other Comprehensive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gridSpan w:val="3"/>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(149,148)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on cash flow hedge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(143,506)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900" w:type="dxa"/>
            <w:vAlign w:val="bottom"/>
          </w:tcPr>
          <w:p>
            <w:pPr>
              <w:spacing w:after="0"/>
              <w:rPr>
                <w:sz w:val="20"/>
                <w:szCs w:val="20"/>
                <w:color w:val="auto"/>
              </w:rPr>
            </w:pPr>
            <w:r>
              <w:rPr>
                <w:rFonts w:ascii="Arial" w:cs="Arial" w:eastAsia="Arial" w:hAnsi="Arial"/>
                <w:sz w:val="16"/>
                <w:szCs w:val="16"/>
                <w:b w:val="1"/>
                <w:bCs w:val="1"/>
                <w:color w:val="auto"/>
              </w:rPr>
              <w:t>26. Supplemental Disclosure of Cash Flow Information</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317,975</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210,918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163,778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116,322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Related Parties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Subsidiaries of the Company earned revenue of $243,000 (December 31, 2022: $428,000) from Corvus Pharmaceuticals during the year. Dr. Linda Grais serves as a Director and shareholder of Corvus Pharmaceuticals. $101,000 (December 31, 2022: $231,000) was noted as due from Corvus Pharmaceuticals at December 31,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Subsidiaries of the Company earned revenue of $45,000 (December 31, 2022: $235,000) from Afimmune Limited during the year. Dr. John Climax is Chief Executive Officer and a Director and shareholder of Afimmune Limited. $47,000 was noted as due from Afimmune Limited at December 31, 2023 (December 31, 2022: $263,000).</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and $3.1 million representing its pro rata share of the losses in Oncacare during the year ended December 31, 2023 and December 31, 2022, respectively. The Oncacare acquisition also resulted in goodwill of $13.4 million and gave rise to an acquisition-related gain of $6.2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Subsequent Events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evaluated subsequent events from the Balance Sheet date through February 23, 2024, the date at which the consolidated financial statements were available to be issued.</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determined that there are no other items to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color w:val="auto"/>
        </w:rPr>
        <w:t xml:space="preserve">Item 19. </w:t>
      </w:r>
      <w:r>
        <w:rPr>
          <w:rFonts w:ascii="Arial" w:cs="Arial" w:eastAsia="Arial" w:hAnsi="Arial"/>
          <w:sz w:val="16"/>
          <w:szCs w:val="16"/>
          <w:b w:val="1"/>
          <w:bCs w:val="1"/>
          <w:i w:val="1"/>
          <w:iCs w:val="1"/>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20"/>
        <w:spacing w:after="0"/>
        <w:tabs>
          <w:tab w:leader="none" w:pos="19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gridSpan w:val="2"/>
            <w:shd w:val="clear" w:color="auto" w:fill="CCEEFF"/>
          </w:tcPr>
          <w:p>
            <w:pPr>
              <w:ind w:left="20"/>
              <w:spacing w:after="0"/>
              <w:rPr>
                <w:rFonts w:ascii="Arial" w:cs="Arial" w:eastAsia="Arial" w:hAnsi="Arial"/>
                <w:sz w:val="16"/>
                <w:szCs w:val="16"/>
                <w:color w:val="0000FF"/>
                <w:w w:val="98"/>
              </w:rPr>
            </w:pPr>
            <w:hyperlink r:id="rId201">
              <w:r>
                <w:rPr>
                  <w:rFonts w:ascii="Arial" w:cs="Arial" w:eastAsia="Arial" w:hAnsi="Arial"/>
                  <w:sz w:val="16"/>
                  <w:szCs w:val="16"/>
                  <w:color w:val="0000FF"/>
                  <w:w w:val="98"/>
                </w:rPr>
                <w:t>2.</w:t>
              </w:r>
              <w:r>
                <w:rPr>
                  <w:rFonts w:ascii="Arial" w:cs="Arial" w:eastAsia="Arial" w:hAnsi="Arial"/>
                  <w:sz w:val="16"/>
                  <w:szCs w:val="16"/>
                  <w:u w:val="single" w:color="auto"/>
                  <w:color w:val="0000FF"/>
                  <w:w w:val="98"/>
                </w:rPr>
                <w:t>1</w:t>
              </w:r>
            </w:hyperlink>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9640" w:type="dxa"/>
            <w:vAlign w:val="bottom"/>
            <w:tcBorders>
              <w:top w:val="single" w:sz="8" w:color="CCEEFF"/>
            </w:tcBorders>
            <w:shd w:val="clear" w:color="auto" w:fill="CCEEFF"/>
          </w:tcPr>
          <w:p>
            <w:pPr>
              <w:ind w:left="360"/>
              <w:spacing w:after="0" w:line="129" w:lineRule="exact"/>
              <w:rPr>
                <w:sz w:val="20"/>
                <w:szCs w:val="20"/>
                <w:color w:val="auto"/>
              </w:rPr>
            </w:pPr>
            <w:r>
              <w:rPr>
                <w:rFonts w:ascii="Arial" w:cs="Arial" w:eastAsia="Arial" w:hAnsi="Arial"/>
                <w:sz w:val="14"/>
                <w:szCs w:val="14"/>
                <w:color w:val="auto"/>
              </w:rPr>
              <w:t>Sub, Inc and PRA Health Sciences, Inc. (incorporated by reference to exhibit 2.1 to the Form 6-K (file No. 333-08704) filed on</w:t>
            </w:r>
          </w:p>
        </w:tc>
      </w:tr>
      <w:tr>
        <w:trPr>
          <w:trHeight w:val="216"/>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February 24, 2021).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96"/>
        </w:trPr>
        <w:tc>
          <w:tcPr>
            <w:tcW w:w="34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0000FF"/>
              </w:rPr>
              <w:t>2.</w:t>
            </w:r>
            <w:r>
              <w:rPr>
                <w:rFonts w:ascii="Arial" w:cs="Arial" w:eastAsia="Arial" w:hAnsi="Arial"/>
                <w:sz w:val="16"/>
                <w:szCs w:val="16"/>
                <w:u w:val="single" w:color="auto"/>
                <w:color w:val="0000FF"/>
              </w:rPr>
              <w:t>2*</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75"/>
        </w:trPr>
        <w:tc>
          <w:tcPr>
            <w:tcW w:w="260" w:type="dxa"/>
            <w:vAlign w:val="bottom"/>
            <w:gridSpan w:val="2"/>
            <w:shd w:val="clear" w:color="auto" w:fill="CCEEFF"/>
          </w:tcPr>
          <w:p>
            <w:pPr>
              <w:ind w:left="20"/>
              <w:spacing w:after="0" w:line="175" w:lineRule="exact"/>
              <w:rPr>
                <w:rFonts w:ascii="Arial" w:cs="Arial" w:eastAsia="Arial" w:hAnsi="Arial"/>
                <w:sz w:val="16"/>
                <w:szCs w:val="16"/>
                <w:color w:val="0000FF"/>
                <w:w w:val="98"/>
              </w:rPr>
            </w:pPr>
            <w:hyperlink r:id="rId202">
              <w:r>
                <w:rPr>
                  <w:rFonts w:ascii="Arial" w:cs="Arial" w:eastAsia="Arial" w:hAnsi="Arial"/>
                  <w:sz w:val="16"/>
                  <w:szCs w:val="16"/>
                  <w:color w:val="0000FF"/>
                  <w:w w:val="98"/>
                </w:rPr>
                <w:t>2.</w:t>
              </w:r>
              <w:r>
                <w:rPr>
                  <w:rFonts w:ascii="Arial" w:cs="Arial" w:eastAsia="Arial" w:hAnsi="Arial"/>
                  <w:sz w:val="16"/>
                  <w:szCs w:val="16"/>
                  <w:u w:val="single" w:color="auto"/>
                  <w:color w:val="0000FF"/>
                  <w:w w:val="98"/>
                </w:rPr>
                <w:t>3</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Credit Agreement, dated as of July 1, 2021, by and among ICON Luxembourg, S.À R.L., ICON Clinical Investments, LLC, Indigo</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Merger Sub, Inc. (which, after giving effect to the Merger on the Closing Date was succeeded by PRA Health Sciences, Inc.),</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ICON Public Limited Company, the other borrowers party thereto from time to time, the subsidiary guarantors party thereto from</w:t>
            </w: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time to time, lenders party thereto Citibank, N.A., as administrative agent, and Citibank, N.A., London Branch, as collateral agent</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99.1 to the Form 6-K (File No. 333-08704) filed on July 1, 2021).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5"/>
        </w:trPr>
        <w:tc>
          <w:tcPr>
            <w:tcW w:w="260" w:type="dxa"/>
            <w:vAlign w:val="bottom"/>
            <w:gridSpan w:val="2"/>
            <w:shd w:val="clear" w:color="auto" w:fill="CCEEFF"/>
          </w:tcPr>
          <w:p>
            <w:pPr>
              <w:ind w:left="20"/>
              <w:spacing w:after="0" w:line="175" w:lineRule="exact"/>
              <w:rPr>
                <w:rFonts w:ascii="Arial" w:cs="Arial" w:eastAsia="Arial" w:hAnsi="Arial"/>
                <w:sz w:val="16"/>
                <w:szCs w:val="16"/>
                <w:color w:val="0000FF"/>
                <w:w w:val="98"/>
              </w:rPr>
            </w:pPr>
            <w:hyperlink r:id="rId203">
              <w:r>
                <w:rPr>
                  <w:rFonts w:ascii="Arial" w:cs="Arial" w:eastAsia="Arial" w:hAnsi="Arial"/>
                  <w:sz w:val="16"/>
                  <w:szCs w:val="16"/>
                  <w:color w:val="0000FF"/>
                  <w:w w:val="98"/>
                </w:rPr>
                <w:t>2.</w:t>
              </w:r>
              <w:r>
                <w:rPr>
                  <w:rFonts w:ascii="Arial" w:cs="Arial" w:eastAsia="Arial" w:hAnsi="Arial"/>
                  <w:sz w:val="16"/>
                  <w:szCs w:val="16"/>
                  <w:u w:val="single" w:color="auto"/>
                  <w:color w:val="0000FF"/>
                  <w:w w:val="98"/>
                </w:rPr>
                <w:t>4</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Indenture, dated as of July 1, 2021, by and among Indigo Merger Sub, Inc., PRA Health Sciences, Inc., the guarantors party</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thereto and Citibank, N.A., London Branch as trustee, notes collateral agent, paying agent, transfer agent and registrar</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99.2 to the Form 6-K (File No. 333-08704) filed on July 1, 2021).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6"/>
        </w:trPr>
        <w:tc>
          <w:tcPr>
            <w:tcW w:w="260" w:type="dxa"/>
            <w:vAlign w:val="bottom"/>
            <w:gridSpan w:val="2"/>
            <w:shd w:val="clear" w:color="auto" w:fill="CCEEFF"/>
          </w:tcPr>
          <w:p>
            <w:pPr>
              <w:ind w:left="20"/>
              <w:spacing w:after="0" w:line="175" w:lineRule="exact"/>
              <w:rPr>
                <w:rFonts w:ascii="Arial" w:cs="Arial" w:eastAsia="Arial" w:hAnsi="Arial"/>
                <w:sz w:val="16"/>
                <w:szCs w:val="16"/>
                <w:color w:val="0000FF"/>
                <w:w w:val="98"/>
              </w:rPr>
            </w:pPr>
            <w:hyperlink r:id="rId204">
              <w:r>
                <w:rPr>
                  <w:rFonts w:ascii="Arial" w:cs="Arial" w:eastAsia="Arial" w:hAnsi="Arial"/>
                  <w:sz w:val="16"/>
                  <w:szCs w:val="16"/>
                  <w:color w:val="0000FF"/>
                  <w:w w:val="98"/>
                </w:rPr>
                <w:t>2.</w:t>
              </w:r>
              <w:r>
                <w:rPr>
                  <w:rFonts w:ascii="Arial" w:cs="Arial" w:eastAsia="Arial" w:hAnsi="Arial"/>
                  <w:sz w:val="16"/>
                  <w:szCs w:val="16"/>
                  <w:u w:val="single" w:color="auto"/>
                  <w:color w:val="0000FF"/>
                  <w:w w:val="98"/>
                </w:rPr>
                <w:t>5</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Amendment No. 1 to the Credit Agreement referred to at Exhibit 2.3, dated as of November 29, 2022, by and among ICON</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Public Limited Company and Citibank, N.A., as administrative agent. (incorporated by reference to exhibit 2.5 to the Form 20-F</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(File No. 333-08704) filed on February 24, 2023).</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6"/>
        </w:trPr>
        <w:tc>
          <w:tcPr>
            <w:tcW w:w="260" w:type="dxa"/>
            <w:vAlign w:val="bottom"/>
            <w:gridSpan w:val="2"/>
            <w:shd w:val="clear" w:color="auto" w:fill="CCEEFF"/>
          </w:tcPr>
          <w:p>
            <w:pPr>
              <w:ind w:left="20"/>
              <w:spacing w:after="0" w:line="175" w:lineRule="exact"/>
              <w:rPr>
                <w:rFonts w:ascii="Arial" w:cs="Arial" w:eastAsia="Arial" w:hAnsi="Arial"/>
                <w:sz w:val="16"/>
                <w:szCs w:val="16"/>
                <w:color w:val="0000FF"/>
                <w:w w:val="98"/>
              </w:rPr>
            </w:pPr>
            <w:hyperlink r:id="rId205">
              <w:r>
                <w:rPr>
                  <w:rFonts w:ascii="Arial" w:cs="Arial" w:eastAsia="Arial" w:hAnsi="Arial"/>
                  <w:sz w:val="16"/>
                  <w:szCs w:val="16"/>
                  <w:color w:val="0000FF"/>
                  <w:w w:val="98"/>
                </w:rPr>
                <w:t>2.</w:t>
              </w:r>
              <w:r>
                <w:rPr>
                  <w:rFonts w:ascii="Arial" w:cs="Arial" w:eastAsia="Arial" w:hAnsi="Arial"/>
                  <w:sz w:val="16"/>
                  <w:szCs w:val="16"/>
                  <w:u w:val="single" w:color="auto"/>
                  <w:color w:val="0000FF"/>
                  <w:w w:val="98"/>
                </w:rPr>
                <w:t>6</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Second Amendment to Credit Agreement, dated as of May 2, 2023, by and among various subsidiaries of ICON plc, Citibank,</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9640" w:type="dxa"/>
            <w:vAlign w:val="bottom"/>
            <w:tcBorders>
              <w:top w:val="single" w:sz="8" w:color="CCEEFF"/>
            </w:tcBorders>
            <w:shd w:val="clear" w:color="auto" w:fill="CCEEFF"/>
          </w:tcPr>
          <w:p>
            <w:pPr>
              <w:ind w:left="360"/>
              <w:spacing w:after="0" w:line="129" w:lineRule="exact"/>
              <w:rPr>
                <w:sz w:val="20"/>
                <w:szCs w:val="20"/>
                <w:color w:val="auto"/>
              </w:rPr>
            </w:pPr>
            <w:r>
              <w:rPr>
                <w:rFonts w:ascii="Arial" w:cs="Arial" w:eastAsia="Arial" w:hAnsi="Arial"/>
                <w:sz w:val="14"/>
                <w:szCs w:val="14"/>
                <w:color w:val="auto"/>
              </w:rPr>
              <w:t>N.A., as administrative agent and swingline lender, and various revolving lenders. (incorporated by reference to exhibit 99.1 to</w:t>
            </w:r>
          </w:p>
        </w:tc>
      </w:tr>
      <w:tr>
        <w:trPr>
          <w:trHeight w:val="216"/>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Form 6-K (File No. 333-08704) filed on July 28, 2023).</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5"/>
        </w:trPr>
        <w:tc>
          <w:tcPr>
            <w:tcW w:w="260" w:type="dxa"/>
            <w:vAlign w:val="bottom"/>
            <w:gridSpan w:val="2"/>
            <w:shd w:val="clear" w:color="auto" w:fill="CCEEFF"/>
          </w:tcPr>
          <w:p>
            <w:pPr>
              <w:ind w:left="20"/>
              <w:spacing w:after="0" w:line="175" w:lineRule="exact"/>
              <w:rPr>
                <w:rFonts w:ascii="Arial" w:cs="Arial" w:eastAsia="Arial" w:hAnsi="Arial"/>
                <w:sz w:val="16"/>
                <w:szCs w:val="16"/>
                <w:color w:val="0000FF"/>
                <w:w w:val="98"/>
              </w:rPr>
            </w:pPr>
            <w:hyperlink r:id="rId206">
              <w:r>
                <w:rPr>
                  <w:rFonts w:ascii="Arial" w:cs="Arial" w:eastAsia="Arial" w:hAnsi="Arial"/>
                  <w:sz w:val="16"/>
                  <w:szCs w:val="16"/>
                  <w:color w:val="0000FF"/>
                  <w:w w:val="98"/>
                </w:rPr>
                <w:t>3.</w:t>
              </w:r>
              <w:r>
                <w:rPr>
                  <w:rFonts w:ascii="Arial" w:cs="Arial" w:eastAsia="Arial" w:hAnsi="Arial"/>
                  <w:sz w:val="16"/>
                  <w:szCs w:val="16"/>
                  <w:u w:val="single" w:color="auto"/>
                  <w:color w:val="0000FF"/>
                  <w:w w:val="98"/>
                </w:rPr>
                <w:t>1</w:t>
              </w:r>
            </w:hyperlink>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CCEEFF"/>
            </w:tcBorders>
            <w:shd w:val="clear" w:color="auto" w:fill="CCEEFF"/>
          </w:tcPr>
          <w:p>
            <w:pPr>
              <w:ind w:left="360"/>
              <w:spacing w:after="0" w:line="183" w:lineRule="exact"/>
              <w:rPr>
                <w:sz w:val="20"/>
                <w:szCs w:val="20"/>
                <w:color w:val="auto"/>
              </w:rPr>
            </w:pPr>
            <w:r>
              <w:rPr>
                <w:rFonts w:ascii="Arial" w:cs="Arial" w:eastAsia="Arial" w:hAnsi="Arial"/>
                <w:sz w:val="16"/>
                <w:szCs w:val="16"/>
                <w:color w:val="auto"/>
              </w:rPr>
              <w:t>filed on July 25, 2016).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12.</w:t>
            </w:r>
            <w:r>
              <w:rPr>
                <w:rFonts w:ascii="Arial" w:cs="Arial" w:eastAsia="Arial" w:hAnsi="Arial"/>
                <w:sz w:val="16"/>
                <w:szCs w:val="16"/>
                <w:u w:val="single" w:color="auto"/>
                <w:color w:val="0000FF"/>
              </w:rPr>
              <w:t>1*</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302 certifications.</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12.</w:t>
            </w:r>
            <w:r>
              <w:rPr>
                <w:rFonts w:ascii="Arial" w:cs="Arial" w:eastAsia="Arial" w:hAnsi="Arial"/>
                <w:sz w:val="16"/>
                <w:szCs w:val="16"/>
                <w:u w:val="single" w:color="auto"/>
                <w:color w:val="0000FF"/>
              </w:rPr>
              <w:t>2*</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906 certifications.</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16.</w:t>
            </w:r>
            <w:r>
              <w:rPr>
                <w:rFonts w:ascii="Arial" w:cs="Arial" w:eastAsia="Arial" w:hAnsi="Arial"/>
                <w:sz w:val="16"/>
                <w:szCs w:val="16"/>
                <w:u w:val="single" w:color="auto"/>
                <w:color w:val="0000FF"/>
              </w:rPr>
              <w:t>1*</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Letter from KPMG to the Securities and Exchange Commission, dated February 23, 2024.</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4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21.</w:t>
            </w:r>
            <w:r>
              <w:rPr>
                <w:rFonts w:ascii="Arial" w:cs="Arial" w:eastAsia="Arial" w:hAnsi="Arial"/>
                <w:sz w:val="16"/>
                <w:szCs w:val="16"/>
                <w:u w:val="single" w:color="auto"/>
                <w:color w:val="0000FF"/>
              </w:rPr>
              <w:t>1</w:t>
            </w: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23.</w:t>
            </w:r>
            <w:r>
              <w:rPr>
                <w:rFonts w:ascii="Arial" w:cs="Arial" w:eastAsia="Arial" w:hAnsi="Arial"/>
                <w:sz w:val="16"/>
                <w:szCs w:val="16"/>
                <w:u w:val="single" w:color="auto"/>
                <w:color w:val="0000FF"/>
              </w:rPr>
              <w:t>1*</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Consent of KPMG, Independent Registered Public Accounting Firm.</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75"/>
        </w:trPr>
        <w:tc>
          <w:tcPr>
            <w:tcW w:w="2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0000FF"/>
                <w:w w:val="91"/>
              </w:rPr>
              <w:t>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ICON plc Clawback Policy, adopted on July 25, 2023 relating to recovery of erroneously awarded compensation, as required by</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CCEEFF"/>
            </w:tcBorders>
            <w:shd w:val="clear" w:color="auto" w:fill="CCEEFF"/>
          </w:tcPr>
          <w:p>
            <w:pPr>
              <w:ind w:left="360"/>
              <w:spacing w:after="0" w:line="183" w:lineRule="exact"/>
              <w:rPr>
                <w:sz w:val="20"/>
                <w:szCs w:val="20"/>
                <w:color w:val="auto"/>
              </w:rPr>
            </w:pPr>
            <w:r>
              <w:rPr>
                <w:rFonts w:ascii="Arial" w:cs="Arial" w:eastAsia="Arial" w:hAnsi="Arial"/>
                <w:sz w:val="16"/>
                <w:szCs w:val="16"/>
                <w:color w:val="auto"/>
              </w:rPr>
              <w:t>applicable listing standards adopted pursuant to 17 CFR 240.10D-1.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101.1*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Interactive Data Files (Inline XBRL – Related Documents).</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Cover Page Interactive Data File (embedded within the Inline XBRL document and included in Exhibit 101).</w:t>
            </w:r>
          </w:p>
        </w:tc>
      </w:tr>
      <w:tr>
        <w:trPr>
          <w:trHeight w:val="524"/>
        </w:trPr>
        <w:tc>
          <w:tcPr>
            <w:tcW w:w="1580" w:type="dxa"/>
            <w:vAlign w:val="bottom"/>
            <w:gridSpan w:val="6"/>
          </w:tcPr>
          <w:p>
            <w:pPr>
              <w:spacing w:after="0"/>
              <w:rPr>
                <w:sz w:val="20"/>
                <w:szCs w:val="20"/>
                <w:color w:val="auto"/>
              </w:rPr>
            </w:pPr>
            <w:r>
              <w:rPr>
                <w:rFonts w:ascii="Arial" w:cs="Arial" w:eastAsia="Arial" w:hAnsi="Arial"/>
                <w:sz w:val="16"/>
                <w:szCs w:val="16"/>
                <w:color w:val="auto"/>
              </w:rPr>
              <w:t>*  Filed herewith</w:t>
            </w:r>
          </w:p>
        </w:tc>
        <w:tc>
          <w:tcPr>
            <w:tcW w:w="9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20955</wp:posOffset>
            </wp:positionV>
            <wp:extent cx="30346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034665" cy="17145"/>
                    </a:xfrm>
                    <a:prstGeom prst="rect">
                      <a:avLst/>
                    </a:prstGeom>
                    <a:noFill/>
                  </pic:spPr>
                </pic:pic>
              </a:graphicData>
            </a:graphic>
          </wp:anchor>
        </w:drawing>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Chief Financial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2024</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20"/>
          </w:cols>
          <w:pgMar w:left="320" w:top="895"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Under Section 12 of the Exchange Act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ICON plc (“we,” “us,” and “our”) had the following series of securities registered pursuant to Section 12(b) of the Exchange Act: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340" w:type="dxa"/>
            <w:vAlign w:val="bottom"/>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w:t>
            </w:r>
          </w:p>
        </w:tc>
        <w:tc>
          <w:tcPr>
            <w:tcW w:w="340" w:type="dxa"/>
            <w:vAlign w:val="bottom"/>
          </w:tcPr>
          <w:p>
            <w:pPr>
              <w:spacing w:after="0"/>
              <w:rPr>
                <w:sz w:val="18"/>
                <w:szCs w:val="18"/>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96"/>
        </w:trPr>
        <w:tc>
          <w:tcPr>
            <w:tcW w:w="4300" w:type="dxa"/>
            <w:vAlign w:val="bottom"/>
            <w:gridSpan w:val="2"/>
          </w:tcPr>
          <w:p>
            <w:pPr>
              <w:ind w:left="20"/>
              <w:spacing w:after="0"/>
              <w:rPr>
                <w:sz w:val="20"/>
                <w:szCs w:val="20"/>
                <w:color w:val="auto"/>
              </w:rPr>
            </w:pPr>
            <w:r>
              <w:rPr>
                <w:rFonts w:ascii="Arial" w:cs="Arial" w:eastAsia="Arial" w:hAnsi="Arial"/>
                <w:sz w:val="16"/>
                <w:szCs w:val="16"/>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ICLR</w:t>
            </w:r>
          </w:p>
        </w:tc>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Ordinary Shares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10.General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10.A.1. Limitations or qualifications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10.A.2. Other rights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10.A.3. Type and class of securities</w:t>
      </w:r>
    </w:p>
    <w:p>
      <w:pPr>
        <w:spacing w:after="0" w:line="59" w:lineRule="exact"/>
        <w:rPr>
          <w:sz w:val="20"/>
          <w:szCs w:val="20"/>
          <w:color w:val="auto"/>
        </w:rPr>
      </w:pPr>
    </w:p>
    <w:p>
      <w:pPr>
        <w:jc w:val="both"/>
        <w:ind w:firstLine="192"/>
        <w:spacing w:after="0" w:line="275" w:lineRule="auto"/>
        <w:rPr>
          <w:sz w:val="20"/>
          <w:szCs w:val="20"/>
          <w:color w:val="auto"/>
        </w:rPr>
      </w:pPr>
      <w:r>
        <w:rPr>
          <w:rFonts w:ascii="Arial" w:cs="Arial" w:eastAsia="Arial" w:hAnsi="Arial"/>
          <w:sz w:val="16"/>
          <w:szCs w:val="16"/>
          <w:color w:val="auto"/>
        </w:rPr>
        <w:t>Each ICON plc share has nominal value of €0.06 per share. The respective number of shares that have been issued as of December 31, 2023 is given in the Consolidated Balance Sheet of the annual report on Form 20-F for the fiscal year ended December 31, 2023. All ICON shares have equal voting rights and carry equal entitlements to dividends. No participation certificates, non-voting equity securities or profit-sharing certificates have been issued.</w:t>
      </w:r>
    </w:p>
    <w:p>
      <w:pPr>
        <w:spacing w:after="0" w:line="2"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Item 10.A.4. Pre-emptive rights</w:t>
      </w:r>
    </w:p>
    <w:p>
      <w:pPr>
        <w:spacing w:after="0" w:line="73"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10.B Memorandum and articles of association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10.B.1 Shareholder Rights, Preferences and Dividends Attaching to Shares</w:t>
      </w:r>
    </w:p>
    <w:p>
      <w:pPr>
        <w:spacing w:after="0" w:line="59" w:lineRule="exact"/>
        <w:rPr>
          <w:sz w:val="20"/>
          <w:szCs w:val="20"/>
          <w:color w:val="auto"/>
        </w:rPr>
      </w:pPr>
    </w:p>
    <w:p>
      <w:pPr>
        <w:jc w:val="both"/>
        <w:ind w:firstLine="210"/>
        <w:spacing w:after="0" w:line="25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10.B.2. Action Necessary to Change the Rights of Shareholders</w:t>
      </w:r>
    </w:p>
    <w:p>
      <w:pPr>
        <w:spacing w:after="0" w:line="59" w:lineRule="exact"/>
        <w:rPr>
          <w:sz w:val="20"/>
          <w:szCs w:val="20"/>
          <w:color w:val="auto"/>
        </w:rPr>
      </w:pPr>
    </w:p>
    <w:p>
      <w:pPr>
        <w:jc w:val="both"/>
        <w:ind w:right="20" w:firstLine="275"/>
        <w:spacing w:after="0" w:line="304"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10.B.3 Annual and General Meetings</w:t>
      </w:r>
    </w:p>
    <w:p>
      <w:pPr>
        <w:spacing w:after="0" w:line="59" w:lineRule="exact"/>
        <w:rPr>
          <w:sz w:val="20"/>
          <w:szCs w:val="20"/>
          <w:color w:val="auto"/>
        </w:rPr>
      </w:pPr>
    </w:p>
    <w:p>
      <w:pPr>
        <w:jc w:val="both"/>
        <w:ind w:firstLine="191"/>
        <w:spacing w:after="0" w:line="265"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95" w:right="339" w:bottom="1440" w:gutter="0" w:footer="0" w:header="0"/>
        </w:sectPr>
      </w:pPr>
    </w:p>
    <w:bookmarkStart w:id="154" w:name="page155"/>
    <w:bookmarkEnd w:id="154"/>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10.B.4 Limitations on the Right to Own Shares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 Disclosure of Share Ownership</w:t>
      </w:r>
    </w:p>
    <w:p>
      <w:pPr>
        <w:spacing w:after="0" w:line="59" w:lineRule="exact"/>
        <w:rPr>
          <w:sz w:val="20"/>
          <w:szCs w:val="20"/>
          <w:color w:val="auto"/>
        </w:rPr>
      </w:pPr>
    </w:p>
    <w:p>
      <w:pPr>
        <w:jc w:val="both"/>
        <w:ind w:firstLine="236"/>
        <w:spacing w:after="0" w:line="265"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10.B.6 Other Provisions of the Constitution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59" w:lineRule="exact"/>
        <w:rPr>
          <w:sz w:val="20"/>
          <w:szCs w:val="20"/>
          <w:color w:val="auto"/>
        </w:rPr>
      </w:pPr>
    </w:p>
    <w:p>
      <w:pPr>
        <w:ind w:left="660" w:hanging="4"/>
        <w:spacing w:after="0" w:line="263" w:lineRule="auto"/>
        <w:tabs>
          <w:tab w:leader="none" w:pos="8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ind w:left="880" w:hanging="224"/>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8" w:lineRule="exact"/>
        <w:rPr>
          <w:rFonts w:ascii="Arial" w:cs="Arial" w:eastAsia="Arial" w:hAnsi="Arial"/>
          <w:sz w:val="16"/>
          <w:szCs w:val="16"/>
          <w:color w:val="auto"/>
        </w:rPr>
      </w:pPr>
    </w:p>
    <w:p>
      <w:pPr>
        <w:ind w:left="920" w:hanging="264"/>
        <w:spacing w:after="0"/>
        <w:tabs>
          <w:tab w:leader="none" w:pos="9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ectPr>
          <w:pgSz w:w="11900" w:h="16838" w:orient="portrait"/>
          <w:cols w:equalWidth="0" w:num="1">
            <w:col w:w="11240"/>
          </w:cols>
          <w:pgMar w:left="320" w:top="1440" w:right="339" w:bottom="1440" w:gutter="0" w:footer="0" w:header="0"/>
        </w:sectPr>
      </w:pPr>
    </w:p>
    <w:bookmarkStart w:id="155" w:name="page156"/>
    <w:bookmarkEnd w:id="155"/>
    <w:p>
      <w:pPr>
        <w:ind w:left="10160"/>
        <w:spacing w:after="0"/>
        <w:rPr>
          <w:sz w:val="20"/>
          <w:szCs w:val="20"/>
          <w:color w:val="auto"/>
        </w:rPr>
      </w:pPr>
      <w:r>
        <w:rPr>
          <w:rFonts w:ascii="Arial" w:cs="Arial" w:eastAsia="Arial" w:hAnsi="Arial"/>
          <w:sz w:val="16"/>
          <w:szCs w:val="16"/>
          <w:b w:val="1"/>
          <w:bCs w:val="1"/>
          <w:color w:val="auto"/>
        </w:rPr>
        <w:t>Exhibit 12.1</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302 of the Sarbanes-Oxley Act of</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2002</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Brendan Brennan, certify that:</w:t>
      </w:r>
    </w:p>
    <w:p>
      <w:pPr>
        <w:spacing w:after="0" w:line="221" w:lineRule="exact"/>
        <w:rPr>
          <w:sz w:val="20"/>
          <w:szCs w:val="20"/>
          <w:color w:val="auto"/>
        </w:rPr>
      </w:pPr>
    </w:p>
    <w:p>
      <w:pPr>
        <w:ind w:left="200" w:hanging="173"/>
        <w:spacing w:after="0"/>
        <w:tabs>
          <w:tab w:leader="none" w:pos="2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34" w:lineRule="exact"/>
        <w:rPr>
          <w:rFonts w:ascii="Arial" w:cs="Arial" w:eastAsia="Arial" w:hAnsi="Arial"/>
          <w:sz w:val="16"/>
          <w:szCs w:val="16"/>
          <w:color w:val="auto"/>
        </w:rPr>
      </w:pPr>
    </w:p>
    <w:p>
      <w:pPr>
        <w:ind w:left="20" w:right="20" w:firstLine="7"/>
        <w:spacing w:after="0" w:line="304" w:lineRule="auto"/>
        <w:tabs>
          <w:tab w:leader="none" w:pos="2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6"/>
          <w:szCs w:val="16"/>
          <w:color w:val="auto"/>
        </w:rPr>
      </w:pPr>
    </w:p>
    <w:p>
      <w:pPr>
        <w:ind w:left="20" w:firstLine="7"/>
        <w:spacing w:after="0" w:line="304" w:lineRule="auto"/>
        <w:tabs>
          <w:tab w:leader="none" w:pos="2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jc w:val="both"/>
        <w:ind w:left="20" w:firstLine="7"/>
        <w:spacing w:after="0" w:line="284" w:lineRule="auto"/>
        <w:tabs>
          <w:tab w:leader="none" w:pos="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6"/>
          <w:szCs w:val="16"/>
          <w:color w:val="auto"/>
        </w:rPr>
      </w:pPr>
    </w:p>
    <w:p>
      <w:pPr>
        <w:ind w:left="680" w:hanging="410"/>
        <w:spacing w:after="0" w:line="275" w:lineRule="auto"/>
        <w:tabs>
          <w:tab w:leader="none" w:pos="477"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680" w:right="20" w:hanging="410"/>
        <w:spacing w:after="0" w:line="275" w:lineRule="auto"/>
        <w:tabs>
          <w:tab w:leader="none" w:pos="464"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6"/>
          <w:szCs w:val="16"/>
          <w:color w:val="auto"/>
        </w:rPr>
      </w:pPr>
    </w:p>
    <w:p>
      <w:pPr>
        <w:ind w:left="680" w:right="20" w:hanging="410"/>
        <w:spacing w:after="0" w:line="304" w:lineRule="auto"/>
        <w:tabs>
          <w:tab w:leader="none" w:pos="4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680" w:right="20" w:hanging="410"/>
        <w:spacing w:after="0" w:line="304" w:lineRule="auto"/>
        <w:tabs>
          <w:tab w:leader="none" w:pos="464"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95" w:lineRule="exact"/>
        <w:rPr>
          <w:rFonts w:ascii="Arial" w:cs="Arial" w:eastAsia="Arial" w:hAnsi="Arial"/>
          <w:sz w:val="16"/>
          <w:szCs w:val="16"/>
          <w:color w:val="auto"/>
        </w:rPr>
      </w:pPr>
    </w:p>
    <w:p>
      <w:pPr>
        <w:ind w:left="20" w:right="20" w:firstLine="7"/>
        <w:spacing w:after="0" w:line="286" w:lineRule="auto"/>
        <w:tabs>
          <w:tab w:leader="none" w:pos="22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left="20" w:firstLine="7"/>
        <w:spacing w:after="0" w:line="286" w:lineRule="auto"/>
        <w:tabs>
          <w:tab w:leader="none" w:pos="216"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Arial" w:cs="Arial" w:eastAsia="Arial" w:hAnsi="Arial"/>
          <w:sz w:val="16"/>
          <w:szCs w:val="16"/>
          <w:color w:val="auto"/>
        </w:rPr>
      </w:pPr>
    </w:p>
    <w:p>
      <w:pPr>
        <w:ind w:left="20" w:right="20" w:firstLine="7"/>
        <w:spacing w:after="0" w:line="286" w:lineRule="auto"/>
        <w:tabs>
          <w:tab w:leader="none" w:pos="22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February 23, 2024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Brendan Brennan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Brendan Brennan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100"/>
          </w:cols>
          <w:pgMar w:left="400" w:top="841" w:right="399" w:bottom="1440" w:gutter="0" w:footer="0" w:header="0"/>
        </w:sectPr>
      </w:pPr>
    </w:p>
    <w:bookmarkStart w:id="156" w:name="page157"/>
    <w:bookmarkEnd w:id="156"/>
    <w:p>
      <w:pPr>
        <w:jc w:val="center"/>
        <w:ind w:right="40"/>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302 of the Sarbanes-Oxley Act of</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2002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I, Steve Cutler, certify that:</w:t>
      </w:r>
    </w:p>
    <w:p>
      <w:pPr>
        <w:spacing w:after="0" w:line="221" w:lineRule="exact"/>
        <w:rPr>
          <w:sz w:val="20"/>
          <w:szCs w:val="20"/>
          <w:color w:val="auto"/>
        </w:rPr>
      </w:pPr>
    </w:p>
    <w:p>
      <w:pPr>
        <w:ind w:left="180" w:hanging="173"/>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34" w:lineRule="exact"/>
        <w:rPr>
          <w:rFonts w:ascii="Arial" w:cs="Arial" w:eastAsia="Arial" w:hAnsi="Arial"/>
          <w:sz w:val="16"/>
          <w:szCs w:val="16"/>
          <w:color w:val="auto"/>
        </w:rPr>
      </w:pPr>
    </w:p>
    <w:p>
      <w:pPr>
        <w:ind w:right="20" w:firstLine="7"/>
        <w:spacing w:after="0" w:line="304" w:lineRule="auto"/>
        <w:tabs>
          <w:tab w:leader="none" w:pos="1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firstLine="7"/>
        <w:spacing w:after="0" w:line="286" w:lineRule="auto"/>
        <w:tabs>
          <w:tab w:leader="none" w:pos="2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Arial" w:cs="Arial" w:eastAsia="Arial" w:hAnsi="Arial"/>
          <w:sz w:val="16"/>
          <w:szCs w:val="16"/>
          <w:color w:val="auto"/>
        </w:rPr>
      </w:pPr>
    </w:p>
    <w:p>
      <w:pPr>
        <w:jc w:val="both"/>
        <w:ind w:firstLine="7"/>
        <w:spacing w:after="0" w:line="275" w:lineRule="auto"/>
        <w:tabs>
          <w:tab w:leader="none" w:pos="21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ind w:left="660" w:hanging="410"/>
        <w:spacing w:after="0" w:line="275" w:lineRule="auto"/>
        <w:tabs>
          <w:tab w:leader="none" w:pos="457"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660" w:right="20" w:hanging="410"/>
        <w:spacing w:after="0" w:line="275" w:lineRule="auto"/>
        <w:tabs>
          <w:tab w:leader="none" w:pos="444"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6"/>
          <w:szCs w:val="16"/>
          <w:color w:val="auto"/>
        </w:rPr>
      </w:pPr>
    </w:p>
    <w:p>
      <w:pPr>
        <w:ind w:left="660" w:right="20" w:hanging="410"/>
        <w:spacing w:after="0" w:line="304" w:lineRule="auto"/>
        <w:tabs>
          <w:tab w:leader="none" w:pos="475"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660" w:right="20" w:hanging="410"/>
        <w:spacing w:after="0" w:line="286" w:lineRule="auto"/>
        <w:tabs>
          <w:tab w:leader="none" w:pos="444"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09" w:lineRule="exact"/>
        <w:rPr>
          <w:rFonts w:ascii="Arial" w:cs="Arial" w:eastAsia="Arial" w:hAnsi="Arial"/>
          <w:sz w:val="16"/>
          <w:szCs w:val="16"/>
          <w:color w:val="auto"/>
        </w:rPr>
      </w:pPr>
    </w:p>
    <w:p>
      <w:pPr>
        <w:ind w:right="20" w:firstLine="7"/>
        <w:spacing w:after="0" w:line="286" w:lineRule="auto"/>
        <w:tabs>
          <w:tab w:leader="none" w:pos="20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firstLine="7"/>
        <w:spacing w:after="0" w:line="286" w:lineRule="auto"/>
        <w:tabs>
          <w:tab w:leader="none" w:pos="1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Arial" w:cs="Arial" w:eastAsia="Arial" w:hAnsi="Arial"/>
          <w:sz w:val="16"/>
          <w:szCs w:val="16"/>
          <w:color w:val="auto"/>
        </w:rPr>
      </w:pPr>
    </w:p>
    <w:p>
      <w:pPr>
        <w:ind w:right="20" w:firstLine="7"/>
        <w:spacing w:after="0" w:line="286" w:lineRule="auto"/>
        <w:tabs>
          <w:tab w:leader="none" w:pos="20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23, 2024</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080"/>
          </w:cols>
          <w:pgMar w:left="420" w:top="841" w:right="399" w:bottom="1440" w:gutter="0" w:footer="0" w:header="0"/>
        </w:sectPr>
      </w:pPr>
    </w:p>
    <w:bookmarkStart w:id="157" w:name="page158"/>
    <w:bookmarkEnd w:id="157"/>
    <w:p>
      <w:pPr>
        <w:ind w:left="10160"/>
        <w:spacing w:after="0"/>
        <w:rPr>
          <w:sz w:val="20"/>
          <w:szCs w:val="20"/>
          <w:color w:val="auto"/>
        </w:rPr>
      </w:pPr>
      <w:r>
        <w:rPr>
          <w:rFonts w:ascii="Arial" w:cs="Arial" w:eastAsia="Arial" w:hAnsi="Arial"/>
          <w:sz w:val="16"/>
          <w:szCs w:val="16"/>
          <w:b w:val="1"/>
          <w:bCs w:val="1"/>
          <w:color w:val="auto"/>
        </w:rPr>
        <w:t>Exhibit 12.2</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2" w:lineRule="exact"/>
        <w:rPr>
          <w:sz w:val="20"/>
          <w:szCs w:val="20"/>
          <w:color w:val="auto"/>
        </w:rPr>
      </w:pPr>
    </w:p>
    <w:p>
      <w:pPr>
        <w:jc w:val="both"/>
        <w:ind w:left="20"/>
        <w:spacing w:after="0" w:line="275"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2023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191" w:lineRule="exact"/>
        <w:rPr>
          <w:sz w:val="20"/>
          <w:szCs w:val="20"/>
          <w:color w:val="auto"/>
        </w:rPr>
      </w:pPr>
    </w:p>
    <w:p>
      <w:pPr>
        <w:ind w:left="280" w:hanging="253"/>
        <w:spacing w:after="0"/>
        <w:tabs>
          <w:tab w:leader="none" w:pos="2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20" w:right="680" w:firstLine="7"/>
        <w:spacing w:after="0" w:line="603" w:lineRule="auto"/>
        <w:tabs>
          <w:tab w:leader="none" w:pos="26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23, 2024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Brendan Brennan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Brendan Brennan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75" w:lineRule="exact"/>
        <w:rPr>
          <w:sz w:val="20"/>
          <w:szCs w:val="20"/>
          <w:color w:val="auto"/>
        </w:rPr>
      </w:pPr>
    </w:p>
    <w:p>
      <w:pPr>
        <w:ind w:left="20" w:right="180"/>
        <w:spacing w:after="0" w:line="27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100"/>
          </w:cols>
          <w:pgMar w:left="400" w:top="841" w:right="399" w:bottom="144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2023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205" w:lineRule="exact"/>
        <w:rPr>
          <w:sz w:val="20"/>
          <w:szCs w:val="20"/>
          <w:color w:val="auto"/>
        </w:rPr>
      </w:pPr>
    </w:p>
    <w:p>
      <w:pPr>
        <w:ind w:left="260" w:hanging="253"/>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right="680" w:firstLine="7"/>
        <w:spacing w:after="0" w:line="585" w:lineRule="auto"/>
        <w:tabs>
          <w:tab w:leader="none" w:pos="24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23, 2024</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Steve Cutler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080"/>
          </w:cols>
          <w:pgMar w:left="420" w:top="841" w:right="399" w:bottom="1440" w:gutter="0" w:footer="0" w:header="0"/>
        </w:sectPr>
      </w:pPr>
    </w:p>
    <w:bookmarkStart w:id="159" w:name="page160"/>
    <w:bookmarkEnd w:id="159"/>
    <w:p>
      <w:pPr>
        <w:ind w:left="10240"/>
        <w:spacing w:after="0"/>
        <w:rPr>
          <w:sz w:val="20"/>
          <w:szCs w:val="20"/>
          <w:color w:val="auto"/>
        </w:rPr>
      </w:pPr>
      <w:r>
        <w:rPr>
          <w:rFonts w:ascii="Arial" w:cs="Arial" w:eastAsia="Arial" w:hAnsi="Arial"/>
          <w:sz w:val="16"/>
          <w:szCs w:val="16"/>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We are currently principal accountants for ICON plc and, under the date of February 23, 2024, we reported on the consolidated financial statements of ICON plc as of and for the years ended December 31, 2023 and 2022 and the effectiveness of internal control over financial reporting as of December 31, 2023. In 2024 we were notified that ICON plc intend to appoint Ernst &amp; Young Chartered Accountants as its principal accountant for the year ending December 31, 2025 and that the auditor-client relationship with KPMG will cease upon completion of the audit of ICON plc's consolidated financial statements as of and for the year ended December 31, 2024, and the effectiveness of internal control over financial reporting as of December 31, 2024, and the issuance of our reports thereon. We have read ICON plc’s statements included under Item 16F of its Form 20-F dated February 23, 2024, and we agree with such statements, except that we are not in a position to agree or disagree with ICON plc’s statement that the appointment will be subject to the passing of an ordinary resolution confirming the appointment at the Company's 2025 Annual General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ectPr>
          <w:pgSz w:w="11900" w:h="16838" w:orient="portrait"/>
          <w:cols w:equalWidth="0" w:num="1">
            <w:col w:w="11200"/>
          </w:cols>
          <w:pgMar w:left="320" w:top="112" w:right="3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We consent to the incorporation by reference in the registration statements (No. 333-231527, 333-204153, 333-190068, 333-152802, 333-257578 and 333-254891) on Form S-8 of our reports dated February 23, 2024 with respect to the consolidated financial statements of ICON plc and the effectiveness of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KPMG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ectPr>
          <w:pgSz w:w="11900" w:h="16838" w:orient="portrait"/>
          <w:cols w:equalWidth="0" w:num="1">
            <w:col w:w="11140"/>
          </w:cols>
          <w:pgMar w:left="320" w:top="990" w:right="439" w:bottom="1440" w:gutter="0" w:footer="0" w:header="0"/>
        </w:sectPr>
      </w:pPr>
    </w:p>
    <w:bookmarkStart w:id="161" w:name="page162"/>
    <w:bookmarkEnd w:id="161"/>
    <w:p>
      <w:pPr>
        <w:ind w:left="10380"/>
        <w:spacing w:after="0"/>
        <w:rPr>
          <w:sz w:val="20"/>
          <w:szCs w:val="20"/>
          <w:color w:val="auto"/>
        </w:rPr>
      </w:pPr>
      <w:r>
        <w:rPr>
          <w:rFonts w:ascii="Arial" w:cs="Arial" w:eastAsia="Arial" w:hAnsi="Arial"/>
          <w:sz w:val="16"/>
          <w:szCs w:val="16"/>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861060</wp:posOffset>
            </wp:positionV>
            <wp:extent cx="1619885" cy="436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ICON plc Clawback Policy</w:t>
      </w:r>
    </w:p>
    <w:p>
      <w:pPr>
        <w:jc w:val="center"/>
        <w:spacing w:after="0"/>
        <w:rPr>
          <w:sz w:val="20"/>
          <w:szCs w:val="20"/>
          <w:color w:val="auto"/>
        </w:rPr>
      </w:pPr>
      <w:r>
        <w:rPr>
          <w:rFonts w:ascii="Arial" w:cs="Arial" w:eastAsia="Arial" w:hAnsi="Arial"/>
          <w:sz w:val="20"/>
          <w:szCs w:val="20"/>
          <w:i w:val="1"/>
          <w:iCs w:val="1"/>
          <w:color w:val="auto"/>
        </w:rPr>
        <w:t>Adopted on 25 July 2023</w:t>
      </w:r>
    </w:p>
    <w:p>
      <w:pPr>
        <w:spacing w:after="0" w:line="38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This Clawback Policy (this “</w:t>
      </w:r>
      <w:r>
        <w:rPr>
          <w:rFonts w:ascii="Arial" w:cs="Arial" w:eastAsia="Arial" w:hAnsi="Arial"/>
          <w:sz w:val="20"/>
          <w:szCs w:val="20"/>
          <w:b w:val="1"/>
          <w:bCs w:val="1"/>
          <w:color w:val="auto"/>
        </w:rPr>
        <w:t>Policy</w:t>
      </w:r>
      <w:r>
        <w:rPr>
          <w:rFonts w:ascii="Arial" w:cs="Arial" w:eastAsia="Arial" w:hAnsi="Arial"/>
          <w:sz w:val="20"/>
          <w:szCs w:val="20"/>
          <w:color w:val="auto"/>
        </w:rPr>
        <w:t>”) provides the standards for the recoupment of certain erroneously awarded executive compensation in the event of an accounting restatement due to the material noncompliance of ICON plc (“</w:t>
      </w:r>
      <w:r>
        <w:rPr>
          <w:rFonts w:ascii="Arial" w:cs="Arial" w:eastAsia="Arial" w:hAnsi="Arial"/>
          <w:sz w:val="20"/>
          <w:szCs w:val="20"/>
          <w:b w:val="1"/>
          <w:bCs w:val="1"/>
          <w:color w:val="auto"/>
        </w:rPr>
        <w:t>ICON</w:t>
      </w:r>
      <w:r>
        <w:rPr>
          <w:rFonts w:ascii="Arial" w:cs="Arial" w:eastAsia="Arial" w:hAnsi="Arial"/>
          <w:sz w:val="20"/>
          <w:szCs w:val="20"/>
          <w:color w:val="auto"/>
        </w:rPr>
        <w:t>”) with any reporting requirement under the securities laws. This Policy has been designed to ensure that ICON is in compliance with the requirements of Section 10D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Rule 10D-1 promulgated by the Securities and Exchange Commission under the Exchange Act and the listing rules of the NASDAQ Global Select Market (“</w:t>
      </w:r>
      <w:r>
        <w:rPr>
          <w:rFonts w:ascii="Arial" w:cs="Arial" w:eastAsia="Arial" w:hAnsi="Arial"/>
          <w:sz w:val="20"/>
          <w:szCs w:val="20"/>
          <w:b w:val="1"/>
          <w:bCs w:val="1"/>
          <w:color w:val="auto"/>
        </w:rPr>
        <w:t>NASDAQ</w:t>
      </w:r>
      <w:r>
        <w:rPr>
          <w:rFonts w:ascii="Arial" w:cs="Arial" w:eastAsia="Arial" w:hAnsi="Arial"/>
          <w:sz w:val="20"/>
          <w:szCs w:val="20"/>
          <w:color w:val="auto"/>
        </w:rPr>
        <w:t>”). This Policy applies with respect to all incentive compensation, including annual cash incentives and restricted share units subject to performance conditions, received by members of the ICON Executive Team and other current and former executive officers of ICON, each as provided below.</w:t>
      </w:r>
    </w:p>
    <w:p>
      <w:pPr>
        <w:spacing w:after="0" w:line="242"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Persons Covered</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This Policy applies to all current or former executive officers of ICON within the meaning of NASDAQ Listing Rule 5608 and Exchange Act Rule 10D-1. This Policy will also apply to other members of senior management of ICON designated by the Board of Directors of ICON (the “</w:t>
      </w:r>
      <w:r>
        <w:rPr>
          <w:rFonts w:ascii="Arial" w:cs="Arial" w:eastAsia="Arial" w:hAnsi="Arial"/>
          <w:sz w:val="20"/>
          <w:szCs w:val="20"/>
          <w:b w:val="1"/>
          <w:bCs w:val="1"/>
          <w:color w:val="auto"/>
        </w:rPr>
        <w:t>Board</w:t>
      </w:r>
      <w:r>
        <w:rPr>
          <w:rFonts w:ascii="Arial" w:cs="Arial" w:eastAsia="Arial" w:hAnsi="Arial"/>
          <w:sz w:val="20"/>
          <w:szCs w:val="20"/>
          <w:color w:val="auto"/>
        </w:rPr>
        <w:t>”) from time to time. Each executive officer or other individual to whom this Policy applies is referred to as a “</w:t>
      </w:r>
      <w:r>
        <w:rPr>
          <w:rFonts w:ascii="Arial" w:cs="Arial" w:eastAsia="Arial" w:hAnsi="Arial"/>
          <w:sz w:val="20"/>
          <w:szCs w:val="20"/>
          <w:b w:val="1"/>
          <w:bCs w:val="1"/>
          <w:color w:val="auto"/>
        </w:rPr>
        <w:t>Covered Executive</w:t>
      </w:r>
      <w:r>
        <w:rPr>
          <w:rFonts w:ascii="Arial" w:cs="Arial" w:eastAsia="Arial" w:hAnsi="Arial"/>
          <w:sz w:val="20"/>
          <w:szCs w:val="20"/>
          <w:color w:val="auto"/>
        </w:rPr>
        <w:t>”.</w:t>
      </w:r>
    </w:p>
    <w:p>
      <w:pPr>
        <w:spacing w:after="0" w:line="224"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Policy applies with respect to compensation, including annual cash incentives and restricted share units subject to performance conditions, that is granted, earned or vested based wholly or in part upon the attainment of a financial reporting measure within the meaning of NASDAQ Listing Rule 5608, including the attainment of earnings per share (“</w:t>
      </w:r>
      <w:r>
        <w:rPr>
          <w:rFonts w:ascii="Arial" w:cs="Arial" w:eastAsia="Arial" w:hAnsi="Arial"/>
          <w:sz w:val="20"/>
          <w:szCs w:val="20"/>
          <w:b w:val="1"/>
          <w:bCs w:val="1"/>
          <w:color w:val="auto"/>
        </w:rPr>
        <w:t>Incentive-Based</w:t>
      </w:r>
      <w:r>
        <w:rPr>
          <w:rFonts w:ascii="Arial" w:cs="Arial" w:eastAsia="Arial" w:hAnsi="Arial"/>
          <w:sz w:val="20"/>
          <w:szCs w:val="20"/>
          <w:color w:val="auto"/>
        </w:rPr>
        <w:t xml:space="preserve"> </w:t>
      </w:r>
      <w:r>
        <w:rPr>
          <w:rFonts w:ascii="Arial" w:cs="Arial" w:eastAsia="Arial" w:hAnsi="Arial"/>
          <w:sz w:val="20"/>
          <w:szCs w:val="20"/>
          <w:b w:val="1"/>
          <w:bCs w:val="1"/>
          <w:color w:val="auto"/>
        </w:rPr>
        <w:t>Compensation</w:t>
      </w:r>
      <w:r>
        <w:rPr>
          <w:rFonts w:ascii="Arial" w:cs="Arial" w:eastAsia="Arial" w:hAnsi="Arial"/>
          <w:sz w:val="20"/>
          <w:szCs w:val="20"/>
          <w:color w:val="auto"/>
        </w:rPr>
        <w:t>”). Incentive-Based Compensation does not include stock options or restricted stock units that vest (without any</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condition) upon completion of a specified employment period or bonus awards that are discretionary or based on subjective goals unrelated to financial performance.</w:t>
      </w:r>
    </w:p>
    <w:p>
      <w:pPr>
        <w:spacing w:after="0" w:line="225"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This Policy is effective as of 2 October 2023 (the “</w:t>
      </w:r>
      <w:r>
        <w:rPr>
          <w:rFonts w:ascii="Arial" w:cs="Arial" w:eastAsia="Arial" w:hAnsi="Arial"/>
          <w:sz w:val="20"/>
          <w:szCs w:val="20"/>
          <w:b w:val="1"/>
          <w:bCs w:val="1"/>
          <w:color w:val="auto"/>
        </w:rPr>
        <w:t>Effective Date</w:t>
      </w:r>
      <w:r>
        <w:rPr>
          <w:rFonts w:ascii="Arial" w:cs="Arial" w:eastAsia="Arial" w:hAnsi="Arial"/>
          <w:sz w:val="20"/>
          <w:szCs w:val="20"/>
          <w:color w:val="auto"/>
        </w:rPr>
        <w:t>”) and applies to all Incentive-Based Compensation received on or after the Effective Date by any Covered Executive who served as a member of the ICON Executive Team or in any other position as a Covered Executive at any time during the performance period that is covered by the Incentive-Based Compensation. For purposes of this Policy, Incentive-Based Compensation is “</w:t>
      </w:r>
      <w:r>
        <w:rPr>
          <w:rFonts w:ascii="Arial" w:cs="Arial" w:eastAsia="Arial" w:hAnsi="Arial"/>
          <w:sz w:val="20"/>
          <w:szCs w:val="20"/>
          <w:b w:val="1"/>
          <w:bCs w:val="1"/>
          <w:color w:val="auto"/>
        </w:rPr>
        <w:t>received</w:t>
      </w:r>
      <w:r>
        <w:rPr>
          <w:rFonts w:ascii="Arial" w:cs="Arial" w:eastAsia="Arial" w:hAnsi="Arial"/>
          <w:sz w:val="20"/>
          <w:szCs w:val="20"/>
          <w:color w:val="auto"/>
        </w:rPr>
        <w:t>” in</w:t>
      </w:r>
    </w:p>
    <w:p>
      <w:pPr>
        <w:sectPr>
          <w:pgSz w:w="11900" w:h="16838" w:orient="portrait"/>
          <w:cols w:equalWidth="0" w:num="1">
            <w:col w:w="11240"/>
          </w:cols>
          <w:pgMar w:left="320" w:top="112" w:right="339" w:bottom="1440" w:gutter="0" w:footer="0" w:header="0"/>
        </w:sectPr>
      </w:pPr>
    </w:p>
    <w:bookmarkStart w:id="162" w:name="page163"/>
    <w:bookmarkEnd w:id="162"/>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ICON’s fiscal period during which the financial reporting measure specified for the compensation has been attained.</w:t>
      </w:r>
    </w:p>
    <w:p>
      <w:pPr>
        <w:spacing w:after="0" w:line="281"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Restatement</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Incentive-Based Compensation may be subject to recovery under this Policy in the event ICON is required to prepare an accounting restatement due to the material noncompliance of ICON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Arial" w:cs="Arial" w:eastAsia="Arial" w:hAnsi="Arial"/>
          <w:sz w:val="20"/>
          <w:szCs w:val="20"/>
          <w:b w:val="1"/>
          <w:bCs w:val="1"/>
          <w:color w:val="auto"/>
        </w:rPr>
        <w:t>Restatement</w:t>
      </w:r>
      <w:r>
        <w:rPr>
          <w:rFonts w:ascii="Arial" w:cs="Arial" w:eastAsia="Arial" w:hAnsi="Arial"/>
          <w:sz w:val="20"/>
          <w:szCs w:val="20"/>
          <w:color w:val="auto"/>
        </w:rPr>
        <w:t>”).</w:t>
      </w:r>
    </w:p>
    <w:p>
      <w:pPr>
        <w:spacing w:after="0" w:line="210"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Recovery Period</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Incentive-Based Compensation received by a Covered Executive on or after the Effective Date is subject to recovery under this Policy if the Covered Executive served in any position as a Covered Executive at any time during the performance period,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the Incentive-Based Compensation is received after the beginning of the Covered Executive’s service as a Covered Executive and during the last three completed fiscal years immediately preceding the date that ICON is required to prepare a Restatement (the “</w:t>
      </w:r>
      <w:r>
        <w:rPr>
          <w:rFonts w:ascii="Arial" w:cs="Arial" w:eastAsia="Arial" w:hAnsi="Arial"/>
          <w:sz w:val="20"/>
          <w:szCs w:val="20"/>
          <w:b w:val="1"/>
          <w:bCs w:val="1"/>
          <w:color w:val="auto"/>
        </w:rPr>
        <w:t>Recovery Period</w:t>
      </w:r>
      <w:r>
        <w:rPr>
          <w:rFonts w:ascii="Arial" w:cs="Arial" w:eastAsia="Arial" w:hAnsi="Arial"/>
          <w:sz w:val="20"/>
          <w:szCs w:val="20"/>
          <w:color w:val="auto"/>
        </w:rPr>
        <w:t>”). The date that ICON is required to prepare a Restatement is the earlier of (x) the date the Board, a committee of the Board, or the officer or officers of ICON authorized to take such action if Board action is not required, concludes, or reasonably should have concluded, that ICON is required to prepare a Restatement, or (y) the date a court, regulator or other legally authorized body directs ICON to prepare a Restatement.</w:t>
      </w:r>
    </w:p>
    <w:p>
      <w:pPr>
        <w:spacing w:after="0" w:line="240"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Recovery Amount</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the event ICON is required to prepare a Restatement, ICON will recover reasonably promptly the amount of Incentive-Based Compensation received during the Recovery Period that exceeds the amount of the Incentive-Based Compensation that would have been received had it been determined based on the Restatement, without regard to taxes paid (the “</w:t>
      </w:r>
      <w:r>
        <w:rPr>
          <w:rFonts w:ascii="Arial" w:cs="Arial" w:eastAsia="Arial" w:hAnsi="Arial"/>
          <w:sz w:val="20"/>
          <w:szCs w:val="20"/>
          <w:b w:val="1"/>
          <w:bCs w:val="1"/>
          <w:color w:val="auto"/>
        </w:rPr>
        <w:t>Recovery Amount</w:t>
      </w:r>
      <w:r>
        <w:rPr>
          <w:rFonts w:ascii="Arial" w:cs="Arial" w:eastAsia="Arial" w:hAnsi="Arial"/>
          <w:sz w:val="20"/>
          <w:szCs w:val="20"/>
          <w:color w:val="auto"/>
        </w:rPr>
        <w:t>”). For any Incentive-Based Compensation based on share price or total shareholder return, and where the Recovery Amount is not subject to mathematical recalculation directly from the information in the Restatement, the Recovery Amount will instead be determined based on a reasonable estimate of the effect of the Restatement on the share price or total shareholder return.</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ICON will recover the Recovery Amount in compliance with this Policy except to the extent that the Compensation &amp; Organisation Committee of the Board (the “</w:t>
      </w:r>
      <w:r>
        <w:rPr>
          <w:rFonts w:ascii="Arial" w:cs="Arial" w:eastAsia="Arial" w:hAnsi="Arial"/>
          <w:sz w:val="20"/>
          <w:szCs w:val="20"/>
          <w:b w:val="1"/>
          <w:bCs w:val="1"/>
          <w:color w:val="auto"/>
        </w:rPr>
        <w:t>Committee</w:t>
      </w:r>
      <w:r>
        <w:rPr>
          <w:rFonts w:ascii="Arial" w:cs="Arial" w:eastAsia="Arial" w:hAnsi="Arial"/>
          <w:sz w:val="20"/>
          <w:szCs w:val="20"/>
          <w:color w:val="auto"/>
        </w:rPr>
        <w:t xml:space="preserve">”) has determined that recovery would be impracticable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(i) the direct expense paid to a third party to assist in enforcing this Policy would exceed the amount to be recovered and ICON has made a reasonable attempt to recover the Recovery Amount, (ii) recovery would violate home country law adopted prior to November 28, 2022, or (iii) recovery would likely cause an otherwise tax-qualified retirement plan, under which benefits are broadly available to ICON employees, to fail to meet the requirements of 26 U.S.C. 401(a)(13 or 26 U.S. C. 411(a)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43"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Board and, if designated by the Board, the Committee will administer and will have full authority to interpret and to enforce this Policy consistent with the requirements of NASDAQ Listing Rule 5608 and Exchange Act Rule 10D-1 and to determine the method for recovering Incentive-Based Compensation subject to recovery under this Policy. Any determinations made by the Board or Committee in accordance with this Policy shall be final and binding on all persons.</w:t>
      </w:r>
    </w:p>
    <w:p>
      <w:pPr>
        <w:spacing w:after="0" w:line="236"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p>
    <w:p>
      <w:pPr>
        <w:spacing w:after="0" w:line="231" w:lineRule="exact"/>
        <w:rPr>
          <w:rFonts w:ascii="Arial" w:cs="Arial" w:eastAsia="Arial" w:hAnsi="Arial"/>
          <w:sz w:val="20"/>
          <w:szCs w:val="20"/>
          <w:b w:val="1"/>
          <w:bCs w:val="1"/>
          <w:color w:val="auto"/>
        </w:rPr>
      </w:pPr>
    </w:p>
    <w:p>
      <w:pPr>
        <w:ind w:left="640" w:hanging="308"/>
        <w:spacing w:after="0"/>
        <w:tabs>
          <w:tab w:leader="none" w:pos="640" w:val="left"/>
        </w:tabs>
        <w:numPr>
          <w:ilvl w:val="1"/>
          <w:numId w:val="95"/>
        </w:numPr>
        <w:rPr>
          <w:rFonts w:ascii="Arial" w:cs="Arial" w:eastAsia="Arial" w:hAnsi="Arial"/>
          <w:sz w:val="20"/>
          <w:szCs w:val="20"/>
          <w:color w:val="auto"/>
        </w:rPr>
      </w:pPr>
      <w:r>
        <w:rPr>
          <w:rFonts w:ascii="Arial" w:cs="Arial" w:eastAsia="Arial" w:hAnsi="Arial"/>
          <w:sz w:val="20"/>
          <w:szCs w:val="20"/>
          <w:color w:val="auto"/>
        </w:rPr>
        <w:t>ICON may not indemnify any Covered Executive against the loss of Incentive-Based Compensation.</w:t>
      </w:r>
    </w:p>
    <w:p>
      <w:pPr>
        <w:spacing w:after="0" w:line="215" w:lineRule="exact"/>
        <w:rPr>
          <w:rFonts w:ascii="Arial" w:cs="Arial" w:eastAsia="Arial" w:hAnsi="Arial"/>
          <w:sz w:val="20"/>
          <w:szCs w:val="20"/>
          <w:color w:val="auto"/>
        </w:rPr>
      </w:pPr>
    </w:p>
    <w:p>
      <w:pPr>
        <w:ind w:left="660" w:hanging="328"/>
        <w:spacing w:after="0" w:line="286" w:lineRule="auto"/>
        <w:tabs>
          <w:tab w:leader="none" w:pos="647"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This Policy will be binding on and enforceable against all Covered Executives and each of their beneficiaries, heirs, executors, administrators and legal representatives.</w:t>
      </w:r>
    </w:p>
    <w:p>
      <w:pPr>
        <w:spacing w:after="0" w:line="140" w:lineRule="exact"/>
        <w:rPr>
          <w:rFonts w:ascii="Arial" w:cs="Arial" w:eastAsia="Arial" w:hAnsi="Arial"/>
          <w:sz w:val="20"/>
          <w:szCs w:val="20"/>
          <w:color w:val="auto"/>
        </w:rPr>
      </w:pPr>
    </w:p>
    <w:p>
      <w:pPr>
        <w:ind w:left="640" w:hanging="308"/>
        <w:spacing w:after="0"/>
        <w:tabs>
          <w:tab w:leader="none" w:pos="64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Board may amend, modify or terminate this Policy in whole or in part and at any time.</w:t>
      </w:r>
    </w:p>
    <w:p>
      <w:pPr>
        <w:spacing w:after="0" w:line="281" w:lineRule="exact"/>
        <w:rPr>
          <w:rFonts w:ascii="Arial" w:cs="Arial" w:eastAsia="Arial" w:hAnsi="Arial"/>
          <w:sz w:val="20"/>
          <w:szCs w:val="20"/>
          <w:color w:val="auto"/>
        </w:rPr>
      </w:pPr>
    </w:p>
    <w:p>
      <w:pPr>
        <w:ind w:left="640" w:hanging="632"/>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ICON intends that this Policy will be applied to the fullest extent of the law and may require that any employment agreement, equity award agreement, or similar agreement require a Covered Executive to agree to abide by the terms of this Policy as a condition to the grant of any right or benefit thereunder. Any right of recovery under this Policy is in addition to, and not in lieu of, any other remedies or rights of recoupment or recovery that may be available pursuant to the terms of any similar clawback or recovery policy or in any employment agreement, equity award agreement, or similar agreement, or any other rights or remedies available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1."/>
      <w:numFmt w:val="upperLetter"/>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upperLetter"/>
      <w:start w:val="6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upperLetter"/>
      <w:start w:val="1"/>
    </w:lvl>
  </w:abstractNum>
  <w:abstractNum w:abstractNumId="36">
    <w:nsid w:val="1DBABF00"/>
    <w:multiLevelType w:val="hybridMultilevel"/>
    <w:lvl w:ilvl="0">
      <w:lvlJc w:val="left"/>
      <w:lvlText w:val="%1."/>
      <w:numFmt w:val="upperLetter"/>
      <w:start w:val="2"/>
    </w:lvl>
  </w:abstractNum>
  <w:abstractNum w:abstractNumId="37">
    <w:nsid w:val="4AD084E9"/>
    <w:multiLevelType w:val="hybridMultilevel"/>
    <w:lvl w:ilvl="0">
      <w:lvlJc w:val="left"/>
      <w:lvlText w:val="%1."/>
      <w:numFmt w:val="upperLetter"/>
      <w:start w:val="3"/>
    </w:lvl>
  </w:abstractNum>
  <w:abstractNum w:abstractNumId="38">
    <w:nsid w:val="1F48EAA1"/>
    <w:multiLevelType w:val="hybridMultilevel"/>
    <w:lvl w:ilvl="0">
      <w:lvlJc w:val="left"/>
      <w:lvlText w:val="%1."/>
      <w:numFmt w:val="upperLetter"/>
      <w:start w:val="4"/>
    </w:lvl>
  </w:abstractNum>
  <w:abstractNum w:abstractNumId="39">
    <w:nsid w:val="1381823A"/>
    <w:multiLevelType w:val="hybridMultilevel"/>
    <w:lvl w:ilvl="0">
      <w:lvlJc w:val="left"/>
      <w:lvlText w:val="%1."/>
      <w:numFmt w:val="upperLetter"/>
      <w:start w:val="5"/>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upperLetter"/>
      <w:start w:val="5"/>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upperLetter"/>
      <w:start w:val="6"/>
    </w:lvl>
  </w:abstractNum>
  <w:abstractNum w:abstractNumId="47">
    <w:nsid w:val="6B94764"/>
    <w:multiLevelType w:val="hybridMultilevel"/>
    <w:lvl w:ilvl="0">
      <w:lvlJc w:val="left"/>
      <w:lvlText w:val="(%1)"/>
      <w:numFmt w:val="lowerRoman"/>
      <w:start w:val="2"/>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upperLetter"/>
      <w:start w:val="1"/>
    </w:lvl>
  </w:abstractNum>
  <w:abstractNum w:abstractNumId="50">
    <w:nsid w:val="1EBA5D23"/>
    <w:multiLevelType w:val="hybridMultilevel"/>
    <w:lvl w:ilvl="0">
      <w:lvlJc w:val="left"/>
      <w:lvlText w:val="%1."/>
      <w:numFmt w:val="upperLetter"/>
      <w:start w:val="2"/>
    </w:lvl>
  </w:abstractNum>
  <w:abstractNum w:abstractNumId="51">
    <w:nsid w:val="661E3F1E"/>
    <w:multiLevelType w:val="hybridMultilevel"/>
    <w:lvl w:ilvl="0">
      <w:lvlJc w:val="left"/>
      <w:lvlText w:val="%1."/>
      <w:numFmt w:val="upperLetter"/>
      <w:start w:val="4"/>
    </w:lvl>
  </w:abstractNum>
  <w:abstractNum w:abstractNumId="52">
    <w:nsid w:val="5DC79EA8"/>
    <w:multiLevelType w:val="hybridMultilevel"/>
    <w:lvl w:ilvl="0">
      <w:lvlJc w:val="left"/>
      <w:lvlText w:val="%1."/>
      <w:numFmt w:val="upperLetter"/>
      <w:start w:val="1"/>
    </w:lvl>
  </w:abstractNum>
  <w:abstractNum w:abstractNumId="53">
    <w:nsid w:val="540A471C"/>
    <w:multiLevelType w:val="hybridMultilevel"/>
    <w:lvl w:ilvl="0">
      <w:lvlJc w:val="left"/>
      <w:lvlText w:val="%1"/>
      <w:numFmt w:val="upperLetter"/>
      <w:start w:val="1"/>
    </w:lvl>
    <w:lvl w:ilvl="1">
      <w:lvlJc w:val="left"/>
      <w:lvlText w:val="(%2)"/>
      <w:numFmt w:val="lowerRoman"/>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upperLetter"/>
      <w:start w:val="6"/>
    </w:lvl>
  </w:abstractNum>
  <w:abstractNum w:abstractNumId="63">
    <w:nsid w:val="3B0FD379"/>
    <w:multiLevelType w:val="hybridMultilevel"/>
    <w:lvl w:ilvl="0">
      <w:lvlJc w:val="left"/>
      <w:lvlText w:val="%1."/>
      <w:numFmt w:val="upperLetter"/>
      <w:start w:val="9"/>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upperLetter"/>
      <w:start w:val="2"/>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endash "/>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endash "/>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2"/>
    </w:lvl>
  </w:abstractNum>
  <w:abstractNum w:abstractNumId="78">
    <w:nsid w:val="76272110"/>
    <w:multiLevelType w:val="hybridMultilevel"/>
    <w:lvl w:ilvl="0">
      <w:lvlJc w:val="left"/>
      <w:lvlText w:val="(%1)"/>
      <w:numFmt w:val="lowerLetter"/>
      <w:start w:val="3"/>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lowerRoman"/>
      <w:start w:val="1"/>
    </w:lvl>
  </w:abstractNum>
  <w:abstractNum w:abstractNumId="81">
    <w:nsid w:val="14E17E33"/>
    <w:multiLevelType w:val="hybridMultilevel"/>
    <w:lvl w:ilvl="0">
      <w:lvlJc w:val="left"/>
      <w:lvlText w:val="%1."/>
      <w:numFmt w:val="decimal"/>
      <w:start w:val="1"/>
    </w:lvl>
    <w:lvl w:ilvl="1">
      <w:lvlJc w:val="left"/>
      <w:lvlText w:val="%2)"/>
      <w:numFmt w:val="lowerLetter"/>
      <w:start w:val="1"/>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decimal"/>
      <w:start w:val="1"/>
    </w:lvl>
    <w:lvl w:ilvl="1">
      <w:lvlJc w:val="left"/>
      <w:lvlText w:val="%2)"/>
      <w:numFmt w:val="lowerLetter"/>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2"/>
    </w:lvl>
  </w:abstractNum>
  <w:abstractNum w:abstractNumId="89">
    <w:nsid w:val="57FC4FBB"/>
    <w:multiLevelType w:val="hybridMultilevel"/>
    <w:lvl w:ilvl="0">
      <w:lvlJc w:val="left"/>
      <w:lvlText w:val="%1."/>
      <w:numFmt w:val="decimal"/>
      <w:start w:val="3"/>
    </w:lvl>
  </w:abstractNum>
  <w:abstractNum w:abstractNumId="90">
    <w:nsid w:val="CC1016F"/>
    <w:multiLevelType w:val="hybridMultilevel"/>
    <w:lvl w:ilvl="0">
      <w:lvlJc w:val="left"/>
      <w:lvlText w:val="%1."/>
      <w:numFmt w:val="decimal"/>
      <w:start w:val="4"/>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decimal"/>
      <w:start w:val="6"/>
    </w:lvl>
  </w:abstractNum>
  <w:abstractNum w:abstractNumId="93">
    <w:nsid w:val="26F324BA"/>
    <w:multiLevelType w:val="hybridMultilevel"/>
    <w:lvl w:ilvl="0">
      <w:lvlJc w:val="left"/>
      <w:lvlText w:val="%1."/>
      <w:numFmt w:val="decimal"/>
      <w:start w:val="7"/>
    </w:lvl>
  </w:abstractNum>
  <w:abstractNum w:abstractNumId="94">
    <w:nsid w:val="7F01579B"/>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jpeg"/><Relationship Id="rId201" Type="http://schemas.openxmlformats.org/officeDocument/2006/relationships/hyperlink" Target="https://www.sec.gov/Archives/edgar/data/0001060955/000114036121006002/nc10020781x8_ex2-1.htm" TargetMode="External"/><Relationship Id="rId202" Type="http://schemas.openxmlformats.org/officeDocument/2006/relationships/hyperlink" Target="https://www.sec.gov/Archives/edgar/data/0001060955/000114036121023058/nt10026444x8_ex99-1.htm" TargetMode="External"/><Relationship Id="rId203" Type="http://schemas.openxmlformats.org/officeDocument/2006/relationships/hyperlink" Target="https://www.sec.gov/Archives/edgar/data/0001060955/000114036121023058/nt10026444x8_ex99-2.htm" TargetMode="External"/><Relationship Id="rId204" Type="http://schemas.openxmlformats.org/officeDocument/2006/relationships/hyperlink" Target="https://www.sec.gov/Archives/edgar/data/1060955/000106095523000007/exhibit25-2022.htm" TargetMode="External"/><Relationship Id="rId205" Type="http://schemas.openxmlformats.org/officeDocument/2006/relationships/hyperlink" Target="https://www.sec.gov/Archives/edgar/data/1060955/000106095523000027/exhibit991-q22023.htm" TargetMode="External"/><Relationship Id="rId206"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2024-02-23T16:32:37Z</dcterms:created>
  <dcterms:modified xsi:type="dcterms:W3CDTF">2024-02-23T16:32:37Z</dcterms:modified>
</cp:coreProperties>
</file>