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07</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45103T107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45103T107</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4113018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4113018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4113018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7.19%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45103T107</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4113018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4113018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4113018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7.19%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45103T107</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3129000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3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3129000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3129000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5.46%</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ICON PLC</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SOUTH COUNTY BUSINESS PARKLEOPARDSTOWNDUBLIN IRELAND L2 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right="6600"/>
        <w:spacing w:after="0" w:line="261" w:lineRule="auto"/>
        <w:rPr>
          <w:rFonts w:ascii="Arial" w:cs="Arial" w:eastAsia="Arial" w:hAnsi="Arial"/>
          <w:sz w:val="16"/>
          <w:szCs w:val="16"/>
          <w:color w:val="auto"/>
        </w:rPr>
      </w:pPr>
      <w:r>
        <w:rPr>
          <w:rFonts w:ascii="Arial" w:cs="Arial" w:eastAsia="Arial" w:hAnsi="Arial"/>
          <w:sz w:val="18"/>
          <w:szCs w:val="18"/>
          <w:color w:val="auto"/>
        </w:rPr>
        <w:t>Neuberger Berman Investment Advisers LLC Neuberger Berman Equity Funds</w:t>
      </w:r>
    </w:p>
    <w:p>
      <w:pPr>
        <w:spacing w:after="0" w:line="21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45103T107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4,113,018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7.19%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4,113,018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4,113,018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NB Alternatives Advisers LLC, Neuberger Berman LLC and Neuberger Berman Investment Advisers LLC are also aggregated to comprise the holdings referenced herein.</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 addition to the shares set forth under Item 4(c)(ii) for which Neuberger entities also have shared power to dispose of the shares, item 4(c)(iv) also includes shares from individual client accounts over which Neuberger Berman LLC or Neuberger Berman Investment Advisers LLC have shared power to dispose but do not have voting power over these shares. The holdings of Neuberger Berman Trust Co N.A., Neuberger Berman Trust Co of Delaware N.A., NB Alternatives Advisers LLC, Neuberger Berman LLC and Neuberger Berman Investment Advisers LLC, are also aggregated to comprise the holdings referenced 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09, 2016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40"/>
          </w:cols>
          <w:pgMar w:left="240" w:top="756" w:right="3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09, 2016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340"/>
          </w:cols>
          <w:pgMar w:left="240" w:top="756" w:right="3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09, 2016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ind w:left="860" w:right="80" w:hanging="850"/>
        <w:spacing w:after="0" w:line="255"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Neuberger Berman LLC, Neuberger Berman Trust Co N.A., Neuberger Berman Trust Co of Delaware N.A., NB Alternatives Advisers LLC and</w:t>
      </w:r>
      <w:r>
        <w:rPr>
          <w:rFonts w:ascii="Arial" w:cs="Arial" w:eastAsia="Arial" w:hAnsi="Arial"/>
          <w:sz w:val="18"/>
          <w:szCs w:val="18"/>
          <w:b w:val="1"/>
          <w:bCs w:val="1"/>
          <w:color w:val="auto"/>
        </w:rPr>
        <w:t xml:space="preserve"> </w:t>
      </w:r>
      <w:r>
        <w:rPr>
          <w:rFonts w:ascii="Arial" w:cs="Arial" w:eastAsia="Arial" w:hAnsi="Arial"/>
          <w:sz w:val="18"/>
          <w:szCs w:val="18"/>
          <w:color w:val="auto"/>
        </w:rPr>
        <w:t>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Fixed Income Holdings LLC, NB Alternatives Holdings LLC and Neuberger Trust Holdings LLC controls Neuberger Berman LLC, Neuberger Berman Trust Co N.A., Neuberger Berman Trust Co of Delaware N.A., NB Alternatives Advisers LLC and Neuberger Berman Investment Advisers LLC and certain affiliated persons. Additionally, Neuberger Berman Investment Advisers LLC controls its subsidiary Neuberger Berman LLC.</w:t>
      </w:r>
    </w:p>
    <w:p>
      <w:pPr>
        <w:spacing w:after="0" w:line="193" w:lineRule="exact"/>
        <w:rPr>
          <w:sz w:val="20"/>
          <w:szCs w:val="20"/>
          <w:color w:val="auto"/>
        </w:rPr>
      </w:pPr>
    </w:p>
    <w:p>
      <w:pPr>
        <w:ind w:left="860" w:right="10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Fixed Income Holdings LLC, NB Alternatives Holdings LLC, Neuberger Trust Holdings LLC, Neuberger Berman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x"/>
      <w:numFmt w:val="bullet"/>
      <w:start w:val="1"/>
    </w:lvl>
  </w:abstractNum>
  <w:abstractNum w:abstractNumId="1">
    <w:nsid w:val="2EB141F2"/>
    <w:multiLevelType w:val="hybridMultilevel"/>
    <w:lvl w:ilvl="0">
      <w:lvlJc w:val="left"/>
      <w:lvlText w:val="4"/>
      <w:numFmt w:val="bullet"/>
      <w:start w:val="1"/>
    </w:lvl>
  </w:abstractNum>
  <w:abstractNum w:abstractNumId="2">
    <w:nsid w:val="41B71EFB"/>
    <w:multiLevelType w:val="hybridMultilevel"/>
    <w:lvl w:ilvl="0">
      <w:lvlJc w:val="left"/>
      <w:lvlText w:val="9"/>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2019-12-06T21:45:15Z</dcterms:created>
  <dcterms:modified xsi:type="dcterms:W3CDTF">2019-12-06T21:45:15Z</dcterms:modified>
</cp:coreProperties>
</file>