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t>FORM 6-K</w:t>
      </w:r>
    </w:p>
    <w:p>
      <w:pPr>
        <w:spacing w:after="0" w:line="253"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5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Washington, D.C. 20549</w:t>
      </w:r>
    </w:p>
    <w:p>
      <w:pPr>
        <w:spacing w:after="0" w:line="2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Rule 13a-16 under</w:t>
      </w: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 xml:space="preserve">For the month ended </w:t>
      </w:r>
      <w:r>
        <w:rPr>
          <w:rFonts w:ascii="Arial" w:cs="Arial" w:eastAsia="Arial" w:hAnsi="Arial"/>
          <w:sz w:val="18"/>
          <w:szCs w:val="18"/>
          <w:color w:val="auto"/>
        </w:rPr>
        <w:t>July, 2017</w:t>
      </w:r>
    </w:p>
    <w:p>
      <w:pPr>
        <w:spacing w:after="0" w:line="200" w:lineRule="exact"/>
        <w:rPr>
          <w:sz w:val="24"/>
          <w:szCs w:val="24"/>
          <w:color w:val="auto"/>
        </w:rPr>
      </w:pPr>
    </w:p>
    <w:p>
      <w:pPr>
        <w:spacing w:after="0" w:line="25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ICON plc</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(R</w:t>
      </w:r>
      <w:r>
        <w:rPr>
          <w:rFonts w:ascii="Arial" w:cs="Arial" w:eastAsia="Arial" w:hAnsi="Arial"/>
          <w:sz w:val="18"/>
          <w:szCs w:val="18"/>
          <w:color w:val="auto"/>
        </w:rPr>
        <w:t>egistrant's name)</w:t>
      </w:r>
    </w:p>
    <w:p>
      <w:pPr>
        <w:spacing w:after="0" w:line="200" w:lineRule="exact"/>
        <w:rPr>
          <w:sz w:val="24"/>
          <w:szCs w:val="24"/>
          <w:color w:val="auto"/>
        </w:rPr>
      </w:pP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333-08704</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(Commission file number)</w:t>
      </w:r>
    </w:p>
    <w:p>
      <w:pPr>
        <w:spacing w:after="0" w:line="200" w:lineRule="exact"/>
        <w:rPr>
          <w:sz w:val="24"/>
          <w:szCs w:val="24"/>
          <w:color w:val="auto"/>
        </w:rPr>
      </w:pPr>
    </w:p>
    <w:p>
      <w:pPr>
        <w:spacing w:after="0" w:line="25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South County Business Park, Leopardstown, Dublin 18, Ireland</w:t>
      </w:r>
    </w:p>
    <w:p>
      <w:pPr>
        <w:spacing w:after="0" w:line="8"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(Address of principal executive offices)</w:t>
      </w:r>
    </w:p>
    <w:p>
      <w:pPr>
        <w:spacing w:after="0" w:line="215"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Brendan Brennan, CFO</w:t>
      </w:r>
    </w:p>
    <w:p>
      <w:pPr>
        <w:jc w:val="center"/>
        <w:ind w:right="-119"/>
        <w:spacing w:after="0" w:line="238" w:lineRule="auto"/>
        <w:rPr>
          <w:sz w:val="20"/>
          <w:szCs w:val="20"/>
          <w:color w:val="auto"/>
        </w:rPr>
      </w:pPr>
      <w:r>
        <w:rPr>
          <w:rFonts w:ascii="Arial" w:cs="Arial" w:eastAsia="Arial" w:hAnsi="Arial"/>
          <w:sz w:val="22"/>
          <w:szCs w:val="22"/>
          <w:color w:val="auto"/>
        </w:rPr>
        <w:t>South County Business Park, Leopardstown, Dublin 18, Ireland.</w:t>
      </w:r>
    </w:p>
    <w:p>
      <w:pPr>
        <w:jc w:val="center"/>
        <w:ind w:right="-119"/>
        <w:spacing w:after="0" w:line="230" w:lineRule="auto"/>
        <w:rPr>
          <w:sz w:val="20"/>
          <w:szCs w:val="20"/>
          <w:color w:val="auto"/>
        </w:rPr>
      </w:pPr>
      <w:r>
        <w:rPr>
          <w:rFonts w:ascii="Arial" w:cs="Arial" w:eastAsia="Arial" w:hAnsi="Arial"/>
          <w:sz w:val="22"/>
          <w:szCs w:val="22"/>
          <w:color w:val="auto"/>
        </w:rPr>
        <w:t>Brendan.Brennan@iconplc.com</w:t>
      </w:r>
    </w:p>
    <w:p>
      <w:pPr>
        <w:jc w:val="center"/>
        <w:ind w:right="-119"/>
        <w:spacing w:after="0" w:line="231" w:lineRule="auto"/>
        <w:rPr>
          <w:sz w:val="20"/>
          <w:szCs w:val="20"/>
          <w:color w:val="auto"/>
        </w:rPr>
      </w:pPr>
      <w:r>
        <w:rPr>
          <w:rFonts w:ascii="Arial" w:cs="Arial" w:eastAsia="Arial" w:hAnsi="Arial"/>
          <w:sz w:val="22"/>
          <w:szCs w:val="22"/>
          <w:color w:val="auto"/>
        </w:rPr>
        <w:t>00-353-1-291-2000</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0" w:lineRule="exact"/>
        <w:rPr>
          <w:sz w:val="24"/>
          <w:szCs w:val="24"/>
          <w:color w:val="auto"/>
        </w:rPr>
      </w:pPr>
    </w:p>
    <w:p>
      <w:pPr>
        <w:ind w:left="4080"/>
        <w:spacing w:after="0"/>
        <w:tabs>
          <w:tab w:leader="none" w:pos="706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u w:val="single" w:color="auto"/>
          <w:color w:val="auto"/>
        </w:rPr>
        <w:t>X</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color w:val="auto"/>
        </w:rPr>
        <w:t>_</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101(b)(1):</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whether the registrant is submitting the Form 6-K in paper as permitted by Regulation S-T Rule 101(b)(7):</w:t>
      </w:r>
    </w:p>
    <w:p>
      <w:pPr>
        <w:spacing w:after="0" w:line="235" w:lineRule="exact"/>
        <w:rPr>
          <w:sz w:val="24"/>
          <w:szCs w:val="24"/>
          <w:color w:val="auto"/>
        </w:rPr>
      </w:pPr>
    </w:p>
    <w:p>
      <w:pPr>
        <w:ind w:left="4100"/>
        <w:spacing w:after="0"/>
        <w:tabs>
          <w:tab w:leader="none" w:pos="6980" w:val="left"/>
        </w:tabs>
        <w:rPr>
          <w:sz w:val="20"/>
          <w:szCs w:val="20"/>
          <w:color w:val="auto"/>
        </w:rPr>
      </w:pPr>
      <w:r>
        <w:rPr>
          <w:rFonts w:ascii="Arial" w:cs="Arial" w:eastAsia="Arial" w:hAnsi="Arial"/>
          <w:sz w:val="22"/>
          <w:szCs w:val="22"/>
          <w:color w:val="auto"/>
        </w:rPr>
        <w:t>Yes______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pacing w:after="0" w:line="200" w:lineRule="exact"/>
        <w:rPr>
          <w:sz w:val="24"/>
          <w:szCs w:val="24"/>
          <w:color w:val="auto"/>
        </w:rPr>
      </w:pPr>
    </w:p>
    <w:p>
      <w:pPr>
        <w:spacing w:after="0" w:line="255" w:lineRule="exact"/>
        <w:rPr>
          <w:sz w:val="24"/>
          <w:szCs w:val="24"/>
          <w:color w:val="auto"/>
        </w:rPr>
      </w:pPr>
    </w:p>
    <w:p>
      <w:pPr>
        <w:ind w:right="160"/>
        <w:spacing w:after="0" w:line="274"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45" w:lineRule="exact"/>
        <w:rPr>
          <w:sz w:val="24"/>
          <w:szCs w:val="24"/>
          <w:color w:val="auto"/>
        </w:rPr>
      </w:pPr>
    </w:p>
    <w:p>
      <w:pPr>
        <w:ind w:left="4080"/>
        <w:spacing w:after="0"/>
        <w:tabs>
          <w:tab w:leader="none" w:pos="7020" w:val="left"/>
        </w:tabs>
        <w:rPr>
          <w:sz w:val="20"/>
          <w:szCs w:val="20"/>
          <w:color w:val="auto"/>
        </w:rPr>
      </w:pPr>
      <w:r>
        <w:rPr>
          <w:rFonts w:ascii="Arial" w:cs="Arial" w:eastAsia="Arial" w:hAnsi="Arial"/>
          <w:sz w:val="22"/>
          <w:szCs w:val="22"/>
          <w:color w:val="auto"/>
        </w:rPr>
        <w:t>Yes___</w:t>
      </w:r>
      <w:r>
        <w:rPr>
          <w:rFonts w:ascii="Arial" w:cs="Arial" w:eastAsia="Arial" w:hAnsi="Arial"/>
          <w:sz w:val="22"/>
          <w:szCs w:val="22"/>
          <w:b w:val="1"/>
          <w:bCs w:val="1"/>
          <w:color w:val="auto"/>
        </w:rPr>
        <w:t>_</w:t>
      </w:r>
      <w:r>
        <w:rPr>
          <w:rFonts w:ascii="Arial" w:cs="Arial" w:eastAsia="Arial" w:hAnsi="Arial"/>
          <w:sz w:val="22"/>
          <w:szCs w:val="22"/>
          <w:color w:val="auto"/>
        </w:rPr>
        <w:t>___</w:t>
      </w:r>
      <w:r>
        <w:rPr>
          <w:sz w:val="20"/>
          <w:szCs w:val="20"/>
          <w:color w:val="auto"/>
        </w:rPr>
        <w:tab/>
      </w:r>
      <w:r>
        <w:rPr>
          <w:rFonts w:ascii="Arial" w:cs="Arial" w:eastAsia="Arial" w:hAnsi="Arial"/>
          <w:sz w:val="19"/>
          <w:szCs w:val="19"/>
          <w:color w:val="auto"/>
        </w:rPr>
        <w:t>No___</w:t>
      </w:r>
      <w:r>
        <w:rPr>
          <w:rFonts w:ascii="Arial" w:cs="Arial" w:eastAsia="Arial" w:hAnsi="Arial"/>
          <w:sz w:val="19"/>
          <w:szCs w:val="19"/>
          <w:b w:val="1"/>
          <w:bCs w:val="1"/>
          <w:u w:val="single" w:color="auto"/>
          <w:color w:val="auto"/>
        </w:rPr>
        <w:t>X</w:t>
      </w:r>
      <w:r>
        <w:rPr>
          <w:rFonts w:ascii="Arial" w:cs="Arial" w:eastAsia="Arial" w:hAnsi="Arial"/>
          <w:sz w:val="19"/>
          <w:szCs w:val="19"/>
          <w:color w:val="auto"/>
        </w:rPr>
        <w:t>___</w:t>
      </w:r>
    </w:p>
    <w:p>
      <w:pPr>
        <w:sectPr>
          <w:pgSz w:w="11900" w:h="16838" w:orient="portrait"/>
          <w:cols w:equalWidth="0" w:num="1">
            <w:col w:w="11300"/>
          </w:cols>
          <w:pgMar w:left="240" w:top="468" w:right="359" w:bottom="1440" w:gutter="0" w:footer="0" w:header="0"/>
        </w:sectPr>
      </w:pPr>
    </w:p>
    <w:p>
      <w:pPr>
        <w:spacing w:after="0" w:line="200" w:lineRule="exact"/>
        <w:rPr>
          <w:sz w:val="24"/>
          <w:szCs w:val="24"/>
          <w:color w:val="auto"/>
        </w:rPr>
      </w:pPr>
    </w:p>
    <w:p>
      <w:pPr>
        <w:spacing w:after="0" w:line="249" w:lineRule="exact"/>
        <w:rPr>
          <w:sz w:val="24"/>
          <w:szCs w:val="24"/>
          <w:color w:val="auto"/>
        </w:rPr>
      </w:pPr>
    </w:p>
    <w:p>
      <w:pPr>
        <w:spacing w:after="0"/>
        <w:tabs>
          <w:tab w:leader="none" w:pos="10180" w:val="left"/>
        </w:tabs>
        <w:rPr>
          <w:sz w:val="20"/>
          <w:szCs w:val="20"/>
          <w:color w:val="auto"/>
        </w:rPr>
      </w:pPr>
      <w:r>
        <w:rPr>
          <w:rFonts w:ascii="Arial" w:cs="Arial" w:eastAsia="Arial" w:hAnsi="Arial"/>
          <w:sz w:val="21"/>
          <w:szCs w:val="21"/>
          <w:color w:val="auto"/>
        </w:rPr>
        <w:t>If "Yes" is marked, indicate below the file number assigned to the registrant in connection with Rule 12g3-2(b):82</w:t>
      </w:r>
      <w:r>
        <w:rPr>
          <w:sz w:val="20"/>
          <w:szCs w:val="20"/>
          <w:color w:val="auto"/>
        </w:rPr>
        <w:tab/>
      </w:r>
      <w:r>
        <w:rPr>
          <w:rFonts w:ascii="Arial" w:cs="Arial" w:eastAsia="Arial" w:hAnsi="Arial"/>
          <w:sz w:val="19"/>
          <w:szCs w:val="19"/>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type w:val="continuous"/>
        </w:sectPr>
      </w:pPr>
    </w:p>
    <w:bookmarkStart w:id="1" w:name="page2"/>
    <w:bookmarkEnd w:id="1"/>
    <w:p>
      <w:pPr>
        <w:ind w:left="5100"/>
        <w:spacing w:after="0"/>
        <w:rPr>
          <w:sz w:val="20"/>
          <w:szCs w:val="20"/>
          <w:color w:val="auto"/>
        </w:rPr>
      </w:pPr>
      <w:r>
        <w:rPr>
          <w:rFonts w:ascii="Arial" w:cs="Arial" w:eastAsia="Arial" w:hAnsi="Arial"/>
          <w:sz w:val="18"/>
          <w:szCs w:val="18"/>
          <w:b w:val="1"/>
          <w:bCs w:val="1"/>
          <w:u w:val="single" w:color="auto"/>
          <w:color w:val="auto"/>
        </w:rPr>
        <w:t>EXHIBIT LIST</w:t>
      </w:r>
    </w:p>
    <w:p>
      <w:pPr>
        <w:spacing w:after="0" w:line="24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auto"/>
        </w:rPr>
        <w:t>Exhibit</w:t>
      </w:r>
      <w:r>
        <w:rPr>
          <w:sz w:val="20"/>
          <w:szCs w:val="20"/>
          <w:color w:val="auto"/>
        </w:rPr>
        <w:tab/>
      </w:r>
      <w:r>
        <w:rPr>
          <w:rFonts w:ascii="Arial" w:cs="Arial" w:eastAsia="Arial" w:hAnsi="Arial"/>
          <w:sz w:val="18"/>
          <w:szCs w:val="18"/>
          <w:u w:val="single" w:color="auto"/>
          <w:color w:val="auto"/>
        </w:rPr>
        <w:t>Description</w:t>
      </w:r>
    </w:p>
    <w:p>
      <w:pPr>
        <w:spacing w:after="0" w:line="27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ICON plc Press Release issued July 27, 2017 - ICON Acquires Mapi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147955</wp:posOffset>
            </wp:positionV>
            <wp:extent cx="7272020" cy="596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0219"/>
          </w:cols>
          <w:pgMar w:left="240" w:top="364" w:right="1440"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2" w:lineRule="exact"/>
        <w:rPr>
          <w:sz w:val="20"/>
          <w:szCs w:val="20"/>
          <w:color w:val="auto"/>
        </w:rPr>
      </w:pPr>
    </w:p>
    <w:p>
      <w:pPr>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90"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6860"/>
        <w:spacing w:after="0"/>
        <w:rPr>
          <w:sz w:val="20"/>
          <w:szCs w:val="20"/>
          <w:color w:val="auto"/>
        </w:rPr>
      </w:pPr>
      <w:r>
        <w:rPr>
          <w:rFonts w:ascii="Arial" w:cs="Arial" w:eastAsia="Arial" w:hAnsi="Arial"/>
          <w:sz w:val="18"/>
          <w:szCs w:val="18"/>
          <w:u w:val="single" w:color="auto"/>
          <w:color w:val="auto"/>
        </w:rPr>
        <w:t>/s/ Brendan Brennan</w:t>
      </w:r>
    </w:p>
    <w:p>
      <w:pPr>
        <w:spacing w:after="0" w:line="36" w:lineRule="exact"/>
        <w:rPr>
          <w:sz w:val="20"/>
          <w:szCs w:val="20"/>
          <w:color w:val="auto"/>
        </w:rPr>
      </w:pPr>
    </w:p>
    <w:p>
      <w:pPr>
        <w:ind w:left="580" w:right="2700" w:hanging="6846"/>
        <w:spacing w:after="0" w:line="274" w:lineRule="auto"/>
        <w:tabs>
          <w:tab w:leader="none" w:pos="560" w:val="left"/>
        </w:tabs>
        <w:rPr>
          <w:sz w:val="20"/>
          <w:szCs w:val="20"/>
          <w:color w:val="auto"/>
        </w:rPr>
      </w:pPr>
      <w:r>
        <w:rPr>
          <w:rFonts w:ascii="Arial" w:cs="Arial" w:eastAsia="Arial" w:hAnsi="Arial"/>
          <w:sz w:val="18"/>
          <w:szCs w:val="18"/>
          <w:color w:val="auto"/>
        </w:rPr>
        <w:t>Date:</w:t>
        <w:tab/>
        <w:t>July 27, 2017 Brendan Brennan Chief Financial Officer</w:t>
      </w:r>
    </w:p>
    <w:p>
      <w:pPr>
        <w:sectPr>
          <w:pgSz w:w="11900" w:h="16838" w:orient="portrait"/>
          <w:cols w:equalWidth="0" w:num="1">
            <w:col w:w="11240"/>
          </w:cols>
          <w:pgMar w:left="240" w:top="364"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ICON Acquires Mapi Group</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color w:val="auto"/>
        </w:rPr>
        <w:t>Expands ICON’s leadership in Health Outcomes Research and Commercialisation Services</w:t>
      </w:r>
    </w:p>
    <w:p>
      <w:pPr>
        <w:spacing w:after="0" w:line="200" w:lineRule="exact"/>
        <w:rPr>
          <w:sz w:val="20"/>
          <w:szCs w:val="20"/>
          <w:color w:val="auto"/>
        </w:rPr>
      </w:pPr>
    </w:p>
    <w:p>
      <w:pPr>
        <w:jc w:val="both"/>
        <w:ind w:right="340"/>
        <w:spacing w:after="0" w:line="261" w:lineRule="auto"/>
        <w:rPr>
          <w:sz w:val="20"/>
          <w:szCs w:val="20"/>
          <w:color w:val="auto"/>
        </w:rPr>
      </w:pPr>
      <w:r>
        <w:rPr>
          <w:rFonts w:ascii="Arial" w:cs="Arial" w:eastAsia="Arial" w:hAnsi="Arial"/>
          <w:sz w:val="21"/>
          <w:szCs w:val="21"/>
          <w:color w:val="auto"/>
        </w:rPr>
        <w:t>DUBLIN--(BUSINESS WIRE)--July 27, 2017--</w:t>
      </w:r>
      <w:r>
        <w:rPr>
          <w:rFonts w:ascii="Arial" w:cs="Arial" w:eastAsia="Arial" w:hAnsi="Arial"/>
          <w:sz w:val="21"/>
          <w:szCs w:val="21"/>
          <w:b w:val="1"/>
          <w:bCs w:val="1"/>
          <w:color w:val="auto"/>
        </w:rPr>
        <w:t>ICON plc, (NASDAQ:ICLR)</w:t>
      </w:r>
      <w:r>
        <w:rPr>
          <w:rFonts w:ascii="Arial" w:cs="Arial" w:eastAsia="Arial" w:hAnsi="Arial"/>
          <w:sz w:val="21"/>
          <w:szCs w:val="21"/>
          <w:color w:val="auto"/>
        </w:rPr>
        <w:t xml:space="preserve"> a global provider of drug development solutions and services to the pharmaceutical, biotechnology and medical device industries, today announced that it has acquired the Mapi Group, a leading Patient-Centered Health Outcomes Research and Commercialisation company.</w:t>
      </w:r>
    </w:p>
    <w:p>
      <w:pPr>
        <w:spacing w:after="0" w:line="164" w:lineRule="exact"/>
        <w:rPr>
          <w:sz w:val="20"/>
          <w:szCs w:val="20"/>
          <w:color w:val="auto"/>
        </w:rPr>
      </w:pPr>
    </w:p>
    <w:p>
      <w:pPr>
        <w:ind w:right="340"/>
        <w:spacing w:after="0" w:line="252" w:lineRule="auto"/>
        <w:rPr>
          <w:sz w:val="20"/>
          <w:szCs w:val="20"/>
          <w:color w:val="auto"/>
        </w:rPr>
      </w:pPr>
      <w:r>
        <w:rPr>
          <w:rFonts w:ascii="Arial" w:cs="Arial" w:eastAsia="Arial" w:hAnsi="Arial"/>
          <w:sz w:val="21"/>
          <w:szCs w:val="21"/>
          <w:color w:val="auto"/>
        </w:rPr>
        <w:t>The acquisition strengthens ICON’s existing Commercialisation and Outcomes Research business adding significant commercialisation presence, analytics, real world evidence generation and strategic regulatory expertise. The combined organisation will be a leader for real world evidence, post approval research, language services, consultancy services supporting clinical outcomes assessments, pricing and market access and scientific communications.</w:t>
      </w:r>
    </w:p>
    <w:p>
      <w:pPr>
        <w:spacing w:after="0" w:line="174" w:lineRule="exact"/>
        <w:rPr>
          <w:sz w:val="20"/>
          <w:szCs w:val="20"/>
          <w:color w:val="auto"/>
        </w:rPr>
      </w:pPr>
    </w:p>
    <w:p>
      <w:pPr>
        <w:jc w:val="both"/>
        <w:ind w:right="60"/>
        <w:spacing w:after="0" w:line="258" w:lineRule="auto"/>
        <w:rPr>
          <w:sz w:val="20"/>
          <w:szCs w:val="20"/>
          <w:color w:val="auto"/>
        </w:rPr>
      </w:pPr>
      <w:r>
        <w:rPr>
          <w:rFonts w:ascii="Arial" w:cs="Arial" w:eastAsia="Arial" w:hAnsi="Arial"/>
          <w:sz w:val="21"/>
          <w:szCs w:val="21"/>
          <w:color w:val="auto"/>
        </w:rPr>
        <w:t>The acquisition also enables ICON to have direct access to Mapi Research Trust, the industry’s most subscribed library of Clinical Outcomes Assessments (COAs), with exclusive distribution of over 300 families of validated questionnaires, including licensing of COA services used by commercial, academic and regulatory research organisations.</w:t>
      </w:r>
    </w:p>
    <w:p>
      <w:pPr>
        <w:spacing w:after="0" w:line="167" w:lineRule="exact"/>
        <w:rPr>
          <w:sz w:val="20"/>
          <w:szCs w:val="20"/>
          <w:color w:val="auto"/>
        </w:rPr>
      </w:pPr>
    </w:p>
    <w:p>
      <w:pPr>
        <w:ind w:right="80"/>
        <w:spacing w:after="0" w:line="277" w:lineRule="auto"/>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color w:val="auto"/>
        </w:rPr>
        <w:t>The late phase CRO market continues to grow as our customers face greater scrutiny from regulators and reimbursement bodies</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around real-world evidence of product value and safety,” </w:t>
      </w:r>
      <w:r>
        <w:rPr>
          <w:rFonts w:ascii="Arial" w:cs="Arial" w:eastAsia="Arial" w:hAnsi="Arial"/>
          <w:sz w:val="19"/>
          <w:szCs w:val="19"/>
          <w:color w:val="auto"/>
        </w:rPr>
        <w:t>commented Dr. Steve Cutler, Chief Executive Officer, ICON plc.</w:t>
      </w:r>
      <w:r>
        <w:rPr>
          <w:rFonts w:ascii="Arial" w:cs="Arial" w:eastAsia="Arial" w:hAnsi="Arial"/>
          <w:sz w:val="19"/>
          <w:szCs w:val="19"/>
          <w:i w:val="1"/>
          <w:iCs w:val="1"/>
          <w:color w:val="auto"/>
        </w:rPr>
        <w:t xml:space="preserve"> “The acquisition of Mapi extends the breadth and depth of ICON’s late phase capabilities, creating an industry leading provider of post-approval research, spanning evidence generation, strategic regulatory services, scientific communications and commercial strategy. Our customers will also benefit from ICON’s access to the industry’s broadest set of COA tools and instruments as well as new and enhanced real world data sets. Mapi has been a pioneer of late phase and outcomes research since their foundation and we are delighted to welcome their team of experts to ICON.”</w:t>
      </w:r>
    </w:p>
    <w:p>
      <w:pPr>
        <w:spacing w:after="0" w:line="153" w:lineRule="exact"/>
        <w:rPr>
          <w:sz w:val="20"/>
          <w:szCs w:val="20"/>
          <w:color w:val="auto"/>
        </w:rPr>
      </w:pPr>
    </w:p>
    <w:p>
      <w:pPr>
        <w:ind w:right="100"/>
        <w:spacing w:after="0" w:line="249" w:lineRule="auto"/>
        <w:rPr>
          <w:sz w:val="20"/>
          <w:szCs w:val="20"/>
          <w:color w:val="auto"/>
        </w:rPr>
      </w:pPr>
      <w:r>
        <w:rPr>
          <w:rFonts w:ascii="Arial" w:cs="Arial" w:eastAsia="Arial" w:hAnsi="Arial"/>
          <w:sz w:val="21"/>
          <w:szCs w:val="21"/>
          <w:i w:val="1"/>
          <w:iCs w:val="1"/>
          <w:color w:val="auto"/>
        </w:rPr>
        <w:t xml:space="preserve">“By combining with ICON, our customers will have access to a broader global footprint, additional depth of experience, new scientific communication services and access to innovative solutions to capture real world data from patients," </w:t>
      </w:r>
      <w:r>
        <w:rPr>
          <w:rFonts w:ascii="Arial" w:cs="Arial" w:eastAsia="Arial" w:hAnsi="Arial"/>
          <w:sz w:val="21"/>
          <w:szCs w:val="21"/>
          <w:color w:val="auto"/>
        </w:rPr>
        <w:t>commented James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Karis, CEO of Mapi Group. </w:t>
      </w:r>
      <w:r>
        <w:rPr>
          <w:rFonts w:ascii="Arial" w:cs="Arial" w:eastAsia="Arial" w:hAnsi="Arial"/>
          <w:sz w:val="21"/>
          <w:szCs w:val="21"/>
          <w:i w:val="1"/>
          <w:iCs w:val="1"/>
          <w:color w:val="auto"/>
        </w:rPr>
        <w:t>“In addition, our customers will have access to a wide range of global clinical services, spanning all</w:t>
      </w:r>
      <w:r>
        <w:rPr>
          <w:rFonts w:ascii="Arial" w:cs="Arial" w:eastAsia="Arial" w:hAnsi="Arial"/>
          <w:sz w:val="21"/>
          <w:szCs w:val="21"/>
          <w:color w:val="auto"/>
        </w:rPr>
        <w:t xml:space="preserve"> </w:t>
      </w:r>
      <w:r>
        <w:rPr>
          <w:rFonts w:ascii="Arial" w:cs="Arial" w:eastAsia="Arial" w:hAnsi="Arial"/>
          <w:sz w:val="21"/>
          <w:szCs w:val="21"/>
          <w:i w:val="1"/>
          <w:iCs w:val="1"/>
          <w:color w:val="auto"/>
        </w:rPr>
        <w:t>phases of development. Mapi and ICON are an ideal combination, having complimentary services and a shared mission to provide superior research solutions that help improve the lives of patients globally."</w:t>
      </w:r>
    </w:p>
    <w:p>
      <w:pPr>
        <w:spacing w:after="0" w:line="179" w:lineRule="exact"/>
        <w:rPr>
          <w:sz w:val="20"/>
          <w:szCs w:val="20"/>
          <w:color w:val="auto"/>
        </w:rPr>
      </w:pPr>
    </w:p>
    <w:p>
      <w:pPr>
        <w:jc w:val="both"/>
        <w:ind w:right="480"/>
        <w:spacing w:after="0"/>
        <w:rPr>
          <w:sz w:val="20"/>
          <w:szCs w:val="20"/>
          <w:color w:val="auto"/>
        </w:rPr>
      </w:pPr>
      <w:r>
        <w:rPr>
          <w:rFonts w:ascii="Arial" w:cs="Arial" w:eastAsia="Arial" w:hAnsi="Arial"/>
          <w:sz w:val="22"/>
          <w:szCs w:val="22"/>
          <w:i w:val="1"/>
          <w:iCs w:val="1"/>
          <w:color w:val="auto"/>
        </w:rPr>
        <w:t xml:space="preserve">“I am delighted that Mapi will become part of ICON, a company that has a similar culture and vision that will enable Mapi to continue the focus on innovation that we have developed over the last forty-three years,” </w:t>
      </w:r>
      <w:r>
        <w:rPr>
          <w:rFonts w:ascii="Arial" w:cs="Arial" w:eastAsia="Arial" w:hAnsi="Arial"/>
          <w:sz w:val="22"/>
          <w:szCs w:val="22"/>
          <w:color w:val="auto"/>
        </w:rPr>
        <w:t>commented Bernard Jambon, Mapi’s</w:t>
      </w:r>
      <w:r>
        <w:rPr>
          <w:rFonts w:ascii="Arial" w:cs="Arial" w:eastAsia="Arial" w:hAnsi="Arial"/>
          <w:sz w:val="22"/>
          <w:szCs w:val="22"/>
          <w:i w:val="1"/>
          <w:iCs w:val="1"/>
          <w:color w:val="auto"/>
        </w:rPr>
        <w:t xml:space="preserve"> </w:t>
      </w:r>
      <w:r>
        <w:rPr>
          <w:rFonts w:ascii="Arial" w:cs="Arial" w:eastAsia="Arial" w:hAnsi="Arial"/>
          <w:sz w:val="22"/>
          <w:szCs w:val="22"/>
          <w:color w:val="auto"/>
        </w:rPr>
        <w:t>founder and Chairman of the Board of Directors.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Mapi Group</w:t>
      </w:r>
    </w:p>
    <w:p>
      <w:pPr>
        <w:spacing w:after="0" w:line="212" w:lineRule="exact"/>
        <w:rPr>
          <w:sz w:val="20"/>
          <w:szCs w:val="20"/>
          <w:color w:val="auto"/>
        </w:rPr>
      </w:pPr>
    </w:p>
    <w:p>
      <w:pPr>
        <w:ind w:right="260"/>
        <w:spacing w:after="0" w:line="236" w:lineRule="auto"/>
        <w:rPr>
          <w:sz w:val="20"/>
          <w:szCs w:val="20"/>
          <w:color w:val="auto"/>
        </w:rPr>
      </w:pPr>
      <w:r>
        <w:rPr>
          <w:rFonts w:ascii="Arial" w:cs="Arial" w:eastAsia="Arial" w:hAnsi="Arial"/>
          <w:sz w:val="22"/>
          <w:szCs w:val="22"/>
          <w:color w:val="auto"/>
        </w:rPr>
        <w:t xml:space="preserve">Mapi Group has over 40 years of experience supporting Life-Science companies as the world leading Patient-Centered Research company in commercializing novel treatments through Real-World Evidence, Strategic Regulatory Services, Pharmacovigilance, Market Access, Language Services. Mapi Group is the premier provider of Health Research and Commercialization services to Life-Science companies enabling Market Authorization, Market Access and Market Adoption of novel therapeutics. Visit </w:t>
      </w:r>
      <w:r>
        <w:rPr>
          <w:rFonts w:ascii="Arial" w:cs="Arial" w:eastAsia="Arial" w:hAnsi="Arial"/>
          <w:sz w:val="22"/>
          <w:szCs w:val="22"/>
          <w:u w:val="single" w:color="auto"/>
          <w:color w:val="auto"/>
        </w:rPr>
        <w:t>http://www.mapigroup.com</w:t>
      </w:r>
      <w:r>
        <w:rPr>
          <w:rFonts w:ascii="Arial" w:cs="Arial" w:eastAsia="Arial" w:hAnsi="Arial"/>
          <w:sz w:val="22"/>
          <w:szCs w:val="22"/>
          <w:color w:val="auto"/>
        </w:rPr>
        <w:t xml:space="preserve"> for 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120015</wp:posOffset>
            </wp:positionV>
            <wp:extent cx="7272020"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9690"/>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About ICON plc</w:t>
      </w:r>
    </w:p>
    <w:p>
      <w:pPr>
        <w:spacing w:after="0" w:line="213" w:lineRule="exact"/>
        <w:rPr>
          <w:sz w:val="20"/>
          <w:szCs w:val="20"/>
          <w:color w:val="auto"/>
        </w:rPr>
      </w:pPr>
    </w:p>
    <w:p>
      <w:pPr>
        <w:spacing w:after="0" w:line="252" w:lineRule="auto"/>
        <w:rPr>
          <w:sz w:val="20"/>
          <w:szCs w:val="20"/>
          <w:color w:val="auto"/>
        </w:rPr>
      </w:pPr>
      <w:r>
        <w:rPr>
          <w:rFonts w:ascii="Arial" w:cs="Arial" w:eastAsia="Arial" w:hAnsi="Arial"/>
          <w:sz w:val="21"/>
          <w:szCs w:val="21"/>
          <w:color w:val="auto"/>
        </w:rPr>
        <w:t>ICON plc is a global provider of drug development solutions and services to the pharmaceutical, biotechnology and medical device industries. The company specialises in the strategic development, management and analysis of programs that support clinical development - from compound selection to Phase I-IV clinical studies. With headquarters in Dublin, Ireland, ICON currently, operates from 84 locations in 38 countries and has approximately 12,300 employees.</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Further information is available at </w:t>
      </w:r>
      <w:r>
        <w:rPr>
          <w:rFonts w:ascii="Arial" w:cs="Arial" w:eastAsia="Arial" w:hAnsi="Arial"/>
          <w:sz w:val="22"/>
          <w:szCs w:val="22"/>
          <w:u w:val="single" w:color="auto"/>
          <w:color w:val="auto"/>
        </w:rPr>
        <w:t>www.iconplc.com</w:t>
      </w:r>
    </w:p>
    <w:p>
      <w:pPr>
        <w:spacing w:after="0" w:line="206" w:lineRule="exact"/>
        <w:rPr>
          <w:sz w:val="20"/>
          <w:szCs w:val="20"/>
          <w:color w:val="auto"/>
        </w:rPr>
      </w:pPr>
    </w:p>
    <w:p>
      <w:pPr>
        <w:ind w:right="20"/>
        <w:spacing w:after="0" w:line="271" w:lineRule="auto"/>
        <w:rPr>
          <w:sz w:val="20"/>
          <w:szCs w:val="20"/>
          <w:color w:val="auto"/>
        </w:rPr>
      </w:pPr>
      <w:r>
        <w:rPr>
          <w:rFonts w:ascii="Arial" w:cs="Arial" w:eastAsia="Arial" w:hAnsi="Arial"/>
          <w:sz w:val="19"/>
          <w:szCs w:val="19"/>
          <w:i w:val="1"/>
          <w:iCs w:val="1"/>
          <w:color w:val="auto"/>
        </w:rPr>
        <w:t xml:space="preserve">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as well as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S-8 and F-3, which are available on the SEC's website at </w:t>
      </w:r>
      <w:r>
        <w:rPr>
          <w:rFonts w:ascii="Arial" w:cs="Arial" w:eastAsia="Arial" w:hAnsi="Arial"/>
          <w:sz w:val="19"/>
          <w:szCs w:val="19"/>
          <w:i w:val="1"/>
          <w:iCs w:val="1"/>
          <w:u w:val="single" w:color="auto"/>
          <w:color w:val="auto"/>
        </w:rPr>
        <w:t>http://www.sec.gov.</w:t>
      </w:r>
    </w:p>
    <w:p>
      <w:pPr>
        <w:spacing w:after="0" w:line="165" w:lineRule="exact"/>
        <w:rPr>
          <w:sz w:val="20"/>
          <w:szCs w:val="20"/>
          <w:color w:val="auto"/>
        </w:rPr>
      </w:pPr>
    </w:p>
    <w:p>
      <w:pPr>
        <w:spacing w:after="0"/>
        <w:rPr>
          <w:sz w:val="20"/>
          <w:szCs w:val="20"/>
          <w:color w:val="auto"/>
        </w:rPr>
      </w:pPr>
      <w:r>
        <w:rPr>
          <w:rFonts w:ascii="Arial" w:cs="Arial" w:eastAsia="Arial" w:hAnsi="Arial"/>
          <w:sz w:val="22"/>
          <w:szCs w:val="22"/>
          <w:color w:val="auto"/>
        </w:rPr>
        <w:t>ICON/ICLR-F</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Investor Relations, 1-888-381-7923</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Brendan Brennan, + 353 1 291 2000</w:t>
      </w:r>
    </w:p>
    <w:p>
      <w:pPr>
        <w:spacing w:after="0" w:line="231" w:lineRule="auto"/>
        <w:rPr>
          <w:sz w:val="20"/>
          <w:szCs w:val="20"/>
          <w:color w:val="auto"/>
        </w:rPr>
      </w:pPr>
      <w:r>
        <w:rPr>
          <w:rFonts w:ascii="Arial" w:cs="Arial" w:eastAsia="Arial" w:hAnsi="Arial"/>
          <w:sz w:val="22"/>
          <w:szCs w:val="22"/>
          <w:color w:val="auto"/>
        </w:rPr>
        <w:t>Chief Financial Officer</w:t>
      </w:r>
    </w:p>
    <w:p>
      <w:pPr>
        <w:spacing w:after="0" w:line="230" w:lineRule="auto"/>
        <w:rPr>
          <w:sz w:val="20"/>
          <w:szCs w:val="20"/>
          <w:color w:val="auto"/>
        </w:rPr>
      </w:pPr>
      <w:r>
        <w:rPr>
          <w:rFonts w:ascii="Arial" w:cs="Arial" w:eastAsia="Arial" w:hAnsi="Arial"/>
          <w:sz w:val="22"/>
          <w:szCs w:val="22"/>
          <w:color w:val="auto"/>
        </w:rPr>
        <w:t>or</w:t>
      </w:r>
    </w:p>
    <w:p>
      <w:pPr>
        <w:spacing w:after="0" w:line="231" w:lineRule="auto"/>
        <w:rPr>
          <w:sz w:val="20"/>
          <w:szCs w:val="20"/>
          <w:color w:val="auto"/>
        </w:rPr>
      </w:pPr>
      <w:r>
        <w:rPr>
          <w:rFonts w:ascii="Arial" w:cs="Arial" w:eastAsia="Arial" w:hAnsi="Arial"/>
          <w:sz w:val="22"/>
          <w:szCs w:val="22"/>
          <w:color w:val="auto"/>
        </w:rPr>
        <w:t>Jonathan Curtain, +1-215-616-3000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Vice President Corporate Finance &amp; Investor Relations</w:t>
      </w:r>
    </w:p>
    <w:sectPr>
      <w:pgSz w:w="11900" w:h="16838" w:orient="portrait"/>
      <w:cols w:equalWidth="0" w:num="1">
        <w:col w:w="11360"/>
      </w:cols>
      <w:pgMar w:left="240" w:top="112"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2019-12-06T09:04:20Z</dcterms:created>
  <dcterms:modified xsi:type="dcterms:W3CDTF">2019-12-06T09:04:20Z</dcterms:modified>
</cp:coreProperties>
</file>