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(Amendment No. 8)*</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ICON PLC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(Name of Issuer)</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Common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G4705A100</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(CUSIP Number)</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December 31, 2022</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660" w:right="8960" w:hanging="4"/>
        <w:spacing w:after="0" w:line="456" w:lineRule="auto"/>
        <w:tabs>
          <w:tab w:leader="none" w:pos="1068"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[_] Rule 13d-1(c)</w:t>
      </w: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[_] Rule 13d-1(d)</w:t>
      </w:r>
    </w:p>
    <w:p>
      <w:pPr>
        <w:spacing w:after="0" w:line="20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3"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Times New Roman" w:cs="Times New Roman" w:eastAsia="Times New Roman" w:hAnsi="Times New Roman"/>
          <w:sz w:val="22"/>
          <w:szCs w:val="22"/>
          <w:i w:val="1"/>
          <w:iCs w:val="1"/>
          <w:color w:val="auto"/>
        </w:rPr>
        <w:t>Notes</w:t>
      </w:r>
      <w:r>
        <w:rPr>
          <w:rFonts w:ascii="Times New Roman" w:cs="Times New Roman" w:eastAsia="Times New Roman" w:hAnsi="Times New Roman"/>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57"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7"/>
        </w:trPr>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80" w:type="dxa"/>
            <w:vAlign w:val="bottom"/>
          </w:tcPr>
          <w:p>
            <w:pPr>
              <w:jc w:val="center"/>
              <w:ind w:right="3632"/>
              <w:spacing w:after="0"/>
              <w:rPr>
                <w:sz w:val="20"/>
                <w:szCs w:val="20"/>
                <w:color w:val="auto"/>
              </w:rPr>
            </w:pPr>
            <w:r>
              <w:rPr>
                <w:rFonts w:ascii="Times New Roman" w:cs="Times New Roman" w:eastAsia="Times New Roman" w:hAnsi="Times New Roman"/>
                <w:sz w:val="22"/>
                <w:szCs w:val="22"/>
                <w:b w:val="1"/>
                <w:bCs w:val="1"/>
                <w:color w:val="auto"/>
                <w:w w:val="97"/>
              </w:rPr>
              <w:t>SCHEDULE 13G</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560" w:type="dxa"/>
            <w:vAlign w:val="bottom"/>
            <w:gridSpan w:val="2"/>
          </w:tcPr>
          <w:p>
            <w:pPr>
              <w:spacing w:after="0"/>
              <w:rPr>
                <w:sz w:val="17"/>
                <w:szCs w:val="17"/>
                <w:color w:val="auto"/>
              </w:rPr>
            </w:pPr>
          </w:p>
        </w:tc>
        <w:tc>
          <w:tcPr>
            <w:tcW w:w="1480" w:type="dxa"/>
            <w:vAlign w:val="bottom"/>
          </w:tcPr>
          <w:p>
            <w:pPr>
              <w:spacing w:after="0"/>
              <w:rPr>
                <w:sz w:val="17"/>
                <w:szCs w:val="17"/>
                <w:color w:val="auto"/>
              </w:rPr>
            </w:pPr>
          </w:p>
        </w:tc>
        <w:tc>
          <w:tcPr>
            <w:tcW w:w="7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60" w:type="dxa"/>
            <w:vAlign w:val="bottom"/>
            <w:tcBorders>
              <w:top w:val="single" w:sz="8" w:color="auto"/>
              <w:lef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CUSIP No.</w:t>
            </w:r>
          </w:p>
        </w:tc>
        <w:tc>
          <w:tcPr>
            <w:tcW w:w="2400" w:type="dxa"/>
            <w:vAlign w:val="bottom"/>
            <w:tcBorders>
              <w:top w:val="single" w:sz="8" w:color="auto"/>
              <w:right w:val="single" w:sz="8" w:color="auto"/>
            </w:tcBorders>
            <w:gridSpan w:val="6"/>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w w:val="99"/>
              </w:rPr>
              <w:t>G4705A100</w:t>
            </w:r>
          </w:p>
        </w:tc>
        <w:tc>
          <w:tcPr>
            <w:tcW w:w="7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1360" w:type="dxa"/>
            <w:vAlign w:val="bottom"/>
            <w:tcBorders>
              <w:left w:val="single" w:sz="8" w:color="auto"/>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74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660" w:type="dxa"/>
            <w:vAlign w:val="bottom"/>
            <w:tcBorders>
              <w:bottom w:val="single" w:sz="8" w:color="auto"/>
            </w:tcBorders>
            <w:gridSpan w:val="5"/>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6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36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660" w:type="dxa"/>
            <w:vAlign w:val="bottom"/>
            <w:tcBorders>
              <w:bottom w:val="single" w:sz="8" w:color="auto"/>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WCM Investment Management, LLC</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w:t>
            </w:r>
          </w:p>
        </w:tc>
        <w:tc>
          <w:tcPr>
            <w:tcW w:w="1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6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360" w:type="dxa"/>
            <w:vAlign w:val="bottom"/>
            <w:tcBorders>
              <w:lef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w:t>
            </w:r>
          </w:p>
        </w:tc>
        <w:tc>
          <w:tcPr>
            <w:tcW w:w="1580" w:type="dxa"/>
            <w:vAlign w:val="bottom"/>
            <w:gridSpan w:val="2"/>
          </w:tcPr>
          <w:p>
            <w:pPr>
              <w:jc w:val="right"/>
              <w:ind w:right="1270"/>
              <w:spacing w:after="0"/>
              <w:rPr>
                <w:sz w:val="20"/>
                <w:szCs w:val="20"/>
                <w:color w:val="auto"/>
              </w:rPr>
            </w:pPr>
            <w:r>
              <w:rPr>
                <w:rFonts w:ascii="Times New Roman" w:cs="Times New Roman" w:eastAsia="Times New Roman" w:hAnsi="Times New Roman"/>
                <w:sz w:val="18"/>
                <w:szCs w:val="18"/>
                <w:color w:val="auto"/>
              </w:rPr>
              <w:t>[ ]</w:t>
            </w:r>
          </w:p>
        </w:tc>
        <w:tc>
          <w:tcPr>
            <w:tcW w:w="74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6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(b)</w:t>
            </w:r>
          </w:p>
        </w:tc>
        <w:tc>
          <w:tcPr>
            <w:tcW w:w="1580" w:type="dxa"/>
            <w:vAlign w:val="bottom"/>
            <w:tcBorders>
              <w:bottom w:val="single" w:sz="8" w:color="auto"/>
            </w:tcBorders>
            <w:gridSpan w:val="2"/>
          </w:tcPr>
          <w:p>
            <w:pPr>
              <w:jc w:val="right"/>
              <w:ind w:right="1270"/>
              <w:spacing w:after="0"/>
              <w:rPr>
                <w:sz w:val="20"/>
                <w:szCs w:val="20"/>
                <w:color w:val="auto"/>
              </w:rPr>
            </w:pPr>
            <w:r>
              <w:rPr>
                <w:rFonts w:ascii="Times New Roman" w:cs="Times New Roman" w:eastAsia="Times New Roman" w:hAnsi="Times New Roman"/>
                <w:sz w:val="18"/>
                <w:szCs w:val="18"/>
                <w:color w:val="auto"/>
              </w:rPr>
              <w:t>[ ]</w:t>
            </w:r>
          </w:p>
        </w:tc>
        <w:tc>
          <w:tcPr>
            <w:tcW w:w="748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3</w:t>
            </w:r>
          </w:p>
        </w:tc>
        <w:tc>
          <w:tcPr>
            <w:tcW w:w="1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6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36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660" w:type="dxa"/>
            <w:vAlign w:val="bottom"/>
            <w:tcBorders>
              <w:bottom w:val="single" w:sz="8" w:color="auto"/>
              <w:right w:val="single" w:sz="8" w:color="auto"/>
            </w:tcBorders>
            <w:gridSpan w:val="5"/>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4</w:t>
            </w:r>
          </w:p>
        </w:tc>
        <w:tc>
          <w:tcPr>
            <w:tcW w:w="1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6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36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660" w:type="dxa"/>
            <w:vAlign w:val="bottom"/>
            <w:tcBorders>
              <w:bottom w:val="single" w:sz="8" w:color="auto"/>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360" w:type="dxa"/>
            <w:vAlign w:val="bottom"/>
            <w:tcBorders>
              <w:lef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100" w:type="dxa"/>
            <w:vAlign w:val="bottom"/>
            <w:tcBorders>
              <w:right w:val="single" w:sz="8" w:color="auto"/>
            </w:tcBorders>
          </w:tcPr>
          <w:p>
            <w:pPr>
              <w:spacing w:after="0"/>
              <w:rPr>
                <w:sz w:val="20"/>
                <w:szCs w:val="20"/>
                <w:color w:val="auto"/>
              </w:rPr>
            </w:pPr>
          </w:p>
        </w:tc>
        <w:tc>
          <w:tcPr>
            <w:tcW w:w="89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360" w:type="dxa"/>
            <w:vAlign w:val="bottom"/>
            <w:tcBorders>
              <w:left w:val="single" w:sz="8" w:color="auto"/>
            </w:tcBorders>
            <w:vMerge w:val="restart"/>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5,885,414</w:t>
            </w:r>
          </w:p>
        </w:tc>
        <w:tc>
          <w:tcPr>
            <w:tcW w:w="748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360" w:type="dxa"/>
            <w:vAlign w:val="bottom"/>
            <w:tcBorders>
              <w:left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6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88"/>
              </w:rPr>
              <w:t>6</w:t>
            </w:r>
          </w:p>
        </w:tc>
        <w:tc>
          <w:tcPr>
            <w:tcW w:w="100" w:type="dxa"/>
            <w:vAlign w:val="bottom"/>
            <w:tcBorders>
              <w:right w:val="single" w:sz="8" w:color="auto"/>
            </w:tcBorders>
          </w:tcPr>
          <w:p>
            <w:pPr>
              <w:spacing w:after="0"/>
              <w:rPr>
                <w:sz w:val="16"/>
                <w:szCs w:val="16"/>
                <w:color w:val="auto"/>
              </w:rPr>
            </w:pPr>
          </w:p>
        </w:tc>
        <w:tc>
          <w:tcPr>
            <w:tcW w:w="8960" w:type="dxa"/>
            <w:vAlign w:val="bottom"/>
            <w:tcBorders>
              <w:right w:val="single" w:sz="8" w:color="auto"/>
            </w:tcBorders>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74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60" w:type="dxa"/>
            <w:vAlign w:val="bottom"/>
            <w:tcBorders>
              <w:left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48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580" w:type="dxa"/>
            <w:vAlign w:val="bottom"/>
            <w:tcBorders>
              <w:left w:val="single" w:sz="8" w:color="auto"/>
            </w:tcBorders>
            <w:gridSpan w:val="3"/>
          </w:tcPr>
          <w:p>
            <w:pPr>
              <w:jc w:val="center"/>
              <w:ind w:left="70"/>
              <w:spacing w:after="0" w:line="174"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40" w:type="dxa"/>
            <w:vAlign w:val="bottom"/>
            <w:tcBorders>
              <w:right w:val="single" w:sz="8" w:color="auto"/>
            </w:tcBorders>
          </w:tcPr>
          <w:p>
            <w:pPr>
              <w:spacing w:after="0"/>
              <w:rPr>
                <w:sz w:val="15"/>
                <w:szCs w:val="15"/>
                <w:color w:val="auto"/>
              </w:rPr>
            </w:pPr>
          </w:p>
        </w:tc>
        <w:tc>
          <w:tcPr>
            <w:tcW w:w="460" w:type="dxa"/>
            <w:vAlign w:val="bottom"/>
          </w:tcPr>
          <w:p>
            <w:pPr>
              <w:jc w:val="center"/>
              <w:ind w:right="90"/>
              <w:spacing w:after="0" w:line="174" w:lineRule="exact"/>
              <w:rPr>
                <w:sz w:val="20"/>
                <w:szCs w:val="20"/>
                <w:color w:val="auto"/>
              </w:rPr>
            </w:pPr>
            <w:r>
              <w:rPr>
                <w:rFonts w:ascii="Times New Roman" w:cs="Times New Roman" w:eastAsia="Times New Roman" w:hAnsi="Times New Roman"/>
                <w:sz w:val="18"/>
                <w:szCs w:val="18"/>
                <w:b w:val="1"/>
                <w:bCs w:val="1"/>
                <w:color w:val="auto"/>
                <w:w w:val="88"/>
              </w:rPr>
              <w:t>7</w:t>
            </w:r>
          </w:p>
        </w:tc>
        <w:tc>
          <w:tcPr>
            <w:tcW w:w="100" w:type="dxa"/>
            <w:vAlign w:val="bottom"/>
            <w:tcBorders>
              <w:right w:val="single" w:sz="8" w:color="auto"/>
            </w:tcBorders>
          </w:tcPr>
          <w:p>
            <w:pPr>
              <w:spacing w:after="0"/>
              <w:rPr>
                <w:sz w:val="15"/>
                <w:szCs w:val="15"/>
                <w:color w:val="auto"/>
              </w:rPr>
            </w:pPr>
          </w:p>
        </w:tc>
        <w:tc>
          <w:tcPr>
            <w:tcW w:w="8960" w:type="dxa"/>
            <w:vAlign w:val="bottom"/>
            <w:tcBorders>
              <w:right w:val="single" w:sz="8" w:color="auto"/>
            </w:tcBorders>
            <w:gridSpan w:val="2"/>
          </w:tcPr>
          <w:p>
            <w:pPr>
              <w:ind w:left="100"/>
              <w:spacing w:after="0" w:line="174"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Borders>
              <w:lef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14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74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360" w:type="dxa"/>
            <w:vAlign w:val="bottom"/>
            <w:tcBorders>
              <w:left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5,885,414</w:t>
            </w:r>
          </w:p>
        </w:tc>
        <w:tc>
          <w:tcPr>
            <w:tcW w:w="7480" w:type="dxa"/>
            <w:vAlign w:val="bottom"/>
            <w:tcBorders>
              <w:bottom w:val="single" w:sz="8" w:color="auto"/>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360" w:type="dxa"/>
            <w:vAlign w:val="bottom"/>
            <w:tcBorders>
              <w:lef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100" w:type="dxa"/>
            <w:vAlign w:val="bottom"/>
            <w:tcBorders>
              <w:right w:val="single" w:sz="8" w:color="auto"/>
            </w:tcBorders>
          </w:tcPr>
          <w:p>
            <w:pPr>
              <w:spacing w:after="0"/>
              <w:rPr>
                <w:sz w:val="20"/>
                <w:szCs w:val="20"/>
                <w:color w:val="auto"/>
              </w:rPr>
            </w:pPr>
          </w:p>
        </w:tc>
        <w:tc>
          <w:tcPr>
            <w:tcW w:w="89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36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48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9</w:t>
            </w:r>
          </w:p>
        </w:tc>
        <w:tc>
          <w:tcPr>
            <w:tcW w:w="1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w w:val="75"/>
              </w:rPr>
              <w:t>Aggregate</w:t>
            </w:r>
          </w:p>
        </w:tc>
        <w:tc>
          <w:tcPr>
            <w:tcW w:w="896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Amount Beneficially Owned by Each Reporting Person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36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5,885,414</w:t>
            </w:r>
          </w:p>
        </w:tc>
        <w:tc>
          <w:tcPr>
            <w:tcW w:w="748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10</w:t>
            </w:r>
          </w:p>
        </w:tc>
        <w:tc>
          <w:tcPr>
            <w:tcW w:w="1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6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(9) excludes certain shares (See Instructions)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36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748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11</w:t>
            </w:r>
          </w:p>
        </w:tc>
        <w:tc>
          <w:tcPr>
            <w:tcW w:w="1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6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36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748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12</w:t>
            </w:r>
          </w:p>
        </w:tc>
        <w:tc>
          <w:tcPr>
            <w:tcW w:w="1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6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36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IA</w:t>
            </w: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748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8"/>
        </w:trPr>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80" w:type="dxa"/>
            <w:vAlign w:val="bottom"/>
          </w:tcPr>
          <w:p>
            <w:pPr>
              <w:jc w:val="center"/>
              <w:ind w:right="3632"/>
              <w:spacing w:after="0"/>
              <w:rPr>
                <w:sz w:val="20"/>
                <w:szCs w:val="20"/>
                <w:color w:val="auto"/>
              </w:rPr>
            </w:pPr>
            <w:r>
              <w:rPr>
                <w:rFonts w:ascii="Times New Roman" w:cs="Times New Roman" w:eastAsia="Times New Roman" w:hAnsi="Times New Roman"/>
                <w:sz w:val="22"/>
                <w:szCs w:val="22"/>
                <w:color w:val="auto"/>
                <w:w w:val="98"/>
              </w:rPr>
              <w:t>Page 2 of 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1360" w:type="dxa"/>
            <w:vAlign w:val="bottom"/>
            <w:tcBorders>
              <w:left w:val="single" w:sz="8" w:color="auto"/>
            </w:tcBorders>
            <w:shd w:val="clear" w:color="auto" w:fill="000000"/>
          </w:tcPr>
          <w:p>
            <w:pPr>
              <w:spacing w:after="0"/>
              <w:rPr>
                <w:sz w:val="6"/>
                <w:szCs w:val="6"/>
                <w:color w:val="auto"/>
              </w:rPr>
            </w:pPr>
          </w:p>
        </w:tc>
        <w:tc>
          <w:tcPr>
            <w:tcW w:w="180" w:type="dxa"/>
            <w:vAlign w:val="bottom"/>
            <w:tcBorders>
              <w:right w:val="single" w:sz="8" w:color="auto"/>
            </w:tcBorders>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140" w:type="dxa"/>
            <w:vAlign w:val="bottom"/>
            <w:tcBorders>
              <w:right w:val="single" w:sz="8" w:color="auto"/>
            </w:tcBorders>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100" w:type="dxa"/>
            <w:vAlign w:val="bottom"/>
            <w:tcBorders>
              <w:right w:val="single" w:sz="8" w:color="auto"/>
            </w:tcBorders>
            <w:shd w:val="clear" w:color="auto" w:fill="000000"/>
          </w:tcPr>
          <w:p>
            <w:pPr>
              <w:spacing w:after="0"/>
              <w:rPr>
                <w:sz w:val="6"/>
                <w:szCs w:val="6"/>
                <w:color w:val="auto"/>
              </w:rPr>
            </w:pPr>
          </w:p>
        </w:tc>
        <w:tc>
          <w:tcPr>
            <w:tcW w:w="1480" w:type="dxa"/>
            <w:vAlign w:val="bottom"/>
            <w:tcBorders>
              <w:right w:val="single" w:sz="8" w:color="auto"/>
            </w:tcBorders>
            <w:shd w:val="clear" w:color="auto" w:fill="000000"/>
          </w:tcPr>
          <w:p>
            <w:pPr>
              <w:spacing w:after="0"/>
              <w:rPr>
                <w:sz w:val="6"/>
                <w:szCs w:val="6"/>
                <w:color w:val="auto"/>
              </w:rPr>
            </w:pPr>
          </w:p>
        </w:tc>
        <w:tc>
          <w:tcPr>
            <w:tcW w:w="7480" w:type="dxa"/>
            <w:vAlign w:val="bottom"/>
            <w:tcBorders>
              <w:right w:val="single" w:sz="8" w:color="auto"/>
            </w:tcBorders>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108"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207" w:lineRule="exact"/>
        <w:rPr>
          <w:sz w:val="20"/>
          <w:szCs w:val="20"/>
          <w:color w:val="auto"/>
        </w:rPr>
      </w:pPr>
    </w:p>
    <w:p>
      <w:pPr>
        <w:ind w:left="680" w:hanging="672"/>
        <w:spacing w:after="0"/>
        <w:tabs>
          <w:tab w:leader="none" w:pos="68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 ICON PLC</w:t>
      </w:r>
    </w:p>
    <w:p>
      <w:pPr>
        <w:spacing w:after="0" w:line="206" w:lineRule="exact"/>
        <w:rPr>
          <w:rFonts w:ascii="Times New Roman" w:cs="Times New Roman" w:eastAsia="Times New Roman" w:hAnsi="Times New Roman"/>
          <w:sz w:val="22"/>
          <w:szCs w:val="22"/>
          <w:b w:val="1"/>
          <w:bCs w:val="1"/>
          <w:color w:val="auto"/>
        </w:rPr>
      </w:pPr>
    </w:p>
    <w:p>
      <w:pPr>
        <w:ind w:firstLine="8"/>
        <w:spacing w:after="0" w:line="262" w:lineRule="auto"/>
        <w:tabs>
          <w:tab w:leader="none" w:pos="67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 SOUTH COUNTY BUSINESS PARK, LEOPARDSTOWN DUBLIN 18 IRELAND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80" w:hanging="672"/>
        <w:spacing w:after="0"/>
        <w:tabs>
          <w:tab w:leader="none" w:pos="6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 WCM Investment Management, LLC</w:t>
      </w:r>
    </w:p>
    <w:p>
      <w:pPr>
        <w:spacing w:after="0" w:line="206" w:lineRule="exact"/>
        <w:rPr>
          <w:rFonts w:ascii="Times New Roman" w:cs="Times New Roman" w:eastAsia="Times New Roman" w:hAnsi="Times New Roman"/>
          <w:sz w:val="22"/>
          <w:szCs w:val="22"/>
          <w:b w:val="1"/>
          <w:bCs w:val="1"/>
          <w:color w:val="auto"/>
        </w:rPr>
      </w:pPr>
    </w:p>
    <w:p>
      <w:pPr>
        <w:ind w:left="680" w:hanging="672"/>
        <w:spacing w:after="0"/>
        <w:tabs>
          <w:tab w:leader="none" w:pos="6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Principal Business Office or, if None, Residence: 281 Brooks Street, Laguna Beach, California 92651</w:t>
      </w:r>
    </w:p>
    <w:p>
      <w:pPr>
        <w:spacing w:after="0" w:line="206"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   Delaware</w:t>
      </w:r>
    </w:p>
    <w:p>
      <w:pPr>
        <w:spacing w:after="0" w:line="206" w:lineRule="exact"/>
        <w:rPr>
          <w:rFonts w:ascii="Times New Roman" w:cs="Times New Roman" w:eastAsia="Times New Roman" w:hAnsi="Times New Roman"/>
          <w:sz w:val="22"/>
          <w:szCs w:val="22"/>
          <w:b w:val="1"/>
          <w:bCs w:val="1"/>
          <w:color w:val="auto"/>
        </w:rPr>
      </w:pPr>
    </w:p>
    <w:p>
      <w:pPr>
        <w:ind w:left="680" w:hanging="672"/>
        <w:spacing w:after="0"/>
        <w:tabs>
          <w:tab w:leader="none" w:pos="6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Title and Class of Securities: Common</w:t>
      </w:r>
    </w:p>
    <w:p>
      <w:pPr>
        <w:spacing w:after="0" w:line="206"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CUSIP No.:    G4705A100</w:t>
      </w:r>
    </w:p>
    <w:p>
      <w:pPr>
        <w:spacing w:after="0" w:line="206" w:lineRule="exact"/>
        <w:rPr>
          <w:sz w:val="20"/>
          <w:szCs w:val="20"/>
          <w:color w:val="auto"/>
        </w:rPr>
      </w:pPr>
    </w:p>
    <w:p>
      <w:pPr>
        <w:ind w:left="980" w:hanging="971"/>
        <w:spacing w:after="0" w:line="262" w:lineRule="auto"/>
        <w:tabs>
          <w:tab w:leader="none" w:pos="960" w:val="left"/>
        </w:tabs>
        <w:rPr>
          <w:sz w:val="20"/>
          <w:szCs w:val="20"/>
          <w:color w:val="auto"/>
        </w:rPr>
      </w:pPr>
      <w:r>
        <w:rPr>
          <w:rFonts w:ascii="Times New Roman" w:cs="Times New Roman" w:eastAsia="Times New Roman" w:hAnsi="Times New Roman"/>
          <w:sz w:val="22"/>
          <w:szCs w:val="22"/>
          <w:b w:val="1"/>
          <w:bCs w:val="1"/>
          <w:color w:val="auto"/>
        </w:rPr>
        <w:t>Item 3.</w:t>
        <w:tab/>
        <w:t>If this statement is filed pursuant to §§ 240.13d-1(b) or 240.13d-2(b) or (c), check whether the person filing is a:</w:t>
      </w:r>
    </w:p>
    <w:p>
      <w:pPr>
        <w:spacing w:after="0" w:line="154" w:lineRule="exact"/>
        <w:rPr>
          <w:sz w:val="20"/>
          <w:szCs w:val="20"/>
          <w:color w:val="auto"/>
        </w:rPr>
      </w:pPr>
    </w:p>
    <w:p>
      <w:pPr>
        <w:ind w:left="1320" w:hanging="664"/>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w:t>
      </w:r>
      <w:r>
        <w:rPr>
          <w:rFonts w:ascii="Times New Roman" w:cs="Times New Roman" w:eastAsia="Times New Roman" w:hAnsi="Times New Roman"/>
          <w:sz w:val="21"/>
          <w:szCs w:val="21"/>
          <w:color w:val="auto"/>
        </w:rPr>
        <w:t>Broker or dealer registered under Section 15 of the Act;</w:t>
      </w:r>
    </w:p>
    <w:p>
      <w:pPr>
        <w:spacing w:after="0" w:line="206"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w:t>
      </w:r>
      <w:r>
        <w:rPr>
          <w:rFonts w:ascii="Times New Roman" w:cs="Times New Roman" w:eastAsia="Times New Roman" w:hAnsi="Times New Roman"/>
          <w:sz w:val="21"/>
          <w:szCs w:val="21"/>
          <w:color w:val="auto"/>
        </w:rPr>
        <w:t>Bank as defined in Section 3(a)(6) of the Act;</w:t>
      </w:r>
    </w:p>
    <w:p>
      <w:pPr>
        <w:spacing w:after="0" w:line="206" w:lineRule="exact"/>
        <w:rPr>
          <w:rFonts w:ascii="Times New Roman" w:cs="Times New Roman" w:eastAsia="Times New Roman" w:hAnsi="Times New Roman"/>
          <w:sz w:val="22"/>
          <w:szCs w:val="22"/>
          <w:color w:val="auto"/>
        </w:rPr>
      </w:pPr>
    </w:p>
    <w:p>
      <w:pPr>
        <w:ind w:left="1320" w:hanging="664"/>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w:t>
      </w:r>
      <w:r>
        <w:rPr>
          <w:rFonts w:ascii="Times New Roman" w:cs="Times New Roman" w:eastAsia="Times New Roman" w:hAnsi="Times New Roman"/>
          <w:sz w:val="21"/>
          <w:szCs w:val="21"/>
          <w:color w:val="auto"/>
        </w:rPr>
        <w:t>Insurance company as defined in Section 3(a)(19) of the Act;</w:t>
      </w:r>
    </w:p>
    <w:p>
      <w:pPr>
        <w:spacing w:after="0" w:line="206"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w:t>
      </w:r>
      <w:r>
        <w:rPr>
          <w:rFonts w:ascii="Times New Roman" w:cs="Times New Roman" w:eastAsia="Times New Roman" w:hAnsi="Times New Roman"/>
          <w:sz w:val="21"/>
          <w:szCs w:val="21"/>
          <w:color w:val="auto"/>
        </w:rPr>
        <w:t>Investment company registered under Section 8 of the Investment Company Act of 1940;</w:t>
      </w:r>
    </w:p>
    <w:p>
      <w:pPr>
        <w:spacing w:after="0" w:line="206" w:lineRule="exact"/>
        <w:rPr>
          <w:rFonts w:ascii="Times New Roman" w:cs="Times New Roman" w:eastAsia="Times New Roman" w:hAnsi="Times New Roman"/>
          <w:sz w:val="22"/>
          <w:szCs w:val="22"/>
          <w:color w:val="auto"/>
        </w:rPr>
      </w:pPr>
    </w:p>
    <w:p>
      <w:pPr>
        <w:ind w:left="1320" w:hanging="664"/>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w:t>
      </w:r>
      <w:r>
        <w:rPr>
          <w:rFonts w:ascii="Times New Roman" w:cs="Times New Roman" w:eastAsia="Times New Roman" w:hAnsi="Times New Roman"/>
          <w:sz w:val="21"/>
          <w:szCs w:val="21"/>
          <w:color w:val="auto"/>
        </w:rPr>
        <w:t>An investment adviser in accordance with Rule 13d-1(b)(1)(ii)(E);</w:t>
      </w:r>
    </w:p>
    <w:p>
      <w:pPr>
        <w:spacing w:after="0" w:line="206" w:lineRule="exact"/>
        <w:rPr>
          <w:rFonts w:ascii="Times New Roman" w:cs="Times New Roman" w:eastAsia="Times New Roman" w:hAnsi="Times New Roman"/>
          <w:sz w:val="22"/>
          <w:szCs w:val="22"/>
          <w:color w:val="auto"/>
        </w:rPr>
      </w:pPr>
    </w:p>
    <w:p>
      <w:pPr>
        <w:ind w:left="1320" w:hanging="664"/>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w:t>
      </w:r>
      <w:r>
        <w:rPr>
          <w:rFonts w:ascii="Times New Roman" w:cs="Times New Roman" w:eastAsia="Times New Roman" w:hAnsi="Times New Roman"/>
          <w:sz w:val="21"/>
          <w:szCs w:val="21"/>
          <w:color w:val="auto"/>
        </w:rPr>
        <w:t>An employee benefit plan or endowment fund in accordance with Rule 13d-1(b)(1)(ii)(F);</w:t>
      </w:r>
    </w:p>
    <w:p>
      <w:pPr>
        <w:spacing w:after="0" w:line="206"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w:t>
      </w:r>
      <w:r>
        <w:rPr>
          <w:rFonts w:ascii="Times New Roman" w:cs="Times New Roman" w:eastAsia="Times New Roman" w:hAnsi="Times New Roman"/>
          <w:sz w:val="21"/>
          <w:szCs w:val="21"/>
          <w:color w:val="auto"/>
        </w:rPr>
        <w:t>A parent holding company or control person in accordance with Rule 13d-1(b)(1)(ii)(G);</w:t>
      </w:r>
    </w:p>
    <w:p>
      <w:pPr>
        <w:spacing w:after="0" w:line="206"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w:t>
      </w: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6" w:lineRule="exact"/>
        <w:rPr>
          <w:rFonts w:ascii="Times New Roman" w:cs="Times New Roman" w:eastAsia="Times New Roman" w:hAnsi="Times New Roman"/>
          <w:sz w:val="22"/>
          <w:szCs w:val="22"/>
          <w:color w:val="auto"/>
        </w:rPr>
      </w:pPr>
    </w:p>
    <w:p>
      <w:pPr>
        <w:ind w:left="1960" w:hanging="1304"/>
        <w:spacing w:after="0" w:line="258" w:lineRule="auto"/>
        <w:tabs>
          <w:tab w:leader="none" w:pos="132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[_]A church plan that is excluded from the definition of an investment company under section 3(c)(14) of the Investment Company Act of 1940;</w:t>
      </w:r>
    </w:p>
    <w:p>
      <w:pPr>
        <w:spacing w:after="0" w:line="158" w:lineRule="exact"/>
        <w:rPr>
          <w:rFonts w:ascii="Times New Roman" w:cs="Times New Roman" w:eastAsia="Times New Roman" w:hAnsi="Times New Roman"/>
          <w:sz w:val="22"/>
          <w:szCs w:val="22"/>
          <w:color w:val="auto"/>
        </w:rPr>
      </w:pPr>
    </w:p>
    <w:p>
      <w:pPr>
        <w:ind w:left="1320" w:hanging="664"/>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w:t>
      </w:r>
      <w:r>
        <w:rPr>
          <w:rFonts w:ascii="Times New Roman" w:cs="Times New Roman" w:eastAsia="Times New Roman" w:hAnsi="Times New Roman"/>
          <w:sz w:val="21"/>
          <w:szCs w:val="21"/>
          <w:color w:val="auto"/>
        </w:rPr>
        <w:t>A non-U.S. institution in accordance with Rule 240.13d-1(b)(1)(ii)(J);</w:t>
      </w:r>
    </w:p>
    <w:p>
      <w:pPr>
        <w:spacing w:after="0" w:line="206" w:lineRule="exact"/>
        <w:rPr>
          <w:rFonts w:ascii="Times New Roman" w:cs="Times New Roman" w:eastAsia="Times New Roman" w:hAnsi="Times New Roman"/>
          <w:sz w:val="22"/>
          <w:szCs w:val="22"/>
          <w:color w:val="auto"/>
        </w:rPr>
      </w:pPr>
    </w:p>
    <w:p>
      <w:pPr>
        <w:ind w:left="1960" w:hanging="1304"/>
        <w:spacing w:after="0" w:line="258" w:lineRule="auto"/>
        <w:tabs>
          <w:tab w:leader="none" w:pos="133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[_]Group, in accordance with Rule 240.13d-1(b)(1)(ii)(K). If filing as a non-U.S. institution in accordance with Rule 240.13d-1(b)(1)(ii)(J), please specify the type of institution: ____</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Ownership</w:t>
      </w:r>
    </w:p>
    <w:p>
      <w:pPr>
        <w:spacing w:after="0" w:line="206" w:lineRule="exact"/>
        <w:rPr>
          <w:sz w:val="20"/>
          <w:szCs w:val="20"/>
          <w:color w:val="auto"/>
        </w:rPr>
      </w:pPr>
    </w:p>
    <w:p>
      <w:pPr>
        <w:spacing w:after="0"/>
        <w:tabs>
          <w:tab w:leader="none" w:pos="680" w:val="left"/>
          <w:tab w:leader="none" w:pos="3720" w:val="left"/>
        </w:tabs>
        <w:rPr>
          <w:sz w:val="20"/>
          <w:szCs w:val="20"/>
          <w:color w:val="auto"/>
        </w:rPr>
      </w:pPr>
      <w:r>
        <w:rPr>
          <w:rFonts w:ascii="Times New Roman" w:cs="Times New Roman" w:eastAsia="Times New Roman" w:hAnsi="Times New Roman"/>
          <w:sz w:val="22"/>
          <w:szCs w:val="22"/>
          <w:b w:val="1"/>
          <w:bCs w:val="1"/>
          <w:color w:val="auto"/>
        </w:rPr>
        <w:t>(a)</w:t>
      </w:r>
      <w:r>
        <w:rPr>
          <w:sz w:val="20"/>
          <w:szCs w:val="20"/>
          <w:color w:val="auto"/>
        </w:rPr>
        <w:tab/>
      </w:r>
      <w:r>
        <w:rPr>
          <w:rFonts w:ascii="Times New Roman" w:cs="Times New Roman" w:eastAsia="Times New Roman" w:hAnsi="Times New Roman"/>
          <w:sz w:val="22"/>
          <w:szCs w:val="22"/>
          <w:b w:val="1"/>
          <w:bCs w:val="1"/>
          <w:color w:val="auto"/>
        </w:rPr>
        <w:t>Amount Beneficially Owned:</w:t>
      </w:r>
      <w:r>
        <w:rPr>
          <w:sz w:val="20"/>
          <w:szCs w:val="20"/>
          <w:color w:val="auto"/>
        </w:rPr>
        <w:tab/>
      </w:r>
      <w:r>
        <w:rPr>
          <w:rFonts w:ascii="Times New Roman" w:cs="Times New Roman" w:eastAsia="Times New Roman" w:hAnsi="Times New Roman"/>
          <w:sz w:val="21"/>
          <w:szCs w:val="21"/>
          <w:color w:val="auto"/>
        </w:rPr>
        <w:t>5,885,414</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ind w:left="700" w:hanging="692"/>
        <w:spacing w:after="0"/>
        <w:tabs>
          <w:tab w:leader="none" w:pos="70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Percent of Class: </w:t>
      </w:r>
      <w:r>
        <w:rPr>
          <w:rFonts w:ascii="Times New Roman" w:cs="Times New Roman" w:eastAsia="Times New Roman" w:hAnsi="Times New Roman"/>
          <w:sz w:val="22"/>
          <w:szCs w:val="22"/>
          <w:color w:val="auto"/>
        </w:rPr>
        <w:t>7.2%</w:t>
      </w:r>
    </w:p>
    <w:p>
      <w:pPr>
        <w:spacing w:after="0" w:line="206" w:lineRule="exact"/>
        <w:rPr>
          <w:rFonts w:ascii="Times New Roman" w:cs="Times New Roman" w:eastAsia="Times New Roman" w:hAnsi="Times New Roman"/>
          <w:sz w:val="22"/>
          <w:szCs w:val="22"/>
          <w:b w:val="1"/>
          <w:bCs w:val="1"/>
          <w:color w:val="auto"/>
        </w:rPr>
      </w:pPr>
    </w:p>
    <w:p>
      <w:pPr>
        <w:ind w:left="700" w:hanging="692"/>
        <w:spacing w:after="0"/>
        <w:tabs>
          <w:tab w:leader="none" w:pos="70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Number of shares as to which such person has:</w:t>
      </w:r>
    </w:p>
    <w:p>
      <w:pPr>
        <w:spacing w:after="0" w:line="206" w:lineRule="exact"/>
        <w:rPr>
          <w:rFonts w:ascii="Times New Roman" w:cs="Times New Roman" w:eastAsia="Times New Roman" w:hAnsi="Times New Roman"/>
          <w:sz w:val="22"/>
          <w:szCs w:val="22"/>
          <w:b w:val="1"/>
          <w:bCs w:val="1"/>
          <w:color w:val="auto"/>
        </w:rPr>
      </w:pPr>
    </w:p>
    <w:p>
      <w:pPr>
        <w:ind w:left="1680" w:hanging="1024"/>
        <w:spacing w:after="0"/>
        <w:tabs>
          <w:tab w:leader="none" w:pos="1680" w:val="left"/>
        </w:tabs>
        <w:numPr>
          <w:ilvl w:val="1"/>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Sole power to vote or to direct the vote: </w:t>
      </w:r>
      <w:r>
        <w:rPr>
          <w:rFonts w:ascii="Times New Roman" w:cs="Times New Roman" w:eastAsia="Times New Roman" w:hAnsi="Times New Roman"/>
          <w:sz w:val="22"/>
          <w:szCs w:val="22"/>
          <w:color w:val="auto"/>
        </w:rPr>
        <w:t>5,885,414</w:t>
      </w:r>
    </w:p>
    <w:p>
      <w:pPr>
        <w:spacing w:after="0" w:line="206" w:lineRule="exact"/>
        <w:rPr>
          <w:rFonts w:ascii="Times New Roman" w:cs="Times New Roman" w:eastAsia="Times New Roman" w:hAnsi="Times New Roman"/>
          <w:sz w:val="22"/>
          <w:szCs w:val="22"/>
          <w:b w:val="1"/>
          <w:bCs w:val="1"/>
          <w:color w:val="auto"/>
        </w:rPr>
      </w:pPr>
    </w:p>
    <w:p>
      <w:pPr>
        <w:ind w:left="1680" w:hanging="1024"/>
        <w:spacing w:after="0"/>
        <w:tabs>
          <w:tab w:leader="none" w:pos="1680" w:val="left"/>
        </w:tabs>
        <w:numPr>
          <w:ilvl w:val="1"/>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Shared power to vote or to direct the vote: </w:t>
      </w:r>
      <w:r>
        <w:rPr>
          <w:rFonts w:ascii="Times New Roman" w:cs="Times New Roman" w:eastAsia="Times New Roman" w:hAnsi="Times New Roman"/>
          <w:sz w:val="22"/>
          <w:szCs w:val="22"/>
          <w:color w:val="auto"/>
        </w:rPr>
        <w:t>0</w:t>
      </w:r>
    </w:p>
    <w:p>
      <w:pPr>
        <w:spacing w:after="0" w:line="206" w:lineRule="exact"/>
        <w:rPr>
          <w:rFonts w:ascii="Times New Roman" w:cs="Times New Roman" w:eastAsia="Times New Roman" w:hAnsi="Times New Roman"/>
          <w:sz w:val="22"/>
          <w:szCs w:val="22"/>
          <w:b w:val="1"/>
          <w:bCs w:val="1"/>
          <w:color w:val="auto"/>
        </w:rPr>
      </w:pPr>
    </w:p>
    <w:p>
      <w:pPr>
        <w:ind w:left="1680" w:hanging="1024"/>
        <w:spacing w:after="0"/>
        <w:tabs>
          <w:tab w:leader="none" w:pos="1680" w:val="left"/>
        </w:tabs>
        <w:numPr>
          <w:ilvl w:val="1"/>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Sole power to dispose or to direct the disposition of: </w:t>
      </w:r>
      <w:r>
        <w:rPr>
          <w:rFonts w:ascii="Times New Roman" w:cs="Times New Roman" w:eastAsia="Times New Roman" w:hAnsi="Times New Roman"/>
          <w:sz w:val="22"/>
          <w:szCs w:val="22"/>
          <w:color w:val="auto"/>
        </w:rPr>
        <w:t>5,885,414</w:t>
      </w:r>
    </w:p>
    <w:p>
      <w:pPr>
        <w:spacing w:after="0" w:line="206" w:lineRule="exact"/>
        <w:rPr>
          <w:rFonts w:ascii="Times New Roman" w:cs="Times New Roman" w:eastAsia="Times New Roman" w:hAnsi="Times New Roman"/>
          <w:sz w:val="22"/>
          <w:szCs w:val="22"/>
          <w:b w:val="1"/>
          <w:bCs w:val="1"/>
          <w:color w:val="auto"/>
        </w:rPr>
      </w:pPr>
    </w:p>
    <w:p>
      <w:pPr>
        <w:ind w:left="1680" w:hanging="1024"/>
        <w:spacing w:after="0"/>
        <w:tabs>
          <w:tab w:leader="none" w:pos="1680" w:val="left"/>
        </w:tabs>
        <w:numPr>
          <w:ilvl w:val="1"/>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Shared power to dispose or to direct the disposition of: </w:t>
      </w:r>
      <w:r>
        <w:rPr>
          <w:rFonts w:ascii="Times New Roman" w:cs="Times New Roman" w:eastAsia="Times New Roman" w:hAnsi="Times New Roman"/>
          <w:sz w:val="22"/>
          <w:szCs w:val="22"/>
          <w:color w:val="auto"/>
        </w:rPr>
        <w:t>0</w:t>
      </w:r>
    </w:p>
    <w:p>
      <w:pPr>
        <w:spacing w:after="0" w:line="206"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a Class.</w:t>
      </w:r>
    </w:p>
    <w:p>
      <w:pPr>
        <w:spacing w:after="0" w:line="210"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15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206" w:lineRule="exact"/>
        <w:rPr>
          <w:sz w:val="20"/>
          <w:szCs w:val="20"/>
          <w:color w:val="auto"/>
        </w:rPr>
      </w:pPr>
    </w:p>
    <w:p>
      <w:pPr>
        <w:ind w:left="980" w:right="20" w:hanging="971"/>
        <w:spacing w:after="0" w:line="262" w:lineRule="auto"/>
        <w:tabs>
          <w:tab w:leader="none" w:pos="96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 or control person.</w:t>
      </w:r>
    </w:p>
    <w:p>
      <w:pPr>
        <w:spacing w:after="0" w:line="150"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06"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10.</w:t>
      </w:r>
      <w:r>
        <w:rPr>
          <w:sz w:val="20"/>
          <w:szCs w:val="20"/>
          <w:color w:val="auto"/>
        </w:rPr>
        <w:tab/>
      </w:r>
      <w:r>
        <w:rPr>
          <w:rFonts w:ascii="Times New Roman" w:cs="Times New Roman" w:eastAsia="Times New Roman" w:hAnsi="Times New Roman"/>
          <w:sz w:val="21"/>
          <w:szCs w:val="21"/>
          <w:b w:val="1"/>
          <w:bCs w:val="1"/>
          <w:color w:val="auto"/>
        </w:rPr>
        <w:t>Certifications.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9,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/s/ Signature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Name/Title David J. Joerger, Chief Compliance Officer</w:t>
      </w:r>
    </w:p>
    <w:p>
      <w:pPr>
        <w:spacing w:after="0" w:line="2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2023-02-10T12:43:05Z</dcterms:created>
  <dcterms:modified xsi:type="dcterms:W3CDTF">2023-02-10T12:43:05Z</dcterms:modified>
</cp:coreProperties>
</file>