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5"/>
          <w:szCs w:val="25"/>
          <w:b w:val="1"/>
          <w:bCs w:val="1"/>
          <w:color w:val="auto"/>
        </w:rPr>
        <w:t>FORM 6-K</w:t>
      </w:r>
    </w:p>
    <w:p>
      <w:pPr>
        <w:spacing w:after="0" w:line="200" w:lineRule="exact"/>
        <w:rPr>
          <w:sz w:val="24"/>
          <w:szCs w:val="24"/>
          <w:color w:val="auto"/>
        </w:rPr>
      </w:pPr>
    </w:p>
    <w:p>
      <w:pPr>
        <w:spacing w:after="0" w:line="29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AND EXCHANGE COMMISSION</w:t>
      </w:r>
    </w:p>
    <w:p>
      <w:pPr>
        <w:spacing w:after="0" w:line="200" w:lineRule="exact"/>
        <w:rPr>
          <w:sz w:val="24"/>
          <w:szCs w:val="24"/>
          <w:color w:val="auto"/>
        </w:rPr>
      </w:pPr>
    </w:p>
    <w:p>
      <w:pPr>
        <w:spacing w:after="0" w:line="282"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Washington, D.C. 20549</w:t>
      </w:r>
    </w:p>
    <w:p>
      <w:pPr>
        <w:spacing w:after="0" w:line="200" w:lineRule="exact"/>
        <w:rPr>
          <w:sz w:val="24"/>
          <w:szCs w:val="24"/>
          <w:color w:val="auto"/>
        </w:rPr>
      </w:pPr>
    </w:p>
    <w:p>
      <w:pPr>
        <w:spacing w:after="0" w:line="270"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Rule 13a-16 under</w:t>
      </w:r>
    </w:p>
    <w:p>
      <w:pPr>
        <w:jc w:val="center"/>
        <w:ind w:right="-1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200" w:lineRule="exact"/>
        <w:rPr>
          <w:sz w:val="24"/>
          <w:szCs w:val="24"/>
          <w:color w:val="auto"/>
        </w:rPr>
      </w:pPr>
    </w:p>
    <w:p>
      <w:pPr>
        <w:spacing w:after="0" w:line="25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 xml:space="preserve">For the month ended </w:t>
      </w:r>
      <w:r>
        <w:rPr>
          <w:rFonts w:ascii="Arial" w:cs="Arial" w:eastAsia="Arial" w:hAnsi="Arial"/>
          <w:sz w:val="18"/>
          <w:szCs w:val="18"/>
          <w:color w:val="auto"/>
        </w:rPr>
        <w:t>February, 2013</w:t>
      </w:r>
    </w:p>
    <w:p>
      <w:pPr>
        <w:spacing w:after="0" w:line="200" w:lineRule="exact"/>
        <w:rPr>
          <w:sz w:val="24"/>
          <w:szCs w:val="24"/>
          <w:color w:val="auto"/>
        </w:rPr>
      </w:pPr>
    </w:p>
    <w:p>
      <w:pPr>
        <w:spacing w:after="0" w:line="25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ICON plc</w:t>
      </w:r>
    </w:p>
    <w:p>
      <w:pPr>
        <w:spacing w:after="0" w:line="34"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(R</w:t>
      </w:r>
      <w:r>
        <w:rPr>
          <w:rFonts w:ascii="Arial" w:cs="Arial" w:eastAsia="Arial" w:hAnsi="Arial"/>
          <w:sz w:val="18"/>
          <w:szCs w:val="18"/>
          <w:color w:val="auto"/>
        </w:rPr>
        <w:t>egistrant's name)</w:t>
      </w:r>
    </w:p>
    <w:p>
      <w:pPr>
        <w:spacing w:after="0" w:line="200" w:lineRule="exact"/>
        <w:rPr>
          <w:sz w:val="24"/>
          <w:szCs w:val="24"/>
          <w:color w:val="auto"/>
        </w:rPr>
      </w:pPr>
    </w:p>
    <w:p>
      <w:pPr>
        <w:spacing w:after="0" w:line="25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0-29714</w:t>
      </w:r>
    </w:p>
    <w:p>
      <w:pPr>
        <w:spacing w:after="0" w:line="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(Commission file number)</w:t>
      </w:r>
    </w:p>
    <w:p>
      <w:pPr>
        <w:spacing w:after="0" w:line="200" w:lineRule="exact"/>
        <w:rPr>
          <w:sz w:val="24"/>
          <w:szCs w:val="24"/>
          <w:color w:val="auto"/>
        </w:rPr>
      </w:pPr>
    </w:p>
    <w:p>
      <w:pPr>
        <w:spacing w:after="0" w:line="25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South County Business Park, Leopardstown, Dublin 18, Ireland</w:t>
      </w:r>
    </w:p>
    <w:p>
      <w:pPr>
        <w:spacing w:after="0" w:line="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(Address of principal executive offices)</w:t>
      </w:r>
    </w:p>
    <w:p>
      <w:pPr>
        <w:spacing w:after="0" w:line="215"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Brendan Brennan, CFO</w:t>
      </w:r>
    </w:p>
    <w:p>
      <w:pPr>
        <w:jc w:val="center"/>
        <w:ind w:right="-119"/>
        <w:spacing w:after="0" w:line="238" w:lineRule="auto"/>
        <w:rPr>
          <w:sz w:val="20"/>
          <w:szCs w:val="20"/>
          <w:color w:val="auto"/>
        </w:rPr>
      </w:pPr>
      <w:r>
        <w:rPr>
          <w:rFonts w:ascii="Arial" w:cs="Arial" w:eastAsia="Arial" w:hAnsi="Arial"/>
          <w:sz w:val="22"/>
          <w:szCs w:val="22"/>
          <w:color w:val="auto"/>
        </w:rPr>
        <w:t>South County Business Park Leopardstown, Dublin 18, Ireland.</w:t>
      </w:r>
    </w:p>
    <w:p>
      <w:pPr>
        <w:jc w:val="center"/>
        <w:ind w:right="-119"/>
        <w:spacing w:after="0" w:line="230" w:lineRule="auto"/>
        <w:rPr>
          <w:sz w:val="20"/>
          <w:szCs w:val="20"/>
          <w:color w:val="auto"/>
        </w:rPr>
      </w:pPr>
      <w:r>
        <w:rPr>
          <w:rFonts w:ascii="Arial" w:cs="Arial" w:eastAsia="Arial" w:hAnsi="Arial"/>
          <w:sz w:val="22"/>
          <w:szCs w:val="22"/>
          <w:color w:val="auto"/>
        </w:rPr>
        <w:t>Brendan.Brennan@iconplc.com</w:t>
      </w:r>
    </w:p>
    <w:p>
      <w:pPr>
        <w:jc w:val="center"/>
        <w:ind w:right="-119"/>
        <w:spacing w:after="0" w:line="231" w:lineRule="auto"/>
        <w:rPr>
          <w:sz w:val="20"/>
          <w:szCs w:val="20"/>
          <w:color w:val="auto"/>
        </w:rPr>
      </w:pPr>
      <w:r>
        <w:rPr>
          <w:rFonts w:ascii="Arial" w:cs="Arial" w:eastAsia="Arial" w:hAnsi="Arial"/>
          <w:sz w:val="22"/>
          <w:szCs w:val="22"/>
          <w:color w:val="auto"/>
        </w:rPr>
        <w:t>0011-353-1-291-2000</w:t>
      </w:r>
    </w:p>
    <w:p>
      <w:pPr>
        <w:spacing w:after="0" w:line="1"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(Name, telephone number, email and/or facsmile number and address of Company contact person)</w:t>
      </w:r>
    </w:p>
    <w:p>
      <w:pPr>
        <w:spacing w:after="0" w:line="200" w:lineRule="exact"/>
        <w:rPr>
          <w:sz w:val="24"/>
          <w:szCs w:val="24"/>
          <w:color w:val="auto"/>
        </w:rPr>
      </w:pPr>
    </w:p>
    <w:p>
      <w:pPr>
        <w:spacing w:after="0" w:line="231" w:lineRule="exact"/>
        <w:rPr>
          <w:sz w:val="24"/>
          <w:szCs w:val="24"/>
          <w:color w:val="auto"/>
        </w:rPr>
      </w:pPr>
    </w:p>
    <w:p>
      <w:pPr>
        <w:spacing w:after="0"/>
        <w:rPr>
          <w:sz w:val="20"/>
          <w:szCs w:val="20"/>
          <w:color w:val="auto"/>
        </w:rPr>
      </w:pPr>
      <w:r>
        <w:rPr>
          <w:rFonts w:ascii="Arial" w:cs="Arial" w:eastAsia="Arial" w:hAnsi="Arial"/>
          <w:sz w:val="22"/>
          <w:szCs w:val="22"/>
          <w:color w:val="auto"/>
        </w:rPr>
        <w:t>Indicate by check mark whether the registrant files or will file annual reports under cover Form 20-F or Form 40-F.</w:t>
      </w:r>
    </w:p>
    <w:p>
      <w:pPr>
        <w:spacing w:after="0" w:line="200" w:lineRule="exact"/>
        <w:rPr>
          <w:sz w:val="24"/>
          <w:szCs w:val="24"/>
          <w:color w:val="auto"/>
        </w:rPr>
      </w:pPr>
    </w:p>
    <w:p>
      <w:pPr>
        <w:ind w:left="4080"/>
        <w:spacing w:after="0"/>
        <w:tabs>
          <w:tab w:leader="none" w:pos="7060" w:val="left"/>
        </w:tabs>
        <w:rPr>
          <w:sz w:val="20"/>
          <w:szCs w:val="20"/>
          <w:color w:val="auto"/>
        </w:rPr>
      </w:pPr>
      <w:r>
        <w:rPr>
          <w:rFonts w:ascii="Arial" w:cs="Arial" w:eastAsia="Arial" w:hAnsi="Arial"/>
          <w:sz w:val="22"/>
          <w:szCs w:val="22"/>
          <w:color w:val="auto"/>
        </w:rPr>
        <w:t>Yes___</w:t>
      </w:r>
      <w:r>
        <w:rPr>
          <w:rFonts w:ascii="Arial" w:cs="Arial" w:eastAsia="Arial" w:hAnsi="Arial"/>
          <w:sz w:val="22"/>
          <w:szCs w:val="22"/>
          <w:b w:val="1"/>
          <w:bCs w:val="1"/>
          <w:u w:val="single" w:color="auto"/>
          <w:color w:val="auto"/>
        </w:rPr>
        <w:t>X</w:t>
      </w:r>
      <w:r>
        <w:rPr>
          <w:rFonts w:ascii="Arial" w:cs="Arial" w:eastAsia="Arial" w:hAnsi="Arial"/>
          <w:sz w:val="22"/>
          <w:szCs w:val="22"/>
          <w:color w:val="auto"/>
        </w:rPr>
        <w:t>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color w:val="auto"/>
        </w:rPr>
        <w:t>_</w:t>
      </w:r>
      <w:r>
        <w:rPr>
          <w:rFonts w:ascii="Arial" w:cs="Arial" w:eastAsia="Arial" w:hAnsi="Arial"/>
          <w:sz w:val="19"/>
          <w:szCs w:val="19"/>
          <w:color w:val="auto"/>
        </w:rPr>
        <w:t>___</w:t>
      </w: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9"/>
          <w:szCs w:val="19"/>
          <w:color w:val="auto"/>
        </w:rPr>
        <w:t>Indicate by check mark whether the registrant is submitting the Form 6-K in paper as permitted by Regulation S-T Rule 101(b)(1):</w:t>
      </w:r>
    </w:p>
    <w:p>
      <w:pPr>
        <w:spacing w:after="0" w:line="235" w:lineRule="exact"/>
        <w:rPr>
          <w:sz w:val="24"/>
          <w:szCs w:val="24"/>
          <w:color w:val="auto"/>
        </w:rPr>
      </w:pPr>
    </w:p>
    <w:p>
      <w:pPr>
        <w:ind w:left="4100"/>
        <w:spacing w:after="0"/>
        <w:tabs>
          <w:tab w:leader="none" w:pos="6980" w:val="left"/>
        </w:tabs>
        <w:rPr>
          <w:sz w:val="20"/>
          <w:szCs w:val="20"/>
          <w:color w:val="auto"/>
        </w:rPr>
      </w:pPr>
      <w:r>
        <w:rPr>
          <w:rFonts w:ascii="Arial" w:cs="Arial" w:eastAsia="Arial" w:hAnsi="Arial"/>
          <w:sz w:val="22"/>
          <w:szCs w:val="22"/>
          <w:color w:val="auto"/>
        </w:rPr>
        <w:t>Yes______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u w:val="single" w:color="auto"/>
          <w:color w:val="auto"/>
        </w:rPr>
        <w:t>X</w:t>
      </w:r>
      <w:r>
        <w:rPr>
          <w:rFonts w:ascii="Arial" w:cs="Arial" w:eastAsia="Arial" w:hAnsi="Arial"/>
          <w:sz w:val="19"/>
          <w:szCs w:val="19"/>
          <w:color w:val="auto"/>
        </w:rPr>
        <w:t>___</w:t>
      </w: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9"/>
          <w:szCs w:val="19"/>
          <w:color w:val="auto"/>
        </w:rPr>
        <w:t>Indicate by check mark whether the registrant is submitting the Form 6-K in paper as permitted by Regulation S-T Rule 101(b)(7):</w:t>
      </w:r>
    </w:p>
    <w:p>
      <w:pPr>
        <w:spacing w:after="0" w:line="235" w:lineRule="exact"/>
        <w:rPr>
          <w:sz w:val="24"/>
          <w:szCs w:val="24"/>
          <w:color w:val="auto"/>
        </w:rPr>
      </w:pPr>
    </w:p>
    <w:p>
      <w:pPr>
        <w:ind w:left="4100"/>
        <w:spacing w:after="0"/>
        <w:tabs>
          <w:tab w:leader="none" w:pos="6980" w:val="left"/>
        </w:tabs>
        <w:rPr>
          <w:sz w:val="20"/>
          <w:szCs w:val="20"/>
          <w:color w:val="auto"/>
        </w:rPr>
      </w:pPr>
      <w:r>
        <w:rPr>
          <w:rFonts w:ascii="Arial" w:cs="Arial" w:eastAsia="Arial" w:hAnsi="Arial"/>
          <w:sz w:val="22"/>
          <w:szCs w:val="22"/>
          <w:color w:val="auto"/>
        </w:rPr>
        <w:t>Yes______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u w:val="single" w:color="auto"/>
          <w:color w:val="auto"/>
        </w:rPr>
        <w:t>X</w:t>
      </w:r>
      <w:r>
        <w:rPr>
          <w:rFonts w:ascii="Arial" w:cs="Arial" w:eastAsia="Arial" w:hAnsi="Arial"/>
          <w:sz w:val="19"/>
          <w:szCs w:val="19"/>
          <w:color w:val="auto"/>
        </w:rPr>
        <w:t>___</w:t>
      </w:r>
    </w:p>
    <w:p>
      <w:pPr>
        <w:spacing w:after="0" w:line="200" w:lineRule="exact"/>
        <w:rPr>
          <w:sz w:val="24"/>
          <w:szCs w:val="24"/>
          <w:color w:val="auto"/>
        </w:rPr>
      </w:pPr>
    </w:p>
    <w:p>
      <w:pPr>
        <w:spacing w:after="0" w:line="255" w:lineRule="exact"/>
        <w:rPr>
          <w:sz w:val="24"/>
          <w:szCs w:val="24"/>
          <w:color w:val="auto"/>
        </w:rPr>
      </w:pPr>
    </w:p>
    <w:p>
      <w:pPr>
        <w:ind w:right="160"/>
        <w:spacing w:after="0" w:line="274" w:lineRule="auto"/>
        <w:rPr>
          <w:sz w:val="20"/>
          <w:szCs w:val="20"/>
          <w:color w:val="auto"/>
        </w:rPr>
      </w:pPr>
      <w:r>
        <w:rPr>
          <w:rFonts w:ascii="Arial" w:cs="Arial" w:eastAsia="Arial" w:hAnsi="Arial"/>
          <w:sz w:val="21"/>
          <w:szCs w:val="21"/>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45" w:lineRule="exact"/>
        <w:rPr>
          <w:sz w:val="24"/>
          <w:szCs w:val="24"/>
          <w:color w:val="auto"/>
        </w:rPr>
      </w:pPr>
    </w:p>
    <w:p>
      <w:pPr>
        <w:ind w:left="4080"/>
        <w:spacing w:after="0"/>
        <w:tabs>
          <w:tab w:leader="none" w:pos="7020" w:val="left"/>
        </w:tabs>
        <w:rPr>
          <w:sz w:val="20"/>
          <w:szCs w:val="20"/>
          <w:color w:val="auto"/>
        </w:rPr>
      </w:pPr>
      <w:r>
        <w:rPr>
          <w:rFonts w:ascii="Arial" w:cs="Arial" w:eastAsia="Arial" w:hAnsi="Arial"/>
          <w:sz w:val="22"/>
          <w:szCs w:val="22"/>
          <w:color w:val="auto"/>
        </w:rPr>
        <w:t>Yes___</w:t>
      </w:r>
      <w:r>
        <w:rPr>
          <w:rFonts w:ascii="Arial" w:cs="Arial" w:eastAsia="Arial" w:hAnsi="Arial"/>
          <w:sz w:val="22"/>
          <w:szCs w:val="22"/>
          <w:b w:val="1"/>
          <w:bCs w:val="1"/>
          <w:color w:val="auto"/>
        </w:rPr>
        <w:t>_</w:t>
      </w:r>
      <w:r>
        <w:rPr>
          <w:rFonts w:ascii="Arial" w:cs="Arial" w:eastAsia="Arial" w:hAnsi="Arial"/>
          <w:sz w:val="22"/>
          <w:szCs w:val="22"/>
          <w:color w:val="auto"/>
        </w:rPr>
        <w:t>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u w:val="single" w:color="auto"/>
          <w:color w:val="auto"/>
        </w:rPr>
        <w:t>X</w:t>
      </w:r>
      <w:r>
        <w:rPr>
          <w:rFonts w:ascii="Arial" w:cs="Arial" w:eastAsia="Arial" w:hAnsi="Arial"/>
          <w:sz w:val="19"/>
          <w:szCs w:val="19"/>
          <w:color w:val="auto"/>
        </w:rPr>
        <w:t>___</w:t>
      </w:r>
    </w:p>
    <w:p>
      <w:pPr>
        <w:sectPr>
          <w:pgSz w:w="11900" w:h="16838" w:orient="portrait"/>
          <w:cols w:equalWidth="0" w:num="1">
            <w:col w:w="11300"/>
          </w:cols>
          <w:pgMar w:left="240" w:top="684" w:right="359" w:bottom="1440" w:gutter="0" w:footer="0" w:header="0"/>
        </w:sectPr>
      </w:pPr>
    </w:p>
    <w:p>
      <w:pPr>
        <w:spacing w:after="0" w:line="200" w:lineRule="exact"/>
        <w:rPr>
          <w:sz w:val="24"/>
          <w:szCs w:val="24"/>
          <w:color w:val="auto"/>
        </w:rPr>
      </w:pPr>
    </w:p>
    <w:p>
      <w:pPr>
        <w:spacing w:after="0" w:line="249" w:lineRule="exact"/>
        <w:rPr>
          <w:sz w:val="24"/>
          <w:szCs w:val="24"/>
          <w:color w:val="auto"/>
        </w:rPr>
      </w:pPr>
    </w:p>
    <w:p>
      <w:pPr>
        <w:spacing w:after="0"/>
        <w:tabs>
          <w:tab w:leader="none" w:pos="10180" w:val="left"/>
        </w:tabs>
        <w:rPr>
          <w:sz w:val="20"/>
          <w:szCs w:val="20"/>
          <w:color w:val="auto"/>
        </w:rPr>
      </w:pPr>
      <w:r>
        <w:rPr>
          <w:rFonts w:ascii="Arial" w:cs="Arial" w:eastAsia="Arial" w:hAnsi="Arial"/>
          <w:sz w:val="21"/>
          <w:szCs w:val="21"/>
          <w:color w:val="auto"/>
        </w:rPr>
        <w:t>If "Yes" is marked, indicate below the file number assigned to the registrant in connection with Rule 12g3-2(b):82</w:t>
      </w:r>
      <w:r>
        <w:rPr>
          <w:sz w:val="20"/>
          <w:szCs w:val="20"/>
          <w:color w:val="auto"/>
        </w:rPr>
        <w:tab/>
      </w:r>
      <w:r>
        <w:rPr>
          <w:rFonts w:ascii="Arial" w:cs="Arial" w:eastAsia="Arial" w:hAnsi="Arial"/>
          <w:sz w:val="19"/>
          <w:szCs w:val="19"/>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297180</wp:posOffset>
            </wp:positionV>
            <wp:extent cx="7272020" cy="596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300"/>
          </w:cols>
          <w:pgMar w:left="240" w:top="684" w:right="359" w:bottom="1440" w:gutter="0" w:footer="0" w:header="0"/>
          <w:type w:val="continuous"/>
        </w:sectPr>
      </w:pPr>
    </w:p>
    <w:bookmarkStart w:id="1" w:name="page2"/>
    <w:bookmarkEnd w:id="1"/>
    <w:p>
      <w:pPr>
        <w:jc w:val="right"/>
        <w:ind w:right="3899"/>
        <w:spacing w:after="0"/>
        <w:rPr>
          <w:sz w:val="20"/>
          <w:szCs w:val="20"/>
          <w:color w:val="auto"/>
        </w:rPr>
      </w:pPr>
      <w:r>
        <w:rPr>
          <w:rFonts w:ascii="Arial" w:cs="Arial" w:eastAsia="Arial" w:hAnsi="Arial"/>
          <w:sz w:val="18"/>
          <w:szCs w:val="18"/>
          <w:b w:val="1"/>
          <w:bCs w:val="1"/>
          <w:u w:val="single" w:color="auto"/>
          <w:color w:val="auto"/>
        </w:rPr>
        <w:t>EXHIBIT LIST</w:t>
      </w:r>
    </w:p>
    <w:p>
      <w:pPr>
        <w:spacing w:after="0" w:line="24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u w:val="single" w:color="auto"/>
          <w:color w:val="auto"/>
        </w:rPr>
        <w:t>Exhibit</w:t>
      </w:r>
      <w:r>
        <w:rPr>
          <w:sz w:val="20"/>
          <w:szCs w:val="20"/>
          <w:color w:val="auto"/>
        </w:rPr>
        <w:tab/>
      </w:r>
      <w:r>
        <w:rPr>
          <w:rFonts w:ascii="Arial" w:cs="Arial" w:eastAsia="Arial" w:hAnsi="Arial"/>
          <w:sz w:val="18"/>
          <w:szCs w:val="18"/>
          <w:u w:val="single" w:color="auto"/>
          <w:color w:val="auto"/>
        </w:rPr>
        <w:t>Description</w:t>
      </w:r>
    </w:p>
    <w:p>
      <w:pPr>
        <w:spacing w:after="0" w:line="27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ICON plc Press Release issued February 5,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96520</wp:posOffset>
            </wp:positionV>
            <wp:extent cx="7272020" cy="596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0219"/>
          </w:cols>
          <w:pgMar w:left="240" w:top="364" w:right="1440"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0"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ICON plc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tabs>
          <w:tab w:leader="none" w:pos="560" w:val="left"/>
          <w:tab w:leader="none" w:pos="6840" w:val="left"/>
        </w:tabs>
        <w:rPr>
          <w:sz w:val="20"/>
          <w:szCs w:val="20"/>
          <w:color w:val="auto"/>
        </w:rPr>
      </w:pPr>
      <w:r>
        <w:rPr>
          <w:rFonts w:ascii="Arial" w:cs="Arial" w:eastAsia="Arial" w:hAnsi="Arial"/>
          <w:sz w:val="18"/>
          <w:szCs w:val="18"/>
          <w:color w:val="auto"/>
        </w:rPr>
        <w:t>Date:</w:t>
        <w:tab/>
        <w:t>February 5, 2013</w:t>
      </w:r>
      <w:r>
        <w:rPr>
          <w:sz w:val="20"/>
          <w:szCs w:val="20"/>
          <w:color w:val="auto"/>
        </w:rPr>
        <w:tab/>
      </w:r>
      <w:r>
        <w:rPr>
          <w:rFonts w:ascii="Arial" w:cs="Arial" w:eastAsia="Arial" w:hAnsi="Arial"/>
          <w:sz w:val="16"/>
          <w:szCs w:val="16"/>
          <w:u w:val="single" w:color="auto"/>
          <w:color w:val="auto"/>
        </w:rPr>
        <w:t>/s/ Brendan Brennan</w:t>
      </w:r>
    </w:p>
    <w:p>
      <w:pPr>
        <w:spacing w:after="0" w:line="3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Brendan Brennan</w:t>
      </w:r>
    </w:p>
    <w:p>
      <w:pPr>
        <w:spacing w:after="0" w:line="3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00"/>
          </w:cols>
          <w:pgMar w:left="240" w:top="364" w:right="45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ICON Announces the Commencement of Direct Trading on NASDAQ</w:t>
      </w:r>
    </w:p>
    <w:p>
      <w:pPr>
        <w:spacing w:after="0" w:line="206" w:lineRule="exact"/>
        <w:rPr>
          <w:sz w:val="20"/>
          <w:szCs w:val="20"/>
          <w:color w:val="auto"/>
        </w:rPr>
      </w:pPr>
    </w:p>
    <w:p>
      <w:pPr>
        <w:ind w:right="80"/>
        <w:spacing w:after="0" w:line="283" w:lineRule="auto"/>
        <w:rPr>
          <w:sz w:val="20"/>
          <w:szCs w:val="20"/>
          <w:color w:val="auto"/>
        </w:rPr>
      </w:pPr>
      <w:r>
        <w:rPr>
          <w:rFonts w:ascii="Arial" w:cs="Arial" w:eastAsia="Arial" w:hAnsi="Arial"/>
          <w:sz w:val="19"/>
          <w:szCs w:val="19"/>
          <w:color w:val="auto"/>
        </w:rPr>
        <w:t>DUBLIN--(BUSINESS WIRE)--February 5, 2013--</w:t>
      </w:r>
      <w:r>
        <w:rPr>
          <w:rFonts w:ascii="Arial" w:cs="Arial" w:eastAsia="Arial" w:hAnsi="Arial"/>
          <w:sz w:val="19"/>
          <w:szCs w:val="19"/>
          <w:b w:val="1"/>
          <w:bCs w:val="1"/>
          <w:color w:val="auto"/>
        </w:rPr>
        <w:t>ICON plc, (NASDAQ: ICLR) (ISIN:IE0005711209),</w:t>
      </w:r>
      <w:r>
        <w:rPr>
          <w:rFonts w:ascii="Arial" w:cs="Arial" w:eastAsia="Arial" w:hAnsi="Arial"/>
          <w:sz w:val="19"/>
          <w:szCs w:val="19"/>
          <w:color w:val="auto"/>
        </w:rPr>
        <w:t xml:space="preserve"> a global provider of outsourced development services to the pharmaceutical, biotechnology and medical device industries, commenced direct trading of</w:t>
      </w:r>
    </w:p>
    <w:p>
      <w:pPr>
        <w:ind w:right="40"/>
        <w:spacing w:after="0" w:line="235" w:lineRule="auto"/>
        <w:rPr>
          <w:sz w:val="20"/>
          <w:szCs w:val="20"/>
          <w:color w:val="auto"/>
        </w:rPr>
      </w:pPr>
      <w:r>
        <w:rPr>
          <w:rFonts w:ascii="Arial" w:cs="Arial" w:eastAsia="Arial" w:hAnsi="Arial"/>
          <w:sz w:val="19"/>
          <w:szCs w:val="19"/>
          <w:color w:val="auto"/>
        </w:rPr>
        <w:t>ICON ordinary shares on NASDAQ (CUSIP Number G4705A 100) yesterday, 4</w:t>
      </w:r>
      <w:r>
        <w:rPr>
          <w:rFonts w:ascii="Arial" w:cs="Arial" w:eastAsia="Arial" w:hAnsi="Arial"/>
          <w:sz w:val="31"/>
          <w:szCs w:val="31"/>
          <w:color w:val="auto"/>
          <w:vertAlign w:val="superscript"/>
        </w:rPr>
        <w:t>th</w:t>
      </w:r>
      <w:r>
        <w:rPr>
          <w:rFonts w:ascii="Arial" w:cs="Arial" w:eastAsia="Arial" w:hAnsi="Arial"/>
          <w:sz w:val="19"/>
          <w:szCs w:val="19"/>
          <w:color w:val="auto"/>
        </w:rPr>
        <w:t xml:space="preserve"> February 2013. This follows ICON’s withdrawal from the Irish Stock Exchange on the 30</w:t>
      </w:r>
      <w:r>
        <w:rPr>
          <w:rFonts w:ascii="Arial" w:cs="Arial" w:eastAsia="Arial" w:hAnsi="Arial"/>
          <w:sz w:val="31"/>
          <w:szCs w:val="31"/>
          <w:color w:val="auto"/>
          <w:vertAlign w:val="superscript"/>
        </w:rPr>
        <w:t>th</w:t>
      </w:r>
      <w:r>
        <w:rPr>
          <w:rFonts w:ascii="Arial" w:cs="Arial" w:eastAsia="Arial" w:hAnsi="Arial"/>
          <w:sz w:val="19"/>
          <w:szCs w:val="19"/>
          <w:color w:val="auto"/>
        </w:rPr>
        <w:t xml:space="preserve"> January 2013 and the termination of the ADR programme in accordance with the resolutions approved by the shareholders at the Extraordinary General Meeting of the Company on 17</w:t>
      </w:r>
      <w:r>
        <w:rPr>
          <w:rFonts w:ascii="Arial" w:cs="Arial" w:eastAsia="Arial" w:hAnsi="Arial"/>
          <w:sz w:val="31"/>
          <w:szCs w:val="31"/>
          <w:color w:val="auto"/>
          <w:vertAlign w:val="superscript"/>
        </w:rPr>
        <w:t>th</w:t>
      </w:r>
      <w:r>
        <w:rPr>
          <w:rFonts w:ascii="Arial" w:cs="Arial" w:eastAsia="Arial" w:hAnsi="Arial"/>
          <w:sz w:val="19"/>
          <w:szCs w:val="19"/>
          <w:color w:val="auto"/>
        </w:rPr>
        <w:t xml:space="preserve"> December 2012.</w:t>
      </w:r>
    </w:p>
    <w:p>
      <w:pPr>
        <w:spacing w:after="0" w:line="44" w:lineRule="exact"/>
        <w:rPr>
          <w:sz w:val="20"/>
          <w:szCs w:val="20"/>
          <w:color w:val="auto"/>
        </w:rPr>
      </w:pPr>
    </w:p>
    <w:p>
      <w:pPr>
        <w:ind w:right="220"/>
        <w:spacing w:after="0" w:line="217" w:lineRule="auto"/>
        <w:rPr>
          <w:sz w:val="20"/>
          <w:szCs w:val="20"/>
          <w:color w:val="auto"/>
        </w:rPr>
      </w:pPr>
      <w:r>
        <w:rPr>
          <w:rFonts w:ascii="Arial" w:cs="Arial" w:eastAsia="Arial" w:hAnsi="Arial"/>
          <w:sz w:val="22"/>
          <w:szCs w:val="22"/>
          <w:color w:val="auto"/>
        </w:rPr>
        <w:t>The information contained in this release is as of 5</w:t>
      </w:r>
      <w:r>
        <w:rPr>
          <w:rFonts w:ascii="Arial" w:cs="Arial" w:eastAsia="Arial" w:hAnsi="Arial"/>
          <w:sz w:val="36"/>
          <w:szCs w:val="36"/>
          <w:color w:val="auto"/>
          <w:vertAlign w:val="superscript"/>
        </w:rPr>
        <w:t>th</w:t>
      </w:r>
      <w:r>
        <w:rPr>
          <w:rFonts w:ascii="Arial" w:cs="Arial" w:eastAsia="Arial" w:hAnsi="Arial"/>
          <w:sz w:val="22"/>
          <w:szCs w:val="22"/>
          <w:color w:val="auto"/>
        </w:rPr>
        <w:t xml:space="preserve"> February 2013. The statements made in this press release may contain forward-looking statements that involve a number of risks and uncertainties. A description of risks and uncertainties relating to ICON and its business can be found in ICON’s Annual Report for the fiscal year ended December 31, 2011 and in the forms filed with the US Securities and Exchange Commission, including the Forms 20-F, F-1, S-8 and F-3. ICON disclaims any intent or obligation to update these forward-looking statements.</w:t>
      </w:r>
    </w:p>
    <w:p>
      <w:pPr>
        <w:spacing w:after="0" w:line="189" w:lineRule="exact"/>
        <w:rPr>
          <w:sz w:val="20"/>
          <w:szCs w:val="20"/>
          <w:color w:val="auto"/>
        </w:rPr>
      </w:pPr>
    </w:p>
    <w:p>
      <w:pPr>
        <w:ind w:right="560"/>
        <w:spacing w:after="0" w:line="236" w:lineRule="auto"/>
        <w:rPr>
          <w:sz w:val="20"/>
          <w:szCs w:val="20"/>
          <w:color w:val="auto"/>
        </w:rPr>
      </w:pPr>
      <w:r>
        <w:rPr>
          <w:rFonts w:ascii="Arial" w:cs="Arial" w:eastAsia="Arial" w:hAnsi="Arial"/>
          <w:sz w:val="22"/>
          <w:szCs w:val="22"/>
          <w:color w:val="auto"/>
        </w:rPr>
        <w:t xml:space="preserve">ICON plc is a global provider of outsourced development services to the pharmaceutical, biotechnology and medical device industries. The company specialises in the strategic development, management and analysis of programs that support clinical development - from compound selection to Phase I-IV clinical studies. With headquarters in Dublin, Ireland, ICON currently, operates from 82 locations in 40 countries and has approximately 9,430 employees. Further information is available at </w:t>
      </w:r>
      <w:r>
        <w:rPr>
          <w:rFonts w:ascii="Arial" w:cs="Arial" w:eastAsia="Arial" w:hAnsi="Arial"/>
          <w:sz w:val="22"/>
          <w:szCs w:val="22"/>
          <w:u w:val="single" w:color="auto"/>
          <w:color w:val="auto"/>
        </w:rPr>
        <w:t>http://www.iconplc.com</w:t>
      </w:r>
      <w:r>
        <w:rPr>
          <w:rFonts w:ascii="Arial" w:cs="Arial" w:eastAsia="Arial" w:hAnsi="Arial"/>
          <w:sz w:val="22"/>
          <w:szCs w:val="22"/>
          <w:color w:val="auto"/>
        </w:rPr>
        <w:t>.</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ICON/ICLR-F</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ICON</w:t>
      </w:r>
    </w:p>
    <w:p>
      <w:pPr>
        <w:spacing w:after="0" w:line="230" w:lineRule="auto"/>
        <w:rPr>
          <w:sz w:val="20"/>
          <w:szCs w:val="20"/>
          <w:color w:val="auto"/>
        </w:rPr>
      </w:pPr>
      <w:r>
        <w:rPr>
          <w:rFonts w:ascii="Arial" w:cs="Arial" w:eastAsia="Arial" w:hAnsi="Arial"/>
          <w:sz w:val="22"/>
          <w:szCs w:val="22"/>
          <w:color w:val="auto"/>
        </w:rPr>
        <w:t>Investor Relations</w:t>
      </w:r>
    </w:p>
    <w:p>
      <w:pPr>
        <w:spacing w:after="0" w:line="231" w:lineRule="auto"/>
        <w:rPr>
          <w:sz w:val="20"/>
          <w:szCs w:val="20"/>
          <w:color w:val="auto"/>
        </w:rPr>
      </w:pPr>
      <w:r>
        <w:rPr>
          <w:rFonts w:ascii="Arial" w:cs="Arial" w:eastAsia="Arial" w:hAnsi="Arial"/>
          <w:sz w:val="22"/>
          <w:szCs w:val="22"/>
          <w:color w:val="auto"/>
        </w:rPr>
        <w:t>1-888-381-7923</w:t>
      </w:r>
    </w:p>
    <w:p>
      <w:pPr>
        <w:spacing w:after="0" w:line="231" w:lineRule="auto"/>
        <w:rPr>
          <w:sz w:val="20"/>
          <w:szCs w:val="20"/>
          <w:color w:val="auto"/>
        </w:rPr>
      </w:pPr>
      <w:r>
        <w:rPr>
          <w:rFonts w:ascii="Arial" w:cs="Arial" w:eastAsia="Arial" w:hAnsi="Arial"/>
          <w:sz w:val="22"/>
          <w:szCs w:val="22"/>
          <w:color w:val="auto"/>
        </w:rPr>
        <w:t>or</w:t>
      </w:r>
    </w:p>
    <w:p>
      <w:pPr>
        <w:spacing w:after="0" w:line="230" w:lineRule="auto"/>
        <w:rPr>
          <w:sz w:val="20"/>
          <w:szCs w:val="20"/>
          <w:color w:val="auto"/>
        </w:rPr>
      </w:pPr>
      <w:r>
        <w:rPr>
          <w:rFonts w:ascii="Arial" w:cs="Arial" w:eastAsia="Arial" w:hAnsi="Arial"/>
          <w:sz w:val="22"/>
          <w:szCs w:val="22"/>
          <w:color w:val="auto"/>
        </w:rPr>
        <w:t>Brendan Brennan</w:t>
      </w:r>
    </w:p>
    <w:p>
      <w:pPr>
        <w:spacing w:after="0" w:line="231" w:lineRule="auto"/>
        <w:rPr>
          <w:sz w:val="20"/>
          <w:szCs w:val="20"/>
          <w:color w:val="auto"/>
        </w:rPr>
      </w:pPr>
      <w:r>
        <w:rPr>
          <w:rFonts w:ascii="Arial" w:cs="Arial" w:eastAsia="Arial" w:hAnsi="Arial"/>
          <w:sz w:val="22"/>
          <w:szCs w:val="22"/>
          <w:color w:val="auto"/>
        </w:rPr>
        <w:t>Chief Financial Officer</w:t>
      </w:r>
    </w:p>
    <w:p>
      <w:pPr>
        <w:spacing w:after="0" w:line="1" w:lineRule="exact"/>
        <w:rPr>
          <w:sz w:val="20"/>
          <w:szCs w:val="20"/>
          <w:color w:val="auto"/>
        </w:rPr>
      </w:pPr>
    </w:p>
    <w:p>
      <w:pPr>
        <w:ind w:right="9740" w:firstLine="8"/>
        <w:spacing w:after="0" w:line="230" w:lineRule="auto"/>
        <w:tabs>
          <w:tab w:leader="none" w:pos="176" w:val="left"/>
        </w:tabs>
        <w:numPr>
          <w:ilvl w:val="0"/>
          <w:numId w:val="1"/>
        </w:numPr>
        <w:rPr>
          <w:rFonts w:ascii="Arial" w:cs="Arial" w:eastAsia="Arial" w:hAnsi="Arial"/>
          <w:sz w:val="22"/>
          <w:szCs w:val="22"/>
          <w:color w:val="auto"/>
        </w:rPr>
      </w:pPr>
      <w:r>
        <w:rPr>
          <w:rFonts w:ascii="Arial" w:cs="Arial" w:eastAsia="Arial" w:hAnsi="Arial"/>
          <w:sz w:val="22"/>
          <w:szCs w:val="22"/>
          <w:color w:val="auto"/>
        </w:rPr>
        <w:t>353 –1-291-2000 or</w:t>
      </w:r>
    </w:p>
    <w:p>
      <w:pPr>
        <w:spacing w:after="0" w:line="1" w:lineRule="exact"/>
        <w:rPr>
          <w:rFonts w:ascii="Arial" w:cs="Arial" w:eastAsia="Arial" w:hAnsi="Arial"/>
          <w:sz w:val="22"/>
          <w:szCs w:val="22"/>
          <w:color w:val="auto"/>
        </w:rPr>
      </w:pPr>
    </w:p>
    <w:p>
      <w:pPr>
        <w:spacing w:after="0" w:line="230" w:lineRule="auto"/>
        <w:rPr>
          <w:rFonts w:ascii="Arial" w:cs="Arial" w:eastAsia="Arial" w:hAnsi="Arial"/>
          <w:sz w:val="22"/>
          <w:szCs w:val="22"/>
          <w:color w:val="auto"/>
        </w:rPr>
      </w:pPr>
      <w:r>
        <w:rPr>
          <w:rFonts w:ascii="Arial" w:cs="Arial" w:eastAsia="Arial" w:hAnsi="Arial"/>
          <w:sz w:val="22"/>
          <w:szCs w:val="22"/>
          <w:color w:val="auto"/>
        </w:rPr>
        <w:t>Sam Farthing</w:t>
      </w:r>
    </w:p>
    <w:p>
      <w:pPr>
        <w:spacing w:after="0" w:line="230" w:lineRule="auto"/>
        <w:rPr>
          <w:rFonts w:ascii="Arial" w:cs="Arial" w:eastAsia="Arial" w:hAnsi="Arial"/>
          <w:sz w:val="22"/>
          <w:szCs w:val="22"/>
          <w:color w:val="auto"/>
        </w:rPr>
      </w:pPr>
      <w:r>
        <w:rPr>
          <w:rFonts w:ascii="Arial" w:cs="Arial" w:eastAsia="Arial" w:hAnsi="Arial"/>
          <w:sz w:val="22"/>
          <w:szCs w:val="22"/>
          <w:color w:val="auto"/>
        </w:rPr>
        <w:t>VP Investor Relations</w:t>
      </w:r>
    </w:p>
    <w:p>
      <w:pPr>
        <w:ind w:left="180" w:hanging="172"/>
        <w:spacing w:after="0"/>
        <w:tabs>
          <w:tab w:leader="none" w:pos="180" w:val="left"/>
        </w:tabs>
        <w:numPr>
          <w:ilvl w:val="0"/>
          <w:numId w:val="1"/>
        </w:numPr>
        <w:rPr>
          <w:rFonts w:ascii="Arial" w:cs="Arial" w:eastAsia="Arial" w:hAnsi="Arial"/>
          <w:sz w:val="22"/>
          <w:szCs w:val="22"/>
          <w:color w:val="auto"/>
        </w:rPr>
      </w:pPr>
      <w:r>
        <w:rPr>
          <w:rFonts w:ascii="Arial" w:cs="Arial" w:eastAsia="Arial" w:hAnsi="Arial"/>
          <w:sz w:val="22"/>
          <w:szCs w:val="22"/>
          <w:color w:val="auto"/>
        </w:rPr>
        <w:t>353 –1-291-2000</w:t>
      </w:r>
    </w:p>
    <w:sectPr>
      <w:pgSz w:w="11900" w:h="16838" w:orient="portrait"/>
      <w:cols w:equalWidth="0" w:num="1">
        <w:col w:w="11420"/>
      </w:cols>
      <w:pgMar w:left="240" w:top="11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2019-12-06T20:16:42Z</dcterms:created>
  <dcterms:modified xsi:type="dcterms:W3CDTF">2019-12-06T20:16:42Z</dcterms:modified>
</cp:coreProperties>
</file>