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CLIMAX JOHN DR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DUBLIN</w:t>
      </w:r>
      <w:r>
        <w:rPr>
          <w:sz w:val="20"/>
          <w:szCs w:val="20"/>
          <w:color w:val="auto"/>
        </w:rPr>
        <w:tab/>
      </w:r>
      <w:r>
        <w:rPr>
          <w:rFonts w:ascii="Times New Roman" w:cs="Times New Roman" w:eastAsia="Times New Roman" w:hAnsi="Times New Roman"/>
          <w:sz w:val="18"/>
          <w:szCs w:val="18"/>
          <w:color w:val="0000FF"/>
        </w:rPr>
        <w:t>D18X5R3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340" w:type="dxa"/>
            <w:vAlign w:val="bottom"/>
          </w:tcPr>
          <w:p>
            <w:pPr>
              <w:jc w:val="center"/>
              <w:ind w:left="1362"/>
              <w:spacing w:after="0"/>
              <w:rPr>
                <w:sz w:val="20"/>
                <w:szCs w:val="20"/>
                <w:color w:val="auto"/>
              </w:rPr>
            </w:pPr>
            <w:r>
              <w:rPr>
                <w:rFonts w:ascii="Times New Roman" w:cs="Times New Roman" w:eastAsia="Times New Roman" w:hAnsi="Times New Roman"/>
                <w:sz w:val="20"/>
                <w:szCs w:val="20"/>
                <w:color w:val="0000FF"/>
                <w:w w:val="97"/>
              </w:rPr>
              <w:t>1,196</w:t>
            </w:r>
          </w:p>
        </w:tc>
        <w:tc>
          <w:tcPr>
            <w:tcW w:w="106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44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340" w:type="dxa"/>
            <w:vAlign w:val="bottom"/>
            <w:tcBorders>
              <w:bottom w:val="single" w:sz="8" w:color="2C2C2C"/>
            </w:tcBorders>
          </w:tcPr>
          <w:p>
            <w:pPr>
              <w:jc w:val="center"/>
              <w:ind w:left="1362"/>
              <w:spacing w:after="0"/>
              <w:rPr>
                <w:sz w:val="20"/>
                <w:szCs w:val="20"/>
                <w:color w:val="auto"/>
              </w:rPr>
            </w:pPr>
            <w:r>
              <w:rPr>
                <w:rFonts w:ascii="Times New Roman" w:cs="Times New Roman" w:eastAsia="Times New Roman" w:hAnsi="Times New Roman"/>
                <w:sz w:val="20"/>
                <w:szCs w:val="20"/>
                <w:color w:val="0000FF"/>
                <w:w w:val="98"/>
              </w:rPr>
              <w:t>285,151</w:t>
            </w:r>
          </w:p>
        </w:tc>
        <w:tc>
          <w:tcPr>
            <w:tcW w:w="1060" w:type="dxa"/>
            <w:vAlign w:val="bottom"/>
            <w:tcBorders>
              <w:bottom w:val="single" w:sz="8" w:color="2C2C2C"/>
            </w:tcBorders>
          </w:tcPr>
          <w:p>
            <w:pPr>
              <w:jc w:val="center"/>
              <w:ind w:left="22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Held by Poplar Limited</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340" w:type="dxa"/>
            <w:vAlign w:val="bottom"/>
            <w:tcBorders>
              <w:bottom w:val="single" w:sz="8" w:color="2C2C2C"/>
            </w:tcBorders>
          </w:tcPr>
          <w:p>
            <w:pPr>
              <w:jc w:val="center"/>
              <w:ind w:left="1362"/>
              <w:spacing w:after="0"/>
              <w:rPr>
                <w:sz w:val="20"/>
                <w:szCs w:val="20"/>
                <w:color w:val="auto"/>
              </w:rPr>
            </w:pPr>
            <w:r>
              <w:rPr>
                <w:rFonts w:ascii="Times New Roman" w:cs="Times New Roman" w:eastAsia="Times New Roman" w:hAnsi="Times New Roman"/>
                <w:sz w:val="20"/>
                <w:szCs w:val="20"/>
                <w:color w:val="0000FF"/>
                <w:w w:val="97"/>
              </w:rPr>
              <w:t>1,310</w:t>
            </w:r>
          </w:p>
        </w:tc>
        <w:tc>
          <w:tcPr>
            <w:tcW w:w="1060" w:type="dxa"/>
            <w:vAlign w:val="bottom"/>
            <w:tcBorders>
              <w:bottom w:val="single" w:sz="8" w:color="2C2C2C"/>
            </w:tcBorders>
          </w:tcPr>
          <w:p>
            <w:pPr>
              <w:jc w:val="center"/>
              <w:ind w:left="22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Held by White Poplar Limited</w:t>
            </w:r>
            <w:r>
              <w:rPr>
                <w:rFonts w:ascii="Times New Roman" w:cs="Times New Roman" w:eastAsia="Times New Roman" w:hAnsi="Times New Roman"/>
                <w:sz w:val="25"/>
                <w:szCs w:val="25"/>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0000FF"/>
              </w:rPr>
              <w:t>05/18/2026</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5,005</w:t>
            </w: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0000FF"/>
              </w:rPr>
              <w:t>125.74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3"/>
                <w:szCs w:val="13"/>
                <w:color w:val="008000"/>
              </w:rPr>
              <w:t>(4)</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1,732</w:t>
            </w:r>
          </w:p>
        </w:tc>
        <w:tc>
          <w:tcPr>
            <w:tcW w:w="980" w:type="dxa"/>
            <w:vAlign w:val="bottom"/>
          </w:tcPr>
          <w:p>
            <w:pPr>
              <w:jc w:val="right"/>
              <w:ind w:right="344"/>
              <w:spacing w:after="0"/>
              <w:rPr>
                <w:sz w:val="20"/>
                <w:szCs w:val="20"/>
                <w:color w:val="auto"/>
              </w:rPr>
            </w:pPr>
            <w:r>
              <w:rPr>
                <w:rFonts w:ascii="Times New Roman" w:cs="Times New Roman" w:eastAsia="Times New Roman" w:hAnsi="Times New Roman"/>
                <w:sz w:val="13"/>
                <w:szCs w:val="13"/>
                <w:color w:val="008000"/>
              </w:rPr>
              <w:t>(4)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majority shareholder of Poplar Limited and, as a result, may be deemed to beneficially own the shares held by Poplar Limited. The reporting person disclaims beneficial ownership of such shares except to the extent of the reporting person's pecuniary interest therein.</w:t>
      </w:r>
    </w:p>
    <w:p>
      <w:pPr>
        <w:spacing w:after="0" w:line="17" w:lineRule="exact"/>
        <w:rPr>
          <w:rFonts w:ascii="Times New Roman" w:cs="Times New Roman" w:eastAsia="Times New Roman" w:hAnsi="Times New Roman"/>
          <w:sz w:val="15"/>
          <w:szCs w:val="15"/>
          <w:color w:val="008000"/>
        </w:rPr>
      </w:pPr>
    </w:p>
    <w:p>
      <w:pPr>
        <w:ind w:left="40" w:right="4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majority shareholder of White Poplar Limited and, as a result, may be deemed to beneficially own the shares held by White Poplar Limited. The reporting person disclaims beneficial ownership of such shares except to the extent of the reporting person's pecuniary interest therein.</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Fully vested.</w:t>
      </w:r>
    </w:p>
    <w:p>
      <w:pPr>
        <w:spacing w:after="0" w:line="52"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May 22, 2025 and vest in full on, where applicable, the later of (i) the first anniversary of the grant date and (ii) the date of payment of withholding taxes.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Dr. John Climax</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Dr. John Climax</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67476"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2026-03-18T14:24:35Z</dcterms:created>
  <dcterms:modified xsi:type="dcterms:W3CDTF">2026-03-18T14:24:35Z</dcterms:modified>
</cp:coreProperties>
</file>