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25"/>
          <w:szCs w:val="25"/>
          <w:b w:val="1"/>
          <w:bCs w:val="1"/>
          <w:color w:val="auto"/>
        </w:rPr>
        <w:t>FORM 6-K</w:t>
      </w:r>
    </w:p>
    <w:p>
      <w:pPr>
        <w:spacing w:after="0" w:line="253" w:lineRule="exact"/>
        <w:rPr>
          <w:sz w:val="24"/>
          <w:szCs w:val="24"/>
          <w:color w:val="auto"/>
        </w:rPr>
      </w:pPr>
    </w:p>
    <w:p>
      <w:pPr>
        <w:jc w:val="center"/>
        <w:ind w:right="-119"/>
        <w:spacing w:after="0"/>
        <w:rPr>
          <w:sz w:val="20"/>
          <w:szCs w:val="20"/>
          <w:color w:val="auto"/>
        </w:rPr>
      </w:pPr>
      <w:r>
        <w:rPr>
          <w:rFonts w:ascii="Arial" w:cs="Arial" w:eastAsia="Arial" w:hAnsi="Arial"/>
          <w:sz w:val="25"/>
          <w:szCs w:val="25"/>
          <w:b w:val="1"/>
          <w:bCs w:val="1"/>
          <w:color w:val="auto"/>
        </w:rPr>
        <w:t>SECURITIES AND EXCHANGE COMMISSION</w:t>
      </w:r>
    </w:p>
    <w:p>
      <w:pPr>
        <w:spacing w:after="0" w:line="254"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Washington, D.C. 20549</w:t>
      </w:r>
    </w:p>
    <w:p>
      <w:pPr>
        <w:spacing w:after="0" w:line="227"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Report of Foreign Private Issuer</w:t>
      </w:r>
    </w:p>
    <w:p>
      <w:pPr>
        <w:spacing w:after="0" w:line="4"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Pursuant to Rule 13a-16 under</w:t>
      </w:r>
    </w:p>
    <w:p>
      <w:pPr>
        <w:jc w:val="center"/>
        <w:ind w:right="-119"/>
        <w:spacing w:after="0"/>
        <w:rPr>
          <w:sz w:val="20"/>
          <w:szCs w:val="20"/>
          <w:color w:val="auto"/>
        </w:rPr>
      </w:pPr>
      <w:r>
        <w:rPr>
          <w:rFonts w:ascii="Arial" w:cs="Arial" w:eastAsia="Arial" w:hAnsi="Arial"/>
          <w:sz w:val="22"/>
          <w:szCs w:val="22"/>
          <w:b w:val="1"/>
          <w:bCs w:val="1"/>
          <w:color w:val="auto"/>
        </w:rPr>
        <w:t>the Securities Exchange Act of 1934</w:t>
      </w:r>
    </w:p>
    <w:p>
      <w:pPr>
        <w:spacing w:after="0" w:line="200" w:lineRule="exact"/>
        <w:rPr>
          <w:sz w:val="24"/>
          <w:szCs w:val="24"/>
          <w:color w:val="auto"/>
        </w:rPr>
      </w:pPr>
    </w:p>
    <w:p>
      <w:pPr>
        <w:spacing w:after="0" w:line="258"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 xml:space="preserve">For the month ended </w:t>
      </w:r>
      <w:r>
        <w:rPr>
          <w:rFonts w:ascii="Arial" w:cs="Arial" w:eastAsia="Arial" w:hAnsi="Arial"/>
          <w:sz w:val="18"/>
          <w:szCs w:val="18"/>
          <w:color w:val="auto"/>
        </w:rPr>
        <w:t>January, 2018</w:t>
      </w:r>
    </w:p>
    <w:p>
      <w:pPr>
        <w:spacing w:after="0" w:line="200" w:lineRule="exact"/>
        <w:rPr>
          <w:sz w:val="24"/>
          <w:szCs w:val="24"/>
          <w:color w:val="auto"/>
        </w:rPr>
      </w:pPr>
    </w:p>
    <w:p>
      <w:pPr>
        <w:spacing w:after="0" w:line="257"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ICON plc</w:t>
      </w:r>
    </w:p>
    <w:p>
      <w:pPr>
        <w:spacing w:after="0" w:line="34"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(R</w:t>
      </w:r>
      <w:r>
        <w:rPr>
          <w:rFonts w:ascii="Arial" w:cs="Arial" w:eastAsia="Arial" w:hAnsi="Arial"/>
          <w:sz w:val="18"/>
          <w:szCs w:val="18"/>
          <w:color w:val="auto"/>
        </w:rPr>
        <w:t>egistrant's name)</w:t>
      </w:r>
    </w:p>
    <w:p>
      <w:pPr>
        <w:spacing w:after="0" w:line="200" w:lineRule="exact"/>
        <w:rPr>
          <w:sz w:val="24"/>
          <w:szCs w:val="24"/>
          <w:color w:val="auto"/>
        </w:rPr>
      </w:pPr>
    </w:p>
    <w:p>
      <w:pPr>
        <w:spacing w:after="0" w:line="252"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333-08704</w:t>
      </w:r>
    </w:p>
    <w:p>
      <w:pPr>
        <w:spacing w:after="0" w:line="14"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(Commission file number)</w:t>
      </w:r>
    </w:p>
    <w:p>
      <w:pPr>
        <w:spacing w:after="0" w:line="200" w:lineRule="exact"/>
        <w:rPr>
          <w:sz w:val="24"/>
          <w:szCs w:val="24"/>
          <w:color w:val="auto"/>
        </w:rPr>
      </w:pPr>
    </w:p>
    <w:p>
      <w:pPr>
        <w:spacing w:after="0" w:line="258"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South County Business Park, Leopardstown, Dublin 18, Ireland</w:t>
      </w:r>
    </w:p>
    <w:p>
      <w:pPr>
        <w:spacing w:after="0" w:line="8"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(Address of principal executive offices)</w:t>
      </w:r>
    </w:p>
    <w:p>
      <w:pPr>
        <w:spacing w:after="0" w:line="215"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Brendan Brennan, CFO</w:t>
      </w:r>
    </w:p>
    <w:p>
      <w:pPr>
        <w:jc w:val="center"/>
        <w:ind w:right="-119"/>
        <w:spacing w:after="0" w:line="238" w:lineRule="auto"/>
        <w:rPr>
          <w:sz w:val="20"/>
          <w:szCs w:val="20"/>
          <w:color w:val="auto"/>
        </w:rPr>
      </w:pPr>
      <w:r>
        <w:rPr>
          <w:rFonts w:ascii="Arial" w:cs="Arial" w:eastAsia="Arial" w:hAnsi="Arial"/>
          <w:sz w:val="22"/>
          <w:szCs w:val="22"/>
          <w:color w:val="auto"/>
        </w:rPr>
        <w:t>South County Business Park, Leopardstown, Dublin 18, Ireland.</w:t>
      </w:r>
    </w:p>
    <w:p>
      <w:pPr>
        <w:jc w:val="center"/>
        <w:ind w:right="-119"/>
        <w:spacing w:after="0" w:line="230" w:lineRule="auto"/>
        <w:rPr>
          <w:sz w:val="20"/>
          <w:szCs w:val="20"/>
          <w:color w:val="auto"/>
        </w:rPr>
      </w:pPr>
      <w:r>
        <w:rPr>
          <w:rFonts w:ascii="Arial" w:cs="Arial" w:eastAsia="Arial" w:hAnsi="Arial"/>
          <w:sz w:val="22"/>
          <w:szCs w:val="22"/>
          <w:color w:val="auto"/>
        </w:rPr>
        <w:t>Brendan.Brennan@iconplc.com</w:t>
      </w:r>
    </w:p>
    <w:p>
      <w:pPr>
        <w:jc w:val="center"/>
        <w:ind w:right="-119"/>
        <w:spacing w:after="0" w:line="231" w:lineRule="auto"/>
        <w:rPr>
          <w:sz w:val="20"/>
          <w:szCs w:val="20"/>
          <w:color w:val="auto"/>
        </w:rPr>
      </w:pPr>
      <w:r>
        <w:rPr>
          <w:rFonts w:ascii="Arial" w:cs="Arial" w:eastAsia="Arial" w:hAnsi="Arial"/>
          <w:sz w:val="22"/>
          <w:szCs w:val="22"/>
          <w:color w:val="auto"/>
        </w:rPr>
        <w:t>00-353-1-291-2000</w:t>
      </w:r>
    </w:p>
    <w:p>
      <w:pPr>
        <w:spacing w:after="0" w:line="1"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(Name, telephone number, email and/or facsimile number and address of Company contact person)</w:t>
      </w:r>
    </w:p>
    <w:p>
      <w:pPr>
        <w:spacing w:after="0" w:line="200" w:lineRule="exact"/>
        <w:rPr>
          <w:sz w:val="24"/>
          <w:szCs w:val="24"/>
          <w:color w:val="auto"/>
        </w:rPr>
      </w:pPr>
    </w:p>
    <w:p>
      <w:pPr>
        <w:spacing w:after="0" w:line="231" w:lineRule="exact"/>
        <w:rPr>
          <w:sz w:val="24"/>
          <w:szCs w:val="24"/>
          <w:color w:val="auto"/>
        </w:rPr>
      </w:pPr>
    </w:p>
    <w:p>
      <w:pPr>
        <w:spacing w:after="0"/>
        <w:rPr>
          <w:sz w:val="20"/>
          <w:szCs w:val="20"/>
          <w:color w:val="auto"/>
        </w:rPr>
      </w:pPr>
      <w:r>
        <w:rPr>
          <w:rFonts w:ascii="Arial" w:cs="Arial" w:eastAsia="Arial" w:hAnsi="Arial"/>
          <w:sz w:val="22"/>
          <w:szCs w:val="22"/>
          <w:color w:val="auto"/>
        </w:rPr>
        <w:t>Indicate by check mark whether the registrant files or will file annual reports under cover Form 20-F or Form 40-F.</w:t>
      </w:r>
    </w:p>
    <w:p>
      <w:pPr>
        <w:spacing w:after="0" w:line="200" w:lineRule="exact"/>
        <w:rPr>
          <w:sz w:val="24"/>
          <w:szCs w:val="24"/>
          <w:color w:val="auto"/>
        </w:rPr>
      </w:pPr>
    </w:p>
    <w:p>
      <w:pPr>
        <w:ind w:left="4080"/>
        <w:spacing w:after="0"/>
        <w:tabs>
          <w:tab w:leader="none" w:pos="7060" w:val="left"/>
        </w:tabs>
        <w:rPr>
          <w:sz w:val="20"/>
          <w:szCs w:val="20"/>
          <w:color w:val="auto"/>
        </w:rPr>
      </w:pPr>
      <w:r>
        <w:rPr>
          <w:rFonts w:ascii="Arial" w:cs="Arial" w:eastAsia="Arial" w:hAnsi="Arial"/>
          <w:sz w:val="22"/>
          <w:szCs w:val="22"/>
          <w:color w:val="auto"/>
        </w:rPr>
        <w:t>Yes___</w:t>
      </w:r>
      <w:r>
        <w:rPr>
          <w:rFonts w:ascii="Arial" w:cs="Arial" w:eastAsia="Arial" w:hAnsi="Arial"/>
          <w:sz w:val="22"/>
          <w:szCs w:val="22"/>
          <w:b w:val="1"/>
          <w:bCs w:val="1"/>
          <w:u w:val="single" w:color="auto"/>
          <w:color w:val="auto"/>
        </w:rPr>
        <w:t>X</w:t>
      </w:r>
      <w:r>
        <w:rPr>
          <w:rFonts w:ascii="Arial" w:cs="Arial" w:eastAsia="Arial" w:hAnsi="Arial"/>
          <w:sz w:val="22"/>
          <w:szCs w:val="22"/>
          <w:color w:val="auto"/>
        </w:rPr>
        <w:t>___</w:t>
      </w:r>
      <w:r>
        <w:rPr>
          <w:sz w:val="20"/>
          <w:szCs w:val="20"/>
          <w:color w:val="auto"/>
        </w:rPr>
        <w:tab/>
      </w:r>
      <w:r>
        <w:rPr>
          <w:rFonts w:ascii="Arial" w:cs="Arial" w:eastAsia="Arial" w:hAnsi="Arial"/>
          <w:sz w:val="19"/>
          <w:szCs w:val="19"/>
          <w:color w:val="auto"/>
        </w:rPr>
        <w:t>No___</w:t>
      </w:r>
      <w:r>
        <w:rPr>
          <w:rFonts w:ascii="Arial" w:cs="Arial" w:eastAsia="Arial" w:hAnsi="Arial"/>
          <w:sz w:val="19"/>
          <w:szCs w:val="19"/>
          <w:b w:val="1"/>
          <w:bCs w:val="1"/>
          <w:color w:val="auto"/>
        </w:rPr>
        <w:t>_</w:t>
      </w:r>
      <w:r>
        <w:rPr>
          <w:rFonts w:ascii="Arial" w:cs="Arial" w:eastAsia="Arial" w:hAnsi="Arial"/>
          <w:sz w:val="19"/>
          <w:szCs w:val="19"/>
          <w:color w:val="auto"/>
        </w:rPr>
        <w:t>___</w:t>
      </w:r>
    </w:p>
    <w:p>
      <w:pPr>
        <w:spacing w:after="0" w:line="200" w:lineRule="exact"/>
        <w:rPr>
          <w:sz w:val="24"/>
          <w:szCs w:val="24"/>
          <w:color w:val="auto"/>
        </w:rPr>
      </w:pPr>
    </w:p>
    <w:p>
      <w:pPr>
        <w:spacing w:after="0" w:line="255" w:lineRule="exact"/>
        <w:rPr>
          <w:sz w:val="24"/>
          <w:szCs w:val="24"/>
          <w:color w:val="auto"/>
        </w:rPr>
      </w:pPr>
    </w:p>
    <w:p>
      <w:pPr>
        <w:spacing w:after="0"/>
        <w:rPr>
          <w:sz w:val="20"/>
          <w:szCs w:val="20"/>
          <w:color w:val="auto"/>
        </w:rPr>
      </w:pPr>
      <w:r>
        <w:rPr>
          <w:rFonts w:ascii="Arial" w:cs="Arial" w:eastAsia="Arial" w:hAnsi="Arial"/>
          <w:sz w:val="19"/>
          <w:szCs w:val="19"/>
          <w:color w:val="auto"/>
        </w:rPr>
        <w:t>Indicate by check mark whether the registrant is submitting the Form 6-K in paper as permitted by Regulation S-T Rule 101(b)(1):</w:t>
      </w:r>
    </w:p>
    <w:p>
      <w:pPr>
        <w:spacing w:after="0" w:line="235" w:lineRule="exact"/>
        <w:rPr>
          <w:sz w:val="24"/>
          <w:szCs w:val="24"/>
          <w:color w:val="auto"/>
        </w:rPr>
      </w:pPr>
    </w:p>
    <w:p>
      <w:pPr>
        <w:ind w:left="4100"/>
        <w:spacing w:after="0"/>
        <w:tabs>
          <w:tab w:leader="none" w:pos="6980" w:val="left"/>
        </w:tabs>
        <w:rPr>
          <w:sz w:val="20"/>
          <w:szCs w:val="20"/>
          <w:color w:val="auto"/>
        </w:rPr>
      </w:pPr>
      <w:r>
        <w:rPr>
          <w:rFonts w:ascii="Arial" w:cs="Arial" w:eastAsia="Arial" w:hAnsi="Arial"/>
          <w:sz w:val="22"/>
          <w:szCs w:val="22"/>
          <w:color w:val="auto"/>
        </w:rPr>
        <w:t>Yes______</w:t>
      </w:r>
      <w:r>
        <w:rPr>
          <w:sz w:val="20"/>
          <w:szCs w:val="20"/>
          <w:color w:val="auto"/>
        </w:rPr>
        <w:tab/>
      </w:r>
      <w:r>
        <w:rPr>
          <w:rFonts w:ascii="Arial" w:cs="Arial" w:eastAsia="Arial" w:hAnsi="Arial"/>
          <w:sz w:val="19"/>
          <w:szCs w:val="19"/>
          <w:color w:val="auto"/>
        </w:rPr>
        <w:t>No___</w:t>
      </w:r>
      <w:r>
        <w:rPr>
          <w:rFonts w:ascii="Arial" w:cs="Arial" w:eastAsia="Arial" w:hAnsi="Arial"/>
          <w:sz w:val="19"/>
          <w:szCs w:val="19"/>
          <w:b w:val="1"/>
          <w:bCs w:val="1"/>
          <w:u w:val="single" w:color="auto"/>
          <w:color w:val="auto"/>
        </w:rPr>
        <w:t>X</w:t>
      </w:r>
      <w:r>
        <w:rPr>
          <w:rFonts w:ascii="Arial" w:cs="Arial" w:eastAsia="Arial" w:hAnsi="Arial"/>
          <w:sz w:val="19"/>
          <w:szCs w:val="19"/>
          <w:color w:val="auto"/>
        </w:rPr>
        <w:t>___</w:t>
      </w:r>
    </w:p>
    <w:p>
      <w:pPr>
        <w:spacing w:after="0" w:line="200" w:lineRule="exact"/>
        <w:rPr>
          <w:sz w:val="24"/>
          <w:szCs w:val="24"/>
          <w:color w:val="auto"/>
        </w:rPr>
      </w:pPr>
    </w:p>
    <w:p>
      <w:pPr>
        <w:spacing w:after="0" w:line="255" w:lineRule="exact"/>
        <w:rPr>
          <w:sz w:val="24"/>
          <w:szCs w:val="24"/>
          <w:color w:val="auto"/>
        </w:rPr>
      </w:pPr>
    </w:p>
    <w:p>
      <w:pPr>
        <w:spacing w:after="0"/>
        <w:rPr>
          <w:sz w:val="20"/>
          <w:szCs w:val="20"/>
          <w:color w:val="auto"/>
        </w:rPr>
      </w:pPr>
      <w:r>
        <w:rPr>
          <w:rFonts w:ascii="Arial" w:cs="Arial" w:eastAsia="Arial" w:hAnsi="Arial"/>
          <w:sz w:val="19"/>
          <w:szCs w:val="19"/>
          <w:color w:val="auto"/>
        </w:rPr>
        <w:t>Indicate by check mark whether the registrant is submitting the Form 6-K in paper as permitted by Regulation S-T Rule 101(b)(7):</w:t>
      </w:r>
    </w:p>
    <w:p>
      <w:pPr>
        <w:spacing w:after="0" w:line="235" w:lineRule="exact"/>
        <w:rPr>
          <w:sz w:val="24"/>
          <w:szCs w:val="24"/>
          <w:color w:val="auto"/>
        </w:rPr>
      </w:pPr>
    </w:p>
    <w:p>
      <w:pPr>
        <w:ind w:left="4100"/>
        <w:spacing w:after="0"/>
        <w:tabs>
          <w:tab w:leader="none" w:pos="6980" w:val="left"/>
        </w:tabs>
        <w:rPr>
          <w:sz w:val="20"/>
          <w:szCs w:val="20"/>
          <w:color w:val="auto"/>
        </w:rPr>
      </w:pPr>
      <w:r>
        <w:rPr>
          <w:rFonts w:ascii="Arial" w:cs="Arial" w:eastAsia="Arial" w:hAnsi="Arial"/>
          <w:sz w:val="22"/>
          <w:szCs w:val="22"/>
          <w:color w:val="auto"/>
        </w:rPr>
        <w:t>Yes______</w:t>
      </w:r>
      <w:r>
        <w:rPr>
          <w:sz w:val="20"/>
          <w:szCs w:val="20"/>
          <w:color w:val="auto"/>
        </w:rPr>
        <w:tab/>
      </w:r>
      <w:r>
        <w:rPr>
          <w:rFonts w:ascii="Arial" w:cs="Arial" w:eastAsia="Arial" w:hAnsi="Arial"/>
          <w:sz w:val="19"/>
          <w:szCs w:val="19"/>
          <w:color w:val="auto"/>
        </w:rPr>
        <w:t>No___</w:t>
      </w:r>
      <w:r>
        <w:rPr>
          <w:rFonts w:ascii="Arial" w:cs="Arial" w:eastAsia="Arial" w:hAnsi="Arial"/>
          <w:sz w:val="19"/>
          <w:szCs w:val="19"/>
          <w:b w:val="1"/>
          <w:bCs w:val="1"/>
          <w:u w:val="single" w:color="auto"/>
          <w:color w:val="auto"/>
        </w:rPr>
        <w:t>X</w:t>
      </w:r>
      <w:r>
        <w:rPr>
          <w:rFonts w:ascii="Arial" w:cs="Arial" w:eastAsia="Arial" w:hAnsi="Arial"/>
          <w:sz w:val="19"/>
          <w:szCs w:val="19"/>
          <w:color w:val="auto"/>
        </w:rPr>
        <w:t>___</w:t>
      </w:r>
    </w:p>
    <w:p>
      <w:pPr>
        <w:spacing w:after="0" w:line="200" w:lineRule="exact"/>
        <w:rPr>
          <w:sz w:val="24"/>
          <w:szCs w:val="24"/>
          <w:color w:val="auto"/>
        </w:rPr>
      </w:pPr>
    </w:p>
    <w:p>
      <w:pPr>
        <w:spacing w:after="0" w:line="255" w:lineRule="exact"/>
        <w:rPr>
          <w:sz w:val="24"/>
          <w:szCs w:val="24"/>
          <w:color w:val="auto"/>
        </w:rPr>
      </w:pPr>
    </w:p>
    <w:p>
      <w:pPr>
        <w:ind w:right="160"/>
        <w:spacing w:after="0" w:line="274" w:lineRule="auto"/>
        <w:rPr>
          <w:sz w:val="20"/>
          <w:szCs w:val="20"/>
          <w:color w:val="auto"/>
        </w:rPr>
      </w:pPr>
      <w:r>
        <w:rPr>
          <w:rFonts w:ascii="Arial" w:cs="Arial" w:eastAsia="Arial" w:hAnsi="Arial"/>
          <w:sz w:val="21"/>
          <w:szCs w:val="21"/>
          <w:color w:val="auto"/>
        </w:rPr>
        <w:t>Indicate by check mark whether the registrant by furnishing the information contained in this Form is also thereby furnishing the information to the Commission pursuant to Rule 12g3-2(b) under the Securities Exchange Act of 1934.</w:t>
      </w:r>
    </w:p>
    <w:p>
      <w:pPr>
        <w:spacing w:after="0" w:line="145" w:lineRule="exact"/>
        <w:rPr>
          <w:sz w:val="24"/>
          <w:szCs w:val="24"/>
          <w:color w:val="auto"/>
        </w:rPr>
      </w:pPr>
    </w:p>
    <w:p>
      <w:pPr>
        <w:ind w:left="4080"/>
        <w:spacing w:after="0"/>
        <w:tabs>
          <w:tab w:leader="none" w:pos="7020" w:val="left"/>
        </w:tabs>
        <w:rPr>
          <w:sz w:val="20"/>
          <w:szCs w:val="20"/>
          <w:color w:val="auto"/>
        </w:rPr>
      </w:pPr>
      <w:r>
        <w:rPr>
          <w:rFonts w:ascii="Arial" w:cs="Arial" w:eastAsia="Arial" w:hAnsi="Arial"/>
          <w:sz w:val="22"/>
          <w:szCs w:val="22"/>
          <w:color w:val="auto"/>
        </w:rPr>
        <w:t>Yes___</w:t>
      </w:r>
      <w:r>
        <w:rPr>
          <w:rFonts w:ascii="Arial" w:cs="Arial" w:eastAsia="Arial" w:hAnsi="Arial"/>
          <w:sz w:val="22"/>
          <w:szCs w:val="22"/>
          <w:b w:val="1"/>
          <w:bCs w:val="1"/>
          <w:color w:val="auto"/>
        </w:rPr>
        <w:t>_</w:t>
      </w:r>
      <w:r>
        <w:rPr>
          <w:rFonts w:ascii="Arial" w:cs="Arial" w:eastAsia="Arial" w:hAnsi="Arial"/>
          <w:sz w:val="22"/>
          <w:szCs w:val="22"/>
          <w:color w:val="auto"/>
        </w:rPr>
        <w:t>___</w:t>
      </w:r>
      <w:r>
        <w:rPr>
          <w:sz w:val="20"/>
          <w:szCs w:val="20"/>
          <w:color w:val="auto"/>
        </w:rPr>
        <w:tab/>
      </w:r>
      <w:r>
        <w:rPr>
          <w:rFonts w:ascii="Arial" w:cs="Arial" w:eastAsia="Arial" w:hAnsi="Arial"/>
          <w:sz w:val="19"/>
          <w:szCs w:val="19"/>
          <w:color w:val="auto"/>
        </w:rPr>
        <w:t>No___</w:t>
      </w:r>
      <w:r>
        <w:rPr>
          <w:rFonts w:ascii="Arial" w:cs="Arial" w:eastAsia="Arial" w:hAnsi="Arial"/>
          <w:sz w:val="19"/>
          <w:szCs w:val="19"/>
          <w:b w:val="1"/>
          <w:bCs w:val="1"/>
          <w:u w:val="single" w:color="auto"/>
          <w:color w:val="auto"/>
        </w:rPr>
        <w:t>X</w:t>
      </w:r>
      <w:r>
        <w:rPr>
          <w:rFonts w:ascii="Arial" w:cs="Arial" w:eastAsia="Arial" w:hAnsi="Arial"/>
          <w:sz w:val="19"/>
          <w:szCs w:val="19"/>
          <w:color w:val="auto"/>
        </w:rPr>
        <w:t>___</w:t>
      </w:r>
    </w:p>
    <w:p>
      <w:pPr>
        <w:sectPr>
          <w:pgSz w:w="11900" w:h="16838" w:orient="portrait"/>
          <w:cols w:equalWidth="0" w:num="1">
            <w:col w:w="11300"/>
          </w:cols>
          <w:pgMar w:left="240" w:top="468" w:right="359" w:bottom="1440" w:gutter="0" w:footer="0" w:header="0"/>
        </w:sectPr>
      </w:pPr>
    </w:p>
    <w:p>
      <w:pPr>
        <w:spacing w:after="0" w:line="200" w:lineRule="exact"/>
        <w:rPr>
          <w:sz w:val="24"/>
          <w:szCs w:val="24"/>
          <w:color w:val="auto"/>
        </w:rPr>
      </w:pPr>
    </w:p>
    <w:p>
      <w:pPr>
        <w:spacing w:after="0" w:line="249" w:lineRule="exact"/>
        <w:rPr>
          <w:sz w:val="24"/>
          <w:szCs w:val="24"/>
          <w:color w:val="auto"/>
        </w:rPr>
      </w:pPr>
    </w:p>
    <w:p>
      <w:pPr>
        <w:spacing w:after="0"/>
        <w:tabs>
          <w:tab w:leader="none" w:pos="10180" w:val="left"/>
        </w:tabs>
        <w:rPr>
          <w:sz w:val="20"/>
          <w:szCs w:val="20"/>
          <w:color w:val="auto"/>
        </w:rPr>
      </w:pPr>
      <w:r>
        <w:rPr>
          <w:rFonts w:ascii="Arial" w:cs="Arial" w:eastAsia="Arial" w:hAnsi="Arial"/>
          <w:sz w:val="21"/>
          <w:szCs w:val="21"/>
          <w:color w:val="auto"/>
        </w:rPr>
        <w:t>If "Yes" is marked, indicate below the file number assigned to the registrant in connection with Rule 12g3-2(b):82</w:t>
      </w:r>
      <w:r>
        <w:rPr>
          <w:sz w:val="20"/>
          <w:szCs w:val="20"/>
          <w:color w:val="auto"/>
        </w:rPr>
        <w:tab/>
      </w:r>
      <w:r>
        <w:rPr>
          <w:rFonts w:ascii="Arial" w:cs="Arial" w:eastAsia="Arial" w:hAnsi="Arial"/>
          <w:sz w:val="19"/>
          <w:szCs w:val="19"/>
          <w:b w:val="1"/>
          <w:bCs w:val="1"/>
          <w:color w:val="auto"/>
        </w:rPr>
        <w:t>N/A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297180</wp:posOffset>
            </wp:positionV>
            <wp:extent cx="7272020" cy="596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300"/>
          </w:cols>
          <w:pgMar w:left="240" w:top="468" w:right="359" w:bottom="1440" w:gutter="0" w:footer="0" w:header="0"/>
          <w:type w:val="continuous"/>
        </w:sectPr>
      </w:pPr>
    </w:p>
    <w:bookmarkStart w:id="1" w:name="page2"/>
    <w:bookmarkEnd w:id="1"/>
    <w:p>
      <w:pPr>
        <w:ind w:left="5100"/>
        <w:spacing w:after="0"/>
        <w:rPr>
          <w:sz w:val="20"/>
          <w:szCs w:val="20"/>
          <w:color w:val="auto"/>
        </w:rPr>
      </w:pPr>
      <w:r>
        <w:rPr>
          <w:rFonts w:ascii="Arial" w:cs="Arial" w:eastAsia="Arial" w:hAnsi="Arial"/>
          <w:sz w:val="18"/>
          <w:szCs w:val="18"/>
          <w:b w:val="1"/>
          <w:bCs w:val="1"/>
          <w:u w:val="single" w:color="auto"/>
          <w:color w:val="auto"/>
        </w:rPr>
        <w:t>EXHIBIT LIST</w:t>
      </w:r>
    </w:p>
    <w:p>
      <w:pPr>
        <w:spacing w:after="0" w:line="243" w:lineRule="exact"/>
        <w:rPr>
          <w:sz w:val="20"/>
          <w:szCs w:val="20"/>
          <w:color w:val="auto"/>
        </w:rPr>
      </w:pPr>
    </w:p>
    <w:p>
      <w:pPr>
        <w:spacing w:after="0"/>
        <w:tabs>
          <w:tab w:leader="none" w:pos="1140" w:val="left"/>
        </w:tabs>
        <w:rPr>
          <w:sz w:val="20"/>
          <w:szCs w:val="20"/>
          <w:color w:val="auto"/>
        </w:rPr>
      </w:pPr>
      <w:r>
        <w:rPr>
          <w:rFonts w:ascii="Arial" w:cs="Arial" w:eastAsia="Arial" w:hAnsi="Arial"/>
          <w:sz w:val="18"/>
          <w:szCs w:val="18"/>
          <w:u w:val="single" w:color="auto"/>
          <w:color w:val="auto"/>
        </w:rPr>
        <w:t>Exhibit</w:t>
      </w:r>
      <w:r>
        <w:rPr>
          <w:sz w:val="20"/>
          <w:szCs w:val="20"/>
          <w:color w:val="auto"/>
        </w:rPr>
        <w:tab/>
      </w:r>
      <w:r>
        <w:rPr>
          <w:rFonts w:ascii="Arial" w:cs="Arial" w:eastAsia="Arial" w:hAnsi="Arial"/>
          <w:sz w:val="18"/>
          <w:szCs w:val="18"/>
          <w:u w:val="single" w:color="auto"/>
          <w:color w:val="auto"/>
        </w:rPr>
        <w:t>Description</w:t>
      </w:r>
    </w:p>
    <w:p>
      <w:pPr>
        <w:spacing w:after="0" w:line="279" w:lineRule="exact"/>
        <w:rPr>
          <w:sz w:val="20"/>
          <w:szCs w:val="20"/>
          <w:color w:val="auto"/>
        </w:rPr>
      </w:pPr>
    </w:p>
    <w:p>
      <w:pPr>
        <w:spacing w:after="0"/>
        <w:tabs>
          <w:tab w:leader="none" w:pos="1140" w:val="left"/>
        </w:tabs>
        <w:rPr>
          <w:sz w:val="20"/>
          <w:szCs w:val="20"/>
          <w:color w:val="auto"/>
        </w:rPr>
      </w:pPr>
      <w:r>
        <w:rPr>
          <w:rFonts w:ascii="Arial" w:cs="Arial" w:eastAsia="Arial" w:hAnsi="Arial"/>
          <w:sz w:val="18"/>
          <w:szCs w:val="18"/>
          <w:u w:val="single" w:color="auto"/>
          <w:color w:val="0000EE"/>
        </w:rPr>
        <w:t>99.1</w:t>
      </w:r>
      <w:r>
        <w:rPr>
          <w:sz w:val="20"/>
          <w:szCs w:val="20"/>
          <w:color w:val="auto"/>
        </w:rPr>
        <w:tab/>
      </w:r>
      <w:r>
        <w:rPr>
          <w:rFonts w:ascii="Arial" w:cs="Arial" w:eastAsia="Arial" w:hAnsi="Arial"/>
          <w:sz w:val="16"/>
          <w:szCs w:val="16"/>
          <w:u w:val="single" w:color="auto"/>
          <w:color w:val="0000EE"/>
        </w:rPr>
        <w:t>ICON plc Press Release issued January 9, 2018 - ICON Issues Financial Guidance for Full Year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147955</wp:posOffset>
            </wp:positionV>
            <wp:extent cx="7272020" cy="596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0219"/>
          </w:cols>
          <w:pgMar w:left="240" w:top="364" w:right="1440" w:bottom="1440" w:gutter="0" w:footer="0" w:header="0"/>
        </w:sectPr>
      </w:pPr>
    </w:p>
    <w:bookmarkStart w:id="2" w:name="page3"/>
    <w:bookmarkEnd w:id="2"/>
    <w:p>
      <w:pPr>
        <w:jc w:val="center"/>
        <w:ind w:right="-199"/>
        <w:spacing w:after="0"/>
        <w:rPr>
          <w:sz w:val="20"/>
          <w:szCs w:val="20"/>
          <w:color w:val="auto"/>
        </w:rPr>
      </w:pPr>
      <w:r>
        <w:rPr>
          <w:rFonts w:ascii="Arial" w:cs="Arial" w:eastAsia="Arial" w:hAnsi="Arial"/>
          <w:sz w:val="18"/>
          <w:szCs w:val="18"/>
          <w:b w:val="1"/>
          <w:bCs w:val="1"/>
          <w:color w:val="auto"/>
        </w:rPr>
        <w:t>SIGNATURES</w:t>
      </w:r>
    </w:p>
    <w:p>
      <w:pPr>
        <w:spacing w:after="0" w:line="222" w:lineRule="exact"/>
        <w:rPr>
          <w:sz w:val="20"/>
          <w:szCs w:val="20"/>
          <w:color w:val="auto"/>
        </w:rPr>
      </w:pPr>
    </w:p>
    <w:p>
      <w:pPr>
        <w:spacing w:after="0" w:line="251"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thereunto duly authorized.</w:t>
      </w:r>
    </w:p>
    <w:p>
      <w:pPr>
        <w:spacing w:after="0" w:line="190" w:lineRule="exact"/>
        <w:rPr>
          <w:sz w:val="20"/>
          <w:szCs w:val="20"/>
          <w:color w:val="auto"/>
        </w:rPr>
      </w:pPr>
    </w:p>
    <w:p>
      <w:pPr>
        <w:ind w:left="6860"/>
        <w:spacing w:after="0"/>
        <w:rPr>
          <w:sz w:val="20"/>
          <w:szCs w:val="20"/>
          <w:color w:val="auto"/>
        </w:rPr>
      </w:pPr>
      <w:r>
        <w:rPr>
          <w:rFonts w:ascii="Arial" w:cs="Arial" w:eastAsia="Arial" w:hAnsi="Arial"/>
          <w:sz w:val="18"/>
          <w:szCs w:val="18"/>
          <w:b w:val="1"/>
          <w:bCs w:val="1"/>
          <w:color w:val="auto"/>
        </w:rPr>
        <w:t>ICON plc</w:t>
      </w: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/s/ Brendan Brennan</w:t>
      </w:r>
    </w:p>
    <w:p>
      <w:pPr>
        <w:spacing w:after="0" w:line="36" w:lineRule="exact"/>
        <w:rPr>
          <w:sz w:val="20"/>
          <w:szCs w:val="20"/>
          <w:color w:val="auto"/>
        </w:rPr>
      </w:pPr>
    </w:p>
    <w:p>
      <w:pPr>
        <w:ind w:left="580" w:right="2700" w:hanging="6846"/>
        <w:spacing w:after="0" w:line="274" w:lineRule="auto"/>
        <w:tabs>
          <w:tab w:leader="none" w:pos="560" w:val="left"/>
        </w:tabs>
        <w:rPr>
          <w:sz w:val="20"/>
          <w:szCs w:val="20"/>
          <w:color w:val="auto"/>
        </w:rPr>
      </w:pPr>
      <w:r>
        <w:rPr>
          <w:rFonts w:ascii="Arial" w:cs="Arial" w:eastAsia="Arial" w:hAnsi="Arial"/>
          <w:sz w:val="18"/>
          <w:szCs w:val="18"/>
          <w:color w:val="auto"/>
        </w:rPr>
        <w:t>Date:</w:t>
        <w:tab/>
        <w:t>January 9, 2018 Brendan Brennan Chief Financial Officer</w:t>
      </w:r>
    </w:p>
    <w:p>
      <w:pPr>
        <w:sectPr>
          <w:pgSz w:w="11900" w:h="16838" w:orient="portrait"/>
          <w:cols w:equalWidth="0" w:num="1">
            <w:col w:w="11240"/>
          </w:cols>
          <w:pgMar w:left="240" w:top="364" w:right="419" w:bottom="1440" w:gutter="0" w:footer="0" w:header="0"/>
        </w:sectPr>
      </w:pPr>
    </w:p>
    <w:bookmarkStart w:id="3" w:name="page4"/>
    <w:bookmarkEnd w:id="3"/>
    <w:p>
      <w:pPr>
        <w:jc w:val="right"/>
        <w:spacing w:after="0"/>
        <w:rPr>
          <w:sz w:val="20"/>
          <w:szCs w:val="20"/>
          <w:color w:val="auto"/>
        </w:rPr>
      </w:pPr>
      <w:r>
        <w:rPr>
          <w:rFonts w:ascii="Arial" w:cs="Arial" w:eastAsia="Arial" w:hAnsi="Arial"/>
          <w:sz w:val="22"/>
          <w:szCs w:val="22"/>
          <w:b w:val="1"/>
          <w:bCs w:val="1"/>
          <w:color w:val="auto"/>
        </w:rPr>
        <w:t>Exhibit 99.1</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ICON Issues Financial Guidance for Full Year 2018</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Highlights</w:t>
      </w:r>
    </w:p>
    <w:p>
      <w:pPr>
        <w:spacing w:after="0" w:line="206" w:lineRule="exact"/>
        <w:rPr>
          <w:sz w:val="20"/>
          <w:szCs w:val="20"/>
          <w:color w:val="auto"/>
        </w:rPr>
      </w:pPr>
    </w:p>
    <w:p>
      <w:pPr>
        <w:ind w:left="540"/>
        <w:spacing w:after="0"/>
        <w:rPr>
          <w:sz w:val="20"/>
          <w:szCs w:val="20"/>
          <w:color w:val="auto"/>
        </w:rPr>
      </w:pPr>
      <w:r>
        <w:rPr>
          <w:rFonts w:ascii="Arial" w:cs="Arial" w:eastAsia="Arial" w:hAnsi="Arial"/>
          <w:sz w:val="22"/>
          <w:szCs w:val="22"/>
          <w:b w:val="1"/>
          <w:bCs w:val="1"/>
          <w:color w:val="auto"/>
        </w:rPr>
        <w:t>Full Year 2018 Revenue guidance in the range of $1,870 - $1,930 million, representing growth of 7 - 10%.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-95250</wp:posOffset>
            </wp:positionV>
            <wp:extent cx="68580" cy="685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05" w:lineRule="exact"/>
        <w:rPr>
          <w:sz w:val="20"/>
          <w:szCs w:val="20"/>
          <w:color w:val="auto"/>
        </w:rPr>
      </w:pPr>
    </w:p>
    <w:p>
      <w:pPr>
        <w:ind w:left="540"/>
        <w:spacing w:after="0"/>
        <w:rPr>
          <w:sz w:val="20"/>
          <w:szCs w:val="20"/>
          <w:color w:val="auto"/>
        </w:rPr>
      </w:pPr>
      <w:r>
        <w:rPr>
          <w:rFonts w:ascii="Arial" w:cs="Arial" w:eastAsia="Arial" w:hAnsi="Arial"/>
          <w:sz w:val="21"/>
          <w:szCs w:val="21"/>
          <w:b w:val="1"/>
          <w:bCs w:val="1"/>
          <w:color w:val="auto"/>
        </w:rPr>
        <w:t>Full Year 2018 Earnings per share guidance in the range of $5.89 - $6.09, representing growth of 10 – 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-87630</wp:posOffset>
            </wp:positionV>
            <wp:extent cx="68580" cy="685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98" w:lineRule="exact"/>
        <w:rPr>
          <w:sz w:val="20"/>
          <w:szCs w:val="20"/>
          <w:color w:val="auto"/>
        </w:rPr>
      </w:pPr>
    </w:p>
    <w:p>
      <w:pPr>
        <w:ind w:right="80"/>
        <w:spacing w:after="0" w:line="289" w:lineRule="auto"/>
        <w:rPr>
          <w:sz w:val="20"/>
          <w:szCs w:val="20"/>
          <w:color w:val="auto"/>
        </w:rPr>
      </w:pPr>
      <w:r>
        <w:rPr>
          <w:rFonts w:ascii="Arial" w:cs="Arial" w:eastAsia="Arial" w:hAnsi="Arial"/>
          <w:sz w:val="19"/>
          <w:szCs w:val="19"/>
          <w:color w:val="auto"/>
        </w:rPr>
        <w:t>DUBLIN--(BUSINESS WIRE)--January 9, 2018--</w:t>
      </w:r>
      <w:r>
        <w:rPr>
          <w:rFonts w:ascii="Arial" w:cs="Arial" w:eastAsia="Arial" w:hAnsi="Arial"/>
          <w:sz w:val="19"/>
          <w:szCs w:val="19"/>
          <w:b w:val="1"/>
          <w:bCs w:val="1"/>
          <w:color w:val="auto"/>
        </w:rPr>
        <w:t>ICON plc (NASDAQ: ICLR),</w:t>
      </w:r>
      <w:r>
        <w:rPr>
          <w:rFonts w:ascii="Arial" w:cs="Arial" w:eastAsia="Arial" w:hAnsi="Arial"/>
          <w:sz w:val="19"/>
          <w:szCs w:val="19"/>
          <w:color w:val="auto"/>
        </w:rPr>
        <w:t xml:space="preserve"> a global provider of drug development solutions and services to the pharmaceutical, biotechnology and medical device industries, today announced its financial guidance for the year ended December 31, 2018. For the full year 2018 revenue will be in the range of $1,870 - $1,930 million, representing growth of 7 - 10% and earnings per share will be in the range of $5.89 - $6.09, representing growth of 10 - 13%.</w:t>
      </w:r>
    </w:p>
    <w:p>
      <w:pPr>
        <w:spacing w:after="0" w:line="142" w:lineRule="exact"/>
        <w:rPr>
          <w:sz w:val="20"/>
          <w:szCs w:val="20"/>
          <w:color w:val="auto"/>
        </w:rPr>
      </w:pPr>
    </w:p>
    <w:p>
      <w:pPr>
        <w:ind w:right="100"/>
        <w:spacing w:after="0" w:line="270" w:lineRule="auto"/>
        <w:rPr>
          <w:sz w:val="20"/>
          <w:szCs w:val="20"/>
          <w:color w:val="auto"/>
        </w:rPr>
      </w:pPr>
      <w:r>
        <w:rPr>
          <w:rFonts w:ascii="Arial" w:cs="Arial" w:eastAsia="Arial" w:hAnsi="Arial"/>
          <w:sz w:val="19"/>
          <w:szCs w:val="19"/>
          <w:color w:val="auto"/>
        </w:rPr>
        <w:t>CEO Steve Cutler commented “</w:t>
      </w:r>
      <w:r>
        <w:rPr>
          <w:rFonts w:ascii="Arial" w:cs="Arial" w:eastAsia="Arial" w:hAnsi="Arial"/>
          <w:sz w:val="19"/>
          <w:szCs w:val="19"/>
          <w:i w:val="1"/>
          <w:iCs w:val="1"/>
          <w:color w:val="auto"/>
        </w:rPr>
        <w:t>We expect 2018 to be another strong year of revenue and earnings progression for ICON. The</w:t>
      </w:r>
      <w:r>
        <w:rPr>
          <w:rFonts w:ascii="Arial" w:cs="Arial" w:eastAsia="Arial" w:hAnsi="Arial"/>
          <w:sz w:val="19"/>
          <w:szCs w:val="19"/>
          <w:color w:val="auto"/>
        </w:rPr>
        <w:t xml:space="preserve"> </w:t>
      </w:r>
      <w:r>
        <w:rPr>
          <w:rFonts w:ascii="Arial" w:cs="Arial" w:eastAsia="Arial" w:hAnsi="Arial"/>
          <w:sz w:val="19"/>
          <w:szCs w:val="19"/>
          <w:i w:val="1"/>
          <w:iCs w:val="1"/>
          <w:color w:val="auto"/>
        </w:rPr>
        <w:t>momentum created by our positive business win trends has helped diversify our business by adding new sponsors and partnerships across all customer segments. Consequently we expect revenue to grow by 7 - 10% to a range of $1,870 - $1,930 million whilst reducing our full year concentration of our largest customer to circa 12 – 14%. Furthermore, by leveraging our support infrastructure, we aim to continue our best in industry cost management approach and expect earnings per share to increase by 10</w:t>
      </w:r>
    </w:p>
    <w:p>
      <w:pPr>
        <w:spacing w:after="0" w:line="4" w:lineRule="exact"/>
        <w:rPr>
          <w:sz w:val="20"/>
          <w:szCs w:val="20"/>
          <w:color w:val="auto"/>
        </w:rPr>
      </w:pPr>
    </w:p>
    <w:p>
      <w:pPr>
        <w:ind w:right="280"/>
        <w:spacing w:after="0" w:line="237" w:lineRule="auto"/>
        <w:rPr>
          <w:sz w:val="20"/>
          <w:szCs w:val="20"/>
          <w:color w:val="auto"/>
        </w:rPr>
      </w:pPr>
      <w:r>
        <w:rPr>
          <w:rFonts w:ascii="Arial" w:cs="Arial" w:eastAsia="Arial" w:hAnsi="Arial"/>
          <w:sz w:val="22"/>
          <w:szCs w:val="22"/>
          <w:i w:val="1"/>
          <w:iCs w:val="1"/>
          <w:color w:val="auto"/>
        </w:rPr>
        <w:t>– 13% to a range of $5.89 - $6.09. In addition to this organic growth, we will continue to focus on deploying capital to maximise shareholder value through a combination of M&amp;A and share repurchases.”</w:t>
      </w:r>
    </w:p>
    <w:p>
      <w:pPr>
        <w:spacing w:after="0" w:line="185" w:lineRule="exact"/>
        <w:rPr>
          <w:sz w:val="20"/>
          <w:szCs w:val="20"/>
          <w:color w:val="auto"/>
        </w:rPr>
      </w:pPr>
    </w:p>
    <w:p>
      <w:pPr>
        <w:spacing w:after="0"/>
        <w:rPr>
          <w:sz w:val="20"/>
          <w:szCs w:val="20"/>
          <w:color w:val="auto"/>
        </w:rPr>
      </w:pPr>
      <w:r>
        <w:rPr>
          <w:rFonts w:ascii="Arial" w:cs="Arial" w:eastAsia="Arial" w:hAnsi="Arial"/>
          <w:sz w:val="22"/>
          <w:szCs w:val="22"/>
          <w:color w:val="auto"/>
        </w:rPr>
        <w:t>The full year 2018 financial guidance assumes:</w:t>
      </w:r>
    </w:p>
    <w:p>
      <w:pPr>
        <w:spacing w:after="0" w:line="206" w:lineRule="exact"/>
        <w:rPr>
          <w:sz w:val="20"/>
          <w:szCs w:val="20"/>
          <w:color w:val="auto"/>
        </w:rPr>
      </w:pPr>
    </w:p>
    <w:p>
      <w:pPr>
        <w:ind w:left="540"/>
        <w:spacing w:after="0"/>
        <w:rPr>
          <w:sz w:val="20"/>
          <w:szCs w:val="20"/>
          <w:color w:val="auto"/>
        </w:rPr>
      </w:pPr>
      <w:r>
        <w:rPr>
          <w:rFonts w:ascii="Arial" w:cs="Arial" w:eastAsia="Arial" w:hAnsi="Arial"/>
          <w:sz w:val="22"/>
          <w:szCs w:val="22"/>
          <w:color w:val="auto"/>
        </w:rPr>
        <w:t>Top customer concentration to reduce to circa 12 - 14% of revenue from circa 18% in 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-99060</wp:posOffset>
            </wp:positionV>
            <wp:extent cx="68580" cy="685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05" w:lineRule="exact"/>
        <w:rPr>
          <w:sz w:val="20"/>
          <w:szCs w:val="20"/>
          <w:color w:val="auto"/>
        </w:rPr>
      </w:pPr>
    </w:p>
    <w:p>
      <w:pPr>
        <w:ind w:left="540"/>
        <w:spacing w:after="0"/>
        <w:rPr>
          <w:sz w:val="20"/>
          <w:szCs w:val="20"/>
          <w:color w:val="auto"/>
        </w:rPr>
      </w:pPr>
      <w:r>
        <w:rPr>
          <w:rFonts w:ascii="Arial" w:cs="Arial" w:eastAsia="Arial" w:hAnsi="Arial"/>
          <w:sz w:val="22"/>
          <w:szCs w:val="22"/>
          <w:color w:val="auto"/>
        </w:rPr>
        <w:t>US dollar to Euro exchange rate of $1.20 (constant currency revenue growth of circa 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-99060</wp:posOffset>
            </wp:positionV>
            <wp:extent cx="68580" cy="685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05" w:lineRule="exact"/>
        <w:rPr>
          <w:sz w:val="20"/>
          <w:szCs w:val="20"/>
          <w:color w:val="auto"/>
        </w:rPr>
      </w:pPr>
    </w:p>
    <w:p>
      <w:pPr>
        <w:ind w:left="540"/>
        <w:spacing w:after="0"/>
        <w:rPr>
          <w:sz w:val="20"/>
          <w:szCs w:val="20"/>
          <w:color w:val="auto"/>
        </w:rPr>
      </w:pPr>
      <w:r>
        <w:rPr>
          <w:rFonts w:ascii="Arial" w:cs="Arial" w:eastAsia="Arial" w:hAnsi="Arial"/>
          <w:sz w:val="22"/>
          <w:szCs w:val="22"/>
          <w:color w:val="auto"/>
        </w:rPr>
        <w:t>An effective tax rate of circa 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-99060</wp:posOffset>
            </wp:positionV>
            <wp:extent cx="68580" cy="685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05" w:lineRule="exact"/>
        <w:rPr>
          <w:sz w:val="20"/>
          <w:szCs w:val="20"/>
          <w:color w:val="auto"/>
        </w:rPr>
      </w:pPr>
    </w:p>
    <w:p>
      <w:pPr>
        <w:ind w:left="540"/>
        <w:spacing w:after="0"/>
        <w:rPr>
          <w:sz w:val="20"/>
          <w:szCs w:val="20"/>
          <w:color w:val="auto"/>
        </w:rPr>
      </w:pPr>
      <w:r>
        <w:rPr>
          <w:rFonts w:ascii="Arial" w:cs="Arial" w:eastAsia="Arial" w:hAnsi="Arial"/>
          <w:sz w:val="22"/>
          <w:szCs w:val="22"/>
          <w:color w:val="auto"/>
        </w:rPr>
        <w:t>Circa $360 million of free cash flow and capital expenditures of circa $50 million.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-99060</wp:posOffset>
            </wp:positionV>
            <wp:extent cx="68580" cy="685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05" w:lineRule="exact"/>
        <w:rPr>
          <w:sz w:val="20"/>
          <w:szCs w:val="20"/>
          <w:color w:val="auto"/>
        </w:rPr>
      </w:pPr>
    </w:p>
    <w:p>
      <w:pPr>
        <w:ind w:left="540" w:right="420"/>
        <w:spacing w:after="0" w:line="251" w:lineRule="auto"/>
        <w:rPr>
          <w:sz w:val="20"/>
          <w:szCs w:val="20"/>
          <w:color w:val="auto"/>
        </w:rPr>
      </w:pPr>
      <w:r>
        <w:rPr>
          <w:rFonts w:ascii="Arial" w:cs="Arial" w:eastAsia="Arial" w:hAnsi="Arial"/>
          <w:sz w:val="22"/>
          <w:szCs w:val="22"/>
          <w:color w:val="auto"/>
        </w:rPr>
        <w:t>$25 million worth of shares repurchased in Q4 2017 from current up to $400 million repurchase programme contributing circa 3c to 2018 earnings.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-274320</wp:posOffset>
            </wp:positionV>
            <wp:extent cx="68580" cy="685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72" w:lineRule="exact"/>
        <w:rPr>
          <w:sz w:val="20"/>
          <w:szCs w:val="20"/>
          <w:color w:val="auto"/>
        </w:rPr>
      </w:pPr>
    </w:p>
    <w:p>
      <w:pPr>
        <w:ind w:left="540" w:right="40"/>
        <w:spacing w:after="0" w:line="251" w:lineRule="auto"/>
        <w:rPr>
          <w:sz w:val="20"/>
          <w:szCs w:val="20"/>
          <w:color w:val="auto"/>
        </w:rPr>
      </w:pPr>
      <w:r>
        <w:rPr>
          <w:rFonts w:ascii="Arial" w:cs="Arial" w:eastAsia="Arial" w:hAnsi="Arial"/>
          <w:sz w:val="22"/>
          <w:szCs w:val="22"/>
          <w:color w:val="auto"/>
        </w:rPr>
        <w:t>Remaining authorisation of up to $157 million to be executed opportunistically during 2018 depending on cash commitments to support M&amp;A pipeline, no additional earnings benefit included in guidance.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-274320</wp:posOffset>
            </wp:positionV>
            <wp:extent cx="68580" cy="685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53" w:lineRule="exact"/>
        <w:rPr>
          <w:sz w:val="20"/>
          <w:szCs w:val="20"/>
          <w:color w:val="auto"/>
        </w:rPr>
      </w:pPr>
    </w:p>
    <w:p>
      <w:pPr>
        <w:ind w:right="80"/>
        <w:spacing w:after="0" w:line="251" w:lineRule="auto"/>
        <w:rPr>
          <w:sz w:val="20"/>
          <w:szCs w:val="20"/>
          <w:color w:val="auto"/>
        </w:rPr>
      </w:pPr>
      <w:r>
        <w:rPr>
          <w:rFonts w:ascii="Arial" w:cs="Arial" w:eastAsia="Arial" w:hAnsi="Arial"/>
          <w:sz w:val="22"/>
          <w:szCs w:val="22"/>
          <w:color w:val="auto"/>
        </w:rPr>
        <w:t>With respect to 2017, the company confirmed its current guidance, of revenue in the range of $1,740 – $1,770 million and earnings in the range of $5.30 - $5.40.</w:t>
      </w:r>
    </w:p>
    <w:p>
      <w:pPr>
        <w:spacing w:after="0" w:line="132" w:lineRule="exact"/>
        <w:rPr>
          <w:sz w:val="20"/>
          <w:szCs w:val="20"/>
          <w:color w:val="auto"/>
        </w:rPr>
      </w:pPr>
    </w:p>
    <w:p>
      <w:pPr>
        <w:spacing w:after="0"/>
        <w:rPr>
          <w:sz w:val="20"/>
          <w:szCs w:val="20"/>
          <w:color w:val="auto"/>
        </w:rPr>
      </w:pPr>
      <w:r>
        <w:rPr>
          <w:rFonts w:ascii="Arial" w:cs="Arial" w:eastAsia="Arial" w:hAnsi="Arial"/>
          <w:sz w:val="19"/>
          <w:szCs w:val="19"/>
          <w:color w:val="auto"/>
        </w:rPr>
        <w:t xml:space="preserve">ICON will be presenting at the JP Morgan Healthcare Conference on </w:t>
      </w:r>
      <w:r>
        <w:rPr>
          <w:rFonts w:ascii="Arial" w:cs="Arial" w:eastAsia="Arial" w:hAnsi="Arial"/>
          <w:sz w:val="19"/>
          <w:szCs w:val="19"/>
          <w:b w:val="1"/>
          <w:bCs w:val="1"/>
          <w:color w:val="auto"/>
        </w:rPr>
        <w:t>January 9</w:t>
      </w:r>
      <w:r>
        <w:rPr>
          <w:rFonts w:ascii="Arial" w:cs="Arial" w:eastAsia="Arial" w:hAnsi="Arial"/>
          <w:sz w:val="31"/>
          <w:szCs w:val="31"/>
          <w:b w:val="1"/>
          <w:bCs w:val="1"/>
          <w:color w:val="auto"/>
          <w:vertAlign w:val="superscript"/>
        </w:rPr>
        <w:t>th</w:t>
      </w:r>
      <w:r>
        <w:rPr>
          <w:rFonts w:ascii="Arial" w:cs="Arial" w:eastAsia="Arial" w:hAnsi="Arial"/>
          <w:sz w:val="19"/>
          <w:szCs w:val="19"/>
          <w:color w:val="auto"/>
        </w:rPr>
        <w:t xml:space="preserve"> </w:t>
      </w:r>
      <w:r>
        <w:rPr>
          <w:rFonts w:ascii="Arial" w:cs="Arial" w:eastAsia="Arial" w:hAnsi="Arial"/>
          <w:sz w:val="19"/>
          <w:szCs w:val="19"/>
          <w:b w:val="1"/>
          <w:bCs w:val="1"/>
          <w:color w:val="auto"/>
        </w:rPr>
        <w:t>at 9:30am PT (12:30pm EST, 5:30pm Ireland</w:t>
      </w:r>
    </w:p>
    <w:p>
      <w:pPr>
        <w:ind w:right="640" w:firstLine="8"/>
        <w:spacing w:after="0" w:line="237" w:lineRule="auto"/>
        <w:tabs>
          <w:tab w:leader="none" w:pos="234" w:val="left"/>
        </w:tabs>
        <w:numPr>
          <w:ilvl w:val="0"/>
          <w:numId w:val="2"/>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UK). </w:t>
      </w:r>
      <w:r>
        <w:rPr>
          <w:rFonts w:ascii="Arial" w:cs="Arial" w:eastAsia="Arial" w:hAnsi="Arial"/>
          <w:sz w:val="22"/>
          <w:szCs w:val="22"/>
          <w:color w:val="auto"/>
        </w:rPr>
        <w:t>This presentation and follow-on Q&amp;A can be accessed live from the ICON website at</w:t>
      </w:r>
      <w:r>
        <w:rPr>
          <w:rFonts w:ascii="Arial" w:cs="Arial" w:eastAsia="Arial" w:hAnsi="Arial"/>
          <w:sz w:val="22"/>
          <w:szCs w:val="22"/>
          <w:b w:val="1"/>
          <w:bCs w:val="1"/>
          <w:color w:val="auto"/>
        </w:rPr>
        <w:t xml:space="preserve"> </w:t>
      </w:r>
      <w:r>
        <w:rPr>
          <w:rFonts w:ascii="Arial" w:cs="Arial" w:eastAsia="Arial" w:hAnsi="Arial"/>
          <w:sz w:val="22"/>
          <w:szCs w:val="22"/>
          <w:u w:val="single" w:color="auto"/>
          <w:color w:val="auto"/>
        </w:rPr>
        <w:t>http://investor.iconplc.com</w:t>
      </w:r>
      <w:r>
        <w:rPr>
          <w:rFonts w:ascii="Arial" w:cs="Arial" w:eastAsia="Arial" w:hAnsi="Arial"/>
          <w:sz w:val="22"/>
          <w:szCs w:val="22"/>
          <w:color w:val="auto"/>
        </w:rPr>
        <w:t>. A</w:t>
      </w:r>
      <w:r>
        <w:rPr>
          <w:rFonts w:ascii="Arial" w:cs="Arial" w:eastAsia="Arial" w:hAnsi="Arial"/>
          <w:sz w:val="22"/>
          <w:szCs w:val="22"/>
          <w:b w:val="1"/>
          <w:bCs w:val="1"/>
          <w:color w:val="auto"/>
        </w:rPr>
        <w:t xml:space="preserve"> </w:t>
      </w:r>
      <w:r>
        <w:rPr>
          <w:rFonts w:ascii="Arial" w:cs="Arial" w:eastAsia="Arial" w:hAnsi="Arial"/>
          <w:sz w:val="22"/>
          <w:szCs w:val="22"/>
          <w:color w:val="auto"/>
        </w:rPr>
        <w:t>recording will also be available on the website for 90 days following the call.</w:t>
      </w:r>
    </w:p>
    <w:p>
      <w:pPr>
        <w:spacing w:after="0" w:line="185" w:lineRule="exact"/>
        <w:rPr>
          <w:sz w:val="20"/>
          <w:szCs w:val="20"/>
          <w:color w:val="auto"/>
        </w:rPr>
      </w:pPr>
    </w:p>
    <w:p>
      <w:pPr>
        <w:spacing w:after="0" w:line="271" w:lineRule="auto"/>
        <w:rPr>
          <w:sz w:val="20"/>
          <w:szCs w:val="20"/>
          <w:color w:val="auto"/>
        </w:rPr>
      </w:pPr>
      <w:r>
        <w:rPr>
          <w:rFonts w:ascii="Arial" w:cs="Arial" w:eastAsia="Arial" w:hAnsi="Arial"/>
          <w:sz w:val="19"/>
          <w:szCs w:val="19"/>
          <w:color w:val="auto"/>
        </w:rPr>
        <w:t xml:space="preserve">This press release contains forward-looking statements. These statements are based on management's current expectations and information currently available, including current economic and industry conditions. These statements are not guarantees of future performance or actual results, and actual results, developments and business decisions may differ from those stated in this press release. The forward-looking statements are subject to future events, risks, uncertainties and other factors that could cause actual results to differ materially from those projected in the statements, including, but not limited to, the ability to enter into new contracts, maintain client relationships, manage the opening of new offices and offering of new services, the integration of new business mergers and acquisitions, as well as economic and global market conditions and other risks and uncertainties detailed from time to time in SEC reports filed by ICON, all of which are difficult to predict and some of which are beyond our control. For these reasons, you should not place undue reliance on these forward-looking statements when making investment decisions. The word "expected" and variations of such words and similar expressions are intended to identify forward-looking statements. Forward-looking statements are only as of the date they are made and we do not undertake any obligation to update publicly any forward-looking statement, either as a result of new information, future events or otherwise. More information about the risks and uncertainties relating to these forward-looking statements may be found in SEC reports filed by ICON, including its Form 20-F, F-1, S-8 and F-3, which are available on the SEC's website at </w:t>
      </w:r>
      <w:r>
        <w:rPr>
          <w:rFonts w:ascii="Arial" w:cs="Arial" w:eastAsia="Arial" w:hAnsi="Arial"/>
          <w:sz w:val="19"/>
          <w:szCs w:val="19"/>
          <w:u w:val="single" w:color="auto"/>
          <w:color w:val="auto"/>
        </w:rPr>
        <w:t>http://www.sec.gov</w:t>
      </w:r>
      <w:r>
        <w:rPr>
          <w:rFonts w:ascii="Arial" w:cs="Arial" w:eastAsia="Arial" w:hAnsi="Arial"/>
          <w:sz w:val="19"/>
          <w:szCs w:val="19"/>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106045</wp:posOffset>
            </wp:positionV>
            <wp:extent cx="7272020" cy="596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420"/>
          </w:cols>
          <w:pgMar w:left="240" w:top="112" w:right="239" w:bottom="1440" w:gutter="0" w:footer="0" w:header="0"/>
        </w:sectPr>
      </w:pPr>
    </w:p>
    <w:bookmarkStart w:id="4" w:name="page5"/>
    <w:bookmarkEnd w:id="4"/>
    <w:p>
      <w:pPr>
        <w:spacing w:after="0" w:line="236" w:lineRule="auto"/>
        <w:rPr>
          <w:sz w:val="20"/>
          <w:szCs w:val="20"/>
          <w:color w:val="auto"/>
        </w:rPr>
      </w:pPr>
      <w:r>
        <w:rPr>
          <w:rFonts w:ascii="Arial" w:cs="Arial" w:eastAsia="Arial" w:hAnsi="Arial"/>
          <w:sz w:val="22"/>
          <w:szCs w:val="22"/>
          <w:color w:val="auto"/>
        </w:rPr>
        <w:t xml:space="preserve">ICON plc is a global provider of drug development solutions and services to the pharmaceutical, biotechnology and medical device industries. The company specialises in the strategic development, management and analysis of programs that support clinical development - from compound selection to Phase I-IV clinical studies. With headquarters in Dublin, Ireland, ICON currently, operates from 97 locations in 38 countries and has approximately 13,100 employees. Further information is available at </w:t>
      </w:r>
      <w:r>
        <w:rPr>
          <w:rFonts w:ascii="Arial" w:cs="Arial" w:eastAsia="Arial" w:hAnsi="Arial"/>
          <w:sz w:val="22"/>
          <w:szCs w:val="22"/>
          <w:u w:val="single" w:color="auto"/>
          <w:color w:val="auto"/>
        </w:rPr>
        <w:t>www.iconplc.com</w:t>
      </w:r>
      <w:r>
        <w:rPr>
          <w:rFonts w:ascii="Arial" w:cs="Arial" w:eastAsia="Arial" w:hAnsi="Arial"/>
          <w:sz w:val="22"/>
          <w:szCs w:val="22"/>
          <w:color w:val="auto"/>
        </w:rPr>
        <w:t>.</w:t>
      </w:r>
    </w:p>
    <w:p>
      <w:pPr>
        <w:spacing w:after="0" w:line="18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ICON/ICLR-F</w:t>
      </w:r>
    </w:p>
    <w:p>
      <w:pPr>
        <w:spacing w:after="0" w:line="212" w:lineRule="exact"/>
        <w:rPr>
          <w:sz w:val="20"/>
          <w:szCs w:val="20"/>
          <w:color w:val="auto"/>
        </w:rPr>
      </w:pPr>
    </w:p>
    <w:p>
      <w:pPr>
        <w:spacing w:after="0"/>
        <w:rPr>
          <w:sz w:val="20"/>
          <w:szCs w:val="20"/>
          <w:color w:val="auto"/>
        </w:rPr>
      </w:pPr>
      <w:r>
        <w:rPr>
          <w:rFonts w:ascii="Arial" w:cs="Arial" w:eastAsia="Arial" w:hAnsi="Arial"/>
          <w:sz w:val="22"/>
          <w:szCs w:val="22"/>
          <w:color w:val="auto"/>
        </w:rPr>
        <w:t>CONTACT:</w:t>
      </w:r>
    </w:p>
    <w:p>
      <w:pPr>
        <w:spacing w:after="0" w:line="238" w:lineRule="auto"/>
        <w:rPr>
          <w:sz w:val="20"/>
          <w:szCs w:val="20"/>
          <w:color w:val="auto"/>
        </w:rPr>
      </w:pPr>
      <w:r>
        <w:rPr>
          <w:rFonts w:ascii="Arial" w:cs="Arial" w:eastAsia="Arial" w:hAnsi="Arial"/>
          <w:sz w:val="22"/>
          <w:szCs w:val="22"/>
          <w:color w:val="auto"/>
        </w:rPr>
        <w:t>ICON plc</w:t>
      </w:r>
    </w:p>
    <w:p>
      <w:pPr>
        <w:spacing w:after="0" w:line="230" w:lineRule="auto"/>
        <w:rPr>
          <w:sz w:val="20"/>
          <w:szCs w:val="20"/>
          <w:color w:val="auto"/>
        </w:rPr>
      </w:pPr>
      <w:r>
        <w:rPr>
          <w:rFonts w:ascii="Arial" w:cs="Arial" w:eastAsia="Arial" w:hAnsi="Arial"/>
          <w:sz w:val="22"/>
          <w:szCs w:val="22"/>
          <w:color w:val="auto"/>
        </w:rPr>
        <w:t>Investor Relations</w:t>
      </w:r>
    </w:p>
    <w:p>
      <w:pPr>
        <w:spacing w:after="0" w:line="231" w:lineRule="auto"/>
        <w:rPr>
          <w:sz w:val="20"/>
          <w:szCs w:val="20"/>
          <w:color w:val="auto"/>
        </w:rPr>
      </w:pPr>
      <w:r>
        <w:rPr>
          <w:rFonts w:ascii="Arial" w:cs="Arial" w:eastAsia="Arial" w:hAnsi="Arial"/>
          <w:sz w:val="22"/>
          <w:szCs w:val="22"/>
          <w:color w:val="auto"/>
        </w:rPr>
        <w:t>1-888-381-7923</w:t>
      </w:r>
    </w:p>
    <w:p>
      <w:pPr>
        <w:spacing w:after="0" w:line="231" w:lineRule="auto"/>
        <w:rPr>
          <w:sz w:val="20"/>
          <w:szCs w:val="20"/>
          <w:color w:val="auto"/>
        </w:rPr>
      </w:pPr>
      <w:r>
        <w:rPr>
          <w:rFonts w:ascii="Arial" w:cs="Arial" w:eastAsia="Arial" w:hAnsi="Arial"/>
          <w:sz w:val="22"/>
          <w:szCs w:val="22"/>
          <w:color w:val="auto"/>
        </w:rPr>
        <w:t>or</w:t>
      </w:r>
    </w:p>
    <w:p>
      <w:pPr>
        <w:spacing w:after="0" w:line="230" w:lineRule="auto"/>
        <w:rPr>
          <w:sz w:val="20"/>
          <w:szCs w:val="20"/>
          <w:color w:val="auto"/>
        </w:rPr>
      </w:pPr>
      <w:r>
        <w:rPr>
          <w:rFonts w:ascii="Arial" w:cs="Arial" w:eastAsia="Arial" w:hAnsi="Arial"/>
          <w:sz w:val="22"/>
          <w:szCs w:val="22"/>
          <w:color w:val="auto"/>
        </w:rPr>
        <w:t>Brendan Brennan</w:t>
      </w:r>
    </w:p>
    <w:p>
      <w:pPr>
        <w:spacing w:after="0" w:line="231" w:lineRule="auto"/>
        <w:rPr>
          <w:sz w:val="20"/>
          <w:szCs w:val="20"/>
          <w:color w:val="auto"/>
        </w:rPr>
      </w:pPr>
      <w:r>
        <w:rPr>
          <w:rFonts w:ascii="Arial" w:cs="Arial" w:eastAsia="Arial" w:hAnsi="Arial"/>
          <w:sz w:val="22"/>
          <w:szCs w:val="22"/>
          <w:color w:val="auto"/>
        </w:rPr>
        <w:t>Chief Financial Officer</w:t>
      </w:r>
    </w:p>
    <w:p>
      <w:pPr>
        <w:spacing w:after="0" w:line="1" w:lineRule="exact"/>
        <w:rPr>
          <w:sz w:val="20"/>
          <w:szCs w:val="20"/>
          <w:color w:val="auto"/>
        </w:rPr>
      </w:pPr>
    </w:p>
    <w:p>
      <w:pPr>
        <w:ind w:right="9680" w:firstLine="8"/>
        <w:spacing w:after="0" w:line="230" w:lineRule="auto"/>
        <w:tabs>
          <w:tab w:leader="none" w:pos="176" w:val="left"/>
        </w:tabs>
        <w:numPr>
          <w:ilvl w:val="0"/>
          <w:numId w:val="3"/>
        </w:numPr>
        <w:rPr>
          <w:rFonts w:ascii="Arial" w:cs="Arial" w:eastAsia="Arial" w:hAnsi="Arial"/>
          <w:sz w:val="22"/>
          <w:szCs w:val="22"/>
          <w:color w:val="auto"/>
        </w:rPr>
      </w:pPr>
      <w:r>
        <w:rPr>
          <w:rFonts w:ascii="Arial" w:cs="Arial" w:eastAsia="Arial" w:hAnsi="Arial"/>
          <w:sz w:val="22"/>
          <w:szCs w:val="22"/>
          <w:color w:val="auto"/>
        </w:rPr>
        <w:t>353 –1-291-2000 or</w:t>
      </w:r>
    </w:p>
    <w:p>
      <w:pPr>
        <w:spacing w:after="0" w:line="1" w:lineRule="exact"/>
        <w:rPr>
          <w:rFonts w:ascii="Arial" w:cs="Arial" w:eastAsia="Arial" w:hAnsi="Arial"/>
          <w:sz w:val="22"/>
          <w:szCs w:val="22"/>
          <w:color w:val="auto"/>
        </w:rPr>
      </w:pPr>
    </w:p>
    <w:p>
      <w:pPr>
        <w:spacing w:after="0" w:line="230" w:lineRule="auto"/>
        <w:rPr>
          <w:rFonts w:ascii="Arial" w:cs="Arial" w:eastAsia="Arial" w:hAnsi="Arial"/>
          <w:sz w:val="22"/>
          <w:szCs w:val="22"/>
          <w:color w:val="auto"/>
        </w:rPr>
      </w:pPr>
      <w:r>
        <w:rPr>
          <w:rFonts w:ascii="Arial" w:cs="Arial" w:eastAsia="Arial" w:hAnsi="Arial"/>
          <w:sz w:val="22"/>
          <w:szCs w:val="22"/>
          <w:color w:val="auto"/>
        </w:rPr>
        <w:t>Jonathan Curtain</w:t>
      </w:r>
    </w:p>
    <w:p>
      <w:pPr>
        <w:ind w:right="6440"/>
        <w:spacing w:after="0" w:line="237" w:lineRule="auto"/>
        <w:rPr>
          <w:rFonts w:ascii="Arial" w:cs="Arial" w:eastAsia="Arial" w:hAnsi="Arial"/>
          <w:sz w:val="22"/>
          <w:szCs w:val="22"/>
          <w:color w:val="auto"/>
        </w:rPr>
      </w:pPr>
      <w:r>
        <w:rPr>
          <w:rFonts w:ascii="Arial" w:cs="Arial" w:eastAsia="Arial" w:hAnsi="Arial"/>
          <w:sz w:val="22"/>
          <w:szCs w:val="22"/>
          <w:color w:val="auto"/>
        </w:rPr>
        <w:t>Vice President Corporate Finance and Investor Relations +1 215-616-3000</w:t>
      </w:r>
    </w:p>
    <w:sectPr>
      <w:pgSz w:w="11900" w:h="16838" w:orient="portrait"/>
      <w:cols w:equalWidth="0" w:num="1">
        <w:col w:w="11360"/>
      </w:cols>
      <w:pgMar w:left="240" w:top="118" w:right="2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endash "/>
      <w:numFmt w:val="bullet"/>
      <w:start w:val="1"/>
    </w:lvl>
  </w:abstractNum>
  <w:abstractNum w:abstractNumId="1">
    <w:nsid w:val="74B0DC51"/>
    <w:multiLevelType w:val="hybridMultilevel"/>
    <w:lvl w:ilvl="0">
      <w:lvlJc w:val="left"/>
      <w:lvlText w:val="&amp;"/>
      <w:numFmt w:val="bullet"/>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2019-12-06T12:05:52Z</dcterms:created>
  <dcterms:modified xsi:type="dcterms:W3CDTF">2019-12-06T12:05:52Z</dcterms:modified>
</cp:coreProperties>
</file>