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the month ended May, 2016</w:t>
      </w:r>
    </w:p>
    <w:p>
      <w:pPr>
        <w:spacing w:after="0" w:line="220"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333-08704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600" w:val="left"/>
        </w:tabs>
        <w:rPr>
          <w:sz w:val="20"/>
          <w:szCs w:val="20"/>
          <w:color w:val="auto"/>
        </w:rPr>
      </w:pPr>
      <w:r>
        <w:rPr>
          <w:rFonts w:ascii="Arial" w:cs="Arial" w:eastAsia="Arial" w:hAnsi="Arial"/>
          <w:sz w:val="18"/>
          <w:szCs w:val="18"/>
          <w:color w:val="auto"/>
        </w:rPr>
        <w:t>Yes__</w:t>
      </w:r>
      <w:r>
        <w:rPr>
          <w:rFonts w:ascii="Arial" w:cs="Arial" w:eastAsia="Arial" w:hAnsi="Arial"/>
          <w:sz w:val="18"/>
          <w:szCs w:val="18"/>
          <w:b w:val="1"/>
          <w:bCs w:val="1"/>
          <w:color w:val="auto"/>
        </w:rPr>
        <w:t>X</w:t>
      </w: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0" w:lineRule="exact"/>
        <w:rPr>
          <w:sz w:val="24"/>
          <w:szCs w:val="24"/>
          <w:color w:val="auto"/>
        </w:rPr>
      </w:pPr>
    </w:p>
    <w:p>
      <w:pPr>
        <w:spacing w:after="0" w:line="205" w:lineRule="exact"/>
        <w:rPr>
          <w:sz w:val="24"/>
          <w:szCs w:val="24"/>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702"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2016 we had approximately 12,235 employees, in 89 locations in 37 countries. During the three months ended March 31, 2016 we derived approximately 45.9%, 44.1% and 10.0% of our net revenue in the United States, Europe and Rest of World, respectively.</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4, 2015, Inclinix-PMG Holdings, Inc (‘PMG’) was acquired by ICON Clinical Research LLC a subsidiary of the Company, resulting in initial net cash outflows of $63.5 million (including certain payments made on behalf of PMG totaling $9.9 million). PMG is an integrated network of clinical research sites operating from 14 metropolitan areas throughout the US. PMG conducts clinical trials in all major therapeutic areas with particular experience in cardiology, dermatology, endocrinology, gastroenterology, men's health, neurology, pulmonology, rheumatology, vaccine, and women's health trials. In addition to a proprietary research database of clinical trial participants, PMG also has access to over 2 million active patient lives via electronic health records through their unique partnerships with healthcare systems and community physician practices. The acquisition agreement provides for working capital targets to be achieved by PMG within 90 days of acquisition. In March 2016, the Company agreed to pay an additional $1.6 million on completion of this working capital review (</w:t>
      </w:r>
      <w:r>
        <w:rPr>
          <w:rFonts w:ascii="Arial" w:cs="Arial" w:eastAsia="Arial" w:hAnsi="Arial"/>
          <w:sz w:val="17"/>
          <w:szCs w:val="17"/>
          <w:i w:val="1"/>
          <w:iCs w:val="1"/>
          <w:color w:val="auto"/>
        </w:rPr>
        <w:t>see note 3 Business Combinations for further information)</w:t>
      </w:r>
      <w:r>
        <w:rPr>
          <w:rFonts w:ascii="Arial" w:cs="Arial" w:eastAsia="Arial" w:hAnsi="Arial"/>
          <w:sz w:val="17"/>
          <w:szCs w:val="17"/>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completed a share buyback program in December 2015. During the year ended December 31, 2015, the Company redeemed a total of 6,198,481 ordinary shares for a total consideration of $457.9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 In October 2015, the Company entered into an interest rate hedge in respect of the planned issuance of the Senior Notes in December 2015. The interest rate hedge matured in November 2015 when the interest rate on the Senior Notes was fixed. The interest rate hedge was effective in accordance with Financial Accounting Standards Board (“FASB”)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cash proceeds, representing the realized gain on the interest rate hedge were received on maturity in November 2015.</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Changes in Board composition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Company announced that Mr. Thomas Lynch, non-executive Chairman of the Board of Directors, had notified ICON that he will retire as Chairman on 31 March 2016 and will not stand for re-election to the Board at the Company's annual general meeting in July 2016. Mr. Lynch has been a non-executive Director of ICON since 1994 and served as senior independent Director from 2010 to 2012 and as Chairman since January 2013. ICON's senior independent Director, Mr. Declan McKeon, will serve as acting Chairman from Mr. Lynch's retirement as Chairman and the Board has initiated a process to appoint a new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Accounting Standards Update (‘ASU’) 2015-03 ‘</w:t>
      </w:r>
      <w:r>
        <w:rPr>
          <w:rFonts w:ascii="Arial" w:cs="Arial" w:eastAsia="Arial" w:hAnsi="Arial"/>
          <w:sz w:val="17"/>
          <w:szCs w:val="17"/>
          <w:i w:val="1"/>
          <w:iCs w:val="1"/>
          <w:color w:val="auto"/>
        </w:rPr>
        <w:t>Interest – Imputation of Interest (Subtopic 835-30) – Simplifying the Presentation of Debt Issuance Costs’</w:t>
      </w:r>
      <w:r>
        <w:rPr>
          <w:rFonts w:ascii="Arial" w:cs="Arial" w:eastAsia="Arial" w:hAnsi="Arial"/>
          <w:sz w:val="17"/>
          <w:szCs w:val="17"/>
          <w:color w:val="auto"/>
        </w:rPr>
        <w:t xml:space="preserve"> was issued in April 2015 to simplify the presentation of debt issuance costs. The guidance requires debt issuance costs related to term loans to be presented as a direct deduction from the carrying amount of the associated debt liability. The standard is effective for financial statements issued for fiscal years beginning after December 15, 2015 and interim periods within those fiscal years. The new guidance is reflected in the Condensed Consolidated Financial Statements (unaudited) presented. The new guidance is also required to be applied on a retrospective basis. The Condensed Consolidated Balance Sheet at December 31, 2015 has therefore been restated to reflect the accounting standards update.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MARCH 31, 2016 AND DECEMBER 31,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(Unaudited)</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31,</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2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20" w:type="dxa"/>
            <w:vAlign w:val="bottom"/>
          </w:tcPr>
          <w:p>
            <w:pPr>
              <w:spacing w:after="0"/>
              <w:rPr>
                <w:sz w:val="19"/>
                <w:szCs w:val="19"/>
                <w:color w:val="auto"/>
              </w:rPr>
            </w:pPr>
          </w:p>
        </w:tc>
        <w:tc>
          <w:tcPr>
            <w:tcW w:w="24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161,337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Short term investments - available for sale</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86,520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362,322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Unbilled revenue</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238,645</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34,566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Prepayments and other current assets</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34,653</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Income taxes receivable</w:t>
            </w:r>
          </w:p>
        </w:tc>
        <w:tc>
          <w:tcPr>
            <w:tcW w:w="1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20,436</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938,479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862,739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Assets:</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149,886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593,885</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588,434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other assets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13,081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Non-current income taxes receivable</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12,439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Non-current deferred tax asset</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26,755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Intangible assets</w:t>
            </w:r>
          </w:p>
        </w:tc>
        <w:tc>
          <w:tcPr>
            <w:tcW w:w="1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61,610</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1,796,135</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1,717,209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5,647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account</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318,061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224,221</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231,879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17,775</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565,704</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Non-current bank credit lines and loan facilities</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348,278</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348,306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other liabilities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13,715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Non-current government grants</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978</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income taxes payable</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19,743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Non-current deferred tax liability</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4,032</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ind w:left="380"/>
              <w:spacing w:after="0" w:line="201" w:lineRule="exact"/>
              <w:rPr>
                <w:sz w:val="20"/>
                <w:szCs w:val="20"/>
                <w:color w:val="auto"/>
              </w:rPr>
            </w:pPr>
            <w:r>
              <w:rPr>
                <w:rFonts w:ascii="Arial" w:cs="Arial" w:eastAsia="Arial" w:hAnsi="Arial"/>
                <w:sz w:val="18"/>
                <w:szCs w:val="18"/>
                <w:color w:val="auto"/>
              </w:rPr>
              <w:t>Ordinary shares, par value 6 euro cents per share; 100,000,000 shares authorized,</w:t>
            </w: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55,065,080 shares issued and outstanding at March 31, 2016 and</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54,958,912 shares issued and outstanding at December 31, 2015</w:t>
            </w:r>
          </w:p>
        </w:tc>
        <w:tc>
          <w:tcPr>
            <w:tcW w:w="14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4,682</w:t>
            </w:r>
          </w:p>
        </w:tc>
        <w:tc>
          <w:tcPr>
            <w:tcW w:w="3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398,361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Capital redemption reserve</w:t>
            </w:r>
          </w:p>
        </w:tc>
        <w:tc>
          <w:tcPr>
            <w:tcW w:w="1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715</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Retained earnings</w:t>
            </w:r>
          </w:p>
        </w:tc>
        <w:tc>
          <w:tcPr>
            <w:tcW w:w="1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498,907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843,685</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763,096</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1,796,135</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1,717,209</w:t>
            </w:r>
          </w:p>
        </w:tc>
        <w:tc>
          <w:tcPr>
            <w:tcW w:w="0" w:type="dxa"/>
            <w:vAlign w:val="bottom"/>
          </w:tcPr>
          <w:p>
            <w:pPr>
              <w:spacing w:after="0"/>
              <w:rPr>
                <w:sz w:val="1"/>
                <w:szCs w:val="1"/>
                <w:color w:val="auto"/>
              </w:rPr>
            </w:pPr>
          </w:p>
        </w:tc>
      </w:tr>
    </w:tbl>
    <w:p>
      <w:pPr>
        <w:jc w:val="both"/>
        <w:spacing w:after="0" w:line="261" w:lineRule="auto"/>
        <w:rPr>
          <w:sz w:val="20"/>
          <w:szCs w:val="20"/>
          <w:color w:val="auto"/>
        </w:rPr>
      </w:pPr>
      <w:r>
        <w:rPr>
          <w:rFonts w:ascii="Arial" w:cs="Arial" w:eastAsia="Arial" w:hAnsi="Arial"/>
          <w:sz w:val="18"/>
          <w:szCs w:val="18"/>
          <w:i w:val="1"/>
          <w:iCs w:val="1"/>
          <w:color w:val="auto"/>
        </w:rPr>
        <w:t>*The December 31, 2015 Balance Sheet has been retrospectively restated as required to reflect the requirements of new guidance in respect of the presentation of debt issue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 AND MARCH 31, 2015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9"/>
          </w:tcPr>
          <w:p>
            <w:pPr>
              <w:jc w:val="right"/>
              <w:ind w:right="54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91"/>
              </w:rPr>
              <w:t>March 31,</w:t>
            </w:r>
          </w:p>
        </w:tc>
        <w:tc>
          <w:tcPr>
            <w:tcW w:w="280" w:type="dxa"/>
            <w:vAlign w:val="bottom"/>
          </w:tcPr>
          <w:p>
            <w:pPr>
              <w:spacing w:after="0"/>
              <w:rPr>
                <w:sz w:val="17"/>
                <w:szCs w:val="17"/>
                <w:color w:val="auto"/>
              </w:rPr>
            </w:pPr>
          </w:p>
        </w:tc>
        <w:tc>
          <w:tcPr>
            <w:tcW w:w="10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9"/>
          </w:tcPr>
          <w:p>
            <w:pPr>
              <w:jc w:val="right"/>
              <w:ind w:right="80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652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revenue</w:t>
            </w:r>
          </w:p>
        </w:tc>
        <w:tc>
          <w:tcPr>
            <w:tcW w:w="2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542,583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503,366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Reimbursable expenses</w:t>
            </w:r>
          </w:p>
        </w:tc>
        <w:tc>
          <w:tcPr>
            <w:tcW w:w="2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(142,061)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(115,135)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rPr>
                <w:sz w:val="20"/>
                <w:szCs w:val="20"/>
                <w:color w:val="auto"/>
              </w:rPr>
            </w:pPr>
            <w:r>
              <w:rPr>
                <w:rFonts w:ascii="Arial" w:cs="Arial" w:eastAsia="Arial" w:hAnsi="Arial"/>
                <w:sz w:val="18"/>
                <w:szCs w:val="18"/>
                <w:color w:val="auto"/>
              </w:rPr>
              <w:t>Net revenue</w:t>
            </w:r>
          </w:p>
        </w:tc>
        <w:tc>
          <w:tcPr>
            <w:tcW w:w="250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400,522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388,231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Costs and expenses: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costs</w:t>
            </w:r>
          </w:p>
        </w:tc>
        <w:tc>
          <w:tcPr>
            <w:tcW w:w="25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228,603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228,078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2500" w:type="dxa"/>
            <w:vAlign w:val="bottom"/>
          </w:tcPr>
          <w:p>
            <w:pPr>
              <w:spacing w:after="0"/>
              <w:rPr>
                <w:sz w:val="18"/>
                <w:szCs w:val="18"/>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80,789</w:t>
            </w: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79,555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15,120</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324,512</w:t>
            </w: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321,558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5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76,010</w:t>
            </w: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66,673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income</w:t>
            </w:r>
          </w:p>
        </w:tc>
        <w:tc>
          <w:tcPr>
            <w:tcW w:w="2500" w:type="dxa"/>
            <w:vAlign w:val="bottom"/>
          </w:tcPr>
          <w:p>
            <w:pPr>
              <w:spacing w:after="0"/>
              <w:rPr>
                <w:sz w:val="18"/>
                <w:szCs w:val="18"/>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334</w:t>
            </w: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(3,215)</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5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73,129</w:t>
            </w: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66,670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2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(10,165)</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(10,801)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vMerge w:val="continue"/>
          </w:tcPr>
          <w:p>
            <w:pPr>
              <w:spacing w:after="0"/>
              <w:rPr>
                <w:sz w:val="21"/>
                <w:szCs w:val="21"/>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2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62,964</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55,869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per Ordinary Share:</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Basic</w:t>
            </w:r>
          </w:p>
        </w:tc>
        <w:tc>
          <w:tcPr>
            <w:tcW w:w="2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1.14</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Diluted</w:t>
            </w:r>
          </w:p>
        </w:tc>
        <w:tc>
          <w:tcPr>
            <w:tcW w:w="2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Basic</w:t>
            </w:r>
          </w:p>
        </w:tc>
        <w:tc>
          <w:tcPr>
            <w:tcW w:w="2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55,011,019</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60,281,059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Diluted</w:t>
            </w:r>
          </w:p>
        </w:tc>
        <w:tc>
          <w:tcPr>
            <w:tcW w:w="2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56,242,164</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61,856,347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 AND 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20"/>
                <w:szCs w:val="20"/>
                <w:color w:val="auto"/>
              </w:rPr>
            </w:pPr>
          </w:p>
        </w:tc>
        <w:tc>
          <w:tcPr>
            <w:tcW w:w="23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86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62,964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10,161</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4,959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Amortization of grants</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on short term investments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Share compensation expense</w:t>
            </w:r>
          </w:p>
        </w:tc>
        <w:tc>
          <w:tcPr>
            <w:tcW w:w="3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9,591</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gain on interest rate hedge</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Amortization of financing costs</w:t>
            </w:r>
          </w:p>
        </w:tc>
        <w:tc>
          <w:tcPr>
            <w:tcW w:w="3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accounts receivable</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47,407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Increase in unbilled revenue</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(64,516)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receivables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Decrease/(increase) in prepayments and other current assets</w:t>
            </w:r>
          </w:p>
        </w:tc>
        <w:tc>
          <w:tcPr>
            <w:tcW w:w="3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1,586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non-current assets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Decrease in payments on account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(Decrease)/increase in other current liabilities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Increase in other non-current liabilities</w:t>
            </w:r>
          </w:p>
        </w:tc>
        <w:tc>
          <w:tcPr>
            <w:tcW w:w="3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1,520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(Decrease)/increase in accounts payable</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Increase in income taxes payable</w:t>
            </w:r>
          </w:p>
        </w:tc>
        <w:tc>
          <w:tcPr>
            <w:tcW w:w="3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8,626</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Change in deferred tax liability</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59,438</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61,113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Purchase of subsidiary undertakings</w:t>
            </w:r>
          </w:p>
        </w:tc>
        <w:tc>
          <w:tcPr>
            <w:tcW w:w="3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short term investments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Sale of short term investments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Proceeds from exercise of equity compensation</w:t>
            </w:r>
          </w:p>
        </w:tc>
        <w:tc>
          <w:tcPr>
            <w:tcW w:w="3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1,137</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issuance costs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Tax benefit from the exercise of share options</w:t>
            </w:r>
          </w:p>
        </w:tc>
        <w:tc>
          <w:tcPr>
            <w:tcW w:w="3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4,241</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Drawdown of bank credit lines and loan facilities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Financing costs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5,260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30,065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326</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57,426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103,911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8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161,337</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1420"/>
              <w:spacing w:after="0"/>
              <w:rPr>
                <w:sz w:val="20"/>
                <w:szCs w:val="20"/>
                <w:color w:val="auto"/>
              </w:rPr>
            </w:pPr>
            <w:r>
              <w:rPr>
                <w:rFonts w:ascii="Arial" w:cs="Arial" w:eastAsia="Arial" w:hAnsi="Arial"/>
                <w:sz w:val="18"/>
                <w:szCs w:val="18"/>
                <w:color w:val="auto"/>
                <w:w w:val="90"/>
              </w:rPr>
              <w:t>The accompanying notes are an integral part of these condensed consolidated financial statements.</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8680" w:type="dxa"/>
            <w:vAlign w:val="bottom"/>
            <w:gridSpan w:val="2"/>
          </w:tcPr>
          <w:p>
            <w:pPr>
              <w:jc w:val="right"/>
              <w:ind w:right="283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Accumulated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0"/>
              </w:rPr>
              <w:t>Additional</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w w:val="89"/>
              </w:rPr>
              <w:t>Capital</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3"/>
          </w:tcPr>
          <w:p>
            <w:pPr>
              <w:jc w:val="right"/>
              <w:ind w:right="200"/>
              <w:spacing w:after="0" w:line="196" w:lineRule="exact"/>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9"/>
              </w:rPr>
              <w:t>Paid-in</w:t>
            </w:r>
          </w:p>
        </w:tc>
        <w:tc>
          <w:tcPr>
            <w:tcW w:w="136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Redemption</w:t>
            </w:r>
          </w:p>
        </w:tc>
        <w:tc>
          <w:tcPr>
            <w:tcW w:w="140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Comprehensive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9"/>
              </w:rPr>
              <w:t>Retained</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w w:val="99"/>
              </w:rPr>
              <w:t>Reserve</w:t>
            </w:r>
          </w:p>
        </w:tc>
        <w:tc>
          <w:tcPr>
            <w:tcW w:w="180" w:type="dxa"/>
            <w:vAlign w:val="bottom"/>
          </w:tcPr>
          <w:p>
            <w:pPr>
              <w:spacing w:after="0"/>
              <w:rPr>
                <w:sz w:val="17"/>
                <w:szCs w:val="17"/>
                <w:color w:val="auto"/>
              </w:rPr>
            </w:pPr>
          </w:p>
        </w:tc>
        <w:tc>
          <w:tcPr>
            <w:tcW w:w="1220" w:type="dxa"/>
            <w:vAlign w:val="bottom"/>
            <w:gridSpan w:val="4"/>
          </w:tcPr>
          <w:p>
            <w:pPr>
              <w:jc w:val="right"/>
              <w:ind w:right="200"/>
              <w:spacing w:after="0" w:line="196" w:lineRule="exact"/>
              <w:rPr>
                <w:sz w:val="20"/>
                <w:szCs w:val="20"/>
                <w:color w:val="auto"/>
              </w:rPr>
            </w:pPr>
            <w:r>
              <w:rPr>
                <w:rFonts w:ascii="Arial" w:cs="Arial" w:eastAsia="Arial" w:hAnsi="Arial"/>
                <w:sz w:val="18"/>
                <w:szCs w:val="18"/>
                <w:b w:val="1"/>
                <w:bCs w:val="1"/>
                <w:color w:val="auto"/>
              </w:rPr>
              <w:t>Income</w:t>
            </w:r>
          </w:p>
        </w:tc>
        <w:tc>
          <w:tcPr>
            <w:tcW w:w="160" w:type="dxa"/>
            <w:vAlign w:val="bottom"/>
          </w:tcPr>
          <w:p>
            <w:pPr>
              <w:spacing w:after="0"/>
              <w:rPr>
                <w:sz w:val="17"/>
                <w:szCs w:val="17"/>
                <w:color w:val="auto"/>
              </w:rPr>
            </w:pPr>
          </w:p>
        </w:tc>
        <w:tc>
          <w:tcPr>
            <w:tcW w:w="8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96"/>
              </w:rPr>
              <w:t>Earnings</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20" w:type="dxa"/>
            <w:vAlign w:val="bottom"/>
            <w:gridSpan w:val="16"/>
          </w:tcPr>
          <w:p>
            <w:pPr>
              <w:jc w:val="right"/>
              <w:ind w:right="980"/>
              <w:spacing w:after="0"/>
              <w:rPr>
                <w:sz w:val="20"/>
                <w:szCs w:val="20"/>
                <w:color w:val="auto"/>
              </w:rPr>
            </w:pPr>
            <w:r>
              <w:rPr>
                <w:rFonts w:ascii="Arial" w:cs="Arial" w:eastAsia="Arial" w:hAnsi="Arial"/>
                <w:sz w:val="18"/>
                <w:szCs w:val="18"/>
                <w:b w:val="1"/>
                <w:bCs w:val="1"/>
                <w:color w:val="auto"/>
              </w:rPr>
              <w:t>(dollars in thousands, except share data)</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2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54,958,912</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383,395</w:t>
            </w:r>
          </w:p>
        </w:tc>
        <w:tc>
          <w:tcPr>
            <w:tcW w:w="420" w:type="dxa"/>
            <w:vAlign w:val="bottom"/>
            <w:tcBorders>
              <w:left w:val="single" w:sz="8" w:color="CCEEFF"/>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Borders>
              <w:left w:val="single" w:sz="8" w:color="CCEEFF"/>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(61,636)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435,943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763,096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62,964</w:t>
            </w:r>
          </w:p>
        </w:tc>
        <w:tc>
          <w:tcPr>
            <w:tcW w:w="3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Currency impact of long term funding</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on currency impact of long term</w:t>
            </w: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funding</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Unrealized capital gain – investments</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interest rate hedge</w:t>
            </w:r>
          </w:p>
        </w:tc>
        <w:tc>
          <w:tcPr>
            <w:tcW w:w="12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2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62,964</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48,840</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Issue of restricted share units</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57,328</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8"/>
              </w:rPr>
              <w:t>Non-cash stock compensation expense</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9,591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benefit on exercise of options</w:t>
            </w:r>
          </w:p>
        </w:tc>
        <w:tc>
          <w:tcPr>
            <w:tcW w:w="12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220" w:type="dxa"/>
            <w:vAlign w:val="bottom"/>
            <w:tcBorders>
              <w:left w:val="single" w:sz="8" w:color="CCEEFF"/>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2016</w:t>
            </w:r>
          </w:p>
        </w:tc>
        <w:tc>
          <w:tcPr>
            <w:tcW w:w="12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55,065,080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398,361</w:t>
            </w:r>
          </w:p>
        </w:tc>
        <w:tc>
          <w:tcPr>
            <w:tcW w:w="420" w:type="dxa"/>
            <w:vAlign w:val="bottom"/>
            <w:tcBorders>
              <w:left w:val="single" w:sz="8" w:color="CCEEFF"/>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Borders>
              <w:left w:val="single" w:sz="8" w:color="CCEEFF"/>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(58,980)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498,907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843,685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gridSpan w:val="21"/>
          </w:tcPr>
          <w:p>
            <w:pPr>
              <w:jc w:val="right"/>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March 31,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2015. Operating results for the three months ended March 31, 2016 are not necessarily indicative of the results that may be expected for the fiscal period ending December 31,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9"/>
              </w:rPr>
              <w:t>Three months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2"/>
              </w:rPr>
              <w:t>ended</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18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9"/>
          </w:tcPr>
          <w:p>
            <w:pPr>
              <w:jc w:val="right"/>
              <w:ind w:right="110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4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588,434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463,324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Current period acquisitions (Note 3)</w:t>
            </w:r>
          </w:p>
        </w:tc>
        <w:tc>
          <w:tcPr>
            <w:tcW w:w="442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133,123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 (Note 3)</w:t>
            </w:r>
          </w:p>
        </w:tc>
        <w:tc>
          <w:tcPr>
            <w:tcW w:w="44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4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(322)</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(12,431)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4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593,885</w:t>
            </w:r>
          </w:p>
        </w:tc>
        <w:tc>
          <w:tcPr>
            <w:tcW w:w="1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588,434</w:t>
            </w: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420" w:type="dxa"/>
            <w:vAlign w:val="bottom"/>
          </w:tcPr>
          <w:p>
            <w:pPr>
              <w:jc w:val="right"/>
              <w:ind w:right="27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Borders>
              <w:bottom w:val="single" w:sz="8" w:color="auto"/>
            </w:tcBorders>
          </w:tcPr>
          <w:p>
            <w:pPr>
              <w:spacing w:after="0"/>
              <w:rPr>
                <w:sz w:val="5"/>
                <w:szCs w:val="5"/>
                <w:color w:val="auto"/>
              </w:rPr>
            </w:pPr>
          </w:p>
        </w:tc>
        <w:tc>
          <w:tcPr>
            <w:tcW w:w="4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Business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PMG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4, 2015 the Company acquired PMG, resulting in an initial net cash outflow of $63.5 million, including certain payments made on behalf of PMG totaling $9.9 million. PMG is an integrated network of 48 clinical research sites in North Carolina, South Carolina, Tennessee and Illinois. The site network includes wholly owned facilities and dedicated clinical research sites. PMG conducts clinical trials in all major therapeutic areas and has particular expertise in vaccine, gastroenterology, cardiovascular, neurology and endocrinology studies. It has a proprietary database of clinical trial participants. It also has access to in excess of 2 million active patients via electronic medical records through its partnerships with healthcare institutions and community physical practices. The acquisition agreement provides for working capital targets to be achieved by PMG within 90 days of acquisition. In March 2016, the Company agreed to pay an additional $1.6 million on completion of this working capital review.</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acquisition of PMG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made a provisional assessment of the fair value of assets acquired and liabilities assumed as at that date. The table following summarizes the Company’s provisional estimates of the fair values of the assets acquired and liabilities assumed;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December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Intangible assets**</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liabilities</w:t>
            </w:r>
          </w:p>
        </w:tc>
        <w:tc>
          <w:tcPr>
            <w:tcW w:w="39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39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9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liabilities assumed</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Working capital adjustment</w:t>
            </w:r>
          </w:p>
        </w:tc>
        <w:tc>
          <w:tcPr>
            <w:tcW w:w="39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Total cash outflows</w:t>
            </w:r>
          </w:p>
        </w:tc>
        <w:tc>
          <w:tcPr>
            <w:tcW w:w="39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280"/>
        <w:spacing w:after="0" w:line="290" w:lineRule="auto"/>
        <w:rPr>
          <w:sz w:val="20"/>
          <w:szCs w:val="20"/>
          <w:color w:val="auto"/>
        </w:rPr>
      </w:pPr>
      <w:r>
        <w:rPr>
          <w:rFonts w:ascii="Arial" w:cs="Arial" w:eastAsia="Arial" w:hAnsi="Arial"/>
          <w:sz w:val="16"/>
          <w:szCs w:val="16"/>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w:t>
      </w:r>
    </w:p>
    <w:p>
      <w:pPr>
        <w:spacing w:after="0" w:line="261" w:lineRule="auto"/>
        <w:rPr>
          <w:sz w:val="20"/>
          <w:szCs w:val="20"/>
          <w:color w:val="auto"/>
        </w:rPr>
      </w:pPr>
      <w:r>
        <w:rPr>
          <w:rFonts w:ascii="Arial" w:cs="Arial" w:eastAsia="Arial" w:hAnsi="Arial"/>
          <w:sz w:val="18"/>
          <w:szCs w:val="18"/>
          <w:color w:val="auto"/>
        </w:rPr>
        <w:t>**The Company has made an initial estimate of separate intangible assets acquired, being customer lists and order backlog, of $10.6 million. This assessment is under review and will be finalized within 12 months of the date of acquisition.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Acquisitions - MediMedia Pharma Solutions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27, 2015 the Company acquired MediMedia Pharma Solutions for cash consideration of $104.7 million (net of working capital adjustments of $3.9 million). In addition to the cash consideration, certain payments were made on behalf of MediMedia Pharma Solutions on completion totaling $11.3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acquisition agreement also provided for certain working capital targets to be achieved by MediMedia Pharma Solutions.</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acquisition of MediMedia Pharma Solutions has been accounted for as a business combination in accordance with FASB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The following table summarizes the Company’s estimate of the fair values of the assets acquired and liabilities assumed:</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14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5"/>
              </w:rPr>
              <w:t>February 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Goodwill*</w:t>
            </w: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Order backlog</w:t>
            </w: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Unbilled Revenue</w:t>
            </w: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Accounts payable</w:t>
            </w:r>
          </w:p>
        </w:tc>
        <w:tc>
          <w:tcPr>
            <w:tcW w:w="3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108,717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 assumed**</w:t>
            </w:r>
          </w:p>
        </w:tc>
        <w:tc>
          <w:tcPr>
            <w:tcW w:w="3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Gross cash outflows</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outflows</w:t>
            </w:r>
          </w:p>
        </w:tc>
        <w:tc>
          <w:tcPr>
            <w:tcW w:w="3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with experience in the provision of strategic payer-validated market access solutions</w:t>
      </w:r>
    </w:p>
    <w:p>
      <w:pPr>
        <w:spacing w:after="0" w:line="46" w:lineRule="exact"/>
        <w:rPr>
          <w:sz w:val="20"/>
          <w:szCs w:val="20"/>
          <w:color w:val="auto"/>
        </w:rPr>
      </w:pPr>
    </w:p>
    <w:p>
      <w:pPr>
        <w:ind w:left="420"/>
        <w:spacing w:after="0" w:line="250" w:lineRule="auto"/>
        <w:rPr>
          <w:sz w:val="20"/>
          <w:szCs w:val="20"/>
          <w:color w:val="auto"/>
        </w:rPr>
      </w:pPr>
      <w:r>
        <w:rPr>
          <w:rFonts w:ascii="Arial" w:cs="Arial" w:eastAsia="Arial" w:hAnsi="Arial"/>
          <w:sz w:val="18"/>
          <w:szCs w:val="18"/>
          <w:color w:val="auto"/>
        </w:rPr>
        <w:t>while the acquisition of Complete Healthcare Communications comprises an established workforce with significant communication experience working with medical affairs, commercial and brand development teams within the life science industry.</w:t>
      </w:r>
    </w:p>
    <w:p>
      <w:pPr>
        <w:spacing w:after="0" w:line="1"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Payments made at acquisition date of $11.3 million were in respect of certain one-time liabilities which have subsequently been discharged.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Acquisitions - Aptiv Solutions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7, 2014 the Company acquired 100% of the common stock of Aptiv Solutions (“Aptiv”), a global biopharmaceutical and medical device development services company and leader in adaptive clinical trials for cash consideration of $143.5 million, including certain payments to be made on behalf of the company on completion totaling $22.4 million. The acquisition agreement provided for working capital targets to be achieved. On March 25, 2015, the Company received $2.0 million in respect of these targets on completion of the working capital review. Aptiv offers full-service clinical trial consulting and regulatory support for drugs, medical devices and diagnostics with a specific focus on strategies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Aptiv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summarizes the fair values of the assets acquired and the liabilities assumed: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May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Goodwill*</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Order backlog</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Accounts receivable</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Accounts payable</w:t>
            </w:r>
          </w:p>
        </w:tc>
        <w:tc>
          <w:tcPr>
            <w:tcW w:w="4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Payments on account</w:t>
            </w:r>
          </w:p>
        </w:tc>
        <w:tc>
          <w:tcPr>
            <w:tcW w:w="4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notes payable**</w:t>
            </w:r>
          </w:p>
        </w:tc>
        <w:tc>
          <w:tcPr>
            <w:tcW w:w="40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4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119,137</w:t>
            </w:r>
          </w:p>
        </w:tc>
        <w:tc>
          <w:tcPr>
            <w:tcW w:w="0" w:type="dxa"/>
            <w:vAlign w:val="bottom"/>
          </w:tcPr>
          <w:p>
            <w:pPr>
              <w:spacing w:after="0"/>
              <w:rPr>
                <w:sz w:val="1"/>
                <w:szCs w:val="1"/>
                <w:color w:val="auto"/>
              </w:rPr>
            </w:pPr>
          </w:p>
        </w:tc>
      </w:tr>
      <w:tr>
        <w:trPr>
          <w:trHeight w:val="21"/>
        </w:trPr>
        <w:tc>
          <w:tcPr>
            <w:tcW w:w="642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Cash consideration</w:t>
            </w:r>
          </w:p>
        </w:tc>
        <w:tc>
          <w:tcPr>
            <w:tcW w:w="40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Working capital adjustment</w:t>
            </w:r>
          </w:p>
        </w:tc>
        <w:tc>
          <w:tcPr>
            <w:tcW w:w="40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141,536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Adjustments to cash consideration**</w:t>
            </w:r>
          </w:p>
        </w:tc>
        <w:tc>
          <w:tcPr>
            <w:tcW w:w="40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(22,399)</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purchase consideration</w:t>
            </w:r>
          </w:p>
        </w:tc>
        <w:tc>
          <w:tcPr>
            <w:tcW w:w="4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119,137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Goodwill related to the US portion of the business acquired is tax deductible.</w:t>
      </w:r>
    </w:p>
    <w:p>
      <w:pPr>
        <w:ind w:right="280"/>
        <w:spacing w:after="0" w:line="261" w:lineRule="auto"/>
        <w:rPr>
          <w:sz w:val="20"/>
          <w:szCs w:val="20"/>
          <w:color w:val="auto"/>
        </w:rPr>
      </w:pPr>
      <w:r>
        <w:rPr>
          <w:rFonts w:ascii="Arial" w:cs="Arial" w:eastAsia="Arial" w:hAnsi="Arial"/>
          <w:sz w:val="18"/>
          <w:szCs w:val="18"/>
          <w:color w:val="auto"/>
        </w:rPr>
        <w:t>**Adjustments to cash consideration represent certain one-time liabilities (including loan notes) identified at the acquisition date which have subsequently been paid.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4. Income Taxes</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7"/>
              </w:rPr>
              <w:t>The provision for income taxes recognized during the three months ended March 31, 2016 is comprised of:</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gridSpan w:val="9"/>
          </w:tcPr>
          <w:p>
            <w:pPr>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March 31,</w:t>
            </w:r>
          </w:p>
        </w:tc>
        <w:tc>
          <w:tcPr>
            <w:tcW w:w="340" w:type="dxa"/>
            <w:vAlign w:val="bottom"/>
          </w:tcPr>
          <w:p>
            <w:pPr>
              <w:spacing w:after="0"/>
              <w:rPr>
                <w:sz w:val="17"/>
                <w:szCs w:val="17"/>
                <w:color w:val="auto"/>
              </w:rPr>
            </w:pPr>
          </w:p>
        </w:tc>
        <w:tc>
          <w:tcPr>
            <w:tcW w:w="1020" w:type="dxa"/>
            <w:vAlign w:val="bottom"/>
            <w:gridSpan w:val="5"/>
          </w:tcPr>
          <w:p>
            <w:pPr>
              <w:ind w:left="12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40" w:type="dxa"/>
            <w:vAlign w:val="bottom"/>
            <w:gridSpan w:val="9"/>
          </w:tcPr>
          <w:p>
            <w:pPr>
              <w:ind w:left="28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8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10,165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10,801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at March 31, 2016 the Company maintains a $32.0 million liability (December 31, 2015: $31.4 million) for unrecognized tax benefit, which is comprised of $28.6 million (December 31, 2015: $28.1 million) related to items generating unrecognized tax benefits and $3.4 million (December 31, 2015: $3.3 million) for interest and related penalties for such items. The Company recognizes interest accrued on unrecognized tax benefits as an additional provision for income taxes.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2011 through 2015 tax years. The Company does not believe that the outcome of any examination will have a material impact on its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ordinary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gridSpan w:val="4"/>
          </w:tcPr>
          <w:p>
            <w:pPr>
              <w:jc w:val="right"/>
              <w:ind w:right="280"/>
              <w:spacing w:after="0" w:line="196" w:lineRule="exact"/>
              <w:rPr>
                <w:sz w:val="20"/>
                <w:szCs w:val="20"/>
                <w:color w:val="auto"/>
              </w:rPr>
            </w:pPr>
            <w:r>
              <w:rPr>
                <w:rFonts w:ascii="Arial" w:cs="Arial" w:eastAsia="Arial" w:hAnsi="Arial"/>
                <w:sz w:val="18"/>
                <w:szCs w:val="18"/>
                <w:b w:val="1"/>
                <w:bCs w:val="1"/>
                <w:color w:val="auto"/>
                <w:w w:val="91"/>
              </w:rPr>
              <w:t>March 31,</w:t>
            </w:r>
          </w:p>
        </w:tc>
        <w:tc>
          <w:tcPr>
            <w:tcW w:w="1180" w:type="dxa"/>
            <w:vAlign w:val="bottom"/>
            <w:gridSpan w:val="5"/>
          </w:tcPr>
          <w:p>
            <w:pPr>
              <w:ind w:left="28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for basic net income per ordinary share</w:t>
            </w:r>
          </w:p>
        </w:tc>
        <w:tc>
          <w:tcPr>
            <w:tcW w:w="21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55,011,019</w:t>
            </w:r>
          </w:p>
        </w:tc>
        <w:tc>
          <w:tcPr>
            <w:tcW w:w="11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60,281,059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dilutive share options outstanding</w:t>
            </w: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1,231,145</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1,575,288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number of ordinary shares for diluted net income per ordinary share</w:t>
            </w:r>
          </w:p>
        </w:tc>
        <w:tc>
          <w:tcPr>
            <w:tcW w:w="2180" w:type="dxa"/>
            <w:vAlign w:val="bottom"/>
            <w:tcBorders>
              <w:bottom w:val="single" w:sz="8" w:color="auto"/>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56,242,164</w:t>
            </w:r>
          </w:p>
        </w:tc>
        <w:tc>
          <w:tcPr>
            <w:tcW w:w="11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61,856,347</w:t>
            </w:r>
          </w:p>
        </w:tc>
        <w:tc>
          <w:tcPr>
            <w:tcW w:w="0" w:type="dxa"/>
            <w:vAlign w:val="bottom"/>
          </w:tcPr>
          <w:p>
            <w:pPr>
              <w:spacing w:after="0"/>
              <w:rPr>
                <w:sz w:val="1"/>
                <w:szCs w:val="1"/>
                <w:color w:val="auto"/>
              </w:rPr>
            </w:pPr>
          </w:p>
        </w:tc>
      </w:tr>
      <w:tr>
        <w:trPr>
          <w:trHeight w:val="824"/>
        </w:trPr>
        <w:tc>
          <w:tcPr>
            <w:tcW w:w="8060" w:type="dxa"/>
            <w:vAlign w:val="bottom"/>
            <w:gridSpan w:val="2"/>
          </w:tcPr>
          <w:p>
            <w:pPr>
              <w:jc w:val="right"/>
              <w:ind w:right="2170"/>
              <w:spacing w:after="0"/>
              <w:rPr>
                <w:sz w:val="20"/>
                <w:szCs w:val="20"/>
                <w:color w:val="auto"/>
              </w:rPr>
            </w:pPr>
            <w:r>
              <w:rPr>
                <w:rFonts w:ascii="Arial" w:cs="Arial" w:eastAsia="Arial" w:hAnsi="Arial"/>
                <w:sz w:val="18"/>
                <w:szCs w:val="18"/>
                <w:color w:val="auto"/>
              </w:rPr>
              <w:t>13</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Share-based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Each option granted under the 2008 Employee Plan or the 2008 Consultants Plan (together the “2008 Option Plans”) will be an employee stock option, or Non-qualifying Stock Options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2016 is eight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three months ended March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 Shares</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3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1,626,582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11.94</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161,791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20.78</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Exercised</w:t>
            </w:r>
          </w:p>
        </w:tc>
        <w:tc>
          <w:tcPr>
            <w:tcW w:w="3300" w:type="dxa"/>
            <w:vAlign w:val="bottom"/>
          </w:tcPr>
          <w:p>
            <w:pPr>
              <w:jc w:val="right"/>
              <w:spacing w:after="0"/>
              <w:rPr>
                <w:sz w:val="20"/>
                <w:szCs w:val="20"/>
                <w:color w:val="auto"/>
              </w:rPr>
            </w:pPr>
            <w:r>
              <w:rPr>
                <w:rFonts w:ascii="Arial" w:cs="Arial" w:eastAsia="Arial" w:hAnsi="Arial"/>
                <w:sz w:val="18"/>
                <w:szCs w:val="18"/>
                <w:color w:val="auto"/>
              </w:rPr>
              <w:t>(48,840)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23.19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9.27</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9.61</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March 31, 2016</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1,732,698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12.85</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March 31, 2016</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795,005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10.23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00" w:type="dxa"/>
            <w:vAlign w:val="bottom"/>
          </w:tcPr>
          <w:p>
            <w:pPr>
              <w:jc w:val="right"/>
              <w:ind w:right="149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The Company has granted options with fair values ranging from $5.88 to $20.78 per option or a weighted average fair value of $10.45 per option. The Company issues ordinary shares for all options exercised. The total amount of fully vested share options which remained outstanding at March 31, 2016, was 795,005. Fully vested share options at March 31, 2016, have an average remaining contractual term of 3.55 years, an average exercise price of $27.80 and a total intrinsic value of $37.6 million. The total intrinsic value of options exercised during the three months ended March 31, 2016 was $2.2 million (March 31, 2015: $12.6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three months ended March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140" w:type="dxa"/>
            <w:vAlign w:val="bottom"/>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140" w:type="dxa"/>
            <w:vAlign w:val="bottom"/>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Weighted Average</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14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 Shares</w:t>
            </w:r>
          </w:p>
        </w:tc>
        <w:tc>
          <w:tcPr>
            <w:tcW w:w="3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Exercise Price</w:t>
            </w:r>
          </w:p>
        </w:tc>
        <w:tc>
          <w:tcPr>
            <w:tcW w:w="4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2015</w:t>
            </w:r>
          </w:p>
        </w:tc>
        <w:tc>
          <w:tcPr>
            <w:tcW w:w="3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968,853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42.14</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161,791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71.95</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Vested</w:t>
            </w:r>
          </w:p>
        </w:tc>
        <w:tc>
          <w:tcPr>
            <w:tcW w:w="3140" w:type="dxa"/>
            <w:vAlign w:val="bottom"/>
          </w:tcPr>
          <w:p>
            <w:pPr>
              <w:jc w:val="right"/>
              <w:ind w:right="10"/>
              <w:spacing w:after="0"/>
              <w:rPr>
                <w:sz w:val="20"/>
                <w:szCs w:val="20"/>
                <w:color w:val="auto"/>
              </w:rPr>
            </w:pPr>
            <w:r>
              <w:rPr>
                <w:rFonts w:ascii="Arial" w:cs="Arial" w:eastAsia="Arial" w:hAnsi="Arial"/>
                <w:sz w:val="18"/>
                <w:szCs w:val="18"/>
                <w:color w:val="auto"/>
              </w:rPr>
              <w:t>(187,409)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39.36</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(5,542)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21.89</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March 31, 2016</w:t>
            </w:r>
          </w:p>
        </w:tc>
        <w:tc>
          <w:tcPr>
            <w:tcW w:w="3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937,693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47.96</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432"/>
        </w:trPr>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Fair value of Stock Options Assumptions</w:t>
            </w:r>
          </w:p>
        </w:tc>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fair value of options granted during the three months ended March 31, 2016 and March 31, 2015 was calculated using the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weighted average fair values and assumptions used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9"/>
          </w:tcPr>
          <w:p>
            <w:pPr>
              <w:jc w:val="right"/>
              <w:ind w:right="6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2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Assumptions:</w:t>
            </w:r>
          </w:p>
        </w:tc>
        <w:tc>
          <w:tcPr>
            <w:tcW w:w="4380" w:type="dxa"/>
            <w:vAlign w:val="bottom"/>
            <w:tcBorders>
              <w:bottom w:val="single" w:sz="8" w:color="CCEEFF"/>
            </w:tcBorders>
            <w:shd w:val="clear" w:color="auto" w:fill="CCEEFF"/>
          </w:tcPr>
          <w:p>
            <w:pPr>
              <w:spacing w:after="0"/>
              <w:rPr>
                <w:sz w:val="17"/>
                <w:szCs w:val="17"/>
                <w:color w:val="auto"/>
              </w:rPr>
            </w:pPr>
          </w:p>
        </w:tc>
        <w:tc>
          <w:tcPr>
            <w:tcW w:w="3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560" w:type="dxa"/>
            <w:vAlign w:val="bottom"/>
          </w:tcPr>
          <w:p>
            <w:pPr>
              <w:spacing w:after="0"/>
              <w:rPr>
                <w:sz w:val="18"/>
                <w:szCs w:val="18"/>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560" w:type="dxa"/>
            <w:vAlign w:val="bottom"/>
          </w:tcPr>
          <w:p>
            <w:pPr>
              <w:spacing w:after="0"/>
              <w:rPr>
                <w:sz w:val="18"/>
                <w:szCs w:val="18"/>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5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 years</w:t>
            </w:r>
          </w:p>
        </w:tc>
        <w:tc>
          <w:tcPr>
            <w:tcW w:w="2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both"/>
        <w:spacing w:after="0" w:line="273" w:lineRule="auto"/>
        <w:rPr>
          <w:sz w:val="20"/>
          <w:szCs w:val="20"/>
          <w:color w:val="auto"/>
        </w:rPr>
      </w:pPr>
      <w:r>
        <w:rPr>
          <w:rFonts w:ascii="Arial" w:cs="Arial" w:eastAsia="Arial" w:hAnsi="Arial"/>
          <w:sz w:val="17"/>
          <w:szCs w:val="17"/>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three months ended March 31,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PSU</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PSU</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PSU</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RSU</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RSU</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Average</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Remaining</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Contractual</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Value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Life</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901,773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72.55</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2.49</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1,067,613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48.30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233,634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71.95</w:t>
            </w: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70,087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71.95</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Shares vested</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(57,328)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25.30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31.49</w:t>
            </w:r>
          </w:p>
        </w:tc>
        <w:tc>
          <w:tcPr>
            <w:tcW w:w="1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47.08</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March 31, 2016</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1,134,971</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53.16</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1.37</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1,047,425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51.18</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three months ended March 31, 2016 totaled $1.5 million (full year 2015: $7.0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PSUs vested during the three months ended March 31 2016 (the fair value of RSUs vested for the full year 2015 was $0.3million).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PSUs vest based on service and specified EPS targets over the period 2013 – 2016, 2014 – 2017 and 2015 - 2018. Since 2013, we granted 573,303 PSUs (net of forfeitures). Depending on the actual amount of EPS from 2013 to 2018, up to an additional 561,668 PSUs may also be granted.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i w:val="1"/>
                <w:iCs w:val="1"/>
                <w:color w:val="auto"/>
              </w:rPr>
              <w:t>Non-cash stock compensation expense</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80" w:type="dxa"/>
            <w:vAlign w:val="bottom"/>
          </w:tcPr>
          <w:p>
            <w:pPr>
              <w:spacing w:after="0"/>
              <w:rPr>
                <w:sz w:val="20"/>
                <w:szCs w:val="20"/>
                <w:color w:val="auto"/>
              </w:rPr>
            </w:pPr>
            <w:r>
              <w:rPr>
                <w:rFonts w:ascii="Arial" w:cs="Arial" w:eastAsia="Arial" w:hAnsi="Arial"/>
                <w:sz w:val="18"/>
                <w:szCs w:val="18"/>
                <w:color w:val="auto"/>
                <w:w w:val="92"/>
              </w:rPr>
              <w:t>Non-cash stock compensation expense for the three months ended March 31, 2016 has been allocated as follows: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8"/>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r>
      <w:tr>
        <w:trPr>
          <w:trHeight w:val="20"/>
        </w:trPr>
        <w:tc>
          <w:tcPr>
            <w:tcW w:w="8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1"/>
              </w:rPr>
              <w:t>March 31,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r>
      <w:tr>
        <w:trPr>
          <w:trHeight w:val="196"/>
        </w:trPr>
        <w:tc>
          <w:tcPr>
            <w:tcW w:w="8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2016</w:t>
            </w:r>
          </w:p>
        </w:tc>
        <w:tc>
          <w:tcPr>
            <w:tcW w:w="440" w:type="dxa"/>
            <w:vAlign w:val="bottom"/>
          </w:tcPr>
          <w:p>
            <w:pPr>
              <w:spacing w:after="0"/>
              <w:rPr>
                <w:sz w:val="17"/>
                <w:szCs w:val="17"/>
                <w:color w:val="auto"/>
              </w:rPr>
            </w:pPr>
          </w:p>
        </w:tc>
        <w:tc>
          <w:tcPr>
            <w:tcW w:w="10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2015</w:t>
            </w:r>
          </w:p>
        </w:tc>
      </w:tr>
      <w:tr>
        <w:trPr>
          <w:trHeight w:val="20"/>
        </w:trPr>
        <w:tc>
          <w:tcPr>
            <w:tcW w:w="8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3,330</w:t>
            </w:r>
          </w:p>
        </w:tc>
      </w:tr>
      <w:tr>
        <w:trPr>
          <w:trHeight w:val="223"/>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4,306</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2,713</w:t>
            </w:r>
          </w:p>
        </w:tc>
      </w:tr>
      <w:tr>
        <w:trPr>
          <w:trHeight w:val="216"/>
        </w:trPr>
        <w:tc>
          <w:tcPr>
            <w:tcW w:w="8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0"/>
        </w:trPr>
        <w:tc>
          <w:tcPr>
            <w:tcW w:w="84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9,591</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6,043</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non-cash stock compensation expense not yet recognized at March 31, 2016 amounted to $76.5 million. The weighted average period over which this is expected to be recognized is 2.37 years . Total tax benefit recognized in additional paid in capital related to the non-cash compensation expense amounted to $4.2 million for the three months ended March 31, 2016 (March 31, 2015: $1.9 million).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7. Business Segment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Chief Financial Officer and Chief Operating Officer, who together are considered the Company’s chief operating decision maker, in accordance with FASB ASC 280-10 </w:t>
      </w:r>
      <w:r>
        <w:rPr>
          <w:rFonts w:ascii="Arial" w:cs="Arial" w:eastAsia="Arial" w:hAnsi="Arial"/>
          <w:sz w:val="18"/>
          <w:szCs w:val="18"/>
          <w:i w:val="1"/>
          <w:iCs w:val="1"/>
          <w:color w:val="auto"/>
        </w:rPr>
        <w:t>Disclosures about Segments of an Enterprises and Related Information</w:t>
      </w:r>
      <w:r>
        <w:rPr>
          <w:rFonts w:ascii="Arial" w:cs="Arial" w:eastAsia="Arial" w:hAnsi="Arial"/>
          <w:sz w:val="18"/>
          <w:szCs w:val="18"/>
          <w:color w:val="auto"/>
        </w:rPr>
        <w: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As such it enters into the majority of the Company’s customer contracts.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 up for the services they perform in each of their local territories. The cost plus mark 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net revenues of the Group after deducting the cost plus revenues attributable to the activities performed outside Ireland.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areas of operation outside of Ireland include the United States, United Kingdom, France, Germany, Italy, Spain, The Netherlands, Sweden, Turkey, Poland, Czech Republic, Latvia, Russia, Ukraine, Hungary, Israel, Romania, Switzerland, Canada, Mexico, Brazil, Colombia, Argentina, Chile, Peru, India, China, South Korea, Japan, Thailand, Taiwan, Singapore, The Philippines, Australia, New Zealand, and South Africa.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Segment information as at March 31, 2016 and December 31, 2015 and for the three months ended March 31, 2016 and March 31, 2015 is as follows: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a) The distribution of net revenue by geographical area was as follows:</w:t>
            </w:r>
          </w:p>
        </w:tc>
        <w:tc>
          <w:tcPr>
            <w:tcW w:w="2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March 31,</w:t>
            </w:r>
          </w:p>
        </w:tc>
        <w:tc>
          <w:tcPr>
            <w:tcW w:w="340" w:type="dxa"/>
            <w:vAlign w:val="bottom"/>
          </w:tcPr>
          <w:p>
            <w:pPr>
              <w:spacing w:after="0"/>
              <w:rPr>
                <w:sz w:val="17"/>
                <w:szCs w:val="17"/>
                <w:color w:val="auto"/>
              </w:rPr>
            </w:pPr>
          </w:p>
        </w:tc>
        <w:tc>
          <w:tcPr>
            <w:tcW w:w="1020" w:type="dxa"/>
            <w:vAlign w:val="bottom"/>
            <w:gridSpan w:val="5"/>
          </w:tcPr>
          <w:p>
            <w:pPr>
              <w:ind w:left="12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9"/>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100,835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114,090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Rest of Europe</w:t>
            </w:r>
          </w:p>
        </w:tc>
        <w:tc>
          <w:tcPr>
            <w:tcW w:w="222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75,642</w:t>
            </w:r>
          </w:p>
        </w:tc>
        <w:tc>
          <w:tcPr>
            <w:tcW w:w="34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84,088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184,090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150,064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39,955</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39,989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vMerge w:val="continue"/>
          </w:tcPr>
          <w:p>
            <w:pPr>
              <w:spacing w:after="0"/>
              <w:rPr>
                <w:sz w:val="21"/>
                <w:szCs w:val="21"/>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400,522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388,231</w:t>
            </w:r>
          </w:p>
        </w:tc>
        <w:tc>
          <w:tcPr>
            <w:tcW w:w="0" w:type="dxa"/>
            <w:vAlign w:val="bottom"/>
          </w:tcPr>
          <w:p>
            <w:pPr>
              <w:spacing w:after="0"/>
              <w:rPr>
                <w:sz w:val="1"/>
                <w:szCs w:val="1"/>
                <w:color w:val="auto"/>
              </w:rPr>
            </w:pPr>
          </w:p>
        </w:tc>
      </w:tr>
    </w:tbl>
    <w:p>
      <w:pPr>
        <w:ind w:left="660" w:hanging="142"/>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10" w:lineRule="exact"/>
        <w:rPr>
          <w:rFonts w:ascii="Arial" w:cs="Arial" w:eastAsia="Arial" w:hAnsi="Arial"/>
          <w:sz w:val="18"/>
          <w:szCs w:val="18"/>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distribution of income from operations by geographical area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17"/>
                <w:szCs w:val="17"/>
                <w:color w:val="auto"/>
              </w:rPr>
            </w:pPr>
          </w:p>
        </w:tc>
        <w:tc>
          <w:tcPr>
            <w:tcW w:w="116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59,551</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Rest of Europe</w:t>
            </w:r>
          </w:p>
        </w:tc>
        <w:tc>
          <w:tcPr>
            <w:tcW w:w="13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6,785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10,784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vMerge w:val="continue"/>
          </w:tcPr>
          <w:p>
            <w:pPr>
              <w:spacing w:after="0"/>
              <w:rPr>
                <w:sz w:val="21"/>
                <w:szCs w:val="21"/>
                <w:color w:val="auto"/>
              </w:rPr>
            </w:pPr>
          </w:p>
        </w:tc>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76,010</w:t>
            </w:r>
          </w:p>
        </w:tc>
        <w:tc>
          <w:tcPr>
            <w:tcW w:w="4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66,673</w:t>
            </w:r>
          </w:p>
        </w:tc>
        <w:tc>
          <w:tcPr>
            <w:tcW w:w="0" w:type="dxa"/>
            <w:vAlign w:val="bottom"/>
          </w:tcPr>
          <w:p>
            <w:pPr>
              <w:spacing w:after="0"/>
              <w:rPr>
                <w:sz w:val="1"/>
                <w:szCs w:val="1"/>
                <w:color w:val="auto"/>
              </w:rPr>
            </w:pPr>
          </w:p>
        </w:tc>
      </w:tr>
      <w:tr>
        <w:trPr>
          <w:trHeight w:val="432"/>
        </w:trPr>
        <w:tc>
          <w:tcPr>
            <w:tcW w:w="7800" w:type="dxa"/>
            <w:vAlign w:val="bottom"/>
            <w:gridSpan w:val="2"/>
          </w:tcPr>
          <w:p>
            <w:pPr>
              <w:spacing w:after="0"/>
              <w:rPr>
                <w:sz w:val="20"/>
                <w:szCs w:val="20"/>
                <w:color w:val="auto"/>
              </w:rPr>
            </w:pPr>
            <w:r>
              <w:rPr>
                <w:rFonts w:ascii="Arial" w:cs="Arial" w:eastAsia="Arial" w:hAnsi="Arial"/>
                <w:sz w:val="18"/>
                <w:szCs w:val="18"/>
                <w:color w:val="auto"/>
              </w:rPr>
              <w:t>c) The distribution of property, plant and equipment, net, by geographical area was as follows:</w:t>
            </w: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24"/>
                <w:szCs w:val="24"/>
                <w:color w:val="auto"/>
              </w:rPr>
            </w:pPr>
          </w:p>
        </w:tc>
        <w:tc>
          <w:tcPr>
            <w:tcW w:w="116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103,716</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101,736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Rest of Europe</w:t>
            </w:r>
          </w:p>
        </w:tc>
        <w:tc>
          <w:tcPr>
            <w:tcW w:w="13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7,225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32,564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34,520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149,886</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8"/>
              </w:rPr>
              <w:t>150,218</w:t>
            </w:r>
          </w:p>
        </w:tc>
        <w:tc>
          <w:tcPr>
            <w:tcW w:w="0" w:type="dxa"/>
            <w:vAlign w:val="bottom"/>
          </w:tcPr>
          <w:p>
            <w:pPr>
              <w:spacing w:after="0"/>
              <w:rPr>
                <w:sz w:val="1"/>
                <w:szCs w:val="1"/>
                <w:color w:val="auto"/>
              </w:rPr>
            </w:pPr>
          </w:p>
        </w:tc>
      </w:tr>
      <w:tr>
        <w:trPr>
          <w:trHeight w:val="608"/>
        </w:trPr>
        <w:tc>
          <w:tcPr>
            <w:tcW w:w="7800" w:type="dxa"/>
            <w:vAlign w:val="bottom"/>
            <w:gridSpan w:val="2"/>
          </w:tcPr>
          <w:p>
            <w:pPr>
              <w:jc w:val="right"/>
              <w:ind w:right="1910"/>
              <w:spacing w:after="0"/>
              <w:rPr>
                <w:sz w:val="20"/>
                <w:szCs w:val="20"/>
                <w:color w:val="auto"/>
              </w:rPr>
            </w:pPr>
            <w:r>
              <w:rPr>
                <w:rFonts w:ascii="Arial" w:cs="Arial" w:eastAsia="Arial" w:hAnsi="Arial"/>
                <w:sz w:val="18"/>
                <w:szCs w:val="18"/>
                <w:color w:val="auto"/>
              </w:rPr>
              <w:t>18</w:t>
            </w: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d) The distribution of depreciation and amortization by geographical area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11"/>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11"/>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Rest of Europe</w:t>
            </w:r>
          </w:p>
        </w:tc>
        <w:tc>
          <w:tcPr>
            <w:tcW w:w="22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6"/>
          </w:tcPr>
          <w:p>
            <w:pPr>
              <w:jc w:val="right"/>
              <w:ind w:right="10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852</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vMerge w:val="continue"/>
          </w:tcPr>
          <w:p>
            <w:pPr>
              <w:spacing w:after="0"/>
              <w:rPr>
                <w:sz w:val="21"/>
                <w:szCs w:val="21"/>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15,120</w:t>
            </w: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13,925</w:t>
            </w:r>
          </w:p>
        </w:tc>
        <w:tc>
          <w:tcPr>
            <w:tcW w:w="0" w:type="dxa"/>
            <w:vAlign w:val="bottom"/>
          </w:tcPr>
          <w:p>
            <w:pPr>
              <w:spacing w:after="0"/>
              <w:rPr>
                <w:sz w:val="1"/>
                <w:szCs w:val="1"/>
                <w:color w:val="auto"/>
              </w:rPr>
            </w:pPr>
          </w:p>
        </w:tc>
      </w:tr>
      <w:tr>
        <w:trPr>
          <w:trHeight w:val="432"/>
        </w:trPr>
        <w:tc>
          <w:tcPr>
            <w:tcW w:w="6940" w:type="dxa"/>
            <w:vAlign w:val="bottom"/>
            <w:gridSpan w:val="2"/>
          </w:tcPr>
          <w:p>
            <w:pPr>
              <w:spacing w:after="0"/>
              <w:rPr>
                <w:sz w:val="20"/>
                <w:szCs w:val="20"/>
                <w:color w:val="auto"/>
              </w:rPr>
            </w:pPr>
            <w:r>
              <w:rPr>
                <w:rFonts w:ascii="Arial" w:cs="Arial" w:eastAsia="Arial" w:hAnsi="Arial"/>
                <w:sz w:val="18"/>
                <w:szCs w:val="18"/>
                <w:color w:val="auto"/>
              </w:rPr>
              <w:t>e) The distribution of total assets by geographical area was as follows:</w:t>
            </w: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24"/>
                <w:szCs w:val="24"/>
                <w:color w:val="auto"/>
              </w:rPr>
            </w:pPr>
          </w:p>
        </w:tc>
        <w:tc>
          <w:tcPr>
            <w:tcW w:w="116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gridSpan w:val="2"/>
          </w:tcPr>
          <w:p>
            <w:pPr>
              <w:spacing w:after="0"/>
              <w:rPr>
                <w:sz w:val="17"/>
                <w:szCs w:val="17"/>
                <w:color w:val="auto"/>
              </w:rPr>
            </w:pPr>
          </w:p>
        </w:tc>
        <w:tc>
          <w:tcPr>
            <w:tcW w:w="4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gridSpan w:val="5"/>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11"/>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734,612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663,060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Rest of Europe</w:t>
            </w:r>
          </w:p>
        </w:tc>
        <w:tc>
          <w:tcPr>
            <w:tcW w:w="22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356,787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6"/>
          </w:tcPr>
          <w:p>
            <w:pPr>
              <w:jc w:val="right"/>
              <w:ind w:right="100"/>
              <w:spacing w:after="0"/>
              <w:rPr>
                <w:sz w:val="20"/>
                <w:szCs w:val="20"/>
                <w:color w:val="auto"/>
              </w:rPr>
            </w:pPr>
            <w:r>
              <w:rPr>
                <w:rFonts w:ascii="Arial" w:cs="Arial" w:eastAsia="Arial" w:hAnsi="Arial"/>
                <w:sz w:val="18"/>
                <w:szCs w:val="18"/>
                <w:color w:val="auto"/>
              </w:rPr>
              <w:t>343,733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636,751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641,769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67,985</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68,647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vMerge w:val="continue"/>
          </w:tcPr>
          <w:p>
            <w:pPr>
              <w:spacing w:after="0"/>
              <w:rPr>
                <w:sz w:val="21"/>
                <w:szCs w:val="21"/>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1,796,135</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1,717,209</w:t>
            </w:r>
          </w:p>
        </w:tc>
        <w:tc>
          <w:tcPr>
            <w:tcW w:w="0" w:type="dxa"/>
            <w:vAlign w:val="bottom"/>
          </w:tcPr>
          <w:p>
            <w:pPr>
              <w:spacing w:after="0"/>
              <w:rPr>
                <w:sz w:val="1"/>
                <w:szCs w:val="1"/>
                <w:color w:val="auto"/>
              </w:rPr>
            </w:pPr>
          </w:p>
        </w:tc>
      </w:tr>
    </w:tbl>
    <w:p>
      <w:pPr>
        <w:jc w:val="both"/>
        <w:spacing w:after="0" w:line="261" w:lineRule="auto"/>
        <w:rPr>
          <w:sz w:val="20"/>
          <w:szCs w:val="20"/>
          <w:color w:val="auto"/>
        </w:rPr>
      </w:pPr>
      <w:r>
        <w:rPr>
          <w:rFonts w:ascii="Arial" w:cs="Arial" w:eastAsia="Arial" w:hAnsi="Arial"/>
          <w:sz w:val="18"/>
          <w:szCs w:val="18"/>
          <w:i w:val="1"/>
          <w:iCs w:val="1"/>
          <w:color w:val="auto"/>
        </w:rPr>
        <w:t>*The December 31, 2015 Balance Sheet has been retrospectively restated as required to reflect the requirements of new guidance in respect of the presentation of debt issue costs.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2015. The Consolidated Financial Statements have been prepared in accordance with accounting principles generally accepted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2016, we employed approximately 12,235 employees, in 89 locations in 37 countries. During the three months ended March 31, 2016 we derived approximately 45.9%, 44.1% and 10.0% of our net revenue in the United States, Europe and Rest of World, respectively.</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March 31, 2016 we had a backlog of approximately $4.0 billion, compared with approximately $3.9 billion at December 31, 2015.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compared with Three Months Ended March 31, 2015</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gridSpan w:val="8"/>
          </w:tcPr>
          <w:p>
            <w:pPr>
              <w:jc w:val="right"/>
              <w:ind w:right="86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460" w:type="dxa"/>
            <w:vAlign w:val="bottom"/>
            <w:gridSpan w:val="5"/>
          </w:tcPr>
          <w:p>
            <w:pPr>
              <w:jc w:val="right"/>
              <w:ind w:right="520"/>
              <w:spacing w:after="0" w:line="196" w:lineRule="exact"/>
              <w:rPr>
                <w:sz w:val="20"/>
                <w:szCs w:val="20"/>
                <w:color w:val="auto"/>
              </w:rPr>
            </w:pPr>
            <w:r>
              <w:rPr>
                <w:rFonts w:ascii="Arial" w:cs="Arial" w:eastAsia="Arial" w:hAnsi="Arial"/>
                <w:sz w:val="18"/>
                <w:szCs w:val="18"/>
                <w:b w:val="1"/>
                <w:bCs w:val="1"/>
                <w:color w:val="auto"/>
              </w:rPr>
              <w:t>March 31,</w:t>
            </w:r>
          </w:p>
        </w:tc>
        <w:tc>
          <w:tcPr>
            <w:tcW w:w="1240" w:type="dxa"/>
            <w:vAlign w:val="bottom"/>
            <w:gridSpan w:val="5"/>
          </w:tcPr>
          <w:p>
            <w:pPr>
              <w:jc w:val="right"/>
              <w:ind w:right="460"/>
              <w:spacing w:after="0" w:line="196" w:lineRule="exact"/>
              <w:rPr>
                <w:sz w:val="20"/>
                <w:szCs w:val="20"/>
                <w:color w:val="auto"/>
              </w:rPr>
            </w:pPr>
            <w:r>
              <w:rPr>
                <w:rFonts w:ascii="Arial" w:cs="Arial" w:eastAsia="Arial" w:hAnsi="Arial"/>
                <w:sz w:val="18"/>
                <w:szCs w:val="18"/>
                <w:b w:val="1"/>
                <w:bCs w:val="1"/>
                <w:color w:val="auto"/>
                <w:w w:val="91"/>
              </w:rPr>
              <w:t>March 31,</w:t>
            </w: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2016</w:t>
            </w:r>
          </w:p>
        </w:tc>
        <w:tc>
          <w:tcPr>
            <w:tcW w:w="52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820" w:type="dxa"/>
            <w:vAlign w:val="bottom"/>
            <w:gridSpan w:val="3"/>
          </w:tcPr>
          <w:p>
            <w:pPr>
              <w:jc w:val="right"/>
              <w:ind w:right="460"/>
              <w:spacing w:after="0" w:line="196" w:lineRule="exact"/>
              <w:rPr>
                <w:sz w:val="20"/>
                <w:szCs w:val="20"/>
                <w:color w:val="auto"/>
              </w:rPr>
            </w:pPr>
            <w:r>
              <w:rPr>
                <w:rFonts w:ascii="Arial" w:cs="Arial" w:eastAsia="Arial" w:hAnsi="Arial"/>
                <w:sz w:val="18"/>
                <w:szCs w:val="18"/>
                <w:b w:val="1"/>
                <w:bCs w:val="1"/>
                <w:color w:val="auto"/>
                <w:w w:val="84"/>
              </w:rPr>
              <w:t>2015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160"/>
              <w:spacing w:after="0" w:line="196" w:lineRule="exact"/>
              <w:rPr>
                <w:sz w:val="20"/>
                <w:szCs w:val="20"/>
                <w:color w:val="auto"/>
              </w:rPr>
            </w:pPr>
            <w:r>
              <w:rPr>
                <w:rFonts w:ascii="Arial" w:cs="Arial" w:eastAsia="Arial" w:hAnsi="Arial"/>
                <w:sz w:val="18"/>
                <w:szCs w:val="18"/>
                <w:b w:val="1"/>
                <w:bCs w:val="1"/>
                <w:color w:val="auto"/>
                <w:w w:val="86"/>
              </w:rPr>
              <w:t>to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4"/>
              </w:rPr>
              <w:t>Percentage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700" w:type="dxa"/>
            <w:vAlign w:val="bottom"/>
            <w:gridSpan w:val="10"/>
          </w:tcPr>
          <w:p>
            <w:pPr>
              <w:jc w:val="right"/>
              <w:ind w:right="640"/>
              <w:spacing w:after="0" w:line="196" w:lineRule="exact"/>
              <w:rPr>
                <w:sz w:val="20"/>
                <w:szCs w:val="20"/>
                <w:color w:val="auto"/>
              </w:rPr>
            </w:pPr>
            <w:r>
              <w:rPr>
                <w:rFonts w:ascii="Arial" w:cs="Arial" w:eastAsia="Arial" w:hAnsi="Arial"/>
                <w:sz w:val="18"/>
                <w:szCs w:val="18"/>
                <w:b w:val="1"/>
                <w:bCs w:val="1"/>
                <w:color w:val="auto"/>
                <w:w w:val="87"/>
              </w:rPr>
              <w:t>Percentage of Net Revenue</w:t>
            </w:r>
          </w:p>
        </w:tc>
        <w:tc>
          <w:tcPr>
            <w:tcW w:w="200" w:type="dxa"/>
            <w:vAlign w:val="bottom"/>
          </w:tcPr>
          <w:p>
            <w:pPr>
              <w:spacing w:after="0"/>
              <w:rPr>
                <w:sz w:val="17"/>
                <w:szCs w:val="17"/>
                <w:color w:val="auto"/>
              </w:rPr>
            </w:pPr>
          </w:p>
        </w:tc>
        <w:tc>
          <w:tcPr>
            <w:tcW w:w="800" w:type="dxa"/>
            <w:vAlign w:val="bottom"/>
            <w:gridSpan w:val="4"/>
          </w:tcPr>
          <w:p>
            <w:pPr>
              <w:jc w:val="right"/>
              <w:ind w:right="160"/>
              <w:spacing w:after="0" w:line="196" w:lineRule="exact"/>
              <w:rPr>
                <w:sz w:val="20"/>
                <w:szCs w:val="20"/>
                <w:color w:val="auto"/>
              </w:rPr>
            </w:pPr>
            <w:r>
              <w:rPr>
                <w:rFonts w:ascii="Arial" w:cs="Arial" w:eastAsia="Arial" w:hAnsi="Arial"/>
                <w:sz w:val="18"/>
                <w:szCs w:val="18"/>
                <w:b w:val="1"/>
                <w:bCs w:val="1"/>
                <w:color w:val="auto"/>
                <w:w w:val="84"/>
              </w:rPr>
              <w:t>Increase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460" w:type="dxa"/>
            <w:vAlign w:val="bottom"/>
            <w:tcBorders>
              <w:bottom w:val="single" w:sz="8" w:color="auto"/>
            </w:tcBorders>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240" w:type="dxa"/>
            <w:vAlign w:val="bottom"/>
            <w:tcBorders>
              <w:bottom w:val="single" w:sz="8" w:color="auto"/>
            </w:tcBorders>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00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Costs and expenses:</w:t>
            </w:r>
          </w:p>
        </w:tc>
        <w:tc>
          <w:tcPr>
            <w:tcW w:w="6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1460" w:type="dxa"/>
            <w:vAlign w:val="bottom"/>
            <w:gridSpan w:val="5"/>
          </w:tcPr>
          <w:p>
            <w:pPr>
              <w:jc w:val="right"/>
              <w:ind w:right="360"/>
              <w:spacing w:after="0"/>
              <w:rPr>
                <w:sz w:val="20"/>
                <w:szCs w:val="20"/>
                <w:color w:val="auto"/>
              </w:rPr>
            </w:pPr>
            <w:r>
              <w:rPr>
                <w:rFonts w:ascii="Arial" w:cs="Arial" w:eastAsia="Arial" w:hAnsi="Arial"/>
                <w:sz w:val="18"/>
                <w:szCs w:val="18"/>
                <w:color w:val="auto"/>
              </w:rPr>
              <w:t>57.1%</w:t>
            </w:r>
          </w:p>
        </w:tc>
        <w:tc>
          <w:tcPr>
            <w:tcW w:w="1240" w:type="dxa"/>
            <w:vAlign w:val="bottom"/>
            <w:gridSpan w:val="5"/>
          </w:tcPr>
          <w:p>
            <w:pPr>
              <w:jc w:val="right"/>
              <w:ind w:right="300"/>
              <w:spacing w:after="0"/>
              <w:rPr>
                <w:sz w:val="20"/>
                <w:szCs w:val="20"/>
                <w:color w:val="auto"/>
              </w:rPr>
            </w:pPr>
            <w:r>
              <w:rPr>
                <w:rFonts w:ascii="Arial" w:cs="Arial" w:eastAsia="Arial" w:hAnsi="Arial"/>
                <w:sz w:val="18"/>
                <w:szCs w:val="18"/>
                <w:color w:val="auto"/>
              </w:rPr>
              <w:t>58.7%</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20.2%</w:t>
            </w:r>
          </w:p>
        </w:tc>
        <w:tc>
          <w:tcPr>
            <w:tcW w:w="12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20.5%</w:t>
            </w: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460" w:type="dxa"/>
            <w:vAlign w:val="bottom"/>
            <w:gridSpan w:val="5"/>
          </w:tcPr>
          <w:p>
            <w:pPr>
              <w:jc w:val="right"/>
              <w:ind w:right="360"/>
              <w:spacing w:after="0"/>
              <w:rPr>
                <w:sz w:val="20"/>
                <w:szCs w:val="20"/>
                <w:color w:val="auto"/>
              </w:rPr>
            </w:pPr>
            <w:r>
              <w:rPr>
                <w:rFonts w:ascii="Arial" w:cs="Arial" w:eastAsia="Arial" w:hAnsi="Arial"/>
                <w:sz w:val="18"/>
                <w:szCs w:val="18"/>
                <w:color w:val="auto"/>
              </w:rPr>
              <w:t>2.5%</w:t>
            </w:r>
          </w:p>
        </w:tc>
        <w:tc>
          <w:tcPr>
            <w:tcW w:w="1240" w:type="dxa"/>
            <w:vAlign w:val="bottom"/>
            <w:gridSpan w:val="5"/>
          </w:tcPr>
          <w:p>
            <w:pPr>
              <w:jc w:val="right"/>
              <w:ind w:right="300"/>
              <w:spacing w:after="0"/>
              <w:rPr>
                <w:sz w:val="20"/>
                <w:szCs w:val="20"/>
                <w:color w:val="auto"/>
              </w:rPr>
            </w:pPr>
            <w:r>
              <w:rPr>
                <w:rFonts w:ascii="Arial" w:cs="Arial" w:eastAsia="Arial" w:hAnsi="Arial"/>
                <w:sz w:val="18"/>
                <w:szCs w:val="18"/>
                <w:color w:val="auto"/>
              </w:rPr>
              <w:t>2.6%</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60" w:type="dxa"/>
            <w:vAlign w:val="bottom"/>
            <w:tcBorders>
              <w:bottom w:val="single" w:sz="8" w:color="auto"/>
            </w:tcBorders>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240" w:type="dxa"/>
            <w:vAlign w:val="bottom"/>
            <w:tcBorders>
              <w:bottom w:val="single" w:sz="8" w:color="auto"/>
            </w:tcBorders>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100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7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tcBorders>
              <w:bottom w:val="single" w:sz="8" w:color="auto"/>
            </w:tcBorders>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19.0%</w:t>
            </w:r>
          </w:p>
        </w:tc>
        <w:tc>
          <w:tcPr>
            <w:tcW w:w="1240" w:type="dxa"/>
            <w:vAlign w:val="bottom"/>
            <w:tcBorders>
              <w:bottom w:val="single" w:sz="8" w:color="auto"/>
            </w:tcBorders>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17.2%</w:t>
            </w:r>
          </w:p>
        </w:tc>
        <w:tc>
          <w:tcPr>
            <w:tcW w:w="100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revenue for the period increased by $12.3 million, or 3.2%, from $388.2 million for the three months ended March 31, 2015 to $400.5 million for the three months ended March 31, 2016. Net revenue increased by 4.9% in constant currency, and by 1.2% in constant dollar organic. The primary reason for the increase in revenues in the three months ended March 31, 2016 were the additional net revenues from the acquisition of MediMedia Pharma Solutions and PMG which were acquired on February 27, 2015 and December 4, 2015 respectively. During the three months ended March 31, 2016 we derived approximately 45.9%, 44.1% and 10.0% of our net revenue in the United States, Europe and Rest of World, respectively. During the three months ended March 31, 2016 $179.2 million or 44.7% of our net revenues were derived from our top five customers compared to $202.6 million or 52.2% of net revenues derived from our top five customers during the three months ended March 31, 2015. The largest of these customers related to a Strategic Partnership with a large global pharmaceutical company. Net revenue from this customer contributed 29.2% of net revenue for the quarter, compared to 34% of net revenue in respect of the three months ended March 31, 2015. The addition of new customer accounts, particularly mid-tier pharma customers and biotech customers continues to result in a reduction in concentration of revenues from our top five customers.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jc w:val="both"/>
        <w:spacing w:after="0" w:line="253" w:lineRule="auto"/>
        <w:rPr>
          <w:sz w:val="20"/>
          <w:szCs w:val="20"/>
          <w:color w:val="auto"/>
        </w:rPr>
      </w:pPr>
      <w:r>
        <w:rPr>
          <w:rFonts w:ascii="Arial" w:cs="Arial" w:eastAsia="Arial" w:hAnsi="Arial"/>
          <w:sz w:val="18"/>
          <w:szCs w:val="18"/>
          <w:color w:val="auto"/>
        </w:rPr>
        <w:t>Net revenue in Ireland decreased from $114.1 million for the three months ended March 31, 2015 to $100.8 million for the three months ended March 31, 2016. Net revenue in Ireland is principally a function of the Company’s global transfer pricing model (</w:t>
      </w:r>
      <w:r>
        <w:rPr>
          <w:rFonts w:ascii="Arial" w:cs="Arial" w:eastAsia="Arial" w:hAnsi="Arial"/>
          <w:sz w:val="18"/>
          <w:szCs w:val="18"/>
          <w:i w:val="1"/>
          <w:iCs w:val="1"/>
          <w:color w:val="auto"/>
        </w:rPr>
        <w:t>see note 7 Business Segmental Information for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details</w:t>
      </w:r>
      <w:r>
        <w:rPr>
          <w:rFonts w:ascii="Arial" w:cs="Arial" w:eastAsia="Arial" w:hAnsi="Arial"/>
          <w:sz w:val="18"/>
          <w:szCs w:val="18"/>
          <w:color w:val="auto"/>
        </w:rPr>
        <w:t>). Net revenue in our Rest of Europe region decreased from $84.1 million for the three months ended March 31, 2015 to $75.6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2016. Net revenues in non-U.S. dollar operations in this region were impacted by foreign currency translation and the movement in local rates to the U.S. dollar over the comparative quarter. In addition, the previous closure of the Company’s early phase operations in the United Kingdom contributed to a reduction in net revenues in this region for the three months ended March 31, 2015. Net revenue in the U.S. region increased from $150.1 million for the three months ended March 31, 2015 to $184.1 million for the three months ended March 31, 2016. Net revenues in the U.S. region for the three months ended March 31, 2016 were impacted positively by the acquisitions of MediMedia, which was acquired on February 27, 2015 and PMG, which was acquired on December 4, 2015. Net revenues in our Rest of World region of $40.0 million remained in line with the net revenues for the three months ended March 31, 2015.</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 costs for the period increased by $0.5 million, or 0.2%, from $228.1 million for the three months ended March 31, 2015 to $228.6 million for the three months ended March 31, 2016.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$8.2 million and an increase in laboratory costs of $1.7 million offset, in part, by a decrease in other direct project related costs of $9.7 million. As a percentage of net revenue, direct costs have decreased from 58.7% for the three months ended March 31, 2015 to 57.1% for the three months ended March 31, 2016.</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Selling, general and administrative expenses for the period increased by $1.2 million, or 1.6%, from $79.6 million for the three months ended March 31, 2015 to $80.8 million for the three months ended March 31, 2016.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expenses for the period arose primarily from an increase in personnel related expenditure of $1.9 million, a decrease in facilities and related costs expenditure of $0.6 million, and a decrease in general and administrative expenses net of foreign exchange movements of $0.1 million. As a percentage of net revenue, selling, general and administrative expenses, decreased from 20.5% for the three months ended March 31, 2015 to 20.2% for the three months ended March 31, 2016.</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Depreciation expense for the period increased by $0.3 million, or 2.6%, from $9.9 million for three months ended March 31, 2015 to $10.2 million for three months ended March 31, 2016 and principally arises from continued investment in facilities, information systems and equipment to support the Company’s growth. As a percentage of net revenue, depreciation expense decreased from 2.6% of net revenues for the three months ended March 31, 2015 to 2.5% of net revenues for the three months ended March 31, 2016. Amortization expense for the period increased by $0.9 million, or 23.4%, from $4.0 million for the three months ended March 31, 2015 to $5.0 million for the three months ended March 31, 2016. Amortization expense represents the amortization of intangible assets acquired on business combinations. The increase in the amortization expense for the period relates to the MediMedia and PMG acquisitions. As a percentage of net revenue, amortization expense increased from 1.0% of net revenues for the three months ended March 31, 2015 to 1.2% for the three months ended March 31, 2016.</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above, income from operations for the three months increased by $9.3 million, or 14.0%, from $66.7 million for the three months ended March 31, 2015 to $76.0 million for the three months ended March 31, 2016. As a percentage of net revenue, income from operations increased from 17.2% of net revenues for the three months ended March 31, 2015 to 19.0% of net revenues for the three months ended March 31, 2016.</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Income from operations in Ireland increased from a profit of $47.6 million for the three months ended March 31, 2015 to a profit of $59.6 million for the three months ended March 31, 2016. Income from operations in Ireland is impacted by the Group’s global transfer pricing model </w:t>
      </w:r>
      <w:r>
        <w:rPr>
          <w:rFonts w:ascii="Arial" w:cs="Arial" w:eastAsia="Arial" w:hAnsi="Arial"/>
          <w:sz w:val="18"/>
          <w:szCs w:val="18"/>
          <w:i w:val="1"/>
          <w:iCs w:val="1"/>
          <w:color w:val="auto"/>
        </w:rPr>
        <w:t>(see note 7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Segmental Information for further details). </w:t>
      </w:r>
      <w:r>
        <w:rPr>
          <w:rFonts w:ascii="Arial" w:cs="Arial" w:eastAsia="Arial" w:hAnsi="Arial"/>
          <w:sz w:val="18"/>
          <w:szCs w:val="18"/>
          <w:color w:val="auto"/>
        </w:rPr>
        <w:t>Income from operations in our Rest of Europe region decreased from $6.8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2015 to $3.4 million for the three months ended March 31, 2016. Income from operations in the U.S. region increased from $9.9 million for the three months ended March 31, 2015 to $10.8 million for the three months ended March 31, 2016. Income from operations in the U.S. region for the three months ended March 31, 2016 was impacted positively by the acquisition of MediMedia, which was acquired on February 27, 2015 and PMG, which was acquired on December 4, 2015. Income from operations in the Rest of World region decreased from $2.5 million for the three months ended March 31, 2015 to $2.2 million for the three months ended March 31, 2016.</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Interest income remained at $0.3 million for the three months ended March 31, 2015 and the three months ended March 31, 2016. Interest expense for the period increased by $2.9 million from $0.3 million for the three months ended March 31, 2015 to $3.2 million for the three months ended March 31, 2016. This increase is reflective of the drawdown of the Senior Notes issued in December 2015 and the bridge facility of $350 million in place from September 2015, which are discussed in the Liquidity and Capital Resources section below.</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for the period decreased from $10.8 million for the three months ended March 31, 2015 to $10.2 million for the three months ended March 31, 2016. The Company’s effective tax rate for the three months ended March 31, 2016 was 13.9% compared with 16.2% for the three months ended March 31, 2015. The Company’s effective tax rate is principally a function of the distribution of pre-tax profits amongst the territories in which it operates.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cash and short term investment balances at March 31, 2016 amounted to $247.9 million compared with cash and short term investment balances of $189.9 million at December 31, 2015. The Company’s cash and short term investment balances at March 31, 2016 comprised of cash and cash equivalents of $161.4 million and short-term investments of $86.5 million. The Company’s cash and short term investment balances at December 31, 2015 comprised of cash and cash equivalents of $103.9 million and short-term investments of $86.0 million.</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 In October 2015, the Company entered into an interest rate hedge in respect of the planned issuance of the Senior Notes in December 2015. The interest rate hedge matured in November 2015 when the interest rate on the Senior Notes was fixed. The interest rate hedge was effective in accordance with Financial Accounting Standards Board (“FASB”)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cash proceeds, representing the realized gain on the interest rate hedge were received on maturity in November 2015.</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27, 2015 the Company entered into a 364 day bridge facility for $350.0 million with two financial institutions. The facility bore interest at LIBOR plus a margin and included certain guarantees and indemnities in favor of the two financial institutions. The bridge facility was repaid in full in December 2015.</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30, 2014 the Company entered into a five year committed multi-currency Revolving Credit Facility for $100.0 million with Citibank, JP Morgan, Santander and Barclays Bank (“Revolving Credit Facility”). Each bank subject to the agreement has committed $25 million to the facility, with equal terms and conditions in place with all institutions. In December 2015 the Revolving Credit Facility was amended to remove certain guarantees, the facility is guaranteed by ICON plc. The facility bears interest at LIBOR plus a margin, No amounts were drawn at March 31, 2016 or at December 31, 2015 in respect of the Revolving Credit Facility. Amounts available to the Group under the facility at both March 31, 2016 and December 31, 2015 were $100.0 million.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jc w:val="both"/>
        <w:spacing w:after="0" w:line="269" w:lineRule="auto"/>
        <w:rPr>
          <w:sz w:val="20"/>
          <w:szCs w:val="20"/>
          <w:color w:val="auto"/>
        </w:rPr>
      </w:pPr>
      <w:r>
        <w:rPr>
          <w:rFonts w:ascii="Arial" w:cs="Arial" w:eastAsia="Arial" w:hAnsi="Arial"/>
          <w:sz w:val="17"/>
          <w:szCs w:val="17"/>
          <w:color w:val="auto"/>
        </w:rPr>
        <w:t>Net cash provided by operating activities was $59.4 million for the three months ended March 31, 2016 compared with cash provided by operating activities of $61.1 million for the three months ended March 31, 2015. The most significant influence on our operating cash flows has been an increase to revenues and underlying profitability of the Company. This was offset by an increase in revenue outstanding which comprised of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March 31, 2016 was 47 days compared to 41 days at December 31, 2015. The number of days revenue outstanding at March 31, 2015 was 47 days compared to 40 days at December 31, 2014.</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cash used in investing activities was $7.6 million for the three months ended March 31, 2016 compared to net cash used in investing activities of $112.8 million for the three months ended March 31, 2015. Net cash used in the three months ended March 31, 2016 principally relates to capital expenditure of $7.7 million, which mainly comprised of expenditure on global infrastructure and information technology systems to support the Company’s growth. Net cash used in the three months ended March 31, 2015 arose principally from cash paid in respect of the purchase of MediMedia Pharma Solutions.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provided by financing activities during the three months ended March 31, 2016 amounted to $5.3 million compared with net cash provided by financing activities of $30.1 million for the three months ended March 31, 2015. During the three months ended March 31, 2016 $4.2 million was recognized in relation to the tax benefit from the exercise of share options. In addition, $1.1 million was received by the Company from the exercise of share options. This compares to $2.0 million and $8.2 million in respect of the cash tax benefit and share option proceeds respectively, in the three months ended March 31, 2015. During the three months ended March 31, 2015 $20.0 million was drawn down by the Company under its negotiated banking facility.</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a result of these cash flows, cash and cash equivalents increased by $57.4 million during the three months ended March 31, 2016 compared to a decrease of $23.7 million for the three months ended March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620" w:type="dxa"/>
            <w:vAlign w:val="bottom"/>
            <w:gridSpan w:val="2"/>
          </w:tcPr>
          <w:p>
            <w:pPr>
              <w:ind w:left="3820"/>
              <w:spacing w:after="0"/>
              <w:rPr>
                <w:sz w:val="20"/>
                <w:szCs w:val="20"/>
                <w:color w:val="auto"/>
              </w:rPr>
            </w:pPr>
            <w:r>
              <w:rPr>
                <w:rFonts w:ascii="Arial" w:cs="Arial" w:eastAsia="Arial" w:hAnsi="Arial"/>
                <w:sz w:val="18"/>
                <w:szCs w:val="18"/>
                <w:b w:val="1"/>
                <w:bCs w:val="1"/>
                <w:color w:val="auto"/>
              </w:rPr>
              <w:t>ICON plc</w:t>
            </w:r>
          </w:p>
        </w:tc>
      </w:tr>
      <w:tr>
        <w:trPr>
          <w:trHeight w:val="871"/>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/s/ Brendan Brennan</w:t>
            </w:r>
          </w:p>
        </w:tc>
      </w:tr>
      <w:tr>
        <w:trPr>
          <w:trHeight w:val="202"/>
        </w:trPr>
        <w:tc>
          <w:tcPr>
            <w:tcW w:w="20" w:type="dxa"/>
            <w:vAlign w:val="bottom"/>
          </w:tcPr>
          <w:p>
            <w:pPr>
              <w:spacing w:after="0"/>
              <w:rPr>
                <w:sz w:val="17"/>
                <w:szCs w:val="17"/>
                <w:color w:val="auto"/>
              </w:rPr>
            </w:pPr>
          </w:p>
        </w:tc>
        <w:tc>
          <w:tcPr>
            <w:tcW w:w="3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Date: May 4, 2016</w:t>
            </w:r>
          </w:p>
        </w:tc>
        <w:tc>
          <w:tcPr>
            <w:tcW w:w="3820" w:type="dxa"/>
            <w:vAlign w:val="bottom"/>
          </w:tcPr>
          <w:p>
            <w:pPr>
              <w:spacing w:after="0"/>
              <w:rPr>
                <w:sz w:val="17"/>
                <w:szCs w:val="17"/>
                <w:color w:val="auto"/>
              </w:rPr>
            </w:pPr>
          </w:p>
        </w:tc>
        <w:tc>
          <w:tcPr>
            <w:tcW w:w="3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2019-12-06T22:08:27Z</dcterms:created>
  <dcterms:modified xsi:type="dcterms:W3CDTF">2019-12-06T22:08:27Z</dcterms:modified>
</cp:coreProperties>
</file>