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April 26, 2016 - ICON Reports First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April 26,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First Quarter 2016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of business up 9% year on year to $3.95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480"/>
        <w:spacing w:after="0" w:line="256" w:lineRule="auto"/>
        <w:rPr>
          <w:sz w:val="20"/>
          <w:szCs w:val="20"/>
          <w:color w:val="auto"/>
        </w:rPr>
      </w:pPr>
      <w:r>
        <w:rPr>
          <w:rFonts w:ascii="Arial" w:cs="Arial" w:eastAsia="Arial" w:hAnsi="Arial"/>
          <w:sz w:val="22"/>
          <w:szCs w:val="22"/>
          <w:b w:val="1"/>
          <w:bCs w:val="1"/>
          <w:color w:val="auto"/>
        </w:rPr>
        <w:t>Quarter 1 gross business wins of $514 million, a gross book to bill of 1.29. Net business wins of $440 million, a net book to bill of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1 net revenue $401 million, an increase of 3.2% year on year, 4.9%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Quarter 1 income from operations of $76.0 million or 19.0% of revenue, an increase of 14.0%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1 earnings per share 1.12 up 24%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WIRE)--April 26, 2016--</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first quarter ended March 31, 2016.</w:t>
      </w:r>
    </w:p>
    <w:p>
      <w:pPr>
        <w:spacing w:after="0" w:line="18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 the first quarter net revenue grew 3.2% year on year to $400.5 million from $388.2 million in the same quarter last year. This represented 4.9% constant currency growth and 1.2% constant dollar organic growth year on year.</w:t>
      </w:r>
    </w:p>
    <w:p>
      <w:pPr>
        <w:spacing w:after="0" w:line="173"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Income from operations in the quarter, increased by 14.0% to $76.0 million or 19.0% of revenue compared to $66.7 million or 17.2% for the same quarter last year.</w:t>
      </w:r>
    </w:p>
    <w:p>
      <w:pPr>
        <w:spacing w:after="0" w:line="173"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Net income in the quarter increased by 12.7% to $63.0 million or $1.12 per share on a diluted basis, compared with $55.9 million or $0.90 per share for the same quarter last year.</w:t>
      </w:r>
    </w:p>
    <w:p>
      <w:pPr>
        <w:spacing w:after="0" w:line="173" w:lineRule="exact"/>
        <w:rPr>
          <w:sz w:val="20"/>
          <w:szCs w:val="20"/>
          <w:color w:val="auto"/>
        </w:rPr>
      </w:pPr>
    </w:p>
    <w:p>
      <w:pPr>
        <w:jc w:val="both"/>
        <w:ind w:right="80"/>
        <w:spacing w:after="0" w:line="274" w:lineRule="auto"/>
        <w:rPr>
          <w:sz w:val="20"/>
          <w:szCs w:val="20"/>
          <w:color w:val="auto"/>
        </w:rPr>
      </w:pPr>
      <w:r>
        <w:rPr>
          <w:rFonts w:ascii="Arial" w:cs="Arial" w:eastAsia="Arial" w:hAnsi="Arial"/>
          <w:sz w:val="21"/>
          <w:szCs w:val="21"/>
          <w:color w:val="auto"/>
        </w:rPr>
        <w:t>Day’s sales outstanding, comprising accounts receivable and unbilled revenue less payments on account were 47 days at March 31, 2016, compared with 41 days at the end of December 31, 2015 and 47 days at the end of March 2015.</w:t>
      </w:r>
    </w:p>
    <w:p>
      <w:pPr>
        <w:spacing w:after="0" w:line="151"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Cash generated from operating activities for the quarter was $59.4 million. Capital expenditure for the quarter was $7.7 million. As a result, at March 31, 2016, the company had net debt of $100 million, compared to net debt of $158 million at December 31, 2015 and net cash of $172 million at end of March 2015.</w:t>
      </w:r>
    </w:p>
    <w:p>
      <w:pPr>
        <w:spacing w:after="0" w:line="186" w:lineRule="exact"/>
        <w:rPr>
          <w:sz w:val="20"/>
          <w:szCs w:val="20"/>
          <w:color w:val="auto"/>
        </w:rPr>
      </w:pPr>
    </w:p>
    <w:p>
      <w:pPr>
        <w:jc w:val="both"/>
        <w:ind w:right="40"/>
        <w:spacing w:after="0" w:line="258" w:lineRule="auto"/>
        <w:rPr>
          <w:sz w:val="20"/>
          <w:szCs w:val="20"/>
          <w:color w:val="auto"/>
        </w:rPr>
      </w:pPr>
      <w:r>
        <w:rPr>
          <w:rFonts w:ascii="Arial" w:cs="Arial" w:eastAsia="Arial" w:hAnsi="Arial"/>
          <w:sz w:val="21"/>
          <w:szCs w:val="21"/>
          <w:color w:val="auto"/>
        </w:rPr>
        <w:t xml:space="preserve">CEO, Ciaran Murray commented </w:t>
      </w:r>
      <w:r>
        <w:rPr>
          <w:rFonts w:ascii="Arial" w:cs="Arial" w:eastAsia="Arial" w:hAnsi="Arial"/>
          <w:sz w:val="21"/>
          <w:szCs w:val="21"/>
          <w:i w:val="1"/>
          <w:iCs w:val="1"/>
          <w:color w:val="auto"/>
        </w:rPr>
        <w:t>“Quarter one represents a solid start to 2016. We have grown our backlog of business to close to</w:t>
      </w:r>
      <w:r>
        <w:rPr>
          <w:rFonts w:ascii="Arial" w:cs="Arial" w:eastAsia="Arial" w:hAnsi="Arial"/>
          <w:sz w:val="21"/>
          <w:szCs w:val="21"/>
          <w:color w:val="auto"/>
        </w:rPr>
        <w:t xml:space="preserve"> </w:t>
      </w:r>
      <w:r>
        <w:rPr>
          <w:rFonts w:ascii="Arial" w:cs="Arial" w:eastAsia="Arial" w:hAnsi="Arial"/>
          <w:sz w:val="21"/>
          <w:szCs w:val="21"/>
          <w:i w:val="1"/>
          <w:iCs w:val="1"/>
          <w:color w:val="auto"/>
        </w:rPr>
        <w:t>$4 billion, 9% higher than the same quarter last year. Revenue grew by 4.9% year on year on a constant currency basis and further margin expansion enabled us to deliver earnings per share of $1.12, a 24% increase over last year”.</w:t>
      </w:r>
    </w:p>
    <w:p>
      <w:pPr>
        <w:spacing w:after="0" w:line="167"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ICON will hold its first quarter conference call today, April 26, 2016 at 9:00 EDT [14:00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37 countries and has approximately 12,200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320"/>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1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(Before restructuring and other items)</w:t>
      </w:r>
    </w:p>
    <w:p>
      <w:pPr>
        <w:spacing w:after="0" w:line="17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Three Months ended March 31, 2016 and March 31, 2015</w:t>
      </w:r>
    </w:p>
    <w:p>
      <w:pPr>
        <w:spacing w:after="0" w:line="2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8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2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March</w:t>
            </w:r>
          </w:p>
        </w:tc>
        <w:tc>
          <w:tcPr>
            <w:tcW w:w="700" w:type="dxa"/>
            <w:vAlign w:val="bottom"/>
          </w:tcPr>
          <w:p>
            <w:pPr>
              <w:spacing w:after="0"/>
              <w:rPr>
                <w:sz w:val="13"/>
                <w:szCs w:val="13"/>
                <w:color w:val="auto"/>
              </w:rPr>
            </w:pPr>
          </w:p>
        </w:tc>
        <w:tc>
          <w:tcPr>
            <w:tcW w:w="92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March</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31,</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24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31,</w:t>
            </w:r>
          </w:p>
        </w:tc>
        <w:tc>
          <w:tcPr>
            <w:tcW w:w="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880" w:type="dxa"/>
            <w:vAlign w:val="bottom"/>
            <w:gridSpan w:val="5"/>
          </w:tcPr>
          <w:p>
            <w:pPr>
              <w:jc w:val="center"/>
              <w:ind w:left="2528"/>
              <w:spacing w:after="0" w:line="155"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5"/>
          </w:tcPr>
          <w:p>
            <w:pPr>
              <w:jc w:val="center"/>
              <w:ind w:left="708"/>
              <w:spacing w:after="0" w:line="155"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Gross revenue</w:t>
            </w:r>
          </w:p>
        </w:tc>
        <w:tc>
          <w:tcPr>
            <w:tcW w:w="3640" w:type="dxa"/>
            <w:vAlign w:val="bottom"/>
            <w:gridSpan w:val="7"/>
          </w:tcPr>
          <w:p>
            <w:pPr>
              <w:jc w:val="center"/>
              <w:ind w:left="1768"/>
              <w:spacing w:after="0"/>
              <w:rPr>
                <w:sz w:val="20"/>
                <w:szCs w:val="20"/>
                <w:color w:val="auto"/>
              </w:rPr>
            </w:pPr>
            <w:r>
              <w:rPr>
                <w:rFonts w:ascii="Arial" w:cs="Arial" w:eastAsia="Arial" w:hAnsi="Arial"/>
                <w:sz w:val="14"/>
                <w:szCs w:val="14"/>
                <w:color w:val="auto"/>
                <w:w w:val="94"/>
              </w:rPr>
              <w:t>542,583</w:t>
            </w:r>
          </w:p>
        </w:tc>
        <w:tc>
          <w:tcPr>
            <w:tcW w:w="162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503,366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3"/>
              </w:rPr>
              <w:t>(142,061)</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3"/>
              </w:rPr>
              <w:t>(115,135)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8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3640" w:type="dxa"/>
            <w:vAlign w:val="bottom"/>
            <w:gridSpan w:val="7"/>
          </w:tcPr>
          <w:p>
            <w:pPr>
              <w:jc w:val="center"/>
              <w:ind w:left="1768"/>
              <w:spacing w:after="0"/>
              <w:rPr>
                <w:sz w:val="20"/>
                <w:szCs w:val="20"/>
                <w:color w:val="auto"/>
              </w:rPr>
            </w:pPr>
            <w:r>
              <w:rPr>
                <w:rFonts w:ascii="Arial" w:cs="Arial" w:eastAsia="Arial" w:hAnsi="Arial"/>
                <w:sz w:val="14"/>
                <w:szCs w:val="14"/>
                <w:color w:val="auto"/>
                <w:w w:val="94"/>
              </w:rPr>
              <w:t>400,522</w:t>
            </w:r>
          </w:p>
        </w:tc>
        <w:tc>
          <w:tcPr>
            <w:tcW w:w="162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388,231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Direct costs</w:t>
            </w:r>
          </w:p>
        </w:tc>
        <w:tc>
          <w:tcPr>
            <w:tcW w:w="3640" w:type="dxa"/>
            <w:vAlign w:val="bottom"/>
            <w:gridSpan w:val="7"/>
          </w:tcPr>
          <w:p>
            <w:pPr>
              <w:jc w:val="center"/>
              <w:ind w:left="1768"/>
              <w:spacing w:after="0"/>
              <w:rPr>
                <w:sz w:val="20"/>
                <w:szCs w:val="20"/>
                <w:color w:val="auto"/>
              </w:rPr>
            </w:pPr>
            <w:r>
              <w:rPr>
                <w:rFonts w:ascii="Arial" w:cs="Arial" w:eastAsia="Arial" w:hAnsi="Arial"/>
                <w:sz w:val="14"/>
                <w:szCs w:val="14"/>
                <w:color w:val="auto"/>
                <w:w w:val="94"/>
              </w:rPr>
              <w:t>228,603</w:t>
            </w:r>
          </w:p>
        </w:tc>
        <w:tc>
          <w:tcPr>
            <w:tcW w:w="162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228,078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80,789</w:t>
            </w:r>
          </w:p>
        </w:tc>
        <w:tc>
          <w:tcPr>
            <w:tcW w:w="700" w:type="dxa"/>
            <w:vAlign w:val="bottom"/>
          </w:tcPr>
          <w:p>
            <w:pPr>
              <w:spacing w:after="0"/>
              <w:rPr>
                <w:sz w:val="15"/>
                <w:szCs w:val="15"/>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79,555</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3"/>
              </w:rPr>
              <w:t>15,120</w:t>
            </w: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3"/>
              </w:rPr>
              <w:t>13,925</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4"/>
              </w:rPr>
              <w:t>324,512</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4"/>
              </w:rPr>
              <w:t>321,558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76,010</w:t>
            </w:r>
          </w:p>
        </w:tc>
        <w:tc>
          <w:tcPr>
            <w:tcW w:w="700" w:type="dxa"/>
            <w:vAlign w:val="bottom"/>
          </w:tcPr>
          <w:p>
            <w:pPr>
              <w:spacing w:after="0"/>
              <w:rPr>
                <w:sz w:val="24"/>
                <w:szCs w:val="24"/>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66,673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3640" w:type="dxa"/>
            <w:vAlign w:val="bottom"/>
            <w:tcBorders>
              <w:bottom w:val="single" w:sz="8" w:color="auto"/>
            </w:tcBorders>
            <w:gridSpan w:val="7"/>
          </w:tcPr>
          <w:p>
            <w:pPr>
              <w:jc w:val="center"/>
              <w:ind w:left="1748"/>
              <w:spacing w:after="0"/>
              <w:rPr>
                <w:sz w:val="20"/>
                <w:szCs w:val="20"/>
                <w:color w:val="auto"/>
              </w:rPr>
            </w:pPr>
            <w:r>
              <w:rPr>
                <w:rFonts w:ascii="Arial" w:cs="Arial" w:eastAsia="Arial" w:hAnsi="Arial"/>
                <w:sz w:val="14"/>
                <w:szCs w:val="14"/>
                <w:color w:val="auto"/>
                <w:w w:val="94"/>
              </w:rPr>
              <w:t>(2,881)</w:t>
            </w:r>
          </w:p>
        </w:tc>
        <w:tc>
          <w:tcPr>
            <w:tcW w:w="106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color w:val="auto"/>
                <w:w w:val="93"/>
              </w:rPr>
              <w:t>(3)</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73,129</w:t>
            </w:r>
          </w:p>
        </w:tc>
        <w:tc>
          <w:tcPr>
            <w:tcW w:w="700" w:type="dxa"/>
            <w:vAlign w:val="bottom"/>
          </w:tcPr>
          <w:p>
            <w:pPr>
              <w:spacing w:after="0"/>
              <w:rPr>
                <w:sz w:val="24"/>
                <w:szCs w:val="24"/>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66,670</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1"/>
              </w:rPr>
              <w:t>(10,165)</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(10,801)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3"/>
              </w:rPr>
              <w:t>62,964</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3"/>
              </w:rPr>
              <w:t>55,869</w:t>
            </w: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840" w:type="dxa"/>
            <w:vAlign w:val="bottom"/>
          </w:tcPr>
          <w:p>
            <w:pPr>
              <w:spacing w:after="0"/>
              <w:rPr>
                <w:sz w:val="20"/>
                <w:szCs w:val="20"/>
                <w:color w:val="auto"/>
              </w:rPr>
            </w:pPr>
            <w:r>
              <w:rPr>
                <w:rFonts w:ascii="Arial" w:cs="Arial" w:eastAsia="Arial" w:hAnsi="Arial"/>
                <w:sz w:val="14"/>
                <w:szCs w:val="14"/>
                <w:i w:val="1"/>
                <w:iCs w:val="1"/>
                <w:color w:val="auto"/>
              </w:rPr>
              <w:t>Net income per Ordinary Share:</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1"/>
              </w:rPr>
              <w:t>$1.14</w:t>
            </w: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1"/>
              </w:rPr>
              <w:t>$0.93</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Diluted</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1"/>
              </w:rPr>
              <w:t>$1.12</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1"/>
              </w:rPr>
              <w:t>$0.90</w:t>
            </w: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840" w:type="dxa"/>
            <w:vAlign w:val="bottom"/>
          </w:tcPr>
          <w:p>
            <w:pPr>
              <w:spacing w:after="0"/>
              <w:rPr>
                <w:sz w:val="20"/>
                <w:szCs w:val="20"/>
                <w:color w:val="auto"/>
              </w:rPr>
            </w:pPr>
            <w:r>
              <w:rPr>
                <w:rFonts w:ascii="Arial" w:cs="Arial" w:eastAsia="Arial" w:hAnsi="Arial"/>
                <w:sz w:val="14"/>
                <w:szCs w:val="14"/>
                <w:i w:val="1"/>
                <w:iCs w:val="1"/>
                <w:color w:val="auto"/>
              </w:rPr>
              <w:t>Weighted average number of Ordinary Shares outstanding:</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1"/>
              </w:rPr>
              <w:t>55,011,019</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60,281,059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Diluted</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1"/>
              </w:rPr>
              <w:t>56,242,164</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61,856,347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4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ind w:right="320"/>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2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(US GAAP)</w:t>
      </w:r>
    </w:p>
    <w:p>
      <w:pPr>
        <w:spacing w:after="0" w:line="179"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Three Months ended March 31, 2016 and March 31, 2015</w:t>
      </w:r>
    </w:p>
    <w:p>
      <w:pPr>
        <w:spacing w:after="0" w:line="25"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8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2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March</w:t>
            </w:r>
          </w:p>
        </w:tc>
        <w:tc>
          <w:tcPr>
            <w:tcW w:w="700" w:type="dxa"/>
            <w:vAlign w:val="bottom"/>
          </w:tcPr>
          <w:p>
            <w:pPr>
              <w:spacing w:after="0"/>
              <w:rPr>
                <w:sz w:val="13"/>
                <w:szCs w:val="13"/>
                <w:color w:val="auto"/>
              </w:rPr>
            </w:pPr>
          </w:p>
        </w:tc>
        <w:tc>
          <w:tcPr>
            <w:tcW w:w="92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March</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1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31,</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top w:val="single" w:sz="8" w:color="auto"/>
            </w:tcBorders>
            <w:gridSpan w:val="2"/>
          </w:tcPr>
          <w:p>
            <w:pPr>
              <w:spacing w:after="0"/>
              <w:rPr>
                <w:sz w:val="11"/>
                <w:szCs w:val="11"/>
                <w:color w:val="auto"/>
              </w:rPr>
            </w:pPr>
          </w:p>
        </w:tc>
        <w:tc>
          <w:tcPr>
            <w:tcW w:w="240" w:type="dxa"/>
            <w:vAlign w:val="bottom"/>
            <w:tcBorders>
              <w:top w:val="single" w:sz="8" w:color="auto"/>
            </w:tcBorders>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31,</w:t>
            </w:r>
          </w:p>
        </w:tc>
        <w:tc>
          <w:tcPr>
            <w:tcW w:w="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880" w:type="dxa"/>
            <w:vAlign w:val="bottom"/>
            <w:gridSpan w:val="5"/>
          </w:tcPr>
          <w:p>
            <w:pPr>
              <w:jc w:val="center"/>
              <w:ind w:left="2528"/>
              <w:spacing w:after="0" w:line="155"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5"/>
          </w:tcPr>
          <w:p>
            <w:pPr>
              <w:jc w:val="center"/>
              <w:ind w:left="708"/>
              <w:spacing w:after="0" w:line="155"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Gross revenue</w:t>
            </w:r>
          </w:p>
        </w:tc>
        <w:tc>
          <w:tcPr>
            <w:tcW w:w="3640" w:type="dxa"/>
            <w:vAlign w:val="bottom"/>
            <w:gridSpan w:val="7"/>
          </w:tcPr>
          <w:p>
            <w:pPr>
              <w:jc w:val="center"/>
              <w:ind w:left="1768"/>
              <w:spacing w:after="0"/>
              <w:rPr>
                <w:sz w:val="20"/>
                <w:szCs w:val="20"/>
                <w:color w:val="auto"/>
              </w:rPr>
            </w:pPr>
            <w:r>
              <w:rPr>
                <w:rFonts w:ascii="Arial" w:cs="Arial" w:eastAsia="Arial" w:hAnsi="Arial"/>
                <w:sz w:val="14"/>
                <w:szCs w:val="14"/>
                <w:color w:val="auto"/>
                <w:w w:val="94"/>
              </w:rPr>
              <w:t>542,583</w:t>
            </w:r>
          </w:p>
        </w:tc>
        <w:tc>
          <w:tcPr>
            <w:tcW w:w="162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503,366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3"/>
              </w:rPr>
              <w:t>(142,061)</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3"/>
              </w:rPr>
              <w:t>(115,135)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8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3640" w:type="dxa"/>
            <w:vAlign w:val="bottom"/>
            <w:gridSpan w:val="7"/>
          </w:tcPr>
          <w:p>
            <w:pPr>
              <w:jc w:val="center"/>
              <w:ind w:left="1768"/>
              <w:spacing w:after="0"/>
              <w:rPr>
                <w:sz w:val="20"/>
                <w:szCs w:val="20"/>
                <w:color w:val="auto"/>
              </w:rPr>
            </w:pPr>
            <w:r>
              <w:rPr>
                <w:rFonts w:ascii="Arial" w:cs="Arial" w:eastAsia="Arial" w:hAnsi="Arial"/>
                <w:sz w:val="14"/>
                <w:szCs w:val="14"/>
                <w:color w:val="auto"/>
                <w:w w:val="94"/>
              </w:rPr>
              <w:t>400,522</w:t>
            </w:r>
          </w:p>
        </w:tc>
        <w:tc>
          <w:tcPr>
            <w:tcW w:w="162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388,231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8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Direct costs</w:t>
            </w:r>
          </w:p>
        </w:tc>
        <w:tc>
          <w:tcPr>
            <w:tcW w:w="3640" w:type="dxa"/>
            <w:vAlign w:val="bottom"/>
            <w:gridSpan w:val="7"/>
          </w:tcPr>
          <w:p>
            <w:pPr>
              <w:jc w:val="center"/>
              <w:ind w:left="1768"/>
              <w:spacing w:after="0"/>
              <w:rPr>
                <w:sz w:val="20"/>
                <w:szCs w:val="20"/>
                <w:color w:val="auto"/>
              </w:rPr>
            </w:pPr>
            <w:r>
              <w:rPr>
                <w:rFonts w:ascii="Arial" w:cs="Arial" w:eastAsia="Arial" w:hAnsi="Arial"/>
                <w:sz w:val="14"/>
                <w:szCs w:val="14"/>
                <w:color w:val="auto"/>
                <w:w w:val="94"/>
              </w:rPr>
              <w:t>228,603</w:t>
            </w:r>
          </w:p>
        </w:tc>
        <w:tc>
          <w:tcPr>
            <w:tcW w:w="1620" w:type="dxa"/>
            <w:vAlign w:val="bottom"/>
            <w:gridSpan w:val="7"/>
          </w:tcPr>
          <w:p>
            <w:pPr>
              <w:jc w:val="center"/>
              <w:ind w:left="148"/>
              <w:spacing w:after="0"/>
              <w:rPr>
                <w:sz w:val="20"/>
                <w:szCs w:val="20"/>
                <w:color w:val="auto"/>
              </w:rPr>
            </w:pPr>
            <w:r>
              <w:rPr>
                <w:rFonts w:ascii="Arial" w:cs="Arial" w:eastAsia="Arial" w:hAnsi="Arial"/>
                <w:sz w:val="14"/>
                <w:szCs w:val="14"/>
                <w:color w:val="auto"/>
                <w:w w:val="94"/>
              </w:rPr>
              <w:t>228,078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80,789</w:t>
            </w:r>
          </w:p>
        </w:tc>
        <w:tc>
          <w:tcPr>
            <w:tcW w:w="700" w:type="dxa"/>
            <w:vAlign w:val="bottom"/>
          </w:tcPr>
          <w:p>
            <w:pPr>
              <w:spacing w:after="0"/>
              <w:rPr>
                <w:sz w:val="15"/>
                <w:szCs w:val="15"/>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79,555</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15,120</w:t>
            </w:r>
          </w:p>
        </w:tc>
        <w:tc>
          <w:tcPr>
            <w:tcW w:w="700" w:type="dxa"/>
            <w:vAlign w:val="bottom"/>
          </w:tcPr>
          <w:p>
            <w:pPr>
              <w:spacing w:after="0"/>
              <w:rPr>
                <w:sz w:val="15"/>
                <w:szCs w:val="15"/>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13,925</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and other items</w:t>
            </w:r>
          </w:p>
        </w:tc>
        <w:tc>
          <w:tcPr>
            <w:tcW w:w="2820" w:type="dxa"/>
            <w:vAlign w:val="bottom"/>
            <w:tcBorders>
              <w:bottom w:val="single" w:sz="8" w:color="auto"/>
            </w:tcBorders>
            <w:gridSpan w:val="4"/>
          </w:tcPr>
          <w:p>
            <w:pPr>
              <w:jc w:val="center"/>
              <w:ind w:left="2588"/>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left="768"/>
              <w:spacing w:after="0"/>
              <w:rPr>
                <w:sz w:val="20"/>
                <w:szCs w:val="20"/>
                <w:color w:val="auto"/>
              </w:rPr>
            </w:pPr>
            <w:r>
              <w:rPr>
                <w:rFonts w:ascii="Arial" w:cs="Arial" w:eastAsia="Arial" w:hAnsi="Arial"/>
                <w:sz w:val="14"/>
                <w:szCs w:val="14"/>
                <w:color w:val="auto"/>
              </w:rPr>
              <w:t>0</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4"/>
              </w:rPr>
              <w:t>324,512</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4"/>
              </w:rPr>
              <w:t>321,558</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76,010</w:t>
            </w:r>
          </w:p>
        </w:tc>
        <w:tc>
          <w:tcPr>
            <w:tcW w:w="700" w:type="dxa"/>
            <w:vAlign w:val="bottom"/>
          </w:tcPr>
          <w:p>
            <w:pPr>
              <w:spacing w:after="0"/>
              <w:rPr>
                <w:sz w:val="24"/>
                <w:szCs w:val="24"/>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66,673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3640" w:type="dxa"/>
            <w:vAlign w:val="bottom"/>
            <w:tcBorders>
              <w:bottom w:val="single" w:sz="8" w:color="auto"/>
            </w:tcBorders>
            <w:gridSpan w:val="7"/>
          </w:tcPr>
          <w:p>
            <w:pPr>
              <w:jc w:val="center"/>
              <w:ind w:left="1748"/>
              <w:spacing w:after="0"/>
              <w:rPr>
                <w:sz w:val="20"/>
                <w:szCs w:val="20"/>
                <w:color w:val="auto"/>
              </w:rPr>
            </w:pPr>
            <w:r>
              <w:rPr>
                <w:rFonts w:ascii="Arial" w:cs="Arial" w:eastAsia="Arial" w:hAnsi="Arial"/>
                <w:sz w:val="14"/>
                <w:szCs w:val="14"/>
                <w:color w:val="auto"/>
                <w:w w:val="94"/>
              </w:rPr>
              <w:t>(2,881)</w:t>
            </w:r>
          </w:p>
        </w:tc>
        <w:tc>
          <w:tcPr>
            <w:tcW w:w="1060" w:type="dxa"/>
            <w:vAlign w:val="bottom"/>
            <w:tcBorders>
              <w:bottom w:val="single" w:sz="8" w:color="auto"/>
            </w:tcBorders>
            <w:gridSpan w:val="5"/>
          </w:tcPr>
          <w:p>
            <w:pPr>
              <w:jc w:val="center"/>
              <w:ind w:left="708"/>
              <w:spacing w:after="0"/>
              <w:rPr>
                <w:sz w:val="20"/>
                <w:szCs w:val="20"/>
                <w:color w:val="auto"/>
              </w:rPr>
            </w:pPr>
            <w:r>
              <w:rPr>
                <w:rFonts w:ascii="Arial" w:cs="Arial" w:eastAsia="Arial" w:hAnsi="Arial"/>
                <w:sz w:val="14"/>
                <w:szCs w:val="14"/>
                <w:color w:val="auto"/>
                <w:w w:val="93"/>
              </w:rPr>
              <w:t>(3)</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8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940" w:type="dxa"/>
            <w:vAlign w:val="bottom"/>
            <w:gridSpan w:val="6"/>
          </w:tcPr>
          <w:p>
            <w:pPr>
              <w:jc w:val="center"/>
              <w:ind w:left="2468"/>
              <w:spacing w:after="0"/>
              <w:rPr>
                <w:sz w:val="20"/>
                <w:szCs w:val="20"/>
                <w:color w:val="auto"/>
              </w:rPr>
            </w:pPr>
            <w:r>
              <w:rPr>
                <w:rFonts w:ascii="Arial" w:cs="Arial" w:eastAsia="Arial" w:hAnsi="Arial"/>
                <w:sz w:val="14"/>
                <w:szCs w:val="14"/>
                <w:color w:val="auto"/>
                <w:w w:val="93"/>
              </w:rPr>
              <w:t>73,129</w:t>
            </w:r>
          </w:p>
        </w:tc>
        <w:tc>
          <w:tcPr>
            <w:tcW w:w="700" w:type="dxa"/>
            <w:vAlign w:val="bottom"/>
          </w:tcPr>
          <w:p>
            <w:pPr>
              <w:spacing w:after="0"/>
              <w:rPr>
                <w:sz w:val="24"/>
                <w:szCs w:val="24"/>
                <w:color w:val="auto"/>
              </w:rPr>
            </w:pPr>
          </w:p>
        </w:tc>
        <w:tc>
          <w:tcPr>
            <w:tcW w:w="1120" w:type="dxa"/>
            <w:vAlign w:val="bottom"/>
            <w:gridSpan w:val="6"/>
          </w:tcPr>
          <w:p>
            <w:pPr>
              <w:jc w:val="center"/>
              <w:ind w:left="648"/>
              <w:spacing w:after="0"/>
              <w:rPr>
                <w:sz w:val="20"/>
                <w:szCs w:val="20"/>
                <w:color w:val="auto"/>
              </w:rPr>
            </w:pPr>
            <w:r>
              <w:rPr>
                <w:rFonts w:ascii="Arial" w:cs="Arial" w:eastAsia="Arial" w:hAnsi="Arial"/>
                <w:sz w:val="14"/>
                <w:szCs w:val="14"/>
                <w:color w:val="auto"/>
                <w:w w:val="93"/>
              </w:rPr>
              <w:t>66,670</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1"/>
              </w:rPr>
              <w:t>(10,165)</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(10,801)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3"/>
              </w:rPr>
              <w:t>62,964</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3"/>
              </w:rPr>
              <w:t>55,869</w:t>
            </w: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840" w:type="dxa"/>
            <w:vAlign w:val="bottom"/>
          </w:tcPr>
          <w:p>
            <w:pPr>
              <w:spacing w:after="0"/>
              <w:rPr>
                <w:sz w:val="20"/>
                <w:szCs w:val="20"/>
                <w:color w:val="auto"/>
              </w:rPr>
            </w:pPr>
            <w:r>
              <w:rPr>
                <w:rFonts w:ascii="Arial" w:cs="Arial" w:eastAsia="Arial" w:hAnsi="Arial"/>
                <w:sz w:val="14"/>
                <w:szCs w:val="14"/>
                <w:i w:val="1"/>
                <w:iCs w:val="1"/>
                <w:color w:val="auto"/>
              </w:rPr>
              <w:t>Net income per Ordinary Share:</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1"/>
              </w:rPr>
              <w:t>$1.14</w:t>
            </w:r>
          </w:p>
        </w:tc>
        <w:tc>
          <w:tcPr>
            <w:tcW w:w="7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1"/>
              </w:rPr>
              <w:t>$0.93</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940" w:type="dxa"/>
            <w:vAlign w:val="bottom"/>
            <w:tcBorders>
              <w:bottom w:val="single" w:sz="8" w:color="auto"/>
            </w:tcBorders>
            <w:gridSpan w:val="6"/>
          </w:tcPr>
          <w:p>
            <w:pPr>
              <w:jc w:val="center"/>
              <w:ind w:left="2468"/>
              <w:spacing w:after="0"/>
              <w:rPr>
                <w:sz w:val="20"/>
                <w:szCs w:val="20"/>
                <w:color w:val="auto"/>
              </w:rPr>
            </w:pPr>
            <w:r>
              <w:rPr>
                <w:rFonts w:ascii="Arial" w:cs="Arial" w:eastAsia="Arial" w:hAnsi="Arial"/>
                <w:sz w:val="14"/>
                <w:szCs w:val="14"/>
                <w:color w:val="auto"/>
                <w:w w:val="91"/>
              </w:rPr>
              <w:t>$1.12</w:t>
            </w: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center"/>
              <w:ind w:left="648"/>
              <w:spacing w:after="0"/>
              <w:rPr>
                <w:sz w:val="20"/>
                <w:szCs w:val="20"/>
                <w:color w:val="auto"/>
              </w:rPr>
            </w:pPr>
            <w:r>
              <w:rPr>
                <w:rFonts w:ascii="Arial" w:cs="Arial" w:eastAsia="Arial" w:hAnsi="Arial"/>
                <w:sz w:val="14"/>
                <w:szCs w:val="14"/>
                <w:color w:val="auto"/>
                <w:w w:val="91"/>
              </w:rPr>
              <w:t>$0.90</w:t>
            </w:r>
          </w:p>
        </w:tc>
        <w:tc>
          <w:tcPr>
            <w:tcW w:w="5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840" w:type="dxa"/>
            <w:vAlign w:val="bottom"/>
          </w:tcPr>
          <w:p>
            <w:pPr>
              <w:spacing w:after="0"/>
              <w:rPr>
                <w:sz w:val="20"/>
                <w:szCs w:val="20"/>
                <w:color w:val="auto"/>
              </w:rPr>
            </w:pPr>
            <w:r>
              <w:rPr>
                <w:rFonts w:ascii="Arial" w:cs="Arial" w:eastAsia="Arial" w:hAnsi="Arial"/>
                <w:sz w:val="14"/>
                <w:szCs w:val="14"/>
                <w:i w:val="1"/>
                <w:iCs w:val="1"/>
                <w:color w:val="auto"/>
              </w:rPr>
              <w:t>Weighted average number of Ordinary Shares outstanding:</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1"/>
              </w:rPr>
              <w:t>55,011,019</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60,281,059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3640" w:type="dxa"/>
            <w:vAlign w:val="bottom"/>
            <w:tcBorders>
              <w:bottom w:val="single" w:sz="8" w:color="auto"/>
            </w:tcBorders>
            <w:gridSpan w:val="7"/>
          </w:tcPr>
          <w:p>
            <w:pPr>
              <w:jc w:val="center"/>
              <w:ind w:left="1768"/>
              <w:spacing w:after="0"/>
              <w:rPr>
                <w:sz w:val="20"/>
                <w:szCs w:val="20"/>
                <w:color w:val="auto"/>
              </w:rPr>
            </w:pPr>
            <w:r>
              <w:rPr>
                <w:rFonts w:ascii="Arial" w:cs="Arial" w:eastAsia="Arial" w:hAnsi="Arial"/>
                <w:sz w:val="14"/>
                <w:szCs w:val="14"/>
                <w:color w:val="auto"/>
                <w:w w:val="91"/>
              </w:rPr>
              <w:t>56,242,164</w:t>
            </w:r>
          </w:p>
        </w:tc>
        <w:tc>
          <w:tcPr>
            <w:tcW w:w="1620" w:type="dxa"/>
            <w:vAlign w:val="bottom"/>
            <w:tcBorders>
              <w:bottom w:val="single" w:sz="8" w:color="auto"/>
            </w:tcBorders>
            <w:gridSpan w:val="7"/>
          </w:tcPr>
          <w:p>
            <w:pPr>
              <w:jc w:val="center"/>
              <w:ind w:left="148"/>
              <w:spacing w:after="0"/>
              <w:rPr>
                <w:sz w:val="20"/>
                <w:szCs w:val="20"/>
                <w:color w:val="auto"/>
              </w:rPr>
            </w:pPr>
            <w:r>
              <w:rPr>
                <w:rFonts w:ascii="Arial" w:cs="Arial" w:eastAsia="Arial" w:hAnsi="Arial"/>
                <w:sz w:val="14"/>
                <w:szCs w:val="14"/>
                <w:color w:val="auto"/>
                <w:w w:val="91"/>
              </w:rPr>
              <w:t>61,856,347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4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4"/>
          <w:szCs w:val="14"/>
          <w:b w:val="1"/>
          <w:bCs w:val="1"/>
          <w:color w:val="auto"/>
        </w:rPr>
        <w:t>ICON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Balance Sheet Data</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March 31, 2016 and December 31, 2015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(Dollars,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4120" w:type="dxa"/>
            <w:vAlign w:val="bottom"/>
          </w:tcPr>
          <w:p>
            <w:pPr>
              <w:jc w:val="center"/>
              <w:ind w:left="1428"/>
              <w:spacing w:after="0"/>
              <w:rPr>
                <w:sz w:val="20"/>
                <w:szCs w:val="20"/>
                <w:color w:val="auto"/>
              </w:rPr>
            </w:pPr>
            <w:r>
              <w:rPr>
                <w:rFonts w:ascii="Arial" w:cs="Arial" w:eastAsia="Arial" w:hAnsi="Arial"/>
                <w:sz w:val="14"/>
                <w:szCs w:val="14"/>
                <w:b w:val="1"/>
                <w:bCs w:val="1"/>
                <w:color w:val="auto"/>
                <w:w w:val="95"/>
              </w:rPr>
              <w:t>March 31,</w:t>
            </w:r>
          </w:p>
        </w:tc>
        <w:tc>
          <w:tcPr>
            <w:tcW w:w="1780" w:type="dxa"/>
            <w:vAlign w:val="bottom"/>
          </w:tcPr>
          <w:p>
            <w:pPr>
              <w:jc w:val="center"/>
              <w:ind w:left="868"/>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4340" w:type="dxa"/>
            <w:vAlign w:val="bottom"/>
          </w:tcPr>
          <w:p>
            <w:pPr>
              <w:spacing w:after="0"/>
              <w:rPr>
                <w:sz w:val="15"/>
                <w:szCs w:val="15"/>
                <w:color w:val="auto"/>
              </w:rPr>
            </w:pPr>
          </w:p>
        </w:tc>
        <w:tc>
          <w:tcPr>
            <w:tcW w:w="4120" w:type="dxa"/>
            <w:vAlign w:val="bottom"/>
          </w:tcPr>
          <w:p>
            <w:pPr>
              <w:jc w:val="center"/>
              <w:ind w:left="1448"/>
              <w:spacing w:after="0"/>
              <w:rPr>
                <w:sz w:val="20"/>
                <w:szCs w:val="20"/>
                <w:color w:val="auto"/>
              </w:rPr>
            </w:pPr>
            <w:r>
              <w:rPr>
                <w:rFonts w:ascii="Arial" w:cs="Arial" w:eastAsia="Arial" w:hAnsi="Arial"/>
                <w:sz w:val="14"/>
                <w:szCs w:val="14"/>
                <w:b w:val="1"/>
                <w:bCs w:val="1"/>
                <w:color w:val="auto"/>
                <w:w w:val="89"/>
              </w:rPr>
              <w:t>2016</w:t>
            </w:r>
          </w:p>
        </w:tc>
        <w:tc>
          <w:tcPr>
            <w:tcW w:w="1780" w:type="dxa"/>
            <w:vAlign w:val="bottom"/>
          </w:tcPr>
          <w:p>
            <w:pPr>
              <w:jc w:val="center"/>
              <w:ind w:left="868"/>
              <w:spacing w:after="0"/>
              <w:rPr>
                <w:sz w:val="20"/>
                <w:szCs w:val="20"/>
                <w:color w:val="auto"/>
              </w:rPr>
            </w:pPr>
            <w:r>
              <w:rPr>
                <w:rFonts w:ascii="Arial" w:cs="Arial" w:eastAsia="Arial" w:hAnsi="Arial"/>
                <w:sz w:val="14"/>
                <w:szCs w:val="14"/>
                <w:b w:val="1"/>
                <w:bCs w:val="1"/>
                <w:color w:val="auto"/>
                <w:w w:val="89"/>
              </w:rPr>
              <w:t>2015</w:t>
            </w:r>
          </w:p>
        </w:tc>
      </w:tr>
      <w:tr>
        <w:trPr>
          <w:trHeight w:val="186"/>
        </w:trPr>
        <w:tc>
          <w:tcPr>
            <w:tcW w:w="4340" w:type="dxa"/>
            <w:vAlign w:val="bottom"/>
          </w:tcPr>
          <w:p>
            <w:pPr>
              <w:spacing w:after="0"/>
              <w:rPr>
                <w:sz w:val="16"/>
                <w:szCs w:val="16"/>
                <w:color w:val="auto"/>
              </w:rPr>
            </w:pPr>
          </w:p>
        </w:tc>
        <w:tc>
          <w:tcPr>
            <w:tcW w:w="4120" w:type="dxa"/>
            <w:vAlign w:val="bottom"/>
          </w:tcPr>
          <w:p>
            <w:pPr>
              <w:jc w:val="center"/>
              <w:ind w:left="1428"/>
              <w:spacing w:after="0"/>
              <w:rPr>
                <w:sz w:val="20"/>
                <w:szCs w:val="20"/>
                <w:color w:val="auto"/>
              </w:rPr>
            </w:pPr>
            <w:r>
              <w:rPr>
                <w:rFonts w:ascii="Arial" w:cs="Arial" w:eastAsia="Arial" w:hAnsi="Arial"/>
                <w:sz w:val="14"/>
                <w:szCs w:val="14"/>
                <w:b w:val="1"/>
                <w:bCs w:val="1"/>
                <w:color w:val="auto"/>
                <w:w w:val="95"/>
              </w:rPr>
              <w:t>(Unaudited)</w:t>
            </w:r>
          </w:p>
        </w:tc>
        <w:tc>
          <w:tcPr>
            <w:tcW w:w="1780" w:type="dxa"/>
            <w:vAlign w:val="bottom"/>
          </w:tcPr>
          <w:p>
            <w:pPr>
              <w:jc w:val="center"/>
              <w:ind w:left="848"/>
              <w:spacing w:after="0"/>
              <w:rPr>
                <w:sz w:val="20"/>
                <w:szCs w:val="20"/>
                <w:color w:val="auto"/>
              </w:rPr>
            </w:pPr>
            <w:r>
              <w:rPr>
                <w:rFonts w:ascii="Arial" w:cs="Arial" w:eastAsia="Arial" w:hAnsi="Arial"/>
                <w:sz w:val="14"/>
                <w:szCs w:val="14"/>
                <w:b w:val="1"/>
                <w:bCs w:val="1"/>
                <w:color w:val="auto"/>
                <w:w w:val="98"/>
              </w:rPr>
              <w:t>(Audited)*</w:t>
            </w:r>
          </w:p>
        </w:tc>
      </w:tr>
      <w:tr>
        <w:trPr>
          <w:trHeight w:val="520"/>
        </w:trPr>
        <w:tc>
          <w:tcPr>
            <w:tcW w:w="434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4"/>
              </w:rPr>
              <w:t>247,857</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4"/>
              </w:rPr>
              <w:t>189,901</w:t>
            </w: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Debt</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3"/>
              </w:rPr>
              <w:t>(348,278)</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3"/>
              </w:rPr>
              <w:t>(348,306)</w:t>
            </w:r>
          </w:p>
        </w:tc>
      </w:tr>
      <w:tr>
        <w:trPr>
          <w:trHeight w:val="182"/>
        </w:trPr>
        <w:tc>
          <w:tcPr>
            <w:tcW w:w="4340" w:type="dxa"/>
            <w:vAlign w:val="bottom"/>
          </w:tcPr>
          <w:p>
            <w:pPr>
              <w:spacing w:after="0"/>
              <w:rPr>
                <w:sz w:val="20"/>
                <w:szCs w:val="20"/>
                <w:color w:val="auto"/>
              </w:rPr>
            </w:pPr>
            <w:r>
              <w:rPr>
                <w:rFonts w:ascii="Arial" w:cs="Arial" w:eastAsia="Arial" w:hAnsi="Arial"/>
                <w:sz w:val="14"/>
                <w:szCs w:val="14"/>
                <w:color w:val="auto"/>
              </w:rPr>
              <w:t>Net (debt)/cash</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3"/>
              </w:rPr>
              <w:t>(100,421)</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3"/>
              </w:rPr>
              <w:t>(158,405)</w:t>
            </w:r>
          </w:p>
        </w:tc>
      </w:tr>
      <w:tr>
        <w:trPr>
          <w:trHeight w:val="344"/>
        </w:trPr>
        <w:tc>
          <w:tcPr>
            <w:tcW w:w="4340" w:type="dxa"/>
            <w:vAlign w:val="bottom"/>
          </w:tcPr>
          <w:p>
            <w:pPr>
              <w:spacing w:after="0"/>
              <w:rPr>
                <w:sz w:val="20"/>
                <w:szCs w:val="20"/>
                <w:color w:val="auto"/>
              </w:rPr>
            </w:pPr>
            <w:r>
              <w:rPr>
                <w:rFonts w:ascii="Arial" w:cs="Arial" w:eastAsia="Arial" w:hAnsi="Arial"/>
                <w:sz w:val="14"/>
                <w:szCs w:val="14"/>
                <w:color w:val="auto"/>
              </w:rPr>
              <w:t>Accounts receivable</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4"/>
              </w:rPr>
              <w:t>362,322</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4"/>
              </w:rPr>
              <w:t>409,165</w:t>
            </w: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Unbilled revenue</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4"/>
              </w:rPr>
              <w:t>238,645</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4"/>
              </w:rPr>
              <w:t>173,649</w:t>
            </w:r>
          </w:p>
        </w:tc>
      </w:tr>
      <w:tr>
        <w:trPr>
          <w:trHeight w:val="176"/>
        </w:trPr>
        <w:tc>
          <w:tcPr>
            <w:tcW w:w="4340" w:type="dxa"/>
            <w:vAlign w:val="bottom"/>
          </w:tcPr>
          <w:p>
            <w:pPr>
              <w:spacing w:after="0"/>
              <w:rPr>
                <w:sz w:val="20"/>
                <w:szCs w:val="20"/>
                <w:color w:val="auto"/>
              </w:rPr>
            </w:pPr>
            <w:r>
              <w:rPr>
                <w:rFonts w:ascii="Arial" w:cs="Arial" w:eastAsia="Arial" w:hAnsi="Arial"/>
                <w:sz w:val="14"/>
                <w:szCs w:val="14"/>
                <w:color w:val="auto"/>
              </w:rPr>
              <w:t>Payments on account</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3"/>
              </w:rPr>
              <w:t>(318,061)</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3"/>
              </w:rPr>
              <w:t>(318,697)</w:t>
            </w:r>
          </w:p>
        </w:tc>
      </w:tr>
      <w:tr>
        <w:trPr>
          <w:trHeight w:val="182"/>
        </w:trPr>
        <w:tc>
          <w:tcPr>
            <w:tcW w:w="4340" w:type="dxa"/>
            <w:vAlign w:val="bottom"/>
          </w:tcPr>
          <w:p>
            <w:pPr>
              <w:spacing w:after="0"/>
              <w:rPr>
                <w:sz w:val="20"/>
                <w:szCs w:val="20"/>
                <w:color w:val="auto"/>
              </w:rPr>
            </w:pPr>
            <w:r>
              <w:rPr>
                <w:rFonts w:ascii="Arial" w:cs="Arial" w:eastAsia="Arial" w:hAnsi="Arial"/>
                <w:sz w:val="14"/>
                <w:szCs w:val="14"/>
                <w:color w:val="auto"/>
              </w:rPr>
              <w:t>Total</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4"/>
              </w:rPr>
              <w:t>282,906</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4"/>
              </w:rPr>
              <w:t>264,117</w:t>
            </w: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Working Capital</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4"/>
              </w:rPr>
              <w:t>372,775</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4"/>
              </w:rPr>
              <w:t>290,939</w:t>
            </w: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Total Assets</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89"/>
              </w:rPr>
              <w:t>1,796,135</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89"/>
              </w:rPr>
              <w:t>1,717,209</w:t>
            </w:r>
          </w:p>
        </w:tc>
      </w:tr>
      <w:tr>
        <w:trPr>
          <w:trHeight w:val="351"/>
        </w:trPr>
        <w:tc>
          <w:tcPr>
            <w:tcW w:w="4340" w:type="dxa"/>
            <w:vAlign w:val="bottom"/>
          </w:tcPr>
          <w:p>
            <w:pPr>
              <w:spacing w:after="0"/>
              <w:rPr>
                <w:sz w:val="20"/>
                <w:szCs w:val="20"/>
                <w:color w:val="auto"/>
              </w:rPr>
            </w:pPr>
            <w:r>
              <w:rPr>
                <w:rFonts w:ascii="Arial" w:cs="Arial" w:eastAsia="Arial" w:hAnsi="Arial"/>
                <w:sz w:val="14"/>
                <w:szCs w:val="14"/>
                <w:color w:val="auto"/>
              </w:rPr>
              <w:t>Shareholder's Equity</w:t>
            </w:r>
          </w:p>
        </w:tc>
        <w:tc>
          <w:tcPr>
            <w:tcW w:w="4120" w:type="dxa"/>
            <w:vAlign w:val="bottom"/>
          </w:tcPr>
          <w:p>
            <w:pPr>
              <w:jc w:val="center"/>
              <w:ind w:left="1448"/>
              <w:spacing w:after="0"/>
              <w:rPr>
                <w:sz w:val="20"/>
                <w:szCs w:val="20"/>
                <w:color w:val="auto"/>
              </w:rPr>
            </w:pPr>
            <w:r>
              <w:rPr>
                <w:rFonts w:ascii="Arial" w:cs="Arial" w:eastAsia="Arial" w:hAnsi="Arial"/>
                <w:sz w:val="14"/>
                <w:szCs w:val="14"/>
                <w:color w:val="auto"/>
                <w:w w:val="94"/>
              </w:rPr>
              <w:t>843,685</w:t>
            </w:r>
          </w:p>
        </w:tc>
        <w:tc>
          <w:tcPr>
            <w:tcW w:w="1780" w:type="dxa"/>
            <w:vAlign w:val="bottom"/>
          </w:tcPr>
          <w:p>
            <w:pPr>
              <w:jc w:val="center"/>
              <w:ind w:left="868"/>
              <w:spacing w:after="0"/>
              <w:rPr>
                <w:sz w:val="20"/>
                <w:szCs w:val="20"/>
                <w:color w:val="auto"/>
              </w:rPr>
            </w:pPr>
            <w:r>
              <w:rPr>
                <w:rFonts w:ascii="Arial" w:cs="Arial" w:eastAsia="Arial" w:hAnsi="Arial"/>
                <w:sz w:val="14"/>
                <w:szCs w:val="14"/>
                <w:color w:val="auto"/>
                <w:w w:val="94"/>
              </w:rPr>
              <w:t>763,096</w:t>
            </w:r>
          </w:p>
        </w:tc>
      </w:tr>
    </w:tbl>
    <w:p>
      <w:pPr>
        <w:spacing w:after="0" w:line="36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*Due to amendments in US GAAP, the Senior Notes are shown net of financing costs on the balance sheet with effect from Q1 2016 ($1.7 million). The position at December 31, 2015 has been restated.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+ 353-1-291-2000</w:t>
      </w:r>
    </w:p>
    <w:p>
      <w:pPr>
        <w:spacing w:after="0" w:line="230" w:lineRule="auto"/>
        <w:rPr>
          <w:sz w:val="20"/>
          <w:szCs w:val="20"/>
          <w:color w:val="auto"/>
        </w:rPr>
      </w:pPr>
      <w:r>
        <w:rPr>
          <w:rFonts w:ascii="Arial" w:cs="Arial" w:eastAsia="Arial" w:hAnsi="Arial"/>
          <w:sz w:val="22"/>
          <w:szCs w:val="22"/>
          <w:color w:val="auto"/>
        </w:rPr>
        <w:t>EVP Investor Relations and Corporate Development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980"/>
      </w:cols>
      <w:pgMar w:left="240" w:top="30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2019-12-06T21:49:32Z</dcterms:created>
  <dcterms:modified xsi:type="dcterms:W3CDTF">2019-12-06T21:49:32Z</dcterms:modified>
</cp:coreProperties>
</file>