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April, 2016</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Chief Financial Officer</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color w:val="auto"/>
        </w:rPr>
        <w:t>ICON plc Press Release issued April 26, 2016 - ICON Reports First Quarter 2016 Results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147955</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219"/>
          </w:cols>
          <w:pgMar w:left="240" w:top="364" w:right="1440"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860" w:type="dxa"/>
            <w:vAlign w:val="bottom"/>
          </w:tcPr>
          <w:p>
            <w:pPr>
              <w:spacing w:after="0"/>
              <w:rPr>
                <w:sz w:val="20"/>
                <w:szCs w:val="20"/>
                <w:color w:val="auto"/>
              </w:rPr>
            </w:pPr>
            <w:r>
              <w:rPr>
                <w:rFonts w:ascii="Arial" w:cs="Arial" w:eastAsia="Arial" w:hAnsi="Arial"/>
                <w:sz w:val="18"/>
                <w:szCs w:val="18"/>
                <w:color w:val="auto"/>
              </w:rPr>
              <w:t>Date:  April 26, 2016</w:t>
            </w:r>
          </w:p>
        </w:tc>
        <w:tc>
          <w:tcPr>
            <w:tcW w:w="1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88"/>
              </w:rPr>
              <w:t>/s/ Brendan Brennan</w:t>
            </w:r>
          </w:p>
        </w:tc>
        <w:tc>
          <w:tcPr>
            <w:tcW w:w="200" w:type="dxa"/>
            <w:vAlign w:val="bottom"/>
          </w:tcPr>
          <w:p>
            <w:pPr>
              <w:spacing w:after="0"/>
              <w:rPr>
                <w:sz w:val="17"/>
                <w:szCs w:val="17"/>
                <w:color w:val="auto"/>
              </w:rPr>
            </w:pPr>
          </w:p>
        </w:tc>
      </w:tr>
      <w:tr>
        <w:trPr>
          <w:trHeight w:val="264"/>
        </w:trPr>
        <w:tc>
          <w:tcPr>
            <w:tcW w:w="6860" w:type="dxa"/>
            <w:vAlign w:val="bottom"/>
          </w:tcPr>
          <w:p>
            <w:pPr>
              <w:spacing w:after="0"/>
              <w:rPr>
                <w:sz w:val="22"/>
                <w:szCs w:val="22"/>
                <w:color w:val="auto"/>
              </w:rPr>
            </w:pPr>
          </w:p>
        </w:tc>
        <w:tc>
          <w:tcPr>
            <w:tcW w:w="1680" w:type="dxa"/>
            <w:vAlign w:val="bottom"/>
            <w:gridSpan w:val="2"/>
          </w:tcPr>
          <w:p>
            <w:pPr>
              <w:spacing w:after="0"/>
              <w:rPr>
                <w:sz w:val="20"/>
                <w:szCs w:val="20"/>
                <w:color w:val="auto"/>
              </w:rPr>
            </w:pPr>
            <w:r>
              <w:rPr>
                <w:rFonts w:ascii="Arial" w:cs="Arial" w:eastAsia="Arial" w:hAnsi="Arial"/>
                <w:sz w:val="18"/>
                <w:szCs w:val="18"/>
                <w:color w:val="auto"/>
              </w:rPr>
              <w:t>Brendan Brennan</w:t>
            </w:r>
          </w:p>
        </w:tc>
      </w:tr>
      <w:tr>
        <w:trPr>
          <w:trHeight w:val="243"/>
        </w:trPr>
        <w:tc>
          <w:tcPr>
            <w:tcW w:w="6860" w:type="dxa"/>
            <w:vAlign w:val="bottom"/>
          </w:tcPr>
          <w:p>
            <w:pPr>
              <w:spacing w:after="0"/>
              <w:rPr>
                <w:sz w:val="21"/>
                <w:szCs w:val="21"/>
                <w:color w:val="auto"/>
              </w:rPr>
            </w:pPr>
          </w:p>
        </w:tc>
        <w:tc>
          <w:tcPr>
            <w:tcW w:w="1680" w:type="dxa"/>
            <w:vAlign w:val="bottom"/>
            <w:gridSpan w:val="2"/>
          </w:tcPr>
          <w:p>
            <w:pPr>
              <w:spacing w:after="0"/>
              <w:rPr>
                <w:sz w:val="20"/>
                <w:szCs w:val="20"/>
                <w:color w:val="auto"/>
              </w:rPr>
            </w:pPr>
            <w:r>
              <w:rPr>
                <w:rFonts w:ascii="Arial" w:cs="Arial" w:eastAsia="Arial" w:hAnsi="Arial"/>
                <w:sz w:val="18"/>
                <w:szCs w:val="18"/>
                <w:color w:val="auto"/>
                <w:w w:val="93"/>
              </w:rPr>
              <w:t>Chief Financial Officer</w:t>
            </w:r>
          </w:p>
        </w:tc>
      </w:tr>
    </w:tbl>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Reports First Quarter 2016 Results</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Highlights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Backlog of business up 9% year on year to $3.95 billion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right="480"/>
        <w:spacing w:after="0" w:line="256" w:lineRule="auto"/>
        <w:rPr>
          <w:sz w:val="20"/>
          <w:szCs w:val="20"/>
          <w:color w:val="auto"/>
        </w:rPr>
      </w:pPr>
      <w:r>
        <w:rPr>
          <w:rFonts w:ascii="Arial" w:cs="Arial" w:eastAsia="Arial" w:hAnsi="Arial"/>
          <w:sz w:val="22"/>
          <w:szCs w:val="22"/>
          <w:b w:val="1"/>
          <w:bCs w:val="1"/>
          <w:color w:val="auto"/>
        </w:rPr>
        <w:t>Quarter 1 gross business wins of $514 million, a gross book to bill of 1.29. Net business wins of $440 million, a net book to bill of 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-277495</wp:posOffset>
            </wp:positionV>
            <wp:extent cx="68580" cy="685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62"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Quarter 1 net revenue $401 million, an increase of 3.2% year on year, 4.9% on a constant currency basis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05"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Quarter 1 income from operations of $76.0 million or 19.0% of revenue, an increase of 14.0%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-87630</wp:posOffset>
            </wp:positionV>
            <wp:extent cx="68580" cy="68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17"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Quarter 1 earnings per share 1.12 up 24% year on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198120</wp:posOffset>
            </wp:positionH>
            <wp:positionV relativeFrom="paragraph">
              <wp:posOffset>-95250</wp:posOffset>
            </wp:positionV>
            <wp:extent cx="68580" cy="685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580" cy="68580"/>
                    </a:xfrm>
                    <a:prstGeom prst="rect">
                      <a:avLst/>
                    </a:prstGeom>
                    <a:noFill/>
                  </pic:spPr>
                </pic:pic>
              </a:graphicData>
            </a:graphic>
          </wp:anchor>
        </w:drawing>
      </w:r>
    </w:p>
    <w:p>
      <w:pPr>
        <w:spacing w:after="0" w:line="186" w:lineRule="exact"/>
        <w:rPr>
          <w:sz w:val="20"/>
          <w:szCs w:val="20"/>
          <w:color w:val="auto"/>
        </w:rPr>
      </w:pPr>
    </w:p>
    <w:p>
      <w:pPr>
        <w:ind w:right="240"/>
        <w:spacing w:after="0" w:line="243" w:lineRule="auto"/>
        <w:rPr>
          <w:sz w:val="20"/>
          <w:szCs w:val="20"/>
          <w:color w:val="auto"/>
        </w:rPr>
      </w:pPr>
      <w:r>
        <w:rPr>
          <w:rFonts w:ascii="Arial" w:cs="Arial" w:eastAsia="Arial" w:hAnsi="Arial"/>
          <w:sz w:val="22"/>
          <w:szCs w:val="22"/>
          <w:color w:val="auto"/>
        </w:rPr>
        <w:t>DUBLIN--(BUSINESS WIRE)--April 26, 2016--</w:t>
      </w:r>
      <w:r>
        <w:rPr>
          <w:rFonts w:ascii="Arial" w:cs="Arial" w:eastAsia="Arial" w:hAnsi="Arial"/>
          <w:sz w:val="22"/>
          <w:szCs w:val="22"/>
          <w:b w:val="1"/>
          <w:bCs w:val="1"/>
          <w:color w:val="auto"/>
        </w:rPr>
        <w:t>ICON plc (NASDAQ:ICLR),</w:t>
      </w:r>
      <w:r>
        <w:rPr>
          <w:rFonts w:ascii="Arial" w:cs="Arial" w:eastAsia="Arial" w:hAnsi="Arial"/>
          <w:sz w:val="22"/>
          <w:szCs w:val="22"/>
          <w:color w:val="auto"/>
        </w:rPr>
        <w:t xml:space="preserve"> a global provider of drug development solutions and services to the pharmaceutical, biotechnology and medical device industries, today reported its financial results for the first quarter ended March 31, 2016.</w:t>
      </w:r>
    </w:p>
    <w:p>
      <w:pPr>
        <w:spacing w:after="0" w:line="183" w:lineRule="exact"/>
        <w:rPr>
          <w:sz w:val="20"/>
          <w:szCs w:val="20"/>
          <w:color w:val="auto"/>
        </w:rPr>
      </w:pPr>
    </w:p>
    <w:p>
      <w:pPr>
        <w:ind w:right="360"/>
        <w:spacing w:after="0" w:line="251" w:lineRule="auto"/>
        <w:rPr>
          <w:sz w:val="20"/>
          <w:szCs w:val="20"/>
          <w:color w:val="auto"/>
        </w:rPr>
      </w:pPr>
      <w:r>
        <w:rPr>
          <w:rFonts w:ascii="Arial" w:cs="Arial" w:eastAsia="Arial" w:hAnsi="Arial"/>
          <w:sz w:val="22"/>
          <w:szCs w:val="22"/>
          <w:color w:val="auto"/>
        </w:rPr>
        <w:t>In the first quarter net revenue grew 3.2% year on year to $400.5 million from $388.2 million in the same quarter last year. This represented 4.9% constant currency growth and 1.2% constant dollar organic growth year on year.</w:t>
      </w:r>
    </w:p>
    <w:p>
      <w:pPr>
        <w:spacing w:after="0" w:line="173" w:lineRule="exact"/>
        <w:rPr>
          <w:sz w:val="20"/>
          <w:szCs w:val="20"/>
          <w:color w:val="auto"/>
        </w:rPr>
      </w:pPr>
    </w:p>
    <w:p>
      <w:pPr>
        <w:ind w:right="500"/>
        <w:spacing w:after="0" w:line="251" w:lineRule="auto"/>
        <w:rPr>
          <w:sz w:val="20"/>
          <w:szCs w:val="20"/>
          <w:color w:val="auto"/>
        </w:rPr>
      </w:pPr>
      <w:r>
        <w:rPr>
          <w:rFonts w:ascii="Arial" w:cs="Arial" w:eastAsia="Arial" w:hAnsi="Arial"/>
          <w:sz w:val="22"/>
          <w:szCs w:val="22"/>
          <w:color w:val="auto"/>
        </w:rPr>
        <w:t>Income from operations in the quarter, increased by 14.0% to $76.0 million or 19.0% of revenue compared to $66.7 million or 17.2% for the same quarter last year.</w:t>
      </w:r>
    </w:p>
    <w:p>
      <w:pPr>
        <w:spacing w:after="0" w:line="173" w:lineRule="exact"/>
        <w:rPr>
          <w:sz w:val="20"/>
          <w:szCs w:val="20"/>
          <w:color w:val="auto"/>
        </w:rPr>
      </w:pPr>
    </w:p>
    <w:p>
      <w:pPr>
        <w:ind w:right="220"/>
        <w:spacing w:after="0" w:line="251" w:lineRule="auto"/>
        <w:rPr>
          <w:sz w:val="20"/>
          <w:szCs w:val="20"/>
          <w:color w:val="auto"/>
        </w:rPr>
      </w:pPr>
      <w:r>
        <w:rPr>
          <w:rFonts w:ascii="Arial" w:cs="Arial" w:eastAsia="Arial" w:hAnsi="Arial"/>
          <w:sz w:val="22"/>
          <w:szCs w:val="22"/>
          <w:color w:val="auto"/>
        </w:rPr>
        <w:t>Net income in the quarter increased by 12.7% to $63.0 million or $1.12 per share on a diluted basis, compared with $55.9 million or $0.90 per share for the same quarter last year.</w:t>
      </w:r>
    </w:p>
    <w:p>
      <w:pPr>
        <w:spacing w:after="0" w:line="173" w:lineRule="exact"/>
        <w:rPr>
          <w:sz w:val="20"/>
          <w:szCs w:val="20"/>
          <w:color w:val="auto"/>
        </w:rPr>
      </w:pPr>
    </w:p>
    <w:p>
      <w:pPr>
        <w:jc w:val="both"/>
        <w:ind w:right="80"/>
        <w:spacing w:after="0" w:line="274" w:lineRule="auto"/>
        <w:rPr>
          <w:sz w:val="20"/>
          <w:szCs w:val="20"/>
          <w:color w:val="auto"/>
        </w:rPr>
      </w:pPr>
      <w:r>
        <w:rPr>
          <w:rFonts w:ascii="Arial" w:cs="Arial" w:eastAsia="Arial" w:hAnsi="Arial"/>
          <w:sz w:val="21"/>
          <w:szCs w:val="21"/>
          <w:color w:val="auto"/>
        </w:rPr>
        <w:t>Day’s sales outstanding, comprising accounts receivable and unbilled revenue less payments on account were 47 days at March 31, 2016, compared with 41 days at the end of December 31, 2015 and 47 days at the end of March 2015.</w:t>
      </w:r>
    </w:p>
    <w:p>
      <w:pPr>
        <w:spacing w:after="0" w:line="151"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Cash generated from operating activities for the quarter was $59.4 million. Capital expenditure for the quarter was $7.7 million. As a result, at March 31, 2016, the company had net debt of $100 million, compared to net debt of $158 million at December 31, 2015 and net cash of $172 million at end of March 2015.</w:t>
      </w:r>
    </w:p>
    <w:p>
      <w:pPr>
        <w:spacing w:after="0" w:line="186" w:lineRule="exact"/>
        <w:rPr>
          <w:sz w:val="20"/>
          <w:szCs w:val="20"/>
          <w:color w:val="auto"/>
        </w:rPr>
      </w:pPr>
    </w:p>
    <w:p>
      <w:pPr>
        <w:jc w:val="both"/>
        <w:ind w:right="40"/>
        <w:spacing w:after="0" w:line="258" w:lineRule="auto"/>
        <w:rPr>
          <w:sz w:val="20"/>
          <w:szCs w:val="20"/>
          <w:color w:val="auto"/>
        </w:rPr>
      </w:pPr>
      <w:r>
        <w:rPr>
          <w:rFonts w:ascii="Arial" w:cs="Arial" w:eastAsia="Arial" w:hAnsi="Arial"/>
          <w:sz w:val="21"/>
          <w:szCs w:val="21"/>
          <w:color w:val="auto"/>
        </w:rPr>
        <w:t xml:space="preserve">CEO, Ciaran Murray commented </w:t>
      </w:r>
      <w:r>
        <w:rPr>
          <w:rFonts w:ascii="Arial" w:cs="Arial" w:eastAsia="Arial" w:hAnsi="Arial"/>
          <w:sz w:val="21"/>
          <w:szCs w:val="21"/>
          <w:i w:val="1"/>
          <w:iCs w:val="1"/>
          <w:color w:val="auto"/>
        </w:rPr>
        <w:t>“Quarter one represents a solid start to 2016. We have grown our backlog of business to close to</w:t>
      </w:r>
      <w:r>
        <w:rPr>
          <w:rFonts w:ascii="Arial" w:cs="Arial" w:eastAsia="Arial" w:hAnsi="Arial"/>
          <w:sz w:val="21"/>
          <w:szCs w:val="21"/>
          <w:color w:val="auto"/>
        </w:rPr>
        <w:t xml:space="preserve"> </w:t>
      </w:r>
      <w:r>
        <w:rPr>
          <w:rFonts w:ascii="Arial" w:cs="Arial" w:eastAsia="Arial" w:hAnsi="Arial"/>
          <w:sz w:val="21"/>
          <w:szCs w:val="21"/>
          <w:i w:val="1"/>
          <w:iCs w:val="1"/>
          <w:color w:val="auto"/>
        </w:rPr>
        <w:t>$4 billion, 9% higher than the same quarter last year. Revenue grew by 4.9% year on year on a constant currency basis and further margin expansion enabled us to deliver earnings per share of $1.12, a 24% increase over last year”.</w:t>
      </w:r>
    </w:p>
    <w:p>
      <w:pPr>
        <w:spacing w:after="0" w:line="167" w:lineRule="exact"/>
        <w:rPr>
          <w:sz w:val="20"/>
          <w:szCs w:val="20"/>
          <w:color w:val="auto"/>
        </w:rPr>
      </w:pPr>
    </w:p>
    <w:p>
      <w:pPr>
        <w:jc w:val="both"/>
        <w:ind w:right="360"/>
        <w:spacing w:after="0" w:line="287" w:lineRule="auto"/>
        <w:rPr>
          <w:sz w:val="20"/>
          <w:szCs w:val="20"/>
          <w:color w:val="auto"/>
        </w:rPr>
      </w:pPr>
      <w:r>
        <w:rPr>
          <w:rFonts w:ascii="Arial" w:cs="Arial" w:eastAsia="Arial" w:hAnsi="Arial"/>
          <w:sz w:val="19"/>
          <w:szCs w:val="19"/>
          <w:color w:val="auto"/>
        </w:rPr>
        <w:t>In addition to the financial measures prepared in accordance with generally accepted accounting principles (GAAP), this press release contains certain non-GAAP financial measures, including non-GAAP operating and net income and non-GAAP diluted earnings per share. While non-GAAP financial measures are not superior to or a substitute for the comparable GAAP measures, ICON believes certain non-GAAP information is useful to investors for historical comparison purposes.</w:t>
      </w:r>
    </w:p>
    <w:p>
      <w:pPr>
        <w:spacing w:after="0" w:line="143" w:lineRule="exact"/>
        <w:rPr>
          <w:sz w:val="20"/>
          <w:szCs w:val="20"/>
          <w:color w:val="auto"/>
        </w:rPr>
      </w:pPr>
    </w:p>
    <w:p>
      <w:pPr>
        <w:jc w:val="both"/>
        <w:ind w:right="20"/>
        <w:spacing w:after="0" w:line="238" w:lineRule="auto"/>
        <w:rPr>
          <w:sz w:val="20"/>
          <w:szCs w:val="20"/>
          <w:color w:val="auto"/>
        </w:rPr>
      </w:pPr>
      <w:r>
        <w:rPr>
          <w:rFonts w:ascii="Arial" w:cs="Arial" w:eastAsia="Arial" w:hAnsi="Arial"/>
          <w:sz w:val="22"/>
          <w:szCs w:val="22"/>
          <w:color w:val="auto"/>
        </w:rPr>
        <w:t xml:space="preserve">ICON will hold its first quarter conference call today, April 26, 2016 at 9:00 EDT [14:00 Ireland &amp; UK]. This call and linked slide presentation can be accessed live from our website at </w:t>
      </w:r>
      <w:r>
        <w:rPr>
          <w:rFonts w:ascii="Arial" w:cs="Arial" w:eastAsia="Arial" w:hAnsi="Arial"/>
          <w:sz w:val="22"/>
          <w:szCs w:val="22"/>
          <w:u w:val="single" w:color="auto"/>
          <w:color w:val="auto"/>
        </w:rPr>
        <w:t>http://investor.iconplc.com</w:t>
      </w:r>
      <w:r>
        <w:rPr>
          <w:rFonts w:ascii="Arial" w:cs="Arial" w:eastAsia="Arial" w:hAnsi="Arial"/>
          <w:sz w:val="22"/>
          <w:szCs w:val="22"/>
          <w:color w:val="auto"/>
        </w:rPr>
        <w:t>. A recording will also be available on the website for 90 days following the call. In addition, a calendar of company events, including upcoming conference presentations, is available on our website, under “Investors”. This calendar will be updated regularly.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118110</wp:posOffset>
            </wp:positionV>
            <wp:extent cx="7272020" cy="596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71" w:lineRule="auto"/>
        <w:rPr>
          <w:sz w:val="20"/>
          <w:szCs w:val="20"/>
          <w:color w:val="auto"/>
        </w:rPr>
      </w:pPr>
      <w:r>
        <w:rPr>
          <w:rFonts w:ascii="Arial" w:cs="Arial" w:eastAsia="Arial" w:hAnsi="Arial"/>
          <w:sz w:val="19"/>
          <w:szCs w:val="19"/>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u w:val="single" w:color="auto"/>
          <w:color w:val="auto"/>
        </w:rPr>
        <w:t>http://www.sec.gov</w:t>
      </w:r>
      <w:r>
        <w:rPr>
          <w:rFonts w:ascii="Arial" w:cs="Arial" w:eastAsia="Arial" w:hAnsi="Arial"/>
          <w:sz w:val="19"/>
          <w:szCs w:val="19"/>
          <w:color w:val="auto"/>
        </w:rPr>
        <w:t>.</w:t>
      </w:r>
    </w:p>
    <w:p>
      <w:pPr>
        <w:spacing w:after="0" w:line="166" w:lineRule="exact"/>
        <w:rPr>
          <w:sz w:val="20"/>
          <w:szCs w:val="20"/>
          <w:color w:val="auto"/>
        </w:rPr>
      </w:pPr>
    </w:p>
    <w:p>
      <w:pPr>
        <w:ind w:right="60"/>
        <w:spacing w:after="0" w:line="236" w:lineRule="auto"/>
        <w:rPr>
          <w:sz w:val="20"/>
          <w:szCs w:val="20"/>
          <w:color w:val="auto"/>
        </w:rPr>
      </w:pPr>
      <w:r>
        <w:rPr>
          <w:rFonts w:ascii="Arial" w:cs="Arial" w:eastAsia="Arial" w:hAnsi="Arial"/>
          <w:sz w:val="22"/>
          <w:szCs w:val="22"/>
          <w:color w:val="auto"/>
        </w:rPr>
        <w:t xml:space="preserve">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89 locations in 37 countries and has approximately 12,200 employees. 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18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ICON/ICLR-F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135890</wp:posOffset>
            </wp:positionV>
            <wp:extent cx="7272020" cy="596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8" w:right="239" w:bottom="1440" w:gutter="0" w:footer="0" w:header="0"/>
        </w:sectPr>
      </w:pPr>
    </w:p>
    <w:bookmarkStart w:id="5" w:name="page6"/>
    <w:bookmarkEnd w:id="5"/>
    <w:p>
      <w:pPr>
        <w:jc w:val="center"/>
        <w:ind w:right="320"/>
        <w:spacing w:after="0"/>
        <w:rPr>
          <w:sz w:val="20"/>
          <w:szCs w:val="20"/>
          <w:color w:val="auto"/>
        </w:rPr>
      </w:pPr>
      <w:r>
        <w:rPr>
          <w:rFonts w:ascii="Arial" w:cs="Arial" w:eastAsia="Arial" w:hAnsi="Arial"/>
          <w:sz w:val="14"/>
          <w:szCs w:val="14"/>
          <w:b w:val="1"/>
          <w:bCs w:val="1"/>
          <w:color w:val="auto"/>
        </w:rPr>
        <w:t>ICON plc</w:t>
      </w:r>
    </w:p>
    <w:p>
      <w:pPr>
        <w:spacing w:after="0" w:line="25"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Consolidated Income Statements (Unaudited)</w:t>
      </w:r>
    </w:p>
    <w:p>
      <w:pPr>
        <w:spacing w:after="0" w:line="15"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(Before restructuring and other items)</w:t>
      </w:r>
    </w:p>
    <w:p>
      <w:pPr>
        <w:spacing w:after="0" w:line="179"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Three Months ended March 31, 2016 and March 31, 2015</w:t>
      </w:r>
    </w:p>
    <w:p>
      <w:pPr>
        <w:spacing w:after="0" w:line="25"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(Dollars, in thousands, except share and per share data)</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584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320" w:type="dxa"/>
            <w:vAlign w:val="bottom"/>
            <w:gridSpan w:val="8"/>
          </w:tcPr>
          <w:p>
            <w:pPr>
              <w:ind w:left="60"/>
              <w:spacing w:after="0"/>
              <w:rPr>
                <w:sz w:val="20"/>
                <w:szCs w:val="20"/>
                <w:color w:val="auto"/>
              </w:rPr>
            </w:pPr>
            <w:r>
              <w:rPr>
                <w:rFonts w:ascii="Arial" w:cs="Arial" w:eastAsia="Arial" w:hAnsi="Arial"/>
                <w:sz w:val="14"/>
                <w:szCs w:val="14"/>
                <w:b w:val="1"/>
                <w:bCs w:val="1"/>
                <w:color w:val="auto"/>
              </w:rPr>
              <w:t>Three Months Ended</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584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120" w:type="dxa"/>
            <w:vAlign w:val="bottom"/>
            <w:gridSpan w:val="6"/>
          </w:tcPr>
          <w:p>
            <w:pPr>
              <w:spacing w:after="0" w:line="158" w:lineRule="exact"/>
              <w:rPr>
                <w:sz w:val="20"/>
                <w:szCs w:val="20"/>
                <w:color w:val="auto"/>
              </w:rPr>
            </w:pPr>
            <w:r>
              <w:rPr>
                <w:rFonts w:ascii="Arial" w:cs="Arial" w:eastAsia="Arial" w:hAnsi="Arial"/>
                <w:sz w:val="14"/>
                <w:szCs w:val="14"/>
                <w:b w:val="1"/>
                <w:bCs w:val="1"/>
                <w:color w:val="auto"/>
              </w:rPr>
              <w:t>March</w:t>
            </w:r>
          </w:p>
        </w:tc>
        <w:tc>
          <w:tcPr>
            <w:tcW w:w="700" w:type="dxa"/>
            <w:vAlign w:val="bottom"/>
          </w:tcPr>
          <w:p>
            <w:pPr>
              <w:spacing w:after="0"/>
              <w:rPr>
                <w:sz w:val="13"/>
                <w:szCs w:val="13"/>
                <w:color w:val="auto"/>
              </w:rPr>
            </w:pPr>
          </w:p>
        </w:tc>
        <w:tc>
          <w:tcPr>
            <w:tcW w:w="920" w:type="dxa"/>
            <w:vAlign w:val="bottom"/>
            <w:gridSpan w:val="6"/>
          </w:tcPr>
          <w:p>
            <w:pPr>
              <w:spacing w:after="0" w:line="158" w:lineRule="exact"/>
              <w:rPr>
                <w:sz w:val="20"/>
                <w:szCs w:val="20"/>
                <w:color w:val="auto"/>
              </w:rPr>
            </w:pPr>
            <w:r>
              <w:rPr>
                <w:rFonts w:ascii="Arial" w:cs="Arial" w:eastAsia="Arial" w:hAnsi="Arial"/>
                <w:sz w:val="14"/>
                <w:szCs w:val="14"/>
                <w:b w:val="1"/>
                <w:bCs w:val="1"/>
                <w:color w:val="auto"/>
              </w:rPr>
              <w:t>March</w:t>
            </w: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584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120" w:type="dxa"/>
            <w:vAlign w:val="bottom"/>
            <w:tcBorders>
              <w:top w:val="single" w:sz="8" w:color="auto"/>
            </w:tcBorders>
            <w:gridSpan w:val="2"/>
          </w:tcPr>
          <w:p>
            <w:pPr>
              <w:spacing w:after="0"/>
              <w:rPr>
                <w:sz w:val="11"/>
                <w:szCs w:val="11"/>
                <w:color w:val="auto"/>
              </w:rPr>
            </w:pPr>
          </w:p>
        </w:tc>
        <w:tc>
          <w:tcPr>
            <w:tcW w:w="1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31,</w:t>
            </w:r>
          </w:p>
        </w:tc>
        <w:tc>
          <w:tcPr>
            <w:tcW w:w="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Borders>
              <w:top w:val="single" w:sz="8" w:color="auto"/>
            </w:tcBorders>
            <w:gridSpan w:val="2"/>
          </w:tcPr>
          <w:p>
            <w:pPr>
              <w:spacing w:after="0"/>
              <w:rPr>
                <w:sz w:val="11"/>
                <w:szCs w:val="11"/>
                <w:color w:val="auto"/>
              </w:rPr>
            </w:pPr>
          </w:p>
        </w:tc>
        <w:tc>
          <w:tcPr>
            <w:tcW w:w="240" w:type="dxa"/>
            <w:vAlign w:val="bottom"/>
            <w:tcBorders>
              <w:top w:val="single" w:sz="8" w:color="auto"/>
            </w:tcBorders>
            <w:gridSpan w:val="2"/>
          </w:tcPr>
          <w:p>
            <w:pPr>
              <w:jc w:val="center"/>
              <w:ind w:right="60"/>
              <w:spacing w:after="0" w:line="129" w:lineRule="exact"/>
              <w:rPr>
                <w:sz w:val="20"/>
                <w:szCs w:val="20"/>
                <w:color w:val="auto"/>
              </w:rPr>
            </w:pPr>
            <w:r>
              <w:rPr>
                <w:rFonts w:ascii="Arial" w:cs="Arial" w:eastAsia="Arial" w:hAnsi="Arial"/>
                <w:sz w:val="14"/>
                <w:szCs w:val="14"/>
                <w:b w:val="1"/>
                <w:bCs w:val="1"/>
                <w:color w:val="auto"/>
                <w:w w:val="92"/>
              </w:rPr>
              <w:t>31,</w:t>
            </w:r>
          </w:p>
        </w:tc>
        <w:tc>
          <w:tcPr>
            <w:tcW w:w="60" w:type="dxa"/>
            <w:vAlign w:val="bottom"/>
            <w:tcBorders>
              <w:top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26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5840" w:type="dxa"/>
            <w:vAlign w:val="bottom"/>
            <w:vMerge w:val="restart"/>
          </w:tcPr>
          <w:p>
            <w:pPr>
              <w:spacing w:after="0"/>
              <w:rPr>
                <w:sz w:val="20"/>
                <w:szCs w:val="20"/>
                <w:color w:val="auto"/>
              </w:rPr>
            </w:pPr>
            <w:r>
              <w:rPr>
                <w:rFonts w:ascii="Arial" w:cs="Arial" w:eastAsia="Arial" w:hAnsi="Arial"/>
                <w:sz w:val="14"/>
                <w:szCs w:val="14"/>
                <w:color w:val="auto"/>
              </w:rPr>
              <w:t>Revenue:</w:t>
            </w:r>
          </w:p>
        </w:tc>
        <w:tc>
          <w:tcPr>
            <w:tcW w:w="2880" w:type="dxa"/>
            <w:vAlign w:val="bottom"/>
            <w:gridSpan w:val="5"/>
          </w:tcPr>
          <w:p>
            <w:pPr>
              <w:jc w:val="center"/>
              <w:ind w:left="2528"/>
              <w:spacing w:after="0" w:line="155" w:lineRule="exact"/>
              <w:rPr>
                <w:sz w:val="20"/>
                <w:szCs w:val="20"/>
                <w:color w:val="auto"/>
              </w:rPr>
            </w:pPr>
            <w:r>
              <w:rPr>
                <w:rFonts w:ascii="Arial" w:cs="Arial" w:eastAsia="Arial" w:hAnsi="Arial"/>
                <w:sz w:val="14"/>
                <w:szCs w:val="14"/>
                <w:b w:val="1"/>
                <w:bCs w:val="1"/>
                <w:color w:val="auto"/>
                <w:w w:val="89"/>
              </w:rPr>
              <w:t>2016</w:t>
            </w:r>
          </w:p>
        </w:tc>
        <w:tc>
          <w:tcPr>
            <w:tcW w:w="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60" w:type="dxa"/>
            <w:vAlign w:val="bottom"/>
            <w:gridSpan w:val="5"/>
          </w:tcPr>
          <w:p>
            <w:pPr>
              <w:jc w:val="center"/>
              <w:ind w:left="708"/>
              <w:spacing w:after="0" w:line="155" w:lineRule="exact"/>
              <w:rPr>
                <w:sz w:val="20"/>
                <w:szCs w:val="20"/>
                <w:color w:val="auto"/>
              </w:rPr>
            </w:pPr>
            <w:r>
              <w:rPr>
                <w:rFonts w:ascii="Arial" w:cs="Arial" w:eastAsia="Arial" w:hAnsi="Arial"/>
                <w:sz w:val="14"/>
                <w:szCs w:val="14"/>
                <w:b w:val="1"/>
                <w:bCs w:val="1"/>
                <w:color w:val="auto"/>
                <w:w w:val="89"/>
              </w:rPr>
              <w:t>2015</w:t>
            </w:r>
          </w:p>
        </w:tc>
        <w:tc>
          <w:tcPr>
            <w:tcW w:w="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5840" w:type="dxa"/>
            <w:vAlign w:val="bottom"/>
            <w:vMerge w:val="continue"/>
          </w:tcPr>
          <w:p>
            <w:pPr>
              <w:spacing w:after="0"/>
              <w:rPr>
                <w:sz w:val="15"/>
                <w:szCs w:val="15"/>
                <w:color w:val="auto"/>
              </w:rPr>
            </w:pPr>
          </w:p>
        </w:tc>
        <w:tc>
          <w:tcPr>
            <w:tcW w:w="2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Gross revenue</w:t>
            </w:r>
          </w:p>
        </w:tc>
        <w:tc>
          <w:tcPr>
            <w:tcW w:w="3640" w:type="dxa"/>
            <w:vAlign w:val="bottom"/>
            <w:gridSpan w:val="7"/>
          </w:tcPr>
          <w:p>
            <w:pPr>
              <w:jc w:val="center"/>
              <w:ind w:left="1768"/>
              <w:spacing w:after="0"/>
              <w:rPr>
                <w:sz w:val="20"/>
                <w:szCs w:val="20"/>
                <w:color w:val="auto"/>
              </w:rPr>
            </w:pPr>
            <w:r>
              <w:rPr>
                <w:rFonts w:ascii="Arial" w:cs="Arial" w:eastAsia="Arial" w:hAnsi="Arial"/>
                <w:sz w:val="14"/>
                <w:szCs w:val="14"/>
                <w:color w:val="auto"/>
                <w:w w:val="94"/>
              </w:rPr>
              <w:t>542,583</w:t>
            </w:r>
          </w:p>
        </w:tc>
        <w:tc>
          <w:tcPr>
            <w:tcW w:w="162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503,366</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Reimbursable expenses</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3"/>
              </w:rPr>
              <w:t>(142,061)</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3"/>
              </w:rPr>
              <w:t>(115,135)</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6"/>
        </w:trPr>
        <w:tc>
          <w:tcPr>
            <w:tcW w:w="5840" w:type="dxa"/>
            <w:vAlign w:val="bottom"/>
          </w:tcPr>
          <w:p>
            <w:pPr>
              <w:spacing w:after="0"/>
              <w:rPr>
                <w:sz w:val="20"/>
                <w:szCs w:val="20"/>
                <w:color w:val="auto"/>
              </w:rPr>
            </w:pPr>
            <w:r>
              <w:rPr>
                <w:rFonts w:ascii="Arial" w:cs="Arial" w:eastAsia="Arial" w:hAnsi="Arial"/>
                <w:sz w:val="14"/>
                <w:szCs w:val="14"/>
                <w:b w:val="1"/>
                <w:bCs w:val="1"/>
                <w:color w:val="auto"/>
              </w:rPr>
              <w:t>Net revenue</w:t>
            </w:r>
          </w:p>
        </w:tc>
        <w:tc>
          <w:tcPr>
            <w:tcW w:w="3640" w:type="dxa"/>
            <w:vAlign w:val="bottom"/>
            <w:gridSpan w:val="7"/>
          </w:tcPr>
          <w:p>
            <w:pPr>
              <w:jc w:val="center"/>
              <w:ind w:left="1768"/>
              <w:spacing w:after="0"/>
              <w:rPr>
                <w:sz w:val="20"/>
                <w:szCs w:val="20"/>
                <w:color w:val="auto"/>
              </w:rPr>
            </w:pPr>
            <w:r>
              <w:rPr>
                <w:rFonts w:ascii="Arial" w:cs="Arial" w:eastAsia="Arial" w:hAnsi="Arial"/>
                <w:sz w:val="14"/>
                <w:szCs w:val="14"/>
                <w:color w:val="auto"/>
                <w:w w:val="94"/>
              </w:rPr>
              <w:t>400,522</w:t>
            </w:r>
          </w:p>
        </w:tc>
        <w:tc>
          <w:tcPr>
            <w:tcW w:w="162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388,231</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584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2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Direct costs</w:t>
            </w:r>
          </w:p>
        </w:tc>
        <w:tc>
          <w:tcPr>
            <w:tcW w:w="3640" w:type="dxa"/>
            <w:vAlign w:val="bottom"/>
            <w:gridSpan w:val="7"/>
          </w:tcPr>
          <w:p>
            <w:pPr>
              <w:jc w:val="center"/>
              <w:ind w:left="1768"/>
              <w:spacing w:after="0"/>
              <w:rPr>
                <w:sz w:val="20"/>
                <w:szCs w:val="20"/>
                <w:color w:val="auto"/>
              </w:rPr>
            </w:pPr>
            <w:r>
              <w:rPr>
                <w:rFonts w:ascii="Arial" w:cs="Arial" w:eastAsia="Arial" w:hAnsi="Arial"/>
                <w:sz w:val="14"/>
                <w:szCs w:val="14"/>
                <w:color w:val="auto"/>
                <w:w w:val="94"/>
              </w:rPr>
              <w:t>228,603</w:t>
            </w:r>
          </w:p>
        </w:tc>
        <w:tc>
          <w:tcPr>
            <w:tcW w:w="162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228,078</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80,789</w:t>
            </w:r>
          </w:p>
        </w:tc>
        <w:tc>
          <w:tcPr>
            <w:tcW w:w="700" w:type="dxa"/>
            <w:vAlign w:val="bottom"/>
          </w:tcPr>
          <w:p>
            <w:pPr>
              <w:spacing w:after="0"/>
              <w:rPr>
                <w:sz w:val="15"/>
                <w:szCs w:val="15"/>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79,555</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Depreciation and amortization</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3"/>
              </w:rPr>
              <w:t>15,120</w:t>
            </w:r>
          </w:p>
        </w:tc>
        <w:tc>
          <w:tcPr>
            <w:tcW w:w="7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3"/>
              </w:rPr>
              <w:t>13,925</w:t>
            </w:r>
          </w:p>
        </w:tc>
        <w:tc>
          <w:tcPr>
            <w:tcW w:w="500" w:type="dxa"/>
            <w:vAlign w:val="bottom"/>
            <w:tcBorders>
              <w:bottom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4"/>
              </w:rPr>
              <w:t>324,512</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4"/>
              </w:rPr>
              <w:t>321,558</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4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76,010</w:t>
            </w:r>
          </w:p>
        </w:tc>
        <w:tc>
          <w:tcPr>
            <w:tcW w:w="700" w:type="dxa"/>
            <w:vAlign w:val="bottom"/>
          </w:tcPr>
          <w:p>
            <w:pPr>
              <w:spacing w:after="0"/>
              <w:rPr>
                <w:sz w:val="24"/>
                <w:szCs w:val="24"/>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66,673</w:t>
            </w: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3640" w:type="dxa"/>
            <w:vAlign w:val="bottom"/>
            <w:tcBorders>
              <w:bottom w:val="single" w:sz="8" w:color="auto"/>
            </w:tcBorders>
            <w:gridSpan w:val="7"/>
          </w:tcPr>
          <w:p>
            <w:pPr>
              <w:jc w:val="center"/>
              <w:ind w:left="1748"/>
              <w:spacing w:after="0"/>
              <w:rPr>
                <w:sz w:val="20"/>
                <w:szCs w:val="20"/>
                <w:color w:val="auto"/>
              </w:rPr>
            </w:pPr>
            <w:r>
              <w:rPr>
                <w:rFonts w:ascii="Arial" w:cs="Arial" w:eastAsia="Arial" w:hAnsi="Arial"/>
                <w:sz w:val="14"/>
                <w:szCs w:val="14"/>
                <w:color w:val="auto"/>
                <w:w w:val="94"/>
              </w:rPr>
              <w:t>(2,881)</w:t>
            </w:r>
          </w:p>
        </w:tc>
        <w:tc>
          <w:tcPr>
            <w:tcW w:w="1060" w:type="dxa"/>
            <w:vAlign w:val="bottom"/>
            <w:tcBorders>
              <w:bottom w:val="single" w:sz="8" w:color="auto"/>
            </w:tcBorders>
            <w:gridSpan w:val="5"/>
          </w:tcPr>
          <w:p>
            <w:pPr>
              <w:jc w:val="center"/>
              <w:ind w:left="708"/>
              <w:spacing w:after="0"/>
              <w:rPr>
                <w:sz w:val="20"/>
                <w:szCs w:val="20"/>
                <w:color w:val="auto"/>
              </w:rPr>
            </w:pPr>
            <w:r>
              <w:rPr>
                <w:rFonts w:ascii="Arial" w:cs="Arial" w:eastAsia="Arial" w:hAnsi="Arial"/>
                <w:sz w:val="14"/>
                <w:szCs w:val="14"/>
                <w:color w:val="auto"/>
                <w:w w:val="93"/>
              </w:rPr>
              <w:t>(3)</w:t>
            </w:r>
          </w:p>
        </w:tc>
        <w:tc>
          <w:tcPr>
            <w:tcW w:w="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4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73,129</w:t>
            </w:r>
          </w:p>
        </w:tc>
        <w:tc>
          <w:tcPr>
            <w:tcW w:w="700" w:type="dxa"/>
            <w:vAlign w:val="bottom"/>
          </w:tcPr>
          <w:p>
            <w:pPr>
              <w:spacing w:after="0"/>
              <w:rPr>
                <w:sz w:val="24"/>
                <w:szCs w:val="24"/>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66,670</w:t>
            </w: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1"/>
              </w:rPr>
              <w:t>(10,165)</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(10,801)</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Net income</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3"/>
              </w:rPr>
              <w:t>62,964</w:t>
            </w:r>
          </w:p>
        </w:tc>
        <w:tc>
          <w:tcPr>
            <w:tcW w:w="7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3"/>
              </w:rPr>
              <w:t>55,869</w:t>
            </w:r>
          </w:p>
        </w:tc>
        <w:tc>
          <w:tcPr>
            <w:tcW w:w="5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5840" w:type="dxa"/>
            <w:vAlign w:val="bottom"/>
          </w:tcPr>
          <w:p>
            <w:pPr>
              <w:spacing w:after="0"/>
              <w:rPr>
                <w:sz w:val="20"/>
                <w:szCs w:val="20"/>
                <w:color w:val="auto"/>
              </w:rPr>
            </w:pPr>
            <w:r>
              <w:rPr>
                <w:rFonts w:ascii="Arial" w:cs="Arial" w:eastAsia="Arial" w:hAnsi="Arial"/>
                <w:sz w:val="14"/>
                <w:szCs w:val="14"/>
                <w:i w:val="1"/>
                <w:iCs w:val="1"/>
                <w:color w:val="auto"/>
              </w:rPr>
              <w:t>Net income per Ordinary Share:</w:t>
            </w:r>
          </w:p>
        </w:tc>
        <w:tc>
          <w:tcPr>
            <w:tcW w:w="2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1"/>
              </w:rPr>
              <w:t>$1.14</w:t>
            </w:r>
          </w:p>
        </w:tc>
        <w:tc>
          <w:tcPr>
            <w:tcW w:w="7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1"/>
              </w:rPr>
              <w:t>$0.93</w:t>
            </w:r>
          </w:p>
        </w:tc>
        <w:tc>
          <w:tcPr>
            <w:tcW w:w="500" w:type="dxa"/>
            <w:vAlign w:val="bottom"/>
            <w:tcBorders>
              <w:bottom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 forma Diluted</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1"/>
              </w:rPr>
              <w:t>$1.12</w:t>
            </w:r>
          </w:p>
        </w:tc>
        <w:tc>
          <w:tcPr>
            <w:tcW w:w="7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1"/>
              </w:rPr>
              <w:t>$0.90</w:t>
            </w:r>
          </w:p>
        </w:tc>
        <w:tc>
          <w:tcPr>
            <w:tcW w:w="5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5840" w:type="dxa"/>
            <w:vAlign w:val="bottom"/>
          </w:tcPr>
          <w:p>
            <w:pPr>
              <w:spacing w:after="0"/>
              <w:rPr>
                <w:sz w:val="20"/>
                <w:szCs w:val="20"/>
                <w:color w:val="auto"/>
              </w:rPr>
            </w:pPr>
            <w:r>
              <w:rPr>
                <w:rFonts w:ascii="Arial" w:cs="Arial" w:eastAsia="Arial" w:hAnsi="Arial"/>
                <w:sz w:val="14"/>
                <w:szCs w:val="14"/>
                <w:i w:val="1"/>
                <w:iCs w:val="1"/>
                <w:color w:val="auto"/>
              </w:rPr>
              <w:t>Weighted average number of Ordinary Shares outstanding:</w:t>
            </w:r>
          </w:p>
        </w:tc>
        <w:tc>
          <w:tcPr>
            <w:tcW w:w="2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1"/>
              </w:rPr>
              <w:t>55,011,019</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60,281,059</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 forma Diluted</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1"/>
              </w:rPr>
              <w:t>56,242,164</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61,856,347</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840" w:type="dxa"/>
            <w:vAlign w:val="bottom"/>
            <w:tcBorders>
              <w:bottom w:val="single" w:sz="8" w:color="9A9A9A"/>
            </w:tcBorders>
          </w:tcPr>
          <w:p>
            <w:pPr>
              <w:spacing w:after="0"/>
              <w:rPr>
                <w:sz w:val="24"/>
                <w:szCs w:val="24"/>
                <w:color w:val="auto"/>
              </w:rPr>
            </w:pPr>
          </w:p>
        </w:tc>
        <w:tc>
          <w:tcPr>
            <w:tcW w:w="25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700" w:type="dxa"/>
            <w:vAlign w:val="bottom"/>
            <w:tcBorders>
              <w:bottom w:val="single" w:sz="8" w:color="9A9A9A"/>
            </w:tcBorders>
          </w:tcPr>
          <w:p>
            <w:pPr>
              <w:spacing w:after="0"/>
              <w:rPr>
                <w:sz w:val="24"/>
                <w:szCs w:val="24"/>
                <w:color w:val="auto"/>
              </w:rPr>
            </w:pPr>
          </w:p>
        </w:tc>
        <w:tc>
          <w:tcPr>
            <w:tcW w:w="70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50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840" w:type="dxa"/>
            <w:vAlign w:val="bottom"/>
            <w:tcBorders>
              <w:bottom w:val="single" w:sz="8" w:color="EEEEEE"/>
            </w:tcBorders>
          </w:tcPr>
          <w:p>
            <w:pPr>
              <w:spacing w:after="0" w:line="20" w:lineRule="exact"/>
              <w:rPr>
                <w:sz w:val="1"/>
                <w:szCs w:val="1"/>
                <w:color w:val="auto"/>
              </w:rPr>
            </w:pPr>
          </w:p>
        </w:tc>
        <w:tc>
          <w:tcPr>
            <w:tcW w:w="252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50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6" w:name="page7"/>
    <w:bookmarkEnd w:id="6"/>
    <w:p>
      <w:pPr>
        <w:jc w:val="center"/>
        <w:ind w:right="320"/>
        <w:spacing w:after="0"/>
        <w:rPr>
          <w:sz w:val="20"/>
          <w:szCs w:val="20"/>
          <w:color w:val="auto"/>
        </w:rPr>
      </w:pPr>
      <w:r>
        <w:rPr>
          <w:rFonts w:ascii="Arial" w:cs="Arial" w:eastAsia="Arial" w:hAnsi="Arial"/>
          <w:sz w:val="14"/>
          <w:szCs w:val="14"/>
          <w:b w:val="1"/>
          <w:bCs w:val="1"/>
          <w:color w:val="auto"/>
        </w:rPr>
        <w:t>Consolidated Income Statements (Unaudited)</w:t>
      </w:r>
    </w:p>
    <w:p>
      <w:pPr>
        <w:spacing w:after="0" w:line="25"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(US GAAP)</w:t>
      </w:r>
    </w:p>
    <w:p>
      <w:pPr>
        <w:spacing w:after="0" w:line="179"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Three Months ended March 31, 2016 and March 31, 2015</w:t>
      </w:r>
    </w:p>
    <w:p>
      <w:pPr>
        <w:spacing w:after="0" w:line="25" w:lineRule="exact"/>
        <w:rPr>
          <w:sz w:val="20"/>
          <w:szCs w:val="20"/>
          <w:color w:val="auto"/>
        </w:rPr>
      </w:pPr>
    </w:p>
    <w:p>
      <w:pPr>
        <w:jc w:val="center"/>
        <w:ind w:right="320"/>
        <w:spacing w:after="0"/>
        <w:rPr>
          <w:sz w:val="20"/>
          <w:szCs w:val="20"/>
          <w:color w:val="auto"/>
        </w:rPr>
      </w:pPr>
      <w:r>
        <w:rPr>
          <w:rFonts w:ascii="Arial" w:cs="Arial" w:eastAsia="Arial" w:hAnsi="Arial"/>
          <w:sz w:val="14"/>
          <w:szCs w:val="14"/>
          <w:b w:val="1"/>
          <w:bCs w:val="1"/>
          <w:color w:val="auto"/>
        </w:rPr>
        <w:t>(Dollars, in thousands, except share and per share data)</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584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320" w:type="dxa"/>
            <w:vAlign w:val="bottom"/>
            <w:gridSpan w:val="8"/>
          </w:tcPr>
          <w:p>
            <w:pPr>
              <w:ind w:left="60"/>
              <w:spacing w:after="0"/>
              <w:rPr>
                <w:sz w:val="20"/>
                <w:szCs w:val="20"/>
                <w:color w:val="auto"/>
              </w:rPr>
            </w:pPr>
            <w:r>
              <w:rPr>
                <w:rFonts w:ascii="Arial" w:cs="Arial" w:eastAsia="Arial" w:hAnsi="Arial"/>
                <w:sz w:val="14"/>
                <w:szCs w:val="14"/>
                <w:b w:val="1"/>
                <w:bCs w:val="1"/>
                <w:color w:val="auto"/>
              </w:rPr>
              <w:t>Three Months Ended</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8"/>
        </w:trPr>
        <w:tc>
          <w:tcPr>
            <w:tcW w:w="584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120" w:type="dxa"/>
            <w:vAlign w:val="bottom"/>
            <w:gridSpan w:val="6"/>
          </w:tcPr>
          <w:p>
            <w:pPr>
              <w:spacing w:after="0" w:line="158" w:lineRule="exact"/>
              <w:rPr>
                <w:sz w:val="20"/>
                <w:szCs w:val="20"/>
                <w:color w:val="auto"/>
              </w:rPr>
            </w:pPr>
            <w:r>
              <w:rPr>
                <w:rFonts w:ascii="Arial" w:cs="Arial" w:eastAsia="Arial" w:hAnsi="Arial"/>
                <w:sz w:val="14"/>
                <w:szCs w:val="14"/>
                <w:b w:val="1"/>
                <w:bCs w:val="1"/>
                <w:color w:val="auto"/>
              </w:rPr>
              <w:t>March</w:t>
            </w:r>
          </w:p>
        </w:tc>
        <w:tc>
          <w:tcPr>
            <w:tcW w:w="700" w:type="dxa"/>
            <w:vAlign w:val="bottom"/>
          </w:tcPr>
          <w:p>
            <w:pPr>
              <w:spacing w:after="0"/>
              <w:rPr>
                <w:sz w:val="13"/>
                <w:szCs w:val="13"/>
                <w:color w:val="auto"/>
              </w:rPr>
            </w:pPr>
          </w:p>
        </w:tc>
        <w:tc>
          <w:tcPr>
            <w:tcW w:w="920" w:type="dxa"/>
            <w:vAlign w:val="bottom"/>
            <w:gridSpan w:val="6"/>
          </w:tcPr>
          <w:p>
            <w:pPr>
              <w:spacing w:after="0" w:line="158" w:lineRule="exact"/>
              <w:rPr>
                <w:sz w:val="20"/>
                <w:szCs w:val="20"/>
                <w:color w:val="auto"/>
              </w:rPr>
            </w:pPr>
            <w:r>
              <w:rPr>
                <w:rFonts w:ascii="Arial" w:cs="Arial" w:eastAsia="Arial" w:hAnsi="Arial"/>
                <w:sz w:val="14"/>
                <w:szCs w:val="14"/>
                <w:b w:val="1"/>
                <w:bCs w:val="1"/>
                <w:color w:val="auto"/>
              </w:rPr>
              <w:t>March</w:t>
            </w: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584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120" w:type="dxa"/>
            <w:vAlign w:val="bottom"/>
            <w:tcBorders>
              <w:top w:val="single" w:sz="8" w:color="auto"/>
            </w:tcBorders>
            <w:gridSpan w:val="2"/>
          </w:tcPr>
          <w:p>
            <w:pPr>
              <w:spacing w:after="0"/>
              <w:rPr>
                <w:sz w:val="11"/>
                <w:szCs w:val="11"/>
                <w:color w:val="auto"/>
              </w:rPr>
            </w:pPr>
          </w:p>
        </w:tc>
        <w:tc>
          <w:tcPr>
            <w:tcW w:w="180" w:type="dxa"/>
            <w:vAlign w:val="bottom"/>
            <w:tcBorders>
              <w:top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w w:val="92"/>
              </w:rPr>
              <w:t>31,</w:t>
            </w:r>
          </w:p>
        </w:tc>
        <w:tc>
          <w:tcPr>
            <w:tcW w:w="6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7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0" w:type="dxa"/>
            <w:vAlign w:val="bottom"/>
            <w:tcBorders>
              <w:top w:val="single" w:sz="8" w:color="auto"/>
            </w:tcBorders>
            <w:gridSpan w:val="2"/>
          </w:tcPr>
          <w:p>
            <w:pPr>
              <w:spacing w:after="0"/>
              <w:rPr>
                <w:sz w:val="11"/>
                <w:szCs w:val="11"/>
                <w:color w:val="auto"/>
              </w:rPr>
            </w:pPr>
          </w:p>
        </w:tc>
        <w:tc>
          <w:tcPr>
            <w:tcW w:w="240" w:type="dxa"/>
            <w:vAlign w:val="bottom"/>
            <w:tcBorders>
              <w:top w:val="single" w:sz="8" w:color="auto"/>
            </w:tcBorders>
            <w:gridSpan w:val="2"/>
          </w:tcPr>
          <w:p>
            <w:pPr>
              <w:jc w:val="center"/>
              <w:ind w:right="60"/>
              <w:spacing w:after="0" w:line="129" w:lineRule="exact"/>
              <w:rPr>
                <w:sz w:val="20"/>
                <w:szCs w:val="20"/>
                <w:color w:val="auto"/>
              </w:rPr>
            </w:pPr>
            <w:r>
              <w:rPr>
                <w:rFonts w:ascii="Arial" w:cs="Arial" w:eastAsia="Arial" w:hAnsi="Arial"/>
                <w:sz w:val="14"/>
                <w:szCs w:val="14"/>
                <w:b w:val="1"/>
                <w:bCs w:val="1"/>
                <w:color w:val="auto"/>
                <w:w w:val="92"/>
              </w:rPr>
              <w:t>31,</w:t>
            </w:r>
          </w:p>
        </w:tc>
        <w:tc>
          <w:tcPr>
            <w:tcW w:w="60" w:type="dxa"/>
            <w:vAlign w:val="bottom"/>
            <w:tcBorders>
              <w:top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5840" w:type="dxa"/>
            <w:vAlign w:val="bottom"/>
          </w:tcPr>
          <w:p>
            <w:pPr>
              <w:spacing w:after="0" w:line="20" w:lineRule="exact"/>
              <w:rPr>
                <w:sz w:val="1"/>
                <w:szCs w:val="1"/>
                <w:color w:val="auto"/>
              </w:rPr>
            </w:pPr>
          </w:p>
        </w:tc>
        <w:tc>
          <w:tcPr>
            <w:tcW w:w="26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5840" w:type="dxa"/>
            <w:vAlign w:val="bottom"/>
            <w:vMerge w:val="restart"/>
          </w:tcPr>
          <w:p>
            <w:pPr>
              <w:spacing w:after="0"/>
              <w:rPr>
                <w:sz w:val="20"/>
                <w:szCs w:val="20"/>
                <w:color w:val="auto"/>
              </w:rPr>
            </w:pPr>
            <w:r>
              <w:rPr>
                <w:rFonts w:ascii="Arial" w:cs="Arial" w:eastAsia="Arial" w:hAnsi="Arial"/>
                <w:sz w:val="14"/>
                <w:szCs w:val="14"/>
                <w:color w:val="auto"/>
              </w:rPr>
              <w:t>Revenue:</w:t>
            </w:r>
          </w:p>
        </w:tc>
        <w:tc>
          <w:tcPr>
            <w:tcW w:w="2880" w:type="dxa"/>
            <w:vAlign w:val="bottom"/>
            <w:gridSpan w:val="5"/>
          </w:tcPr>
          <w:p>
            <w:pPr>
              <w:jc w:val="center"/>
              <w:ind w:left="2528"/>
              <w:spacing w:after="0" w:line="155" w:lineRule="exact"/>
              <w:rPr>
                <w:sz w:val="20"/>
                <w:szCs w:val="20"/>
                <w:color w:val="auto"/>
              </w:rPr>
            </w:pPr>
            <w:r>
              <w:rPr>
                <w:rFonts w:ascii="Arial" w:cs="Arial" w:eastAsia="Arial" w:hAnsi="Arial"/>
                <w:sz w:val="14"/>
                <w:szCs w:val="14"/>
                <w:b w:val="1"/>
                <w:bCs w:val="1"/>
                <w:color w:val="auto"/>
                <w:w w:val="89"/>
              </w:rPr>
              <w:t>2016</w:t>
            </w:r>
          </w:p>
        </w:tc>
        <w:tc>
          <w:tcPr>
            <w:tcW w:w="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60" w:type="dxa"/>
            <w:vAlign w:val="bottom"/>
            <w:gridSpan w:val="5"/>
          </w:tcPr>
          <w:p>
            <w:pPr>
              <w:jc w:val="center"/>
              <w:ind w:left="708"/>
              <w:spacing w:after="0" w:line="155" w:lineRule="exact"/>
              <w:rPr>
                <w:sz w:val="20"/>
                <w:szCs w:val="20"/>
                <w:color w:val="auto"/>
              </w:rPr>
            </w:pPr>
            <w:r>
              <w:rPr>
                <w:rFonts w:ascii="Arial" w:cs="Arial" w:eastAsia="Arial" w:hAnsi="Arial"/>
                <w:sz w:val="14"/>
                <w:szCs w:val="14"/>
                <w:b w:val="1"/>
                <w:bCs w:val="1"/>
                <w:color w:val="auto"/>
                <w:w w:val="89"/>
              </w:rPr>
              <w:t>2015</w:t>
            </w:r>
          </w:p>
        </w:tc>
        <w:tc>
          <w:tcPr>
            <w:tcW w:w="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7"/>
        </w:trPr>
        <w:tc>
          <w:tcPr>
            <w:tcW w:w="5840" w:type="dxa"/>
            <w:vAlign w:val="bottom"/>
            <w:vMerge w:val="continue"/>
          </w:tcPr>
          <w:p>
            <w:pPr>
              <w:spacing w:after="0"/>
              <w:rPr>
                <w:sz w:val="15"/>
                <w:szCs w:val="15"/>
                <w:color w:val="auto"/>
              </w:rPr>
            </w:pPr>
          </w:p>
        </w:tc>
        <w:tc>
          <w:tcPr>
            <w:tcW w:w="25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60" w:type="dxa"/>
            <w:vAlign w:val="bottom"/>
            <w:tcBorders>
              <w:top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Gross revenue</w:t>
            </w:r>
          </w:p>
        </w:tc>
        <w:tc>
          <w:tcPr>
            <w:tcW w:w="3640" w:type="dxa"/>
            <w:vAlign w:val="bottom"/>
            <w:gridSpan w:val="7"/>
          </w:tcPr>
          <w:p>
            <w:pPr>
              <w:jc w:val="center"/>
              <w:ind w:left="1768"/>
              <w:spacing w:after="0"/>
              <w:rPr>
                <w:sz w:val="20"/>
                <w:szCs w:val="20"/>
                <w:color w:val="auto"/>
              </w:rPr>
            </w:pPr>
            <w:r>
              <w:rPr>
                <w:rFonts w:ascii="Arial" w:cs="Arial" w:eastAsia="Arial" w:hAnsi="Arial"/>
                <w:sz w:val="14"/>
                <w:szCs w:val="14"/>
                <w:color w:val="auto"/>
                <w:w w:val="94"/>
              </w:rPr>
              <w:t>542,583</w:t>
            </w:r>
          </w:p>
        </w:tc>
        <w:tc>
          <w:tcPr>
            <w:tcW w:w="162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503,366</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Reimbursable expenses</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3"/>
              </w:rPr>
              <w:t>(142,061)</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3"/>
              </w:rPr>
              <w:t>(115,135)</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6"/>
        </w:trPr>
        <w:tc>
          <w:tcPr>
            <w:tcW w:w="5840" w:type="dxa"/>
            <w:vAlign w:val="bottom"/>
          </w:tcPr>
          <w:p>
            <w:pPr>
              <w:spacing w:after="0"/>
              <w:rPr>
                <w:sz w:val="20"/>
                <w:szCs w:val="20"/>
                <w:color w:val="auto"/>
              </w:rPr>
            </w:pPr>
            <w:r>
              <w:rPr>
                <w:rFonts w:ascii="Arial" w:cs="Arial" w:eastAsia="Arial" w:hAnsi="Arial"/>
                <w:sz w:val="14"/>
                <w:szCs w:val="14"/>
                <w:b w:val="1"/>
                <w:bCs w:val="1"/>
                <w:color w:val="auto"/>
              </w:rPr>
              <w:t>Net revenue</w:t>
            </w:r>
          </w:p>
        </w:tc>
        <w:tc>
          <w:tcPr>
            <w:tcW w:w="3640" w:type="dxa"/>
            <w:vAlign w:val="bottom"/>
            <w:gridSpan w:val="7"/>
          </w:tcPr>
          <w:p>
            <w:pPr>
              <w:jc w:val="center"/>
              <w:ind w:left="1768"/>
              <w:spacing w:after="0"/>
              <w:rPr>
                <w:sz w:val="20"/>
                <w:szCs w:val="20"/>
                <w:color w:val="auto"/>
              </w:rPr>
            </w:pPr>
            <w:r>
              <w:rPr>
                <w:rFonts w:ascii="Arial" w:cs="Arial" w:eastAsia="Arial" w:hAnsi="Arial"/>
                <w:sz w:val="14"/>
                <w:szCs w:val="14"/>
                <w:color w:val="auto"/>
                <w:w w:val="94"/>
              </w:rPr>
              <w:t>400,522</w:t>
            </w:r>
          </w:p>
        </w:tc>
        <w:tc>
          <w:tcPr>
            <w:tcW w:w="162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388,231</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4"/>
        </w:trPr>
        <w:tc>
          <w:tcPr>
            <w:tcW w:w="5840" w:type="dxa"/>
            <w:vAlign w:val="bottom"/>
          </w:tcPr>
          <w:p>
            <w:pPr>
              <w:spacing w:after="0"/>
              <w:rPr>
                <w:sz w:val="20"/>
                <w:szCs w:val="20"/>
                <w:color w:val="auto"/>
              </w:rPr>
            </w:pPr>
            <w:r>
              <w:rPr>
                <w:rFonts w:ascii="Arial" w:cs="Arial" w:eastAsia="Arial" w:hAnsi="Arial"/>
                <w:sz w:val="14"/>
                <w:szCs w:val="14"/>
                <w:b w:val="1"/>
                <w:bCs w:val="1"/>
                <w:color w:val="auto"/>
              </w:rPr>
              <w:t>Costs and expenses:</w:t>
            </w:r>
          </w:p>
        </w:tc>
        <w:tc>
          <w:tcPr>
            <w:tcW w:w="2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Direct costs</w:t>
            </w:r>
          </w:p>
        </w:tc>
        <w:tc>
          <w:tcPr>
            <w:tcW w:w="3640" w:type="dxa"/>
            <w:vAlign w:val="bottom"/>
            <w:gridSpan w:val="7"/>
          </w:tcPr>
          <w:p>
            <w:pPr>
              <w:jc w:val="center"/>
              <w:ind w:left="1768"/>
              <w:spacing w:after="0"/>
              <w:rPr>
                <w:sz w:val="20"/>
                <w:szCs w:val="20"/>
                <w:color w:val="auto"/>
              </w:rPr>
            </w:pPr>
            <w:r>
              <w:rPr>
                <w:rFonts w:ascii="Arial" w:cs="Arial" w:eastAsia="Arial" w:hAnsi="Arial"/>
                <w:sz w:val="14"/>
                <w:szCs w:val="14"/>
                <w:color w:val="auto"/>
                <w:w w:val="94"/>
              </w:rPr>
              <w:t>228,603</w:t>
            </w:r>
          </w:p>
        </w:tc>
        <w:tc>
          <w:tcPr>
            <w:tcW w:w="1620" w:type="dxa"/>
            <w:vAlign w:val="bottom"/>
            <w:gridSpan w:val="7"/>
          </w:tcPr>
          <w:p>
            <w:pPr>
              <w:jc w:val="center"/>
              <w:ind w:left="148"/>
              <w:spacing w:after="0"/>
              <w:rPr>
                <w:sz w:val="20"/>
                <w:szCs w:val="20"/>
                <w:color w:val="auto"/>
              </w:rPr>
            </w:pPr>
            <w:r>
              <w:rPr>
                <w:rFonts w:ascii="Arial" w:cs="Arial" w:eastAsia="Arial" w:hAnsi="Arial"/>
                <w:sz w:val="14"/>
                <w:szCs w:val="14"/>
                <w:color w:val="auto"/>
                <w:w w:val="94"/>
              </w:rPr>
              <w:t>228,078</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Selling, general and administrative expense</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80,789</w:t>
            </w:r>
          </w:p>
        </w:tc>
        <w:tc>
          <w:tcPr>
            <w:tcW w:w="700" w:type="dxa"/>
            <w:vAlign w:val="bottom"/>
          </w:tcPr>
          <w:p>
            <w:pPr>
              <w:spacing w:after="0"/>
              <w:rPr>
                <w:sz w:val="15"/>
                <w:szCs w:val="15"/>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79,555</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5840" w:type="dxa"/>
            <w:vAlign w:val="bottom"/>
          </w:tcPr>
          <w:p>
            <w:pPr>
              <w:spacing w:after="0"/>
              <w:rPr>
                <w:sz w:val="20"/>
                <w:szCs w:val="20"/>
                <w:color w:val="auto"/>
              </w:rPr>
            </w:pPr>
            <w:r>
              <w:rPr>
                <w:rFonts w:ascii="Arial" w:cs="Arial" w:eastAsia="Arial" w:hAnsi="Arial"/>
                <w:sz w:val="14"/>
                <w:szCs w:val="14"/>
                <w:color w:val="auto"/>
              </w:rPr>
              <w:t>Depreciation and amortization</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15,120</w:t>
            </w:r>
          </w:p>
        </w:tc>
        <w:tc>
          <w:tcPr>
            <w:tcW w:w="700" w:type="dxa"/>
            <w:vAlign w:val="bottom"/>
          </w:tcPr>
          <w:p>
            <w:pPr>
              <w:spacing w:after="0"/>
              <w:rPr>
                <w:sz w:val="15"/>
                <w:szCs w:val="15"/>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13,925</w:t>
            </w: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Restructuring and other items</w:t>
            </w:r>
          </w:p>
        </w:tc>
        <w:tc>
          <w:tcPr>
            <w:tcW w:w="2820" w:type="dxa"/>
            <w:vAlign w:val="bottom"/>
            <w:tcBorders>
              <w:bottom w:val="single" w:sz="8" w:color="auto"/>
            </w:tcBorders>
            <w:gridSpan w:val="4"/>
          </w:tcPr>
          <w:p>
            <w:pPr>
              <w:jc w:val="center"/>
              <w:ind w:left="2588"/>
              <w:spacing w:after="0"/>
              <w:rPr>
                <w:sz w:val="20"/>
                <w:szCs w:val="20"/>
                <w:color w:val="auto"/>
              </w:rPr>
            </w:pPr>
            <w:r>
              <w:rPr>
                <w:rFonts w:ascii="Arial" w:cs="Arial" w:eastAsia="Arial" w:hAnsi="Arial"/>
                <w:sz w:val="14"/>
                <w:szCs w:val="14"/>
                <w:color w:val="auto"/>
              </w:rPr>
              <w:t>0</w:t>
            </w: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gridSpan w:val="4"/>
          </w:tcPr>
          <w:p>
            <w:pPr>
              <w:jc w:val="center"/>
              <w:ind w:left="768"/>
              <w:spacing w:after="0"/>
              <w:rPr>
                <w:sz w:val="20"/>
                <w:szCs w:val="20"/>
                <w:color w:val="auto"/>
              </w:rPr>
            </w:pPr>
            <w:r>
              <w:rPr>
                <w:rFonts w:ascii="Arial" w:cs="Arial" w:eastAsia="Arial" w:hAnsi="Arial"/>
                <w:sz w:val="14"/>
                <w:szCs w:val="14"/>
                <w:color w:val="auto"/>
              </w:rPr>
              <w:t>0</w:t>
            </w:r>
          </w:p>
        </w:tc>
        <w:tc>
          <w:tcPr>
            <w:tcW w:w="6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500" w:type="dxa"/>
            <w:vAlign w:val="bottom"/>
            <w:tcBorders>
              <w:bottom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Total costs and expenses</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4"/>
              </w:rPr>
              <w:t>324,512</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4"/>
              </w:rPr>
              <w:t>321,558</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40" w:type="dxa"/>
            <w:vAlign w:val="bottom"/>
          </w:tcPr>
          <w:p>
            <w:pPr>
              <w:spacing w:after="0"/>
              <w:rPr>
                <w:sz w:val="20"/>
                <w:szCs w:val="20"/>
                <w:color w:val="auto"/>
              </w:rPr>
            </w:pPr>
            <w:r>
              <w:rPr>
                <w:rFonts w:ascii="Arial" w:cs="Arial" w:eastAsia="Arial" w:hAnsi="Arial"/>
                <w:sz w:val="14"/>
                <w:szCs w:val="14"/>
                <w:b w:val="1"/>
                <w:bCs w:val="1"/>
                <w:color w:val="auto"/>
              </w:rPr>
              <w:t>Income from operations</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76,010</w:t>
            </w:r>
          </w:p>
        </w:tc>
        <w:tc>
          <w:tcPr>
            <w:tcW w:w="700" w:type="dxa"/>
            <w:vAlign w:val="bottom"/>
          </w:tcPr>
          <w:p>
            <w:pPr>
              <w:spacing w:after="0"/>
              <w:rPr>
                <w:sz w:val="24"/>
                <w:szCs w:val="24"/>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66,673</w:t>
            </w: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Net interest expense</w:t>
            </w:r>
          </w:p>
        </w:tc>
        <w:tc>
          <w:tcPr>
            <w:tcW w:w="3640" w:type="dxa"/>
            <w:vAlign w:val="bottom"/>
            <w:tcBorders>
              <w:bottom w:val="single" w:sz="8" w:color="auto"/>
            </w:tcBorders>
            <w:gridSpan w:val="7"/>
          </w:tcPr>
          <w:p>
            <w:pPr>
              <w:jc w:val="center"/>
              <w:ind w:left="1748"/>
              <w:spacing w:after="0"/>
              <w:rPr>
                <w:sz w:val="20"/>
                <w:szCs w:val="20"/>
                <w:color w:val="auto"/>
              </w:rPr>
            </w:pPr>
            <w:r>
              <w:rPr>
                <w:rFonts w:ascii="Arial" w:cs="Arial" w:eastAsia="Arial" w:hAnsi="Arial"/>
                <w:sz w:val="14"/>
                <w:szCs w:val="14"/>
                <w:color w:val="auto"/>
                <w:w w:val="94"/>
              </w:rPr>
              <w:t>(2,881)</w:t>
            </w:r>
          </w:p>
        </w:tc>
        <w:tc>
          <w:tcPr>
            <w:tcW w:w="1060" w:type="dxa"/>
            <w:vAlign w:val="bottom"/>
            <w:tcBorders>
              <w:bottom w:val="single" w:sz="8" w:color="auto"/>
            </w:tcBorders>
            <w:gridSpan w:val="5"/>
          </w:tcPr>
          <w:p>
            <w:pPr>
              <w:jc w:val="center"/>
              <w:ind w:left="708"/>
              <w:spacing w:after="0"/>
              <w:rPr>
                <w:sz w:val="20"/>
                <w:szCs w:val="20"/>
                <w:color w:val="auto"/>
              </w:rPr>
            </w:pPr>
            <w:r>
              <w:rPr>
                <w:rFonts w:ascii="Arial" w:cs="Arial" w:eastAsia="Arial" w:hAnsi="Arial"/>
                <w:sz w:val="14"/>
                <w:szCs w:val="14"/>
                <w:color w:val="auto"/>
                <w:w w:val="93"/>
              </w:rPr>
              <w:t>(3)</w:t>
            </w:r>
          </w:p>
        </w:tc>
        <w:tc>
          <w:tcPr>
            <w:tcW w:w="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5840" w:type="dxa"/>
            <w:vAlign w:val="bottom"/>
          </w:tcPr>
          <w:p>
            <w:pPr>
              <w:spacing w:after="0"/>
              <w:rPr>
                <w:sz w:val="20"/>
                <w:szCs w:val="20"/>
                <w:color w:val="auto"/>
              </w:rPr>
            </w:pPr>
            <w:r>
              <w:rPr>
                <w:rFonts w:ascii="Arial" w:cs="Arial" w:eastAsia="Arial" w:hAnsi="Arial"/>
                <w:sz w:val="14"/>
                <w:szCs w:val="14"/>
                <w:b w:val="1"/>
                <w:bCs w:val="1"/>
                <w:color w:val="auto"/>
              </w:rPr>
              <w:t>Income before provision for income taxes</w:t>
            </w:r>
          </w:p>
        </w:tc>
        <w:tc>
          <w:tcPr>
            <w:tcW w:w="2940" w:type="dxa"/>
            <w:vAlign w:val="bottom"/>
            <w:gridSpan w:val="6"/>
          </w:tcPr>
          <w:p>
            <w:pPr>
              <w:jc w:val="center"/>
              <w:ind w:left="2468"/>
              <w:spacing w:after="0"/>
              <w:rPr>
                <w:sz w:val="20"/>
                <w:szCs w:val="20"/>
                <w:color w:val="auto"/>
              </w:rPr>
            </w:pPr>
            <w:r>
              <w:rPr>
                <w:rFonts w:ascii="Arial" w:cs="Arial" w:eastAsia="Arial" w:hAnsi="Arial"/>
                <w:sz w:val="14"/>
                <w:szCs w:val="14"/>
                <w:color w:val="auto"/>
                <w:w w:val="93"/>
              </w:rPr>
              <w:t>73,129</w:t>
            </w:r>
          </w:p>
        </w:tc>
        <w:tc>
          <w:tcPr>
            <w:tcW w:w="700" w:type="dxa"/>
            <w:vAlign w:val="bottom"/>
          </w:tcPr>
          <w:p>
            <w:pPr>
              <w:spacing w:after="0"/>
              <w:rPr>
                <w:sz w:val="24"/>
                <w:szCs w:val="24"/>
                <w:color w:val="auto"/>
              </w:rPr>
            </w:pPr>
          </w:p>
        </w:tc>
        <w:tc>
          <w:tcPr>
            <w:tcW w:w="1120" w:type="dxa"/>
            <w:vAlign w:val="bottom"/>
            <w:gridSpan w:val="6"/>
          </w:tcPr>
          <w:p>
            <w:pPr>
              <w:jc w:val="center"/>
              <w:ind w:left="648"/>
              <w:spacing w:after="0"/>
              <w:rPr>
                <w:sz w:val="20"/>
                <w:szCs w:val="20"/>
                <w:color w:val="auto"/>
              </w:rPr>
            </w:pPr>
            <w:r>
              <w:rPr>
                <w:rFonts w:ascii="Arial" w:cs="Arial" w:eastAsia="Arial" w:hAnsi="Arial"/>
                <w:sz w:val="14"/>
                <w:szCs w:val="14"/>
                <w:color w:val="auto"/>
                <w:w w:val="93"/>
              </w:rPr>
              <w:t>66,670</w:t>
            </w: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Provision for income taxes</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1"/>
              </w:rPr>
              <w:t>(10,165)</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(10,801)</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Net income</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3"/>
              </w:rPr>
              <w:t>62,964</w:t>
            </w:r>
          </w:p>
        </w:tc>
        <w:tc>
          <w:tcPr>
            <w:tcW w:w="7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3"/>
              </w:rPr>
              <w:t>55,869</w:t>
            </w:r>
          </w:p>
        </w:tc>
        <w:tc>
          <w:tcPr>
            <w:tcW w:w="5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5840" w:type="dxa"/>
            <w:vAlign w:val="bottom"/>
          </w:tcPr>
          <w:p>
            <w:pPr>
              <w:spacing w:after="0"/>
              <w:rPr>
                <w:sz w:val="20"/>
                <w:szCs w:val="20"/>
                <w:color w:val="auto"/>
              </w:rPr>
            </w:pPr>
            <w:r>
              <w:rPr>
                <w:rFonts w:ascii="Arial" w:cs="Arial" w:eastAsia="Arial" w:hAnsi="Arial"/>
                <w:sz w:val="14"/>
                <w:szCs w:val="14"/>
                <w:i w:val="1"/>
                <w:iCs w:val="1"/>
                <w:color w:val="auto"/>
              </w:rPr>
              <w:t>Net income per Ordinary Share:</w:t>
            </w:r>
          </w:p>
        </w:tc>
        <w:tc>
          <w:tcPr>
            <w:tcW w:w="2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1"/>
              </w:rPr>
              <w:t>$1.14</w:t>
            </w:r>
          </w:p>
        </w:tc>
        <w:tc>
          <w:tcPr>
            <w:tcW w:w="700" w:type="dxa"/>
            <w:vAlign w:val="bottom"/>
            <w:tcBorders>
              <w:bottom w:val="single" w:sz="8" w:color="auto"/>
            </w:tcBorders>
          </w:tcPr>
          <w:p>
            <w:pPr>
              <w:spacing w:after="0"/>
              <w:rPr>
                <w:sz w:val="15"/>
                <w:szCs w:val="15"/>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1"/>
              </w:rPr>
              <w:t>$0.93</w:t>
            </w:r>
          </w:p>
        </w:tc>
        <w:tc>
          <w:tcPr>
            <w:tcW w:w="500" w:type="dxa"/>
            <w:vAlign w:val="bottom"/>
            <w:tcBorders>
              <w:bottom w:val="single" w:sz="8" w:color="auto"/>
            </w:tcBorders>
          </w:tcPr>
          <w:p>
            <w:pPr>
              <w:spacing w:after="0"/>
              <w:rPr>
                <w:sz w:val="15"/>
                <w:szCs w:val="15"/>
                <w:color w:val="auto"/>
              </w:rPr>
            </w:pP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2940" w:type="dxa"/>
            <w:vAlign w:val="bottom"/>
            <w:tcBorders>
              <w:bottom w:val="single" w:sz="8" w:color="auto"/>
            </w:tcBorders>
            <w:gridSpan w:val="6"/>
          </w:tcPr>
          <w:p>
            <w:pPr>
              <w:jc w:val="center"/>
              <w:ind w:left="2468"/>
              <w:spacing w:after="0"/>
              <w:rPr>
                <w:sz w:val="20"/>
                <w:szCs w:val="20"/>
                <w:color w:val="auto"/>
              </w:rPr>
            </w:pPr>
            <w:r>
              <w:rPr>
                <w:rFonts w:ascii="Arial" w:cs="Arial" w:eastAsia="Arial" w:hAnsi="Arial"/>
                <w:sz w:val="14"/>
                <w:szCs w:val="14"/>
                <w:color w:val="auto"/>
                <w:w w:val="91"/>
              </w:rPr>
              <w:t>$1.12</w:t>
            </w:r>
          </w:p>
        </w:tc>
        <w:tc>
          <w:tcPr>
            <w:tcW w:w="7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gridSpan w:val="6"/>
          </w:tcPr>
          <w:p>
            <w:pPr>
              <w:jc w:val="center"/>
              <w:ind w:left="648"/>
              <w:spacing w:after="0"/>
              <w:rPr>
                <w:sz w:val="20"/>
                <w:szCs w:val="20"/>
                <w:color w:val="auto"/>
              </w:rPr>
            </w:pPr>
            <w:r>
              <w:rPr>
                <w:rFonts w:ascii="Arial" w:cs="Arial" w:eastAsia="Arial" w:hAnsi="Arial"/>
                <w:sz w:val="14"/>
                <w:szCs w:val="14"/>
                <w:color w:val="auto"/>
                <w:w w:val="91"/>
              </w:rPr>
              <w:t>$0.90</w:t>
            </w:r>
          </w:p>
        </w:tc>
        <w:tc>
          <w:tcPr>
            <w:tcW w:w="500" w:type="dxa"/>
            <w:vAlign w:val="bottom"/>
            <w:tcBorders>
              <w:bottom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5840" w:type="dxa"/>
            <w:vAlign w:val="bottom"/>
          </w:tcPr>
          <w:p>
            <w:pPr>
              <w:spacing w:after="0"/>
              <w:rPr>
                <w:sz w:val="20"/>
                <w:szCs w:val="20"/>
                <w:color w:val="auto"/>
              </w:rPr>
            </w:pPr>
            <w:r>
              <w:rPr>
                <w:rFonts w:ascii="Arial" w:cs="Arial" w:eastAsia="Arial" w:hAnsi="Arial"/>
                <w:sz w:val="14"/>
                <w:szCs w:val="14"/>
                <w:i w:val="1"/>
                <w:iCs w:val="1"/>
                <w:color w:val="auto"/>
              </w:rPr>
              <w:t>Weighted average number of Ordinary Shares outstanding:</w:t>
            </w:r>
          </w:p>
        </w:tc>
        <w:tc>
          <w:tcPr>
            <w:tcW w:w="2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1"/>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Basic</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1"/>
              </w:rPr>
              <w:t>55,011,019</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60,281,059</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345"/>
        </w:trPr>
        <w:tc>
          <w:tcPr>
            <w:tcW w:w="5840" w:type="dxa"/>
            <w:vAlign w:val="bottom"/>
            <w:tcBorders>
              <w:bottom w:val="single" w:sz="8" w:color="auto"/>
            </w:tcBorders>
          </w:tcPr>
          <w:p>
            <w:pPr>
              <w:spacing w:after="0"/>
              <w:rPr>
                <w:sz w:val="20"/>
                <w:szCs w:val="20"/>
                <w:color w:val="auto"/>
              </w:rPr>
            </w:pPr>
            <w:r>
              <w:rPr>
                <w:rFonts w:ascii="Arial" w:cs="Arial" w:eastAsia="Arial" w:hAnsi="Arial"/>
                <w:sz w:val="14"/>
                <w:szCs w:val="14"/>
                <w:color w:val="auto"/>
              </w:rPr>
              <w:t>Diluted</w:t>
            </w:r>
          </w:p>
        </w:tc>
        <w:tc>
          <w:tcPr>
            <w:tcW w:w="3640" w:type="dxa"/>
            <w:vAlign w:val="bottom"/>
            <w:tcBorders>
              <w:bottom w:val="single" w:sz="8" w:color="auto"/>
            </w:tcBorders>
            <w:gridSpan w:val="7"/>
          </w:tcPr>
          <w:p>
            <w:pPr>
              <w:jc w:val="center"/>
              <w:ind w:left="1768"/>
              <w:spacing w:after="0"/>
              <w:rPr>
                <w:sz w:val="20"/>
                <w:szCs w:val="20"/>
                <w:color w:val="auto"/>
              </w:rPr>
            </w:pPr>
            <w:r>
              <w:rPr>
                <w:rFonts w:ascii="Arial" w:cs="Arial" w:eastAsia="Arial" w:hAnsi="Arial"/>
                <w:sz w:val="14"/>
                <w:szCs w:val="14"/>
                <w:color w:val="auto"/>
                <w:w w:val="91"/>
              </w:rPr>
              <w:t>56,242,164</w:t>
            </w:r>
          </w:p>
        </w:tc>
        <w:tc>
          <w:tcPr>
            <w:tcW w:w="1620" w:type="dxa"/>
            <w:vAlign w:val="bottom"/>
            <w:tcBorders>
              <w:bottom w:val="single" w:sz="8" w:color="auto"/>
            </w:tcBorders>
            <w:gridSpan w:val="7"/>
          </w:tcPr>
          <w:p>
            <w:pPr>
              <w:jc w:val="center"/>
              <w:ind w:left="148"/>
              <w:spacing w:after="0"/>
              <w:rPr>
                <w:sz w:val="20"/>
                <w:szCs w:val="20"/>
                <w:color w:val="auto"/>
              </w:rPr>
            </w:pPr>
            <w:r>
              <w:rPr>
                <w:rFonts w:ascii="Arial" w:cs="Arial" w:eastAsia="Arial" w:hAnsi="Arial"/>
                <w:sz w:val="14"/>
                <w:szCs w:val="14"/>
                <w:color w:val="auto"/>
                <w:w w:val="91"/>
              </w:rPr>
              <w:t>61,856,347</w:t>
            </w:r>
          </w:p>
        </w:tc>
        <w:tc>
          <w:tcPr>
            <w:tcW w:w="3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5840" w:type="dxa"/>
            <w:vAlign w:val="bottom"/>
            <w:tcBorders>
              <w:bottom w:val="single" w:sz="8" w:color="9A9A9A"/>
            </w:tcBorders>
          </w:tcPr>
          <w:p>
            <w:pPr>
              <w:spacing w:after="0"/>
              <w:rPr>
                <w:sz w:val="24"/>
                <w:szCs w:val="24"/>
                <w:color w:val="auto"/>
              </w:rPr>
            </w:pPr>
          </w:p>
        </w:tc>
        <w:tc>
          <w:tcPr>
            <w:tcW w:w="252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700" w:type="dxa"/>
            <w:vAlign w:val="bottom"/>
            <w:tcBorders>
              <w:bottom w:val="single" w:sz="8" w:color="9A9A9A"/>
            </w:tcBorders>
          </w:tcPr>
          <w:p>
            <w:pPr>
              <w:spacing w:after="0"/>
              <w:rPr>
                <w:sz w:val="24"/>
                <w:szCs w:val="24"/>
                <w:color w:val="auto"/>
              </w:rPr>
            </w:pPr>
          </w:p>
        </w:tc>
        <w:tc>
          <w:tcPr>
            <w:tcW w:w="70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60" w:type="dxa"/>
            <w:vAlign w:val="bottom"/>
            <w:tcBorders>
              <w:bottom w:val="single" w:sz="8" w:color="9A9A9A"/>
            </w:tcBorders>
          </w:tcPr>
          <w:p>
            <w:pPr>
              <w:spacing w:after="0"/>
              <w:rPr>
                <w:sz w:val="24"/>
                <w:szCs w:val="24"/>
                <w:color w:val="auto"/>
              </w:rPr>
            </w:pPr>
          </w:p>
        </w:tc>
        <w:tc>
          <w:tcPr>
            <w:tcW w:w="500" w:type="dxa"/>
            <w:vAlign w:val="bottom"/>
            <w:tcBorders>
              <w:bottom w:val="single" w:sz="8" w:color="9A9A9A"/>
            </w:tcBorders>
          </w:tcPr>
          <w:p>
            <w:pPr>
              <w:spacing w:after="0"/>
              <w:rPr>
                <w:sz w:val="24"/>
                <w:szCs w:val="24"/>
                <w:color w:val="auto"/>
              </w:rPr>
            </w:pPr>
          </w:p>
        </w:tc>
        <w:tc>
          <w:tcPr>
            <w:tcW w:w="320" w:type="dxa"/>
            <w:vAlign w:val="bottom"/>
            <w:tcBorders>
              <w:bottom w:val="single" w:sz="8" w:color="9A9A9A"/>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5840" w:type="dxa"/>
            <w:vAlign w:val="bottom"/>
            <w:tcBorders>
              <w:bottom w:val="single" w:sz="8" w:color="EEEEEE"/>
            </w:tcBorders>
          </w:tcPr>
          <w:p>
            <w:pPr>
              <w:spacing w:after="0" w:line="20" w:lineRule="exact"/>
              <w:rPr>
                <w:sz w:val="1"/>
                <w:szCs w:val="1"/>
                <w:color w:val="auto"/>
              </w:rPr>
            </w:pPr>
          </w:p>
        </w:tc>
        <w:tc>
          <w:tcPr>
            <w:tcW w:w="252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700" w:type="dxa"/>
            <w:vAlign w:val="bottom"/>
            <w:tcBorders>
              <w:bottom w:val="single" w:sz="8" w:color="EEEEEE"/>
            </w:tcBorders>
          </w:tcPr>
          <w:p>
            <w:pPr>
              <w:spacing w:after="0" w:line="20" w:lineRule="exact"/>
              <w:rPr>
                <w:sz w:val="1"/>
                <w:szCs w:val="1"/>
                <w:color w:val="auto"/>
              </w:rPr>
            </w:pPr>
          </w:p>
        </w:tc>
        <w:tc>
          <w:tcPr>
            <w:tcW w:w="80" w:type="dxa"/>
            <w:vAlign w:val="bottom"/>
            <w:tcBorders>
              <w:bottom w:val="single" w:sz="8" w:color="EEEEEE"/>
            </w:tcBorders>
          </w:tcPr>
          <w:p>
            <w:pPr>
              <w:spacing w:after="0" w:line="20" w:lineRule="exact"/>
              <w:rPr>
                <w:sz w:val="1"/>
                <w:szCs w:val="1"/>
                <w:color w:val="auto"/>
              </w:rPr>
            </w:pPr>
          </w:p>
        </w:tc>
        <w:tc>
          <w:tcPr>
            <w:tcW w:w="40" w:type="dxa"/>
            <w:vAlign w:val="bottom"/>
            <w:tcBorders>
              <w:bottom w:val="single" w:sz="8" w:color="EEEEEE"/>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60" w:type="dxa"/>
            <w:vAlign w:val="bottom"/>
            <w:tcBorders>
              <w:bottom w:val="single" w:sz="8" w:color="EEEEEE"/>
            </w:tcBorders>
          </w:tcPr>
          <w:p>
            <w:pPr>
              <w:spacing w:after="0" w:line="20" w:lineRule="exact"/>
              <w:rPr>
                <w:sz w:val="1"/>
                <w:szCs w:val="1"/>
                <w:color w:val="auto"/>
              </w:rPr>
            </w:pPr>
          </w:p>
        </w:tc>
        <w:tc>
          <w:tcPr>
            <w:tcW w:w="500" w:type="dxa"/>
            <w:vAlign w:val="bottom"/>
            <w:tcBorders>
              <w:bottom w:val="single" w:sz="8" w:color="EEEEEE"/>
            </w:tcBorders>
          </w:tcPr>
          <w:p>
            <w:pPr>
              <w:spacing w:after="0" w:line="20" w:lineRule="exact"/>
              <w:rPr>
                <w:sz w:val="1"/>
                <w:szCs w:val="1"/>
                <w:color w:val="auto"/>
              </w:rPr>
            </w:pPr>
          </w:p>
        </w:tc>
        <w:tc>
          <w:tcPr>
            <w:tcW w:w="320" w:type="dxa"/>
            <w:vAlign w:val="bottom"/>
            <w:tcBorders>
              <w:bottom w:val="single" w:sz="8" w:color="EEEEEE"/>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7230110</wp:posOffset>
            </wp:positionH>
            <wp:positionV relativeFrom="paragraph">
              <wp:posOffset>-46355</wp:posOffset>
            </wp:positionV>
            <wp:extent cx="34290" cy="59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290" cy="596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-46355</wp:posOffset>
            </wp:positionV>
            <wp:extent cx="34290" cy="596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4290" cy="59690"/>
                    </a:xfrm>
                    <a:prstGeom prst="rect">
                      <a:avLst/>
                    </a:prstGeom>
                    <a:noFill/>
                  </pic:spPr>
                </pic:pic>
              </a:graphicData>
            </a:graphic>
          </wp:anchor>
        </w:drawing>
      </w:r>
    </w:p>
    <w:p>
      <w:pPr>
        <w:sectPr>
          <w:pgSz w:w="11900" w:h="16838" w:orient="portrait"/>
          <w:cols w:equalWidth="0" w:num="1">
            <w:col w:w="11420"/>
          </w:cols>
          <w:pgMar w:left="240" w:top="306" w:right="239" w:bottom="1440" w:gutter="0" w:footer="0" w:header="0"/>
        </w:sectPr>
      </w:pPr>
    </w:p>
    <w:bookmarkStart w:id="7" w:name="page8"/>
    <w:bookmarkEnd w:id="7"/>
    <w:p>
      <w:pPr>
        <w:jc w:val="center"/>
        <w:ind w:right="-39"/>
        <w:spacing w:after="0"/>
        <w:rPr>
          <w:sz w:val="20"/>
          <w:szCs w:val="20"/>
          <w:color w:val="auto"/>
        </w:rPr>
      </w:pPr>
      <w:r>
        <w:rPr>
          <w:rFonts w:ascii="Arial" w:cs="Arial" w:eastAsia="Arial" w:hAnsi="Arial"/>
          <w:sz w:val="14"/>
          <w:szCs w:val="14"/>
          <w:b w:val="1"/>
          <w:bCs w:val="1"/>
          <w:color w:val="auto"/>
        </w:rPr>
        <w:t>ICON plc</w:t>
      </w:r>
    </w:p>
    <w:p>
      <w:pPr>
        <w:spacing w:after="0" w:line="25" w:lineRule="exact"/>
        <w:rPr>
          <w:sz w:val="20"/>
          <w:szCs w:val="20"/>
          <w:color w:val="auto"/>
        </w:rPr>
      </w:pPr>
    </w:p>
    <w:p>
      <w:pPr>
        <w:jc w:val="center"/>
        <w:ind w:right="-39"/>
        <w:spacing w:after="0"/>
        <w:rPr>
          <w:sz w:val="20"/>
          <w:szCs w:val="20"/>
          <w:color w:val="auto"/>
        </w:rPr>
      </w:pPr>
      <w:r>
        <w:rPr>
          <w:rFonts w:ascii="Arial" w:cs="Arial" w:eastAsia="Arial" w:hAnsi="Arial"/>
          <w:sz w:val="14"/>
          <w:szCs w:val="14"/>
          <w:b w:val="1"/>
          <w:bCs w:val="1"/>
          <w:color w:val="auto"/>
        </w:rPr>
        <w:t>Summary Balance Sheet Data</w:t>
      </w:r>
    </w:p>
    <w:p>
      <w:pPr>
        <w:spacing w:after="0" w:line="15" w:lineRule="exact"/>
        <w:rPr>
          <w:sz w:val="20"/>
          <w:szCs w:val="20"/>
          <w:color w:val="auto"/>
        </w:rPr>
      </w:pPr>
    </w:p>
    <w:p>
      <w:pPr>
        <w:jc w:val="center"/>
        <w:ind w:right="-39"/>
        <w:spacing w:after="0"/>
        <w:rPr>
          <w:sz w:val="20"/>
          <w:szCs w:val="20"/>
          <w:color w:val="auto"/>
        </w:rPr>
      </w:pPr>
      <w:r>
        <w:rPr>
          <w:rFonts w:ascii="Arial" w:cs="Arial" w:eastAsia="Arial" w:hAnsi="Arial"/>
          <w:sz w:val="14"/>
          <w:szCs w:val="14"/>
          <w:b w:val="1"/>
          <w:bCs w:val="1"/>
          <w:color w:val="auto"/>
        </w:rPr>
        <w:t>March 31, 2016 and December 31, 2015</w:t>
      </w:r>
    </w:p>
    <w:p>
      <w:pPr>
        <w:spacing w:after="0" w:line="15" w:lineRule="exact"/>
        <w:rPr>
          <w:sz w:val="20"/>
          <w:szCs w:val="20"/>
          <w:color w:val="auto"/>
        </w:rPr>
      </w:pPr>
    </w:p>
    <w:p>
      <w:pPr>
        <w:jc w:val="center"/>
        <w:ind w:right="-39"/>
        <w:spacing w:after="0"/>
        <w:rPr>
          <w:sz w:val="20"/>
          <w:szCs w:val="20"/>
          <w:color w:val="auto"/>
        </w:rPr>
      </w:pPr>
      <w:r>
        <w:rPr>
          <w:rFonts w:ascii="Arial" w:cs="Arial" w:eastAsia="Arial" w:hAnsi="Arial"/>
          <w:sz w:val="14"/>
          <w:szCs w:val="14"/>
          <w:b w:val="1"/>
          <w:bCs w:val="1"/>
          <w:color w:val="auto"/>
        </w:rPr>
        <w:t>(Dollars, in thousands)</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4340" w:type="dxa"/>
            <w:vAlign w:val="bottom"/>
          </w:tcPr>
          <w:p>
            <w:pPr>
              <w:spacing w:after="0"/>
              <w:rPr>
                <w:sz w:val="15"/>
                <w:szCs w:val="15"/>
                <w:color w:val="auto"/>
              </w:rPr>
            </w:pPr>
          </w:p>
        </w:tc>
        <w:tc>
          <w:tcPr>
            <w:tcW w:w="4120" w:type="dxa"/>
            <w:vAlign w:val="bottom"/>
          </w:tcPr>
          <w:p>
            <w:pPr>
              <w:jc w:val="center"/>
              <w:ind w:left="1428"/>
              <w:spacing w:after="0"/>
              <w:rPr>
                <w:sz w:val="20"/>
                <w:szCs w:val="20"/>
                <w:color w:val="auto"/>
              </w:rPr>
            </w:pPr>
            <w:r>
              <w:rPr>
                <w:rFonts w:ascii="Arial" w:cs="Arial" w:eastAsia="Arial" w:hAnsi="Arial"/>
                <w:sz w:val="14"/>
                <w:szCs w:val="14"/>
                <w:b w:val="1"/>
                <w:bCs w:val="1"/>
                <w:color w:val="auto"/>
                <w:w w:val="95"/>
              </w:rPr>
              <w:t>March 31,</w:t>
            </w:r>
          </w:p>
        </w:tc>
        <w:tc>
          <w:tcPr>
            <w:tcW w:w="1780" w:type="dxa"/>
            <w:vAlign w:val="bottom"/>
          </w:tcPr>
          <w:p>
            <w:pPr>
              <w:jc w:val="center"/>
              <w:ind w:left="868"/>
              <w:spacing w:after="0"/>
              <w:rPr>
                <w:sz w:val="20"/>
                <w:szCs w:val="20"/>
                <w:color w:val="auto"/>
              </w:rPr>
            </w:pPr>
            <w:r>
              <w:rPr>
                <w:rFonts w:ascii="Arial" w:cs="Arial" w:eastAsia="Arial" w:hAnsi="Arial"/>
                <w:sz w:val="14"/>
                <w:szCs w:val="14"/>
                <w:b w:val="1"/>
                <w:bCs w:val="1"/>
                <w:color w:val="auto"/>
                <w:w w:val="92"/>
              </w:rPr>
              <w:t>December 31,</w:t>
            </w:r>
          </w:p>
        </w:tc>
      </w:tr>
      <w:tr>
        <w:trPr>
          <w:trHeight w:val="176"/>
        </w:trPr>
        <w:tc>
          <w:tcPr>
            <w:tcW w:w="4340" w:type="dxa"/>
            <w:vAlign w:val="bottom"/>
          </w:tcPr>
          <w:p>
            <w:pPr>
              <w:spacing w:after="0"/>
              <w:rPr>
                <w:sz w:val="15"/>
                <w:szCs w:val="15"/>
                <w:color w:val="auto"/>
              </w:rPr>
            </w:pPr>
          </w:p>
        </w:tc>
        <w:tc>
          <w:tcPr>
            <w:tcW w:w="4120" w:type="dxa"/>
            <w:vAlign w:val="bottom"/>
          </w:tcPr>
          <w:p>
            <w:pPr>
              <w:jc w:val="center"/>
              <w:ind w:left="1448"/>
              <w:spacing w:after="0"/>
              <w:rPr>
                <w:sz w:val="20"/>
                <w:szCs w:val="20"/>
                <w:color w:val="auto"/>
              </w:rPr>
            </w:pPr>
            <w:r>
              <w:rPr>
                <w:rFonts w:ascii="Arial" w:cs="Arial" w:eastAsia="Arial" w:hAnsi="Arial"/>
                <w:sz w:val="14"/>
                <w:szCs w:val="14"/>
                <w:b w:val="1"/>
                <w:bCs w:val="1"/>
                <w:color w:val="auto"/>
                <w:w w:val="89"/>
              </w:rPr>
              <w:t>2016</w:t>
            </w:r>
          </w:p>
        </w:tc>
        <w:tc>
          <w:tcPr>
            <w:tcW w:w="1780" w:type="dxa"/>
            <w:vAlign w:val="bottom"/>
          </w:tcPr>
          <w:p>
            <w:pPr>
              <w:jc w:val="center"/>
              <w:ind w:left="868"/>
              <w:spacing w:after="0"/>
              <w:rPr>
                <w:sz w:val="20"/>
                <w:szCs w:val="20"/>
                <w:color w:val="auto"/>
              </w:rPr>
            </w:pPr>
            <w:r>
              <w:rPr>
                <w:rFonts w:ascii="Arial" w:cs="Arial" w:eastAsia="Arial" w:hAnsi="Arial"/>
                <w:sz w:val="14"/>
                <w:szCs w:val="14"/>
                <w:b w:val="1"/>
                <w:bCs w:val="1"/>
                <w:color w:val="auto"/>
                <w:w w:val="89"/>
              </w:rPr>
              <w:t>2015</w:t>
            </w:r>
          </w:p>
        </w:tc>
      </w:tr>
      <w:tr>
        <w:trPr>
          <w:trHeight w:val="186"/>
        </w:trPr>
        <w:tc>
          <w:tcPr>
            <w:tcW w:w="4340" w:type="dxa"/>
            <w:vAlign w:val="bottom"/>
          </w:tcPr>
          <w:p>
            <w:pPr>
              <w:spacing w:after="0"/>
              <w:rPr>
                <w:sz w:val="16"/>
                <w:szCs w:val="16"/>
                <w:color w:val="auto"/>
              </w:rPr>
            </w:pPr>
          </w:p>
        </w:tc>
        <w:tc>
          <w:tcPr>
            <w:tcW w:w="4120" w:type="dxa"/>
            <w:vAlign w:val="bottom"/>
          </w:tcPr>
          <w:p>
            <w:pPr>
              <w:jc w:val="center"/>
              <w:ind w:left="1428"/>
              <w:spacing w:after="0"/>
              <w:rPr>
                <w:sz w:val="20"/>
                <w:szCs w:val="20"/>
                <w:color w:val="auto"/>
              </w:rPr>
            </w:pPr>
            <w:r>
              <w:rPr>
                <w:rFonts w:ascii="Arial" w:cs="Arial" w:eastAsia="Arial" w:hAnsi="Arial"/>
                <w:sz w:val="14"/>
                <w:szCs w:val="14"/>
                <w:b w:val="1"/>
                <w:bCs w:val="1"/>
                <w:color w:val="auto"/>
                <w:w w:val="95"/>
              </w:rPr>
              <w:t>(Unaudited)</w:t>
            </w:r>
          </w:p>
        </w:tc>
        <w:tc>
          <w:tcPr>
            <w:tcW w:w="1780" w:type="dxa"/>
            <w:vAlign w:val="bottom"/>
          </w:tcPr>
          <w:p>
            <w:pPr>
              <w:jc w:val="center"/>
              <w:ind w:left="848"/>
              <w:spacing w:after="0"/>
              <w:rPr>
                <w:sz w:val="20"/>
                <w:szCs w:val="20"/>
                <w:color w:val="auto"/>
              </w:rPr>
            </w:pPr>
            <w:r>
              <w:rPr>
                <w:rFonts w:ascii="Arial" w:cs="Arial" w:eastAsia="Arial" w:hAnsi="Arial"/>
                <w:sz w:val="14"/>
                <w:szCs w:val="14"/>
                <w:b w:val="1"/>
                <w:bCs w:val="1"/>
                <w:color w:val="auto"/>
                <w:w w:val="98"/>
              </w:rPr>
              <w:t>(Audited)*</w:t>
            </w:r>
          </w:p>
        </w:tc>
      </w:tr>
      <w:tr>
        <w:trPr>
          <w:trHeight w:val="520"/>
        </w:trPr>
        <w:tc>
          <w:tcPr>
            <w:tcW w:w="4340" w:type="dxa"/>
            <w:vAlign w:val="bottom"/>
          </w:tcPr>
          <w:p>
            <w:pPr>
              <w:spacing w:after="0"/>
              <w:rPr>
                <w:sz w:val="20"/>
                <w:szCs w:val="20"/>
                <w:color w:val="auto"/>
              </w:rPr>
            </w:pPr>
            <w:r>
              <w:rPr>
                <w:rFonts w:ascii="Arial" w:cs="Arial" w:eastAsia="Arial" w:hAnsi="Arial"/>
                <w:sz w:val="14"/>
                <w:szCs w:val="14"/>
                <w:color w:val="auto"/>
              </w:rPr>
              <w:t>Cash and short-term investments</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4"/>
              </w:rPr>
              <w:t>247,857</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4"/>
              </w:rPr>
              <w:t>189,901</w:t>
            </w:r>
          </w:p>
        </w:tc>
      </w:tr>
      <w:tr>
        <w:trPr>
          <w:trHeight w:val="176"/>
        </w:trPr>
        <w:tc>
          <w:tcPr>
            <w:tcW w:w="4340" w:type="dxa"/>
            <w:vAlign w:val="bottom"/>
          </w:tcPr>
          <w:p>
            <w:pPr>
              <w:spacing w:after="0"/>
              <w:rPr>
                <w:sz w:val="20"/>
                <w:szCs w:val="20"/>
                <w:color w:val="auto"/>
              </w:rPr>
            </w:pPr>
            <w:r>
              <w:rPr>
                <w:rFonts w:ascii="Arial" w:cs="Arial" w:eastAsia="Arial" w:hAnsi="Arial"/>
                <w:sz w:val="14"/>
                <w:szCs w:val="14"/>
                <w:color w:val="auto"/>
              </w:rPr>
              <w:t>Debt</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3"/>
              </w:rPr>
              <w:t>(348,278)</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3"/>
              </w:rPr>
              <w:t>(348,306)</w:t>
            </w:r>
          </w:p>
        </w:tc>
      </w:tr>
      <w:tr>
        <w:trPr>
          <w:trHeight w:val="182"/>
        </w:trPr>
        <w:tc>
          <w:tcPr>
            <w:tcW w:w="4340" w:type="dxa"/>
            <w:vAlign w:val="bottom"/>
          </w:tcPr>
          <w:p>
            <w:pPr>
              <w:spacing w:after="0"/>
              <w:rPr>
                <w:sz w:val="20"/>
                <w:szCs w:val="20"/>
                <w:color w:val="auto"/>
              </w:rPr>
            </w:pPr>
            <w:r>
              <w:rPr>
                <w:rFonts w:ascii="Arial" w:cs="Arial" w:eastAsia="Arial" w:hAnsi="Arial"/>
                <w:sz w:val="14"/>
                <w:szCs w:val="14"/>
                <w:color w:val="auto"/>
              </w:rPr>
              <w:t>Net (debt)/cash</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3"/>
              </w:rPr>
              <w:t>(100,421)</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3"/>
              </w:rPr>
              <w:t>(158,405)</w:t>
            </w:r>
          </w:p>
        </w:tc>
      </w:tr>
      <w:tr>
        <w:trPr>
          <w:trHeight w:val="344"/>
        </w:trPr>
        <w:tc>
          <w:tcPr>
            <w:tcW w:w="4340" w:type="dxa"/>
            <w:vAlign w:val="bottom"/>
          </w:tcPr>
          <w:p>
            <w:pPr>
              <w:spacing w:after="0"/>
              <w:rPr>
                <w:sz w:val="20"/>
                <w:szCs w:val="20"/>
                <w:color w:val="auto"/>
              </w:rPr>
            </w:pPr>
            <w:r>
              <w:rPr>
                <w:rFonts w:ascii="Arial" w:cs="Arial" w:eastAsia="Arial" w:hAnsi="Arial"/>
                <w:sz w:val="14"/>
                <w:szCs w:val="14"/>
                <w:color w:val="auto"/>
              </w:rPr>
              <w:t>Accounts receivable</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4"/>
              </w:rPr>
              <w:t>362,322</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4"/>
              </w:rPr>
              <w:t>409,165</w:t>
            </w:r>
          </w:p>
        </w:tc>
      </w:tr>
      <w:tr>
        <w:trPr>
          <w:trHeight w:val="176"/>
        </w:trPr>
        <w:tc>
          <w:tcPr>
            <w:tcW w:w="4340" w:type="dxa"/>
            <w:vAlign w:val="bottom"/>
          </w:tcPr>
          <w:p>
            <w:pPr>
              <w:spacing w:after="0"/>
              <w:rPr>
                <w:sz w:val="20"/>
                <w:szCs w:val="20"/>
                <w:color w:val="auto"/>
              </w:rPr>
            </w:pPr>
            <w:r>
              <w:rPr>
                <w:rFonts w:ascii="Arial" w:cs="Arial" w:eastAsia="Arial" w:hAnsi="Arial"/>
                <w:sz w:val="14"/>
                <w:szCs w:val="14"/>
                <w:color w:val="auto"/>
              </w:rPr>
              <w:t>Unbilled revenue</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4"/>
              </w:rPr>
              <w:t>238,645</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4"/>
              </w:rPr>
              <w:t>173,649</w:t>
            </w:r>
          </w:p>
        </w:tc>
      </w:tr>
      <w:tr>
        <w:trPr>
          <w:trHeight w:val="176"/>
        </w:trPr>
        <w:tc>
          <w:tcPr>
            <w:tcW w:w="4340" w:type="dxa"/>
            <w:vAlign w:val="bottom"/>
          </w:tcPr>
          <w:p>
            <w:pPr>
              <w:spacing w:after="0"/>
              <w:rPr>
                <w:sz w:val="20"/>
                <w:szCs w:val="20"/>
                <w:color w:val="auto"/>
              </w:rPr>
            </w:pPr>
            <w:r>
              <w:rPr>
                <w:rFonts w:ascii="Arial" w:cs="Arial" w:eastAsia="Arial" w:hAnsi="Arial"/>
                <w:sz w:val="14"/>
                <w:szCs w:val="14"/>
                <w:color w:val="auto"/>
              </w:rPr>
              <w:t>Payments on account</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3"/>
              </w:rPr>
              <w:t>(318,061)</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3"/>
              </w:rPr>
              <w:t>(318,697)</w:t>
            </w:r>
          </w:p>
        </w:tc>
      </w:tr>
      <w:tr>
        <w:trPr>
          <w:trHeight w:val="182"/>
        </w:trPr>
        <w:tc>
          <w:tcPr>
            <w:tcW w:w="4340" w:type="dxa"/>
            <w:vAlign w:val="bottom"/>
          </w:tcPr>
          <w:p>
            <w:pPr>
              <w:spacing w:after="0"/>
              <w:rPr>
                <w:sz w:val="20"/>
                <w:szCs w:val="20"/>
                <w:color w:val="auto"/>
              </w:rPr>
            </w:pPr>
            <w:r>
              <w:rPr>
                <w:rFonts w:ascii="Arial" w:cs="Arial" w:eastAsia="Arial" w:hAnsi="Arial"/>
                <w:sz w:val="14"/>
                <w:szCs w:val="14"/>
                <w:color w:val="auto"/>
              </w:rPr>
              <w:t>Total</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4"/>
              </w:rPr>
              <w:t>282,906</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4"/>
              </w:rPr>
              <w:t>264,117</w:t>
            </w:r>
          </w:p>
        </w:tc>
      </w:tr>
      <w:tr>
        <w:trPr>
          <w:trHeight w:val="351"/>
        </w:trPr>
        <w:tc>
          <w:tcPr>
            <w:tcW w:w="4340" w:type="dxa"/>
            <w:vAlign w:val="bottom"/>
          </w:tcPr>
          <w:p>
            <w:pPr>
              <w:spacing w:after="0"/>
              <w:rPr>
                <w:sz w:val="20"/>
                <w:szCs w:val="20"/>
                <w:color w:val="auto"/>
              </w:rPr>
            </w:pPr>
            <w:r>
              <w:rPr>
                <w:rFonts w:ascii="Arial" w:cs="Arial" w:eastAsia="Arial" w:hAnsi="Arial"/>
                <w:sz w:val="14"/>
                <w:szCs w:val="14"/>
                <w:color w:val="auto"/>
              </w:rPr>
              <w:t>Working Capital</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4"/>
              </w:rPr>
              <w:t>372,775</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4"/>
              </w:rPr>
              <w:t>290,939</w:t>
            </w:r>
          </w:p>
        </w:tc>
      </w:tr>
      <w:tr>
        <w:trPr>
          <w:trHeight w:val="351"/>
        </w:trPr>
        <w:tc>
          <w:tcPr>
            <w:tcW w:w="4340" w:type="dxa"/>
            <w:vAlign w:val="bottom"/>
          </w:tcPr>
          <w:p>
            <w:pPr>
              <w:spacing w:after="0"/>
              <w:rPr>
                <w:sz w:val="20"/>
                <w:szCs w:val="20"/>
                <w:color w:val="auto"/>
              </w:rPr>
            </w:pPr>
            <w:r>
              <w:rPr>
                <w:rFonts w:ascii="Arial" w:cs="Arial" w:eastAsia="Arial" w:hAnsi="Arial"/>
                <w:sz w:val="14"/>
                <w:szCs w:val="14"/>
                <w:color w:val="auto"/>
              </w:rPr>
              <w:t>Total Assets</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89"/>
              </w:rPr>
              <w:t>1,796,135</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89"/>
              </w:rPr>
              <w:t>1,717,209</w:t>
            </w:r>
          </w:p>
        </w:tc>
      </w:tr>
      <w:tr>
        <w:trPr>
          <w:trHeight w:val="351"/>
        </w:trPr>
        <w:tc>
          <w:tcPr>
            <w:tcW w:w="4340" w:type="dxa"/>
            <w:vAlign w:val="bottom"/>
          </w:tcPr>
          <w:p>
            <w:pPr>
              <w:spacing w:after="0"/>
              <w:rPr>
                <w:sz w:val="20"/>
                <w:szCs w:val="20"/>
                <w:color w:val="auto"/>
              </w:rPr>
            </w:pPr>
            <w:r>
              <w:rPr>
                <w:rFonts w:ascii="Arial" w:cs="Arial" w:eastAsia="Arial" w:hAnsi="Arial"/>
                <w:sz w:val="14"/>
                <w:szCs w:val="14"/>
                <w:color w:val="auto"/>
              </w:rPr>
              <w:t>Shareholder's Equity</w:t>
            </w:r>
          </w:p>
        </w:tc>
        <w:tc>
          <w:tcPr>
            <w:tcW w:w="4120" w:type="dxa"/>
            <w:vAlign w:val="bottom"/>
          </w:tcPr>
          <w:p>
            <w:pPr>
              <w:jc w:val="center"/>
              <w:ind w:left="1448"/>
              <w:spacing w:after="0"/>
              <w:rPr>
                <w:sz w:val="20"/>
                <w:szCs w:val="20"/>
                <w:color w:val="auto"/>
              </w:rPr>
            </w:pPr>
            <w:r>
              <w:rPr>
                <w:rFonts w:ascii="Arial" w:cs="Arial" w:eastAsia="Arial" w:hAnsi="Arial"/>
                <w:sz w:val="14"/>
                <w:szCs w:val="14"/>
                <w:color w:val="auto"/>
                <w:w w:val="94"/>
              </w:rPr>
              <w:t>843,685</w:t>
            </w:r>
          </w:p>
        </w:tc>
        <w:tc>
          <w:tcPr>
            <w:tcW w:w="1780" w:type="dxa"/>
            <w:vAlign w:val="bottom"/>
          </w:tcPr>
          <w:p>
            <w:pPr>
              <w:jc w:val="center"/>
              <w:ind w:left="868"/>
              <w:spacing w:after="0"/>
              <w:rPr>
                <w:sz w:val="20"/>
                <w:szCs w:val="20"/>
                <w:color w:val="auto"/>
              </w:rPr>
            </w:pPr>
            <w:r>
              <w:rPr>
                <w:rFonts w:ascii="Arial" w:cs="Arial" w:eastAsia="Arial" w:hAnsi="Arial"/>
                <w:sz w:val="14"/>
                <w:szCs w:val="14"/>
                <w:color w:val="auto"/>
                <w:w w:val="94"/>
              </w:rPr>
              <w:t>763,096</w:t>
            </w:r>
          </w:p>
        </w:tc>
      </w:tr>
    </w:tbl>
    <w:p>
      <w:pPr>
        <w:spacing w:after="0" w:line="369"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*Due to amendments in US GAAP, the Senior Notes are shown net of financing costs on the balance sheet with effect from Q1 2016 ($1.7 million). The position at December 31, 2015 has been restated.</w:t>
      </w:r>
    </w:p>
    <w:p>
      <w:pPr>
        <w:spacing w:after="0" w:line="173"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ICON plc</w:t>
      </w:r>
    </w:p>
    <w:p>
      <w:pPr>
        <w:spacing w:after="0" w:line="230" w:lineRule="auto"/>
        <w:rPr>
          <w:sz w:val="20"/>
          <w:szCs w:val="20"/>
          <w:color w:val="auto"/>
        </w:rPr>
      </w:pPr>
      <w:r>
        <w:rPr>
          <w:rFonts w:ascii="Arial" w:cs="Arial" w:eastAsia="Arial" w:hAnsi="Arial"/>
          <w:sz w:val="22"/>
          <w:szCs w:val="22"/>
          <w:color w:val="auto"/>
        </w:rPr>
        <w:t>Investor Relations, 1-888-381-7923</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Brendan Brennan, + 353-1-291-2000</w:t>
      </w:r>
    </w:p>
    <w:p>
      <w:pPr>
        <w:spacing w:after="0" w:line="230" w:lineRule="auto"/>
        <w:rPr>
          <w:sz w:val="20"/>
          <w:szCs w:val="20"/>
          <w:color w:val="auto"/>
        </w:rPr>
      </w:pPr>
      <w:r>
        <w:rPr>
          <w:rFonts w:ascii="Arial" w:cs="Arial" w:eastAsia="Arial" w:hAnsi="Arial"/>
          <w:sz w:val="22"/>
          <w:szCs w:val="22"/>
          <w:color w:val="auto"/>
        </w:rPr>
        <w:t>Chief Financial Officer</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Simon Holmes, + 353-1-291-2000</w:t>
      </w:r>
    </w:p>
    <w:p>
      <w:pPr>
        <w:spacing w:after="0" w:line="230" w:lineRule="auto"/>
        <w:rPr>
          <w:sz w:val="20"/>
          <w:szCs w:val="20"/>
          <w:color w:val="auto"/>
        </w:rPr>
      </w:pPr>
      <w:r>
        <w:rPr>
          <w:rFonts w:ascii="Arial" w:cs="Arial" w:eastAsia="Arial" w:hAnsi="Arial"/>
          <w:sz w:val="22"/>
          <w:szCs w:val="22"/>
          <w:color w:val="auto"/>
        </w:rPr>
        <w:t>EVP Investor Relations and Corporate Development</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u w:val="single" w:color="auto"/>
          <w:color w:val="auto"/>
        </w:rPr>
        <w:t>http://www.iconplc.com</w:t>
      </w:r>
    </w:p>
    <w:sectPr>
      <w:pgSz w:w="11900" w:h="16838" w:orient="portrait"/>
      <w:cols w:equalWidth="0" w:num="1">
        <w:col w:w="10980"/>
      </w:cols>
      <w:pgMar w:left="240" w:top="306" w:right="6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2019-12-06T21:49:32Z</dcterms:created>
  <dcterms:modified xsi:type="dcterms:W3CDTF">2019-12-06T21:49:32Z</dcterms:modified>
</cp:coreProperties>
</file>