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quarterly period ended September 30, 2007</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plc</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0-29714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54" w:lineRule="exact"/>
        <w:rPr>
          <w:sz w:val="24"/>
          <w:szCs w:val="24"/>
          <w:color w:val="auto"/>
        </w:rPr>
      </w:pPr>
    </w:p>
    <w:p>
      <w:pPr>
        <w:ind w:left="4140"/>
        <w:spacing w:after="0"/>
        <w:tabs>
          <w:tab w:leader="none" w:pos="660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_</w:t>
      </w:r>
      <w:r>
        <w:rPr>
          <w:rFonts w:ascii="Arial" w:cs="Arial" w:eastAsia="Arial" w:hAnsi="Arial"/>
          <w:sz w:val="12"/>
          <w:szCs w:val="12"/>
          <w:color w:val="auto"/>
        </w:rPr>
        <w:t>___</w:t>
      </w: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54"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54"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62"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140"/>
        <w:spacing w:after="0"/>
        <w:tabs>
          <w:tab w:leader="none" w:pos="656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58" w:lineRule="exact"/>
        <w:rPr>
          <w:sz w:val="24"/>
          <w:szCs w:val="24"/>
          <w:color w:val="auto"/>
        </w:rPr>
      </w:pPr>
    </w:p>
    <w:p>
      <w:pPr>
        <w:spacing w:after="0"/>
        <w:tabs>
          <w:tab w:leader="none" w:pos="6780" w:val="left"/>
        </w:tabs>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sz w:val="20"/>
          <w:szCs w:val="20"/>
          <w:color w:val="auto"/>
        </w:rPr>
        <w:tab/>
      </w: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540" w:type="dxa"/>
            <w:vAlign w:val="bottom"/>
            <w:gridSpan w:val="3"/>
          </w:tcPr>
          <w:p>
            <w:pPr>
              <w:jc w:val="right"/>
              <w:ind w:right="5328"/>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419"/>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40" w:type="dxa"/>
            <w:vAlign w:val="bottom"/>
            <w:gridSpan w:val="3"/>
          </w:tcPr>
          <w:p>
            <w:pPr>
              <w:jc w:val="right"/>
              <w:ind w:right="4268"/>
              <w:spacing w:after="0"/>
              <w:rPr>
                <w:sz w:val="20"/>
                <w:szCs w:val="20"/>
                <w:color w:val="auto"/>
              </w:rPr>
            </w:pPr>
            <w:r>
              <w:rPr>
                <w:rFonts w:ascii="Arial" w:cs="Arial" w:eastAsia="Arial" w:hAnsi="Arial"/>
                <w:sz w:val="14"/>
                <w:szCs w:val="14"/>
                <w:b w:val="1"/>
                <w:bCs w:val="1"/>
                <w:color w:val="auto"/>
              </w:rPr>
              <w:t>Quarterly Period Ended September 30, 2007</w:t>
            </w:r>
          </w:p>
        </w:tc>
        <w:tc>
          <w:tcPr>
            <w:tcW w:w="0" w:type="dxa"/>
            <w:vAlign w:val="bottom"/>
          </w:tcPr>
          <w:p>
            <w:pPr>
              <w:spacing w:after="0"/>
              <w:rPr>
                <w:sz w:val="1"/>
                <w:szCs w:val="1"/>
                <w:color w:val="auto"/>
              </w:rPr>
            </w:pPr>
          </w:p>
        </w:tc>
      </w:tr>
      <w:tr>
        <w:trPr>
          <w:trHeight w:val="432"/>
        </w:trPr>
        <w:tc>
          <w:tcPr>
            <w:tcW w:w="3880" w:type="dxa"/>
            <w:vAlign w:val="bottom"/>
            <w:gridSpan w:val="16"/>
          </w:tcPr>
          <w:p>
            <w:pPr>
              <w:spacing w:after="0"/>
              <w:rPr>
                <w:sz w:val="20"/>
                <w:szCs w:val="20"/>
                <w:color w:val="auto"/>
              </w:rPr>
            </w:pPr>
            <w:r>
              <w:rPr>
                <w:rFonts w:ascii="Arial" w:cs="Arial" w:eastAsia="Arial" w:hAnsi="Arial"/>
                <w:sz w:val="14"/>
                <w:szCs w:val="14"/>
                <w:b w:val="1"/>
                <w:bCs w:val="1"/>
                <w:color w:val="auto"/>
              </w:rPr>
              <w:t>CONTENTS</w:t>
            </w:r>
          </w:p>
        </w:tc>
        <w:tc>
          <w:tcPr>
            <w:tcW w:w="75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66"/>
        </w:trPr>
        <w:tc>
          <w:tcPr>
            <w:tcW w:w="3880" w:type="dxa"/>
            <w:vAlign w:val="bottom"/>
            <w:gridSpan w:val="16"/>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General</w:t>
              </w:r>
            </w:hyperlink>
          </w:p>
        </w:tc>
        <w:tc>
          <w:tcPr>
            <w:tcW w:w="7540" w:type="dxa"/>
            <w:vAlign w:val="bottom"/>
            <w:gridSpan w:val="3"/>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2</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80" w:type="dxa"/>
            <w:vAlign w:val="bottom"/>
            <w:gridSpan w:val="16"/>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Balance Sheets as at</w:t>
              </w:r>
            </w:hyperlink>
          </w:p>
        </w:tc>
        <w:tc>
          <w:tcPr>
            <w:tcW w:w="7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0000EE"/>
              <w:bottom w:val="single" w:sz="8" w:color="0000EE"/>
            </w:tcBorders>
            <w:gridSpan w:val="6"/>
          </w:tcPr>
          <w:p>
            <w:pPr>
              <w:spacing w:after="0" w:line="155" w:lineRule="exact"/>
              <w:rPr>
                <w:rFonts w:ascii="Arial" w:cs="Arial" w:eastAsia="Arial" w:hAnsi="Arial"/>
                <w:sz w:val="14"/>
                <w:szCs w:val="14"/>
                <w:color w:val="0000EE"/>
                <w:w w:val="91"/>
              </w:rPr>
            </w:pPr>
            <w:hyperlink w:anchor="page5">
              <w:r>
                <w:rPr>
                  <w:rFonts w:ascii="Arial" w:cs="Arial" w:eastAsia="Arial" w:hAnsi="Arial"/>
                  <w:sz w:val="14"/>
                  <w:szCs w:val="14"/>
                  <w:color w:val="0000EE"/>
                  <w:w w:val="91"/>
                </w:rPr>
                <w:t>September 30, 2007 and December 31, 2006</w:t>
              </w:r>
            </w:hyperlink>
          </w:p>
        </w:tc>
        <w:tc>
          <w:tcPr>
            <w:tcW w:w="60" w:type="dxa"/>
            <w:vAlign w:val="bottom"/>
            <w:tcBorders>
              <w:top w:val="single" w:sz="8" w:color="0000EE"/>
            </w:tcBorders>
          </w:tcPr>
          <w:p>
            <w:pPr>
              <w:spacing w:after="0"/>
              <w:rPr>
                <w:sz w:val="13"/>
                <w:szCs w:val="13"/>
                <w:color w:val="auto"/>
              </w:rPr>
            </w:pPr>
          </w:p>
        </w:tc>
        <w:tc>
          <w:tcPr>
            <w:tcW w:w="1240" w:type="dxa"/>
            <w:vAlign w:val="bottom"/>
            <w:gridSpan w:val="9"/>
          </w:tcPr>
          <w:p>
            <w:pPr>
              <w:spacing w:after="0"/>
              <w:rPr>
                <w:sz w:val="13"/>
                <w:szCs w:val="13"/>
                <w:color w:val="auto"/>
              </w:rPr>
            </w:pPr>
          </w:p>
        </w:tc>
        <w:tc>
          <w:tcPr>
            <w:tcW w:w="7540" w:type="dxa"/>
            <w:vAlign w:val="bottom"/>
            <w:gridSpan w:val="3"/>
            <w:vMerge w:val="restart"/>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3</w:t>
              </w:r>
            </w:hyperlink>
          </w:p>
        </w:tc>
        <w:tc>
          <w:tcPr>
            <w:tcW w:w="0" w:type="dxa"/>
            <w:vAlign w:val="bottom"/>
          </w:tcPr>
          <w:p>
            <w:pPr>
              <w:spacing w:after="0"/>
              <w:rPr>
                <w:sz w:val="1"/>
                <w:szCs w:val="1"/>
                <w:color w:val="auto"/>
              </w:rPr>
            </w:pPr>
          </w:p>
        </w:tc>
      </w:tr>
      <w:tr>
        <w:trPr>
          <w:trHeight w:val="48"/>
        </w:trPr>
        <w:tc>
          <w:tcPr>
            <w:tcW w:w="3140" w:type="dxa"/>
            <w:vAlign w:val="bottom"/>
            <w:gridSpan w:val="12"/>
            <w:vMerge w:val="restart"/>
          </w:tcPr>
          <w:p>
            <w:pPr>
              <w:spacing w:after="0"/>
              <w:rPr>
                <w:rFonts w:ascii="Arial" w:cs="Arial" w:eastAsia="Arial" w:hAnsi="Arial"/>
                <w:sz w:val="14"/>
                <w:szCs w:val="14"/>
                <w:color w:val="0000EE"/>
                <w:w w:val="91"/>
              </w:rPr>
            </w:pPr>
            <w:hyperlink w:anchor="page6">
              <w:r>
                <w:rPr>
                  <w:rFonts w:ascii="Arial" w:cs="Arial" w:eastAsia="Arial" w:hAnsi="Arial"/>
                  <w:sz w:val="14"/>
                  <w:szCs w:val="14"/>
                  <w:color w:val="0000EE"/>
                  <w:w w:val="91"/>
                </w:rPr>
                <w:t>Condensed Consolidated Statements of Operations for</w:t>
              </w:r>
            </w:hyperlink>
          </w:p>
        </w:tc>
        <w:tc>
          <w:tcPr>
            <w:tcW w:w="740" w:type="dxa"/>
            <w:vAlign w:val="bottom"/>
            <w:gridSpan w:val="4"/>
            <w:vMerge w:val="restart"/>
          </w:tcPr>
          <w:p>
            <w:pPr>
              <w:spacing w:after="0"/>
              <w:rPr>
                <w:sz w:val="4"/>
                <w:szCs w:val="4"/>
                <w:color w:val="auto"/>
              </w:rPr>
            </w:pPr>
          </w:p>
        </w:tc>
        <w:tc>
          <w:tcPr>
            <w:tcW w:w="75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3140" w:type="dxa"/>
            <w:vAlign w:val="bottom"/>
            <w:tcBorders>
              <w:bottom w:val="single" w:sz="8" w:color="0000EE"/>
            </w:tcBorders>
            <w:gridSpan w:val="12"/>
            <w:vMerge w:val="continue"/>
          </w:tcPr>
          <w:p>
            <w:pPr>
              <w:spacing w:after="0"/>
              <w:rPr>
                <w:sz w:val="24"/>
                <w:szCs w:val="24"/>
                <w:color w:val="auto"/>
              </w:rPr>
            </w:pPr>
          </w:p>
        </w:tc>
        <w:tc>
          <w:tcPr>
            <w:tcW w:w="740" w:type="dxa"/>
            <w:vAlign w:val="bottom"/>
            <w:gridSpan w:val="4"/>
            <w:vMerge w:val="continue"/>
          </w:tcPr>
          <w:p>
            <w:pPr>
              <w:spacing w:after="0"/>
              <w:rPr>
                <w:sz w:val="24"/>
                <w:szCs w:val="24"/>
                <w:color w:val="auto"/>
              </w:rPr>
            </w:pPr>
          </w:p>
        </w:tc>
        <w:tc>
          <w:tcPr>
            <w:tcW w:w="7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80" w:type="dxa"/>
            <w:vAlign w:val="bottom"/>
            <w:gridSpan w:val="16"/>
          </w:tcPr>
          <w:p>
            <w:pPr>
              <w:spacing w:after="0" w:line="155" w:lineRule="exact"/>
              <w:rPr>
                <w:rFonts w:ascii="Arial" w:cs="Arial" w:eastAsia="Arial" w:hAnsi="Arial"/>
                <w:sz w:val="14"/>
                <w:szCs w:val="14"/>
                <w:color w:val="0000EE"/>
              </w:rPr>
            </w:pPr>
            <w:hyperlink w:anchor="page6">
              <w:r>
                <w:rPr>
                  <w:rFonts w:ascii="Arial" w:cs="Arial" w:eastAsia="Arial" w:hAnsi="Arial"/>
                  <w:sz w:val="14"/>
                  <w:szCs w:val="14"/>
                  <w:color w:val="0000EE"/>
                </w:rPr>
                <w:t>the three and nine months ended September 30, 2007</w:t>
              </w:r>
            </w:hyperlink>
          </w:p>
        </w:tc>
        <w:tc>
          <w:tcPr>
            <w:tcW w:w="7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16"/>
          </w:tcPr>
          <w:p>
            <w:pPr>
              <w:spacing w:after="0" w:line="155" w:lineRule="exact"/>
              <w:rPr>
                <w:rFonts w:ascii="Arial" w:cs="Arial" w:eastAsia="Arial" w:hAnsi="Arial"/>
                <w:sz w:val="14"/>
                <w:szCs w:val="14"/>
                <w:color w:val="0000EE"/>
              </w:rPr>
            </w:pPr>
            <w:hyperlink w:anchor="page6">
              <w:r>
                <w:rPr>
                  <w:rFonts w:ascii="Arial" w:cs="Arial" w:eastAsia="Arial" w:hAnsi="Arial"/>
                  <w:sz w:val="14"/>
                  <w:szCs w:val="14"/>
                  <w:color w:val="0000EE"/>
                </w:rPr>
                <w:t>and the three and nine months ended September 30, 2006</w:t>
              </w:r>
            </w:hyperlink>
          </w:p>
        </w:tc>
        <w:tc>
          <w:tcPr>
            <w:tcW w:w="7540" w:type="dxa"/>
            <w:vAlign w:val="bottom"/>
            <w:gridSpan w:val="3"/>
          </w:tcPr>
          <w:p>
            <w:pPr>
              <w:jc w:val="right"/>
              <w:spacing w:after="0" w:line="155" w:lineRule="exact"/>
              <w:rPr>
                <w:rFonts w:ascii="Arial" w:cs="Arial" w:eastAsia="Arial" w:hAnsi="Arial"/>
                <w:sz w:val="14"/>
                <w:szCs w:val="14"/>
                <w:color w:val="0000EE"/>
              </w:rPr>
            </w:pPr>
            <w:hyperlink w:anchor="page6">
              <w:r>
                <w:rPr>
                  <w:rFonts w:ascii="Arial" w:cs="Arial" w:eastAsia="Arial" w:hAnsi="Arial"/>
                  <w:sz w:val="14"/>
                  <w:szCs w:val="14"/>
                  <w:color w:val="0000EE"/>
                </w:rPr>
                <w:t>4</w:t>
              </w:r>
            </w:hyperlink>
          </w:p>
        </w:tc>
        <w:tc>
          <w:tcPr>
            <w:tcW w:w="0" w:type="dxa"/>
            <w:vAlign w:val="bottom"/>
          </w:tcPr>
          <w:p>
            <w:pPr>
              <w:spacing w:after="0"/>
              <w:rPr>
                <w:sz w:val="1"/>
                <w:szCs w:val="1"/>
                <w:color w:val="auto"/>
              </w:rPr>
            </w:pPr>
          </w:p>
        </w:tc>
      </w:tr>
      <w:tr>
        <w:trPr>
          <w:trHeight w:val="372"/>
        </w:trPr>
        <w:tc>
          <w:tcPr>
            <w:tcW w:w="3300" w:type="dxa"/>
            <w:vAlign w:val="bottom"/>
            <w:tcBorders>
              <w:top w:val="single" w:sz="8" w:color="0000EE"/>
            </w:tcBorders>
            <w:gridSpan w:val="14"/>
          </w:tcPr>
          <w:p>
            <w:pPr>
              <w:spacing w:after="0"/>
              <w:rPr>
                <w:rFonts w:ascii="Arial" w:cs="Arial" w:eastAsia="Arial" w:hAnsi="Arial"/>
                <w:sz w:val="14"/>
                <w:szCs w:val="14"/>
                <w:color w:val="0000EE"/>
                <w:w w:val="95"/>
              </w:rPr>
            </w:pPr>
            <w:hyperlink w:anchor="page7">
              <w:r>
                <w:rPr>
                  <w:rFonts w:ascii="Arial" w:cs="Arial" w:eastAsia="Arial" w:hAnsi="Arial"/>
                  <w:sz w:val="14"/>
                  <w:szCs w:val="14"/>
                  <w:color w:val="0000EE"/>
                  <w:w w:val="95"/>
                </w:rPr>
                <w:t>Condensed Consolidated Statements of Cash Flows for</w:t>
              </w:r>
            </w:hyperlink>
          </w:p>
        </w:tc>
        <w:tc>
          <w:tcPr>
            <w:tcW w:w="580" w:type="dxa"/>
            <w:vAlign w:val="bottom"/>
            <w:gridSpan w:val="2"/>
          </w:tcPr>
          <w:p>
            <w:pPr>
              <w:spacing w:after="0"/>
              <w:rPr>
                <w:sz w:val="24"/>
                <w:szCs w:val="24"/>
                <w:color w:val="auto"/>
              </w:rPr>
            </w:pPr>
          </w:p>
        </w:tc>
        <w:tc>
          <w:tcPr>
            <w:tcW w:w="7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960" w:type="dxa"/>
            <w:vAlign w:val="bottom"/>
            <w:tcBorders>
              <w:top w:val="single" w:sz="8" w:color="0000EE"/>
              <w:bottom w:val="single" w:sz="8" w:color="0000EE"/>
            </w:tcBorders>
            <w:gridSpan w:val="9"/>
          </w:tcPr>
          <w:p>
            <w:pPr>
              <w:spacing w:after="0" w:line="155" w:lineRule="exact"/>
              <w:rPr>
                <w:rFonts w:ascii="Arial" w:cs="Arial" w:eastAsia="Arial" w:hAnsi="Arial"/>
                <w:sz w:val="14"/>
                <w:szCs w:val="14"/>
                <w:color w:val="0000EE"/>
                <w:w w:val="90"/>
              </w:rPr>
            </w:pPr>
            <w:hyperlink w:anchor="page7">
              <w:r>
                <w:rPr>
                  <w:rFonts w:ascii="Arial" w:cs="Arial" w:eastAsia="Arial" w:hAnsi="Arial"/>
                  <w:sz w:val="14"/>
                  <w:szCs w:val="14"/>
                  <w:color w:val="0000EE"/>
                  <w:w w:val="90"/>
                </w:rPr>
                <w:t>the nine months ended September 30, 2007 and the</w:t>
              </w:r>
            </w:hyperlink>
          </w:p>
        </w:tc>
        <w:tc>
          <w:tcPr>
            <w:tcW w:w="220" w:type="dxa"/>
            <w:vAlign w:val="bottom"/>
            <w:tcBorders>
              <w:top w:val="single" w:sz="8" w:color="0000EE"/>
            </w:tcBorders>
            <w:gridSpan w:val="4"/>
          </w:tcPr>
          <w:p>
            <w:pPr>
              <w:spacing w:after="0"/>
              <w:rPr>
                <w:sz w:val="13"/>
                <w:szCs w:val="13"/>
                <w:color w:val="auto"/>
              </w:rPr>
            </w:pPr>
          </w:p>
        </w:tc>
        <w:tc>
          <w:tcPr>
            <w:tcW w:w="700" w:type="dxa"/>
            <w:vAlign w:val="bottom"/>
            <w:gridSpan w:val="3"/>
          </w:tcPr>
          <w:p>
            <w:pPr>
              <w:spacing w:after="0"/>
              <w:rPr>
                <w:sz w:val="13"/>
                <w:szCs w:val="13"/>
                <w:color w:val="auto"/>
              </w:rPr>
            </w:pPr>
          </w:p>
        </w:tc>
        <w:tc>
          <w:tcPr>
            <w:tcW w:w="7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gridSpan w:val="16"/>
          </w:tcPr>
          <w:p>
            <w:pPr>
              <w:spacing w:after="0" w:line="155" w:lineRule="exact"/>
              <w:rPr>
                <w:rFonts w:ascii="Arial" w:cs="Arial" w:eastAsia="Arial" w:hAnsi="Arial"/>
                <w:sz w:val="14"/>
                <w:szCs w:val="14"/>
                <w:color w:val="0000EE"/>
              </w:rPr>
            </w:pPr>
            <w:hyperlink w:anchor="page7">
              <w:r>
                <w:rPr>
                  <w:rFonts w:ascii="Arial" w:cs="Arial" w:eastAsia="Arial" w:hAnsi="Arial"/>
                  <w:sz w:val="14"/>
                  <w:szCs w:val="14"/>
                  <w:color w:val="0000EE"/>
                </w:rPr>
                <w:t>nine months ended September 30, 2006.</w:t>
              </w:r>
            </w:hyperlink>
          </w:p>
        </w:tc>
        <w:tc>
          <w:tcPr>
            <w:tcW w:w="7540" w:type="dxa"/>
            <w:vAlign w:val="bottom"/>
            <w:gridSpan w:val="3"/>
          </w:tcPr>
          <w:p>
            <w:pPr>
              <w:jc w:val="right"/>
              <w:spacing w:after="0" w:line="155" w:lineRule="exact"/>
              <w:rPr>
                <w:rFonts w:ascii="Arial" w:cs="Arial" w:eastAsia="Arial" w:hAnsi="Arial"/>
                <w:sz w:val="14"/>
                <w:szCs w:val="14"/>
                <w:color w:val="0000EE"/>
              </w:rPr>
            </w:pPr>
            <w:hyperlink w:anchor="page7">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80" w:type="dxa"/>
            <w:vAlign w:val="bottom"/>
            <w:gridSpan w:val="16"/>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Condensed Consolidated Statements of Shareholders’</w:t>
              </w:r>
            </w:hyperlink>
          </w:p>
        </w:tc>
        <w:tc>
          <w:tcPr>
            <w:tcW w:w="7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00" w:type="dxa"/>
            <w:vAlign w:val="bottom"/>
            <w:tcBorders>
              <w:top w:val="single" w:sz="8" w:color="0000EE"/>
            </w:tcBorders>
            <w:gridSpan w:val="11"/>
          </w:tcPr>
          <w:p>
            <w:pPr>
              <w:spacing w:after="0" w:line="155" w:lineRule="exact"/>
              <w:rPr>
                <w:rFonts w:ascii="Arial" w:cs="Arial" w:eastAsia="Arial" w:hAnsi="Arial"/>
                <w:sz w:val="14"/>
                <w:szCs w:val="14"/>
                <w:color w:val="0000EE"/>
              </w:rPr>
            </w:pPr>
            <w:hyperlink w:anchor="page8">
              <w:r>
                <w:rPr>
                  <w:rFonts w:ascii="Arial" w:cs="Arial" w:eastAsia="Arial" w:hAnsi="Arial"/>
                  <w:sz w:val="14"/>
                  <w:szCs w:val="14"/>
                  <w:color w:val="0000EE"/>
                </w:rPr>
                <w:t>Equity and Comprehensive Income</w:t>
              </w:r>
            </w:hyperlink>
          </w:p>
        </w:tc>
        <w:tc>
          <w:tcPr>
            <w:tcW w:w="780" w:type="dxa"/>
            <w:vAlign w:val="bottom"/>
            <w:gridSpan w:val="5"/>
          </w:tcPr>
          <w:p>
            <w:pPr>
              <w:spacing w:after="0"/>
              <w:rPr>
                <w:sz w:val="13"/>
                <w:szCs w:val="13"/>
                <w:color w:val="auto"/>
              </w:rPr>
            </w:pPr>
          </w:p>
        </w:tc>
        <w:tc>
          <w:tcPr>
            <w:tcW w:w="7460" w:type="dxa"/>
            <w:vAlign w:val="bottom"/>
            <w:gridSpan w:val="2"/>
            <w:vMerge w:val="restart"/>
          </w:tcPr>
          <w:p>
            <w:pPr>
              <w:spacing w:after="0"/>
              <w:rPr>
                <w:sz w:val="13"/>
                <w:szCs w:val="13"/>
                <w:color w:val="auto"/>
              </w:rPr>
            </w:pPr>
          </w:p>
        </w:tc>
        <w:tc>
          <w:tcPr>
            <w:tcW w:w="80" w:type="dxa"/>
            <w:vAlign w:val="bottom"/>
            <w:vMerge w:val="restart"/>
          </w:tcPr>
          <w:p>
            <w:pPr>
              <w:jc w:val="right"/>
              <w:spacing w:after="0"/>
              <w:rPr>
                <w:rFonts w:ascii="Arial" w:cs="Arial" w:eastAsia="Arial" w:hAnsi="Arial"/>
                <w:sz w:val="14"/>
                <w:szCs w:val="14"/>
                <w:color w:val="0000EE"/>
                <w:w w:val="76"/>
              </w:rPr>
            </w:pPr>
            <w:hyperlink w:anchor="page8">
              <w:r>
                <w:rPr>
                  <w:rFonts w:ascii="Arial" w:cs="Arial" w:eastAsia="Arial" w:hAnsi="Arial"/>
                  <w:sz w:val="14"/>
                  <w:szCs w:val="14"/>
                  <w:color w:val="0000EE"/>
                  <w:w w:val="76"/>
                </w:rPr>
                <w:t>6</w:t>
              </w:r>
            </w:hyperlink>
          </w:p>
        </w:tc>
        <w:tc>
          <w:tcPr>
            <w:tcW w:w="0" w:type="dxa"/>
            <w:vAlign w:val="bottom"/>
          </w:tcPr>
          <w:p>
            <w:pPr>
              <w:spacing w:after="0"/>
              <w:rPr>
                <w:sz w:val="1"/>
                <w:szCs w:val="1"/>
                <w:color w:val="auto"/>
              </w:rPr>
            </w:pPr>
          </w:p>
        </w:tc>
      </w:tr>
      <w:tr>
        <w:trPr>
          <w:trHeight w:val="53"/>
        </w:trPr>
        <w:tc>
          <w:tcPr>
            <w:tcW w:w="4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80" w:type="dxa"/>
            <w:vAlign w:val="bottom"/>
            <w:tcBorders>
              <w:bottom w:val="single" w:sz="8" w:color="0000EE"/>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342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w w:val="91"/>
              </w:rPr>
              <w:t>Notes to the Condensed Consolidated Financial Statements</w:t>
            </w:r>
          </w:p>
        </w:tc>
        <w:tc>
          <w:tcPr>
            <w:tcW w:w="460" w:type="dxa"/>
            <w:vAlign w:val="bottom"/>
          </w:tcPr>
          <w:p>
            <w:pPr>
              <w:spacing w:after="0"/>
              <w:rPr>
                <w:sz w:val="24"/>
                <w:szCs w:val="24"/>
                <w:color w:val="auto"/>
              </w:rPr>
            </w:pPr>
          </w:p>
        </w:tc>
        <w:tc>
          <w:tcPr>
            <w:tcW w:w="746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76"/>
              </w:rPr>
              <w:t>7</w:t>
            </w:r>
          </w:p>
        </w:tc>
        <w:tc>
          <w:tcPr>
            <w:tcW w:w="0" w:type="dxa"/>
            <w:vAlign w:val="bottom"/>
          </w:tcPr>
          <w:p>
            <w:pPr>
              <w:spacing w:after="0"/>
              <w:rPr>
                <w:sz w:val="1"/>
                <w:szCs w:val="1"/>
                <w:color w:val="auto"/>
              </w:rPr>
            </w:pPr>
          </w:p>
        </w:tc>
      </w:tr>
      <w:tr>
        <w:trPr>
          <w:trHeight w:val="378"/>
        </w:trPr>
        <w:tc>
          <w:tcPr>
            <w:tcW w:w="3880" w:type="dxa"/>
            <w:vAlign w:val="bottom"/>
            <w:gridSpan w:val="16"/>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Management’s Discussion and Analysis of</w:t>
              </w:r>
            </w:hyperlink>
          </w:p>
        </w:tc>
        <w:tc>
          <w:tcPr>
            <w:tcW w:w="7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gridSpan w:val="8"/>
          </w:tcPr>
          <w:p>
            <w:pPr>
              <w:spacing w:after="0" w:line="142" w:lineRule="exact"/>
              <w:rPr>
                <w:rFonts w:ascii="Arial" w:cs="Arial" w:eastAsia="Arial" w:hAnsi="Arial"/>
                <w:sz w:val="14"/>
                <w:szCs w:val="14"/>
                <w:color w:val="0000EE"/>
                <w:w w:val="93"/>
              </w:rPr>
            </w:pPr>
            <w:hyperlink w:anchor="page17">
              <w:r>
                <w:rPr>
                  <w:rFonts w:ascii="Arial" w:cs="Arial" w:eastAsia="Arial" w:hAnsi="Arial"/>
                  <w:sz w:val="14"/>
                  <w:szCs w:val="14"/>
                  <w:color w:val="0000EE"/>
                  <w:w w:val="93"/>
                </w:rPr>
                <w:t>Financial Condition and Results of Operations</w:t>
              </w:r>
            </w:hyperlink>
          </w:p>
        </w:tc>
        <w:tc>
          <w:tcPr>
            <w:tcW w:w="1200" w:type="dxa"/>
            <w:vAlign w:val="bottom"/>
            <w:gridSpan w:val="8"/>
          </w:tcPr>
          <w:p>
            <w:pPr>
              <w:spacing w:after="0"/>
              <w:rPr>
                <w:sz w:val="13"/>
                <w:szCs w:val="13"/>
                <w:color w:val="auto"/>
              </w:rPr>
            </w:pPr>
          </w:p>
        </w:tc>
        <w:tc>
          <w:tcPr>
            <w:tcW w:w="7540" w:type="dxa"/>
            <w:vAlign w:val="bottom"/>
            <w:gridSpan w:val="3"/>
          </w:tcPr>
          <w:p>
            <w:pPr>
              <w:jc w:val="right"/>
              <w:spacing w:after="0" w:line="155" w:lineRule="exact"/>
              <w:rPr>
                <w:rFonts w:ascii="Arial" w:cs="Arial" w:eastAsia="Arial" w:hAnsi="Arial"/>
                <w:sz w:val="14"/>
                <w:szCs w:val="14"/>
                <w:color w:val="0000EE"/>
              </w:rPr>
            </w:pPr>
            <w:hyperlink w:anchor="page17">
              <w:r>
                <w:rPr>
                  <w:rFonts w:ascii="Arial" w:cs="Arial" w:eastAsia="Arial" w:hAnsi="Arial"/>
                  <w:sz w:val="14"/>
                  <w:szCs w:val="14"/>
                  <w:color w:val="0000EE"/>
                </w:rPr>
                <w:t>15</w:t>
              </w:r>
            </w:hyperlink>
          </w:p>
        </w:tc>
        <w:tc>
          <w:tcPr>
            <w:tcW w:w="0" w:type="dxa"/>
            <w:vAlign w:val="bottom"/>
          </w:tcPr>
          <w:p>
            <w:pPr>
              <w:spacing w:after="0"/>
              <w:rPr>
                <w:sz w:val="1"/>
                <w:szCs w:val="1"/>
                <w:color w:val="auto"/>
              </w:rPr>
            </w:pPr>
          </w:p>
        </w:tc>
      </w:tr>
      <w:tr>
        <w:trPr>
          <w:trHeight w:val="27"/>
        </w:trPr>
        <w:tc>
          <w:tcPr>
            <w:tcW w:w="880" w:type="dxa"/>
            <w:vAlign w:val="bottom"/>
            <w:gridSpan w:val="2"/>
            <w:shd w:val="clear" w:color="auto" w:fill="0000EE"/>
          </w:tcPr>
          <w:p>
            <w:pPr>
              <w:spacing w:after="0"/>
              <w:rPr>
                <w:sz w:val="2"/>
                <w:szCs w:val="2"/>
                <w:color w:val="auto"/>
              </w:rPr>
            </w:pPr>
          </w:p>
        </w:tc>
        <w:tc>
          <w:tcPr>
            <w:tcW w:w="3000" w:type="dxa"/>
            <w:vAlign w:val="bottom"/>
            <w:gridSpan w:val="14"/>
            <w:shd w:val="clear" w:color="auto" w:fill="0000EE"/>
          </w:tcPr>
          <w:p>
            <w:pPr>
              <w:spacing w:after="0"/>
              <w:rPr>
                <w:sz w:val="2"/>
                <w:szCs w:val="2"/>
                <w:color w:val="auto"/>
              </w:rPr>
            </w:pPr>
          </w:p>
        </w:tc>
        <w:tc>
          <w:tcPr>
            <w:tcW w:w="7400" w:type="dxa"/>
            <w:vAlign w:val="bottom"/>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3880" w:type="dxa"/>
            <w:vAlign w:val="bottom"/>
            <w:gridSpan w:val="16"/>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Signature Page</w:t>
              </w:r>
            </w:hyperlink>
          </w:p>
        </w:tc>
        <w:tc>
          <w:tcPr>
            <w:tcW w:w="7540" w:type="dxa"/>
            <w:vAlign w:val="bottom"/>
            <w:gridSpan w:val="3"/>
          </w:tcPr>
          <w:p>
            <w:pPr>
              <w:jc w:val="right"/>
              <w:spacing w:after="0"/>
              <w:rPr>
                <w:rFonts w:ascii="Arial" w:cs="Arial" w:eastAsia="Arial" w:hAnsi="Arial"/>
                <w:sz w:val="14"/>
                <w:szCs w:val="14"/>
                <w:color w:val="0000EE"/>
              </w:rPr>
            </w:pPr>
            <w:hyperlink w:anchor="page23">
              <w:r>
                <w:rPr>
                  <w:rFonts w:ascii="Arial" w:cs="Arial" w:eastAsia="Arial" w:hAnsi="Arial"/>
                  <w:sz w:val="14"/>
                  <w:szCs w:val="14"/>
                  <w:color w:val="0000EE"/>
                </w:rPr>
                <w:t>21</w:t>
              </w:r>
            </w:hyperlink>
          </w:p>
        </w:tc>
        <w:tc>
          <w:tcPr>
            <w:tcW w:w="0" w:type="dxa"/>
            <w:vAlign w:val="bottom"/>
          </w:tcPr>
          <w:p>
            <w:pPr>
              <w:spacing w:after="0"/>
              <w:rPr>
                <w:sz w:val="1"/>
                <w:szCs w:val="1"/>
                <w:color w:val="auto"/>
              </w:rPr>
            </w:pPr>
          </w:p>
        </w:tc>
      </w:tr>
      <w:tr>
        <w:trPr>
          <w:trHeight w:val="355"/>
        </w:trPr>
        <w:tc>
          <w:tcPr>
            <w:tcW w:w="46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ICON plc</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GENERAL</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62"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September 30, 2007, we had approximately 5,400 employees worldwide, with operations in 65 locations in 33 countries, including the United States and major markets in Europe and Rest of World. For the nine months ended September 30, 2007, we derived approximately 52.8%, 41.2%, and 6% of our net revenue in the United States, Europe and Rest of World,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July 12, 2007, the Company acquired 100% of the common stock of DOCS International, a European based clinical research staffing organization, for a cash consideration of approximately $40.6 million (€29.5 million). DOCS International operates in eight European countries and focuses on the training and supply of contract and permanent clinical research personnel to the pharmaceutical and biotech industry.</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On July 9, 2007, ICON plc entered into a facility agreement for the provision of a multi-currency revolving credit facility of €35 million ($49.5 million) with The Governor and Company of the Bank of Ireland. Our obligations under the facility are secured by certain composite guarantees and indemnities and pledges in favour of the bank. The facility bears interest at an annual rate equal to the interbank rate plus 0.6 percent. On July 10, 2007 the Company drew down €29.5 million ($40.6 million) of the facility to fund the acquisition of DOCS International.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ICON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AT SEPTEMBER 30, 2007 AND DECEMBER 31, 2006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8"/>
          </w:tcPr>
          <w:p>
            <w:pPr>
              <w:ind w:left="5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56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3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69,499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63,039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Short term investments - available for sale</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28,707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39,822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136,696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108,216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Unbilled revenue</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123,823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89,977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receivables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11,553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7,468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Deferred tax asset</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4,373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6,028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Prepayments and other current assets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16,642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14,335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Income taxes receivable</w:t>
            </w:r>
          </w:p>
        </w:tc>
        <w:tc>
          <w:tcPr>
            <w:tcW w:w="3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current assets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391,876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328,885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Other Assets: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Property, plant and equipment, net</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109,952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68,208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Goodwill</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124,353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78,717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Non-current deferred tax asset</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5,599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Total Assets</w:t>
            </w:r>
          </w:p>
        </w:tc>
        <w:tc>
          <w:tcPr>
            <w:tcW w:w="3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631,780</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3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Current Liabilities: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3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13,560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9,691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Payments on account</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94,028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90,394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liabilities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66,591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51,956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Deferred tax liability</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Bank credit lines and loan facilities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70,487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Income taxes payable</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18,832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10,985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current liabilities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263,931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168,564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Other Liabilities: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Long term government grants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Long term finance leases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Non-current deferred tax liability</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5,388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Minority interest</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271,794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173,603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Ordinary shares, par value 6 euro cents per share; 40,000,000 shares authorized,</w:t>
            </w: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80" w:type="dxa"/>
            <w:vAlign w:val="bottom"/>
            <w:gridSpan w:val="2"/>
          </w:tcPr>
          <w:p>
            <w:pPr>
              <w:spacing w:after="0"/>
              <w:rPr>
                <w:sz w:val="20"/>
                <w:szCs w:val="20"/>
                <w:color w:val="auto"/>
              </w:rPr>
            </w:pPr>
            <w:r>
              <w:rPr>
                <w:rFonts w:ascii="Arial" w:cs="Arial" w:eastAsia="Arial" w:hAnsi="Arial"/>
                <w:sz w:val="14"/>
                <w:szCs w:val="14"/>
                <w:color w:val="auto"/>
              </w:rPr>
              <w:t>28,783,048 shares issued and outstanding at September 30, 2007 and</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80" w:type="dxa"/>
            <w:vAlign w:val="bottom"/>
            <w:gridSpan w:val="2"/>
          </w:tcPr>
          <w:p>
            <w:pPr>
              <w:spacing w:after="0"/>
              <w:rPr>
                <w:sz w:val="20"/>
                <w:szCs w:val="20"/>
                <w:color w:val="auto"/>
              </w:rPr>
            </w:pPr>
            <w:r>
              <w:rPr>
                <w:rFonts w:ascii="Arial" w:cs="Arial" w:eastAsia="Arial" w:hAnsi="Arial"/>
                <w:sz w:val="14"/>
                <w:szCs w:val="14"/>
                <w:color w:val="auto"/>
              </w:rPr>
              <w:t>28,517,852 shares issued and outstanding at December 31, 2006</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143,059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133,996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22,600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192,209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152,127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Total Shareholders' Equity</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359,986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302,738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Total Liabilities and Shareholders' Equity</w:t>
            </w:r>
          </w:p>
        </w:tc>
        <w:tc>
          <w:tcPr>
            <w:tcW w:w="3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4"/>
          </w:tcPr>
          <w:p>
            <w:pPr>
              <w:jc w:val="right"/>
              <w:ind w:right="100"/>
              <w:spacing w:after="0"/>
              <w:rPr>
                <w:sz w:val="20"/>
                <w:szCs w:val="20"/>
                <w:color w:val="auto"/>
              </w:rPr>
            </w:pPr>
            <w:r>
              <w:rPr>
                <w:rFonts w:ascii="Arial" w:cs="Arial" w:eastAsia="Arial" w:hAnsi="Arial"/>
                <w:sz w:val="14"/>
                <w:szCs w:val="14"/>
                <w:color w:val="auto"/>
              </w:rPr>
              <w:t>631,780</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21"/>
        </w:trPr>
        <w:tc>
          <w:tcPr>
            <w:tcW w:w="5680" w:type="dxa"/>
            <w:vAlign w:val="bottom"/>
            <w:gridSpan w:val="2"/>
            <w:vMerge w:val="restart"/>
          </w:tcPr>
          <w:p>
            <w:pPr>
              <w:spacing w:after="0"/>
              <w:rPr>
                <w:sz w:val="20"/>
                <w:szCs w:val="20"/>
                <w:color w:val="auto"/>
              </w:rPr>
            </w:pPr>
            <w:r>
              <w:rPr>
                <w:rFonts w:ascii="Arial" w:cs="Arial" w:eastAsia="Arial" w:hAnsi="Arial"/>
                <w:sz w:val="14"/>
                <w:szCs w:val="14"/>
                <w:color w:val="auto"/>
                <w:w w:val="91"/>
              </w:rPr>
              <w:t>The accompanying notes are an integral part of these condensed consolidated financial statements.</w:t>
            </w:r>
          </w:p>
        </w:tc>
        <w:tc>
          <w:tcPr>
            <w:tcW w:w="3140" w:type="dxa"/>
            <w:vAlign w:val="bottom"/>
            <w:vMerge w:val="restart"/>
          </w:tcPr>
          <w:p>
            <w:pPr>
              <w:jc w:val="right"/>
              <w:ind w:right="3012"/>
              <w:spacing w:after="0"/>
              <w:rPr>
                <w:sz w:val="20"/>
                <w:szCs w:val="20"/>
                <w:color w:val="auto"/>
              </w:rPr>
            </w:pPr>
            <w:r>
              <w:rPr>
                <w:rFonts w:ascii="Arial" w:cs="Arial" w:eastAsia="Arial" w:hAnsi="Arial"/>
                <w:sz w:val="10"/>
                <w:szCs w:val="10"/>
                <w:color w:val="auto"/>
                <w:w w:val="71"/>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5680" w:type="dxa"/>
            <w:vAlign w:val="bottom"/>
            <w:gridSpan w:val="2"/>
            <w:vMerge w:val="continue"/>
          </w:tcPr>
          <w:p>
            <w:pPr>
              <w:spacing w:after="0"/>
              <w:rPr>
                <w:sz w:val="24"/>
                <w:szCs w:val="24"/>
                <w:color w:val="auto"/>
              </w:rPr>
            </w:pPr>
          </w:p>
        </w:tc>
        <w:tc>
          <w:tcPr>
            <w:tcW w:w="3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258" w:lineRule="exact"/>
        <w:rPr>
          <w:sz w:val="20"/>
          <w:szCs w:val="20"/>
          <w:color w:val="auto"/>
        </w:rPr>
      </w:pPr>
    </w:p>
    <w:p>
      <w:pPr>
        <w:jc w:val="center"/>
        <w:spacing w:after="0" w:line="294" w:lineRule="auto"/>
        <w:rPr>
          <w:sz w:val="20"/>
          <w:szCs w:val="20"/>
          <w:color w:val="auto"/>
        </w:rPr>
      </w:pPr>
      <w:r>
        <w:rPr>
          <w:rFonts w:ascii="Arial" w:cs="Arial" w:eastAsia="Arial" w:hAnsi="Arial"/>
          <w:sz w:val="14"/>
          <w:szCs w:val="14"/>
          <w:b w:val="1"/>
          <w:bCs w:val="1"/>
          <w:color w:val="auto"/>
        </w:rPr>
        <w:t>CONDENSED CONSOLIDATED STATEMENTS OF OPERATIONS FOR THE THREE AND NINE MONTHS ENDED SEPTEMBER 30, 2007 AND SEPTEMBER 30, 2006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11"/>
          </w:tcPr>
          <w:p>
            <w:pPr>
              <w:jc w:val="right"/>
              <w:ind w:right="78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3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3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6"/>
          </w:tcPr>
          <w:p>
            <w:pPr>
              <w:jc w:val="right"/>
              <w:ind w:right="260"/>
              <w:spacing w:after="0" w:line="143"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vMerge w:val="restart"/>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vMerge w:val="restart"/>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vMerge w:val="restart"/>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bottom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280" w:type="dxa"/>
            <w:vAlign w:val="bottom"/>
            <w:tcBorders>
              <w:bottom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bottom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right"/>
              <w:spacing w:after="0" w:line="116" w:lineRule="exact"/>
              <w:rPr>
                <w:sz w:val="20"/>
                <w:szCs w:val="20"/>
                <w:color w:val="auto"/>
              </w:rPr>
            </w:pPr>
            <w:r>
              <w:rPr>
                <w:rFonts w:ascii="Arial" w:cs="Arial" w:eastAsia="Arial" w:hAnsi="Arial"/>
                <w:sz w:val="13"/>
                <w:szCs w:val="13"/>
                <w:b w:val="1"/>
                <w:bCs w:val="1"/>
                <w:color w:val="auto"/>
              </w:rPr>
              <w:t>2006</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4"/>
                <w:szCs w:val="14"/>
                <w:color w:val="auto"/>
              </w:rPr>
              <w:t>Revenue:</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16"/>
            <w:vMerge w:val="restart"/>
          </w:tcPr>
          <w:p>
            <w:pPr>
              <w:jc w:val="right"/>
              <w:ind w:right="80"/>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16"/>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70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Gross revenue</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231,819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7"/>
            <w:shd w:val="clear" w:color="auto" w:fill="CCEEFF"/>
          </w:tcPr>
          <w:p>
            <w:pPr>
              <w:jc w:val="right"/>
              <w:ind w:right="240"/>
              <w:spacing w:after="0"/>
              <w:rPr>
                <w:sz w:val="20"/>
                <w:szCs w:val="20"/>
                <w:color w:val="auto"/>
              </w:rPr>
            </w:pPr>
            <w:r>
              <w:rPr>
                <w:rFonts w:ascii="Arial" w:cs="Arial" w:eastAsia="Arial" w:hAnsi="Arial"/>
                <w:sz w:val="14"/>
                <w:szCs w:val="14"/>
                <w:color w:val="auto"/>
              </w:rPr>
              <w:t>171,109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4"/>
                <w:szCs w:val="14"/>
                <w:color w:val="auto"/>
              </w:rPr>
              <w:t>625,942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465,497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Subcontractor costs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color w:val="auto"/>
              </w:rPr>
              <w:t>(64,903)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ind w:right="200"/>
              <w:spacing w:after="0"/>
              <w:rPr>
                <w:sz w:val="20"/>
                <w:szCs w:val="20"/>
                <w:color w:val="auto"/>
              </w:rPr>
            </w:pPr>
            <w:r>
              <w:rPr>
                <w:rFonts w:ascii="Arial" w:cs="Arial" w:eastAsia="Arial" w:hAnsi="Arial"/>
                <w:sz w:val="14"/>
                <w:szCs w:val="14"/>
                <w:color w:val="auto"/>
              </w:rPr>
              <w:t>(50,395)</w:t>
            </w:r>
          </w:p>
        </w:tc>
        <w:tc>
          <w:tcPr>
            <w:tcW w:w="120" w:type="dxa"/>
            <w:vAlign w:val="bottom"/>
          </w:tcPr>
          <w:p>
            <w:pPr>
              <w:spacing w:after="0"/>
              <w:rPr>
                <w:sz w:val="15"/>
                <w:szCs w:val="15"/>
                <w:color w:val="auto"/>
              </w:rPr>
            </w:pPr>
          </w:p>
        </w:tc>
        <w:tc>
          <w:tcPr>
            <w:tcW w:w="1260" w:type="dxa"/>
            <w:vAlign w:val="bottom"/>
            <w:gridSpan w:val="6"/>
          </w:tcPr>
          <w:p>
            <w:pPr>
              <w:jc w:val="right"/>
              <w:ind w:right="200"/>
              <w:spacing w:after="0"/>
              <w:rPr>
                <w:sz w:val="20"/>
                <w:szCs w:val="20"/>
                <w:color w:val="auto"/>
              </w:rPr>
            </w:pPr>
            <w:r>
              <w:rPr>
                <w:rFonts w:ascii="Arial" w:cs="Arial" w:eastAsia="Arial" w:hAnsi="Arial"/>
                <w:sz w:val="14"/>
                <w:szCs w:val="14"/>
                <w:color w:val="auto"/>
              </w:rPr>
              <w:t>(175,890)</w:t>
            </w:r>
          </w:p>
        </w:tc>
        <w:tc>
          <w:tcPr>
            <w:tcW w:w="120" w:type="dxa"/>
            <w:vAlign w:val="bottom"/>
          </w:tcPr>
          <w:p>
            <w:pPr>
              <w:spacing w:after="0"/>
              <w:rPr>
                <w:sz w:val="15"/>
                <w:szCs w:val="15"/>
                <w:color w:val="auto"/>
              </w:rPr>
            </w:pPr>
          </w:p>
        </w:tc>
        <w:tc>
          <w:tcPr>
            <w:tcW w:w="1140" w:type="dxa"/>
            <w:vAlign w:val="bottom"/>
            <w:gridSpan w:val="6"/>
          </w:tcPr>
          <w:p>
            <w:pPr>
              <w:jc w:val="right"/>
              <w:ind w:right="80"/>
              <w:spacing w:after="0"/>
              <w:rPr>
                <w:sz w:val="20"/>
                <w:szCs w:val="20"/>
                <w:color w:val="auto"/>
              </w:rPr>
            </w:pPr>
            <w:r>
              <w:rPr>
                <w:rFonts w:ascii="Arial" w:cs="Arial" w:eastAsia="Arial" w:hAnsi="Arial"/>
                <w:sz w:val="14"/>
                <w:szCs w:val="14"/>
                <w:color w:val="auto"/>
              </w:rPr>
              <w:t>(138,852)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Net revenue</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166,916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ind w:right="240"/>
              <w:spacing w:after="0"/>
              <w:rPr>
                <w:sz w:val="20"/>
                <w:szCs w:val="20"/>
                <w:color w:val="auto"/>
              </w:rPr>
            </w:pPr>
            <w:r>
              <w:rPr>
                <w:rFonts w:ascii="Arial" w:cs="Arial" w:eastAsia="Arial" w:hAnsi="Arial"/>
                <w:sz w:val="14"/>
                <w:szCs w:val="14"/>
                <w:color w:val="auto"/>
              </w:rPr>
              <w:t>120,714</w:t>
            </w:r>
          </w:p>
        </w:tc>
        <w:tc>
          <w:tcPr>
            <w:tcW w:w="120" w:type="dxa"/>
            <w:vAlign w:val="bottom"/>
          </w:tcPr>
          <w:p>
            <w:pPr>
              <w:spacing w:after="0"/>
              <w:rPr>
                <w:sz w:val="15"/>
                <w:szCs w:val="15"/>
                <w:color w:val="auto"/>
              </w:rPr>
            </w:pPr>
          </w:p>
        </w:tc>
        <w:tc>
          <w:tcPr>
            <w:tcW w:w="1260" w:type="dxa"/>
            <w:vAlign w:val="bottom"/>
            <w:gridSpan w:val="6"/>
          </w:tcPr>
          <w:p>
            <w:pPr>
              <w:jc w:val="right"/>
              <w:ind w:right="260"/>
              <w:spacing w:after="0"/>
              <w:rPr>
                <w:sz w:val="20"/>
                <w:szCs w:val="20"/>
                <w:color w:val="auto"/>
              </w:rPr>
            </w:pPr>
            <w:r>
              <w:rPr>
                <w:rFonts w:ascii="Arial" w:cs="Arial" w:eastAsia="Arial" w:hAnsi="Arial"/>
                <w:sz w:val="14"/>
                <w:szCs w:val="14"/>
                <w:color w:val="auto"/>
              </w:rPr>
              <w:t>450,052</w:t>
            </w:r>
          </w:p>
        </w:tc>
        <w:tc>
          <w:tcPr>
            <w:tcW w:w="120" w:type="dxa"/>
            <w:vAlign w:val="bottom"/>
          </w:tcPr>
          <w:p>
            <w:pPr>
              <w:spacing w:after="0"/>
              <w:rPr>
                <w:sz w:val="15"/>
                <w:szCs w:val="15"/>
                <w:color w:val="auto"/>
              </w:rPr>
            </w:pPr>
          </w:p>
        </w:tc>
        <w:tc>
          <w:tcPr>
            <w:tcW w:w="1140" w:type="dxa"/>
            <w:vAlign w:val="bottom"/>
            <w:gridSpan w:val="6"/>
          </w:tcPr>
          <w:p>
            <w:pPr>
              <w:jc w:val="right"/>
              <w:ind w:right="140"/>
              <w:spacing w:after="0"/>
              <w:rPr>
                <w:sz w:val="20"/>
                <w:szCs w:val="20"/>
                <w:color w:val="auto"/>
              </w:rPr>
            </w:pPr>
            <w:r>
              <w:rPr>
                <w:rFonts w:ascii="Arial" w:cs="Arial" w:eastAsia="Arial" w:hAnsi="Arial"/>
                <w:sz w:val="14"/>
                <w:szCs w:val="14"/>
                <w:color w:val="auto"/>
              </w:rPr>
              <w:t>326,645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Costs and expenses: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Direct costs</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91,675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7"/>
            <w:shd w:val="clear" w:color="auto" w:fill="CCEEFF"/>
          </w:tcPr>
          <w:p>
            <w:pPr>
              <w:jc w:val="right"/>
              <w:ind w:right="240"/>
              <w:spacing w:after="0"/>
              <w:rPr>
                <w:sz w:val="20"/>
                <w:szCs w:val="20"/>
                <w:color w:val="auto"/>
              </w:rPr>
            </w:pPr>
            <w:r>
              <w:rPr>
                <w:rFonts w:ascii="Arial" w:cs="Arial" w:eastAsia="Arial" w:hAnsi="Arial"/>
                <w:sz w:val="14"/>
                <w:szCs w:val="14"/>
                <w:color w:val="auto"/>
              </w:rPr>
              <w:t>68,428</w:t>
            </w:r>
          </w:p>
        </w:tc>
        <w:tc>
          <w:tcPr>
            <w:tcW w:w="120" w:type="dxa"/>
            <w:vAlign w:val="bottom"/>
            <w:shd w:val="clear" w:color="auto" w:fill="CCEEFF"/>
          </w:tcPr>
          <w:p>
            <w:pPr>
              <w:spacing w:after="0"/>
              <w:rPr>
                <w:sz w:val="15"/>
                <w:szCs w:val="15"/>
                <w:color w:val="auto"/>
              </w:rPr>
            </w:pPr>
          </w:p>
        </w:tc>
        <w:tc>
          <w:tcPr>
            <w:tcW w:w="126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4"/>
                <w:szCs w:val="14"/>
                <w:color w:val="auto"/>
              </w:rPr>
              <w:t>254,107</w:t>
            </w:r>
          </w:p>
        </w:tc>
        <w:tc>
          <w:tcPr>
            <w:tcW w:w="12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183,146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51,518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ind w:right="240"/>
              <w:spacing w:after="0"/>
              <w:rPr>
                <w:sz w:val="20"/>
                <w:szCs w:val="20"/>
                <w:color w:val="auto"/>
              </w:rPr>
            </w:pPr>
            <w:r>
              <w:rPr>
                <w:rFonts w:ascii="Arial" w:cs="Arial" w:eastAsia="Arial" w:hAnsi="Arial"/>
                <w:sz w:val="14"/>
                <w:szCs w:val="14"/>
                <w:color w:val="auto"/>
              </w:rPr>
              <w:t>35,800</w:t>
            </w:r>
          </w:p>
        </w:tc>
        <w:tc>
          <w:tcPr>
            <w:tcW w:w="120" w:type="dxa"/>
            <w:vAlign w:val="bottom"/>
          </w:tcPr>
          <w:p>
            <w:pPr>
              <w:spacing w:after="0"/>
              <w:rPr>
                <w:sz w:val="15"/>
                <w:szCs w:val="15"/>
                <w:color w:val="auto"/>
              </w:rPr>
            </w:pPr>
          </w:p>
        </w:tc>
        <w:tc>
          <w:tcPr>
            <w:tcW w:w="1260" w:type="dxa"/>
            <w:vAlign w:val="bottom"/>
            <w:gridSpan w:val="6"/>
          </w:tcPr>
          <w:p>
            <w:pPr>
              <w:jc w:val="right"/>
              <w:ind w:right="260"/>
              <w:spacing w:after="0"/>
              <w:rPr>
                <w:sz w:val="20"/>
                <w:szCs w:val="20"/>
                <w:color w:val="auto"/>
              </w:rPr>
            </w:pPr>
            <w:r>
              <w:rPr>
                <w:rFonts w:ascii="Arial" w:cs="Arial" w:eastAsia="Arial" w:hAnsi="Arial"/>
                <w:sz w:val="14"/>
                <w:szCs w:val="14"/>
                <w:color w:val="auto"/>
              </w:rPr>
              <w:t>132,864</w:t>
            </w:r>
          </w:p>
        </w:tc>
        <w:tc>
          <w:tcPr>
            <w:tcW w:w="120" w:type="dxa"/>
            <w:vAlign w:val="bottom"/>
          </w:tcPr>
          <w:p>
            <w:pPr>
              <w:spacing w:after="0"/>
              <w:rPr>
                <w:sz w:val="15"/>
                <w:szCs w:val="15"/>
                <w:color w:val="auto"/>
              </w:rPr>
            </w:pPr>
          </w:p>
        </w:tc>
        <w:tc>
          <w:tcPr>
            <w:tcW w:w="1140" w:type="dxa"/>
            <w:vAlign w:val="bottom"/>
            <w:gridSpan w:val="6"/>
          </w:tcPr>
          <w:p>
            <w:pPr>
              <w:jc w:val="right"/>
              <w:ind w:right="140"/>
              <w:spacing w:after="0"/>
              <w:rPr>
                <w:sz w:val="20"/>
                <w:szCs w:val="20"/>
                <w:color w:val="auto"/>
              </w:rPr>
            </w:pPr>
            <w:r>
              <w:rPr>
                <w:rFonts w:ascii="Arial" w:cs="Arial" w:eastAsia="Arial" w:hAnsi="Arial"/>
                <w:sz w:val="14"/>
                <w:szCs w:val="14"/>
                <w:color w:val="auto"/>
              </w:rPr>
              <w:t>98,477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5,020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7"/>
            <w:shd w:val="clear" w:color="auto" w:fill="CCEEFF"/>
          </w:tcPr>
          <w:p>
            <w:pPr>
              <w:jc w:val="right"/>
              <w:ind w:right="240"/>
              <w:spacing w:after="0"/>
              <w:rPr>
                <w:sz w:val="20"/>
                <w:szCs w:val="20"/>
                <w:color w:val="auto"/>
              </w:rPr>
            </w:pPr>
            <w:r>
              <w:rPr>
                <w:rFonts w:ascii="Arial" w:cs="Arial" w:eastAsia="Arial" w:hAnsi="Arial"/>
                <w:sz w:val="14"/>
                <w:szCs w:val="14"/>
                <w:color w:val="auto"/>
              </w:rPr>
              <w:t>3,875</w:t>
            </w:r>
          </w:p>
        </w:tc>
        <w:tc>
          <w:tcPr>
            <w:tcW w:w="120" w:type="dxa"/>
            <w:vAlign w:val="bottom"/>
            <w:shd w:val="clear" w:color="auto" w:fill="CCEEFF"/>
          </w:tcPr>
          <w:p>
            <w:pPr>
              <w:spacing w:after="0"/>
              <w:rPr>
                <w:sz w:val="15"/>
                <w:szCs w:val="15"/>
                <w:color w:val="auto"/>
              </w:rPr>
            </w:pPr>
          </w:p>
        </w:tc>
        <w:tc>
          <w:tcPr>
            <w:tcW w:w="126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4"/>
                <w:szCs w:val="14"/>
                <w:color w:val="auto"/>
              </w:rPr>
              <w:t>13,626</w:t>
            </w:r>
          </w:p>
        </w:tc>
        <w:tc>
          <w:tcPr>
            <w:tcW w:w="12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11,009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Total costs and expenses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148,213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ind w:right="240"/>
              <w:spacing w:after="0"/>
              <w:rPr>
                <w:sz w:val="20"/>
                <w:szCs w:val="20"/>
                <w:color w:val="auto"/>
              </w:rPr>
            </w:pPr>
            <w:r>
              <w:rPr>
                <w:rFonts w:ascii="Arial" w:cs="Arial" w:eastAsia="Arial" w:hAnsi="Arial"/>
                <w:sz w:val="14"/>
                <w:szCs w:val="14"/>
                <w:color w:val="auto"/>
              </w:rPr>
              <w:t>108,103</w:t>
            </w:r>
          </w:p>
        </w:tc>
        <w:tc>
          <w:tcPr>
            <w:tcW w:w="120" w:type="dxa"/>
            <w:vAlign w:val="bottom"/>
          </w:tcPr>
          <w:p>
            <w:pPr>
              <w:spacing w:after="0"/>
              <w:rPr>
                <w:sz w:val="15"/>
                <w:szCs w:val="15"/>
                <w:color w:val="auto"/>
              </w:rPr>
            </w:pPr>
          </w:p>
        </w:tc>
        <w:tc>
          <w:tcPr>
            <w:tcW w:w="1260" w:type="dxa"/>
            <w:vAlign w:val="bottom"/>
            <w:gridSpan w:val="6"/>
          </w:tcPr>
          <w:p>
            <w:pPr>
              <w:jc w:val="right"/>
              <w:ind w:right="260"/>
              <w:spacing w:after="0"/>
              <w:rPr>
                <w:sz w:val="20"/>
                <w:szCs w:val="20"/>
                <w:color w:val="auto"/>
              </w:rPr>
            </w:pPr>
            <w:r>
              <w:rPr>
                <w:rFonts w:ascii="Arial" w:cs="Arial" w:eastAsia="Arial" w:hAnsi="Arial"/>
                <w:sz w:val="14"/>
                <w:szCs w:val="14"/>
                <w:color w:val="auto"/>
              </w:rPr>
              <w:t>400,597</w:t>
            </w:r>
          </w:p>
        </w:tc>
        <w:tc>
          <w:tcPr>
            <w:tcW w:w="120" w:type="dxa"/>
            <w:vAlign w:val="bottom"/>
          </w:tcPr>
          <w:p>
            <w:pPr>
              <w:spacing w:after="0"/>
              <w:rPr>
                <w:sz w:val="15"/>
                <w:szCs w:val="15"/>
                <w:color w:val="auto"/>
              </w:rPr>
            </w:pPr>
          </w:p>
        </w:tc>
        <w:tc>
          <w:tcPr>
            <w:tcW w:w="1140" w:type="dxa"/>
            <w:vAlign w:val="bottom"/>
            <w:gridSpan w:val="6"/>
          </w:tcPr>
          <w:p>
            <w:pPr>
              <w:jc w:val="right"/>
              <w:ind w:right="140"/>
              <w:spacing w:after="0"/>
              <w:rPr>
                <w:sz w:val="20"/>
                <w:szCs w:val="20"/>
                <w:color w:val="auto"/>
              </w:rPr>
            </w:pPr>
            <w:r>
              <w:rPr>
                <w:rFonts w:ascii="Arial" w:cs="Arial" w:eastAsia="Arial" w:hAnsi="Arial"/>
                <w:sz w:val="14"/>
                <w:szCs w:val="14"/>
                <w:color w:val="auto"/>
              </w:rPr>
              <w:t>292,632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18,703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ind w:right="240"/>
              <w:spacing w:after="0"/>
              <w:rPr>
                <w:sz w:val="20"/>
                <w:szCs w:val="20"/>
                <w:color w:val="auto"/>
              </w:rPr>
            </w:pPr>
            <w:r>
              <w:rPr>
                <w:rFonts w:ascii="Arial" w:cs="Arial" w:eastAsia="Arial" w:hAnsi="Arial"/>
                <w:sz w:val="14"/>
                <w:szCs w:val="14"/>
                <w:color w:val="auto"/>
              </w:rPr>
              <w:t>12,611</w:t>
            </w:r>
          </w:p>
        </w:tc>
        <w:tc>
          <w:tcPr>
            <w:tcW w:w="120" w:type="dxa"/>
            <w:vAlign w:val="bottom"/>
          </w:tcPr>
          <w:p>
            <w:pPr>
              <w:spacing w:after="0"/>
              <w:rPr>
                <w:sz w:val="15"/>
                <w:szCs w:val="15"/>
                <w:color w:val="auto"/>
              </w:rPr>
            </w:pPr>
          </w:p>
        </w:tc>
        <w:tc>
          <w:tcPr>
            <w:tcW w:w="1260" w:type="dxa"/>
            <w:vAlign w:val="bottom"/>
            <w:gridSpan w:val="6"/>
          </w:tcPr>
          <w:p>
            <w:pPr>
              <w:jc w:val="right"/>
              <w:ind w:right="260"/>
              <w:spacing w:after="0"/>
              <w:rPr>
                <w:sz w:val="20"/>
                <w:szCs w:val="20"/>
                <w:color w:val="auto"/>
              </w:rPr>
            </w:pPr>
            <w:r>
              <w:rPr>
                <w:rFonts w:ascii="Arial" w:cs="Arial" w:eastAsia="Arial" w:hAnsi="Arial"/>
                <w:sz w:val="14"/>
                <w:szCs w:val="14"/>
                <w:color w:val="auto"/>
              </w:rPr>
              <w:t>49,455</w:t>
            </w:r>
          </w:p>
        </w:tc>
        <w:tc>
          <w:tcPr>
            <w:tcW w:w="120" w:type="dxa"/>
            <w:vAlign w:val="bottom"/>
          </w:tcPr>
          <w:p>
            <w:pPr>
              <w:spacing w:after="0"/>
              <w:rPr>
                <w:sz w:val="15"/>
                <w:szCs w:val="15"/>
                <w:color w:val="auto"/>
              </w:rPr>
            </w:pPr>
          </w:p>
        </w:tc>
        <w:tc>
          <w:tcPr>
            <w:tcW w:w="1140" w:type="dxa"/>
            <w:vAlign w:val="bottom"/>
            <w:gridSpan w:val="6"/>
          </w:tcPr>
          <w:p>
            <w:pPr>
              <w:jc w:val="right"/>
              <w:ind w:right="140"/>
              <w:spacing w:after="0"/>
              <w:rPr>
                <w:sz w:val="20"/>
                <w:szCs w:val="20"/>
                <w:color w:val="auto"/>
              </w:rPr>
            </w:pPr>
            <w:r>
              <w:rPr>
                <w:rFonts w:ascii="Arial" w:cs="Arial" w:eastAsia="Arial" w:hAnsi="Arial"/>
                <w:sz w:val="14"/>
                <w:szCs w:val="14"/>
                <w:color w:val="auto"/>
              </w:rPr>
              <w:t>34,013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927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4"/>
                <w:szCs w:val="14"/>
                <w:color w:val="auto"/>
              </w:rPr>
              <w:t>3,027</w:t>
            </w:r>
          </w:p>
        </w:tc>
        <w:tc>
          <w:tcPr>
            <w:tcW w:w="12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2,646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Interest expense</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color w:val="auto"/>
              </w:rPr>
              <w:t>(911)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ind w:right="20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1260" w:type="dxa"/>
            <w:vAlign w:val="bottom"/>
            <w:gridSpan w:val="6"/>
          </w:tcPr>
          <w:p>
            <w:pPr>
              <w:jc w:val="right"/>
              <w:ind w:right="200"/>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5"/>
                <w:szCs w:val="15"/>
                <w:color w:val="auto"/>
              </w:rPr>
            </w:pPr>
          </w:p>
        </w:tc>
        <w:tc>
          <w:tcPr>
            <w:tcW w:w="1140" w:type="dxa"/>
            <w:vAlign w:val="bottom"/>
            <w:gridSpan w:val="6"/>
          </w:tcPr>
          <w:p>
            <w:pPr>
              <w:jc w:val="right"/>
              <w:ind w:right="8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Income before provision for income taxes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18,719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ind w:right="240"/>
              <w:spacing w:after="0"/>
              <w:rPr>
                <w:sz w:val="20"/>
                <w:szCs w:val="20"/>
                <w:color w:val="auto"/>
              </w:rPr>
            </w:pPr>
            <w:r>
              <w:rPr>
                <w:rFonts w:ascii="Arial" w:cs="Arial" w:eastAsia="Arial" w:hAnsi="Arial"/>
                <w:sz w:val="14"/>
                <w:szCs w:val="14"/>
                <w:color w:val="auto"/>
              </w:rPr>
              <w:t>13,562</w:t>
            </w:r>
          </w:p>
        </w:tc>
        <w:tc>
          <w:tcPr>
            <w:tcW w:w="120" w:type="dxa"/>
            <w:vAlign w:val="bottom"/>
          </w:tcPr>
          <w:p>
            <w:pPr>
              <w:spacing w:after="0"/>
              <w:rPr>
                <w:sz w:val="15"/>
                <w:szCs w:val="15"/>
                <w:color w:val="auto"/>
              </w:rPr>
            </w:pPr>
          </w:p>
        </w:tc>
        <w:tc>
          <w:tcPr>
            <w:tcW w:w="1260" w:type="dxa"/>
            <w:vAlign w:val="bottom"/>
            <w:gridSpan w:val="6"/>
          </w:tcPr>
          <w:p>
            <w:pPr>
              <w:jc w:val="right"/>
              <w:ind w:right="260"/>
              <w:spacing w:after="0"/>
              <w:rPr>
                <w:sz w:val="20"/>
                <w:szCs w:val="20"/>
                <w:color w:val="auto"/>
              </w:rPr>
            </w:pPr>
            <w:r>
              <w:rPr>
                <w:rFonts w:ascii="Arial" w:cs="Arial" w:eastAsia="Arial" w:hAnsi="Arial"/>
                <w:sz w:val="14"/>
                <w:szCs w:val="14"/>
                <w:color w:val="auto"/>
              </w:rPr>
              <w:t>51,534</w:t>
            </w:r>
          </w:p>
        </w:tc>
        <w:tc>
          <w:tcPr>
            <w:tcW w:w="120" w:type="dxa"/>
            <w:vAlign w:val="bottom"/>
          </w:tcPr>
          <w:p>
            <w:pPr>
              <w:spacing w:after="0"/>
              <w:rPr>
                <w:sz w:val="15"/>
                <w:szCs w:val="15"/>
                <w:color w:val="auto"/>
              </w:rPr>
            </w:pPr>
          </w:p>
        </w:tc>
        <w:tc>
          <w:tcPr>
            <w:tcW w:w="1140" w:type="dxa"/>
            <w:vAlign w:val="bottom"/>
            <w:gridSpan w:val="6"/>
          </w:tcPr>
          <w:p>
            <w:pPr>
              <w:jc w:val="right"/>
              <w:ind w:right="140"/>
              <w:spacing w:after="0"/>
              <w:rPr>
                <w:sz w:val="20"/>
                <w:szCs w:val="20"/>
                <w:color w:val="auto"/>
              </w:rPr>
            </w:pPr>
            <w:r>
              <w:rPr>
                <w:rFonts w:ascii="Arial" w:cs="Arial" w:eastAsia="Arial" w:hAnsi="Arial"/>
                <w:sz w:val="14"/>
                <w:szCs w:val="14"/>
                <w:color w:val="auto"/>
              </w:rPr>
              <w:t>36,549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(4,158)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7"/>
            <w:shd w:val="clear" w:color="auto" w:fill="CCEEFF"/>
          </w:tcPr>
          <w:p>
            <w:pPr>
              <w:jc w:val="right"/>
              <w:ind w:right="200"/>
              <w:spacing w:after="0"/>
              <w:rPr>
                <w:sz w:val="20"/>
                <w:szCs w:val="20"/>
                <w:color w:val="auto"/>
              </w:rPr>
            </w:pPr>
            <w:r>
              <w:rPr>
                <w:rFonts w:ascii="Arial" w:cs="Arial" w:eastAsia="Arial" w:hAnsi="Arial"/>
                <w:sz w:val="14"/>
                <w:szCs w:val="14"/>
                <w:color w:val="auto"/>
              </w:rPr>
              <w:t>(3,423)</w:t>
            </w:r>
          </w:p>
        </w:tc>
        <w:tc>
          <w:tcPr>
            <w:tcW w:w="120" w:type="dxa"/>
            <w:vAlign w:val="bottom"/>
            <w:shd w:val="clear" w:color="auto" w:fill="CCEEFF"/>
          </w:tcPr>
          <w:p>
            <w:pPr>
              <w:spacing w:after="0"/>
              <w:rPr>
                <w:sz w:val="15"/>
                <w:szCs w:val="15"/>
                <w:color w:val="auto"/>
              </w:rPr>
            </w:pPr>
          </w:p>
        </w:tc>
        <w:tc>
          <w:tcPr>
            <w:tcW w:w="1260" w:type="dxa"/>
            <w:vAlign w:val="bottom"/>
            <w:tcBorders>
              <w:right w:val="single" w:sz="8" w:color="CCEEFF"/>
            </w:tcBorders>
            <w:gridSpan w:val="6"/>
            <w:shd w:val="clear" w:color="auto" w:fill="CCEEFF"/>
          </w:tcPr>
          <w:p>
            <w:pPr>
              <w:jc w:val="right"/>
              <w:ind w:right="200"/>
              <w:spacing w:after="0"/>
              <w:rPr>
                <w:sz w:val="20"/>
                <w:szCs w:val="20"/>
                <w:color w:val="auto"/>
              </w:rPr>
            </w:pPr>
            <w:r>
              <w:rPr>
                <w:rFonts w:ascii="Arial" w:cs="Arial" w:eastAsia="Arial" w:hAnsi="Arial"/>
                <w:sz w:val="14"/>
                <w:szCs w:val="14"/>
                <w:color w:val="auto"/>
              </w:rPr>
              <w:t>(11,344)</w:t>
            </w:r>
          </w:p>
        </w:tc>
        <w:tc>
          <w:tcPr>
            <w:tcW w:w="12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(9,496)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Minority interest</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right"/>
              <w:ind w:right="2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1260" w:type="dxa"/>
            <w:vAlign w:val="bottom"/>
            <w:gridSpan w:val="6"/>
          </w:tcPr>
          <w:p>
            <w:pPr>
              <w:jc w:val="right"/>
              <w:ind w:right="20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1140" w:type="dxa"/>
            <w:vAlign w:val="bottom"/>
            <w:gridSpan w:val="6"/>
          </w:tcPr>
          <w:p>
            <w:pPr>
              <w:jc w:val="right"/>
              <w:ind w:right="8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Net income</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14,501</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7"/>
          </w:tcPr>
          <w:p>
            <w:pPr>
              <w:jc w:val="right"/>
              <w:ind w:right="240"/>
              <w:spacing w:after="0"/>
              <w:rPr>
                <w:sz w:val="20"/>
                <w:szCs w:val="20"/>
                <w:color w:val="auto"/>
              </w:rPr>
            </w:pPr>
            <w:r>
              <w:rPr>
                <w:rFonts w:ascii="Arial" w:cs="Arial" w:eastAsia="Arial" w:hAnsi="Arial"/>
                <w:sz w:val="14"/>
                <w:szCs w:val="14"/>
                <w:color w:val="auto"/>
              </w:rPr>
              <w:t>10,094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6"/>
          </w:tcPr>
          <w:p>
            <w:pPr>
              <w:jc w:val="right"/>
              <w:ind w:right="260"/>
              <w:spacing w:after="0"/>
              <w:rPr>
                <w:sz w:val="20"/>
                <w:szCs w:val="20"/>
                <w:color w:val="auto"/>
              </w:rPr>
            </w:pPr>
            <w:r>
              <w:rPr>
                <w:rFonts w:ascii="Arial" w:cs="Arial" w:eastAsia="Arial" w:hAnsi="Arial"/>
                <w:sz w:val="14"/>
                <w:szCs w:val="14"/>
                <w:color w:val="auto"/>
              </w:rPr>
              <w:t>40,082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6"/>
          </w:tcPr>
          <w:p>
            <w:pPr>
              <w:jc w:val="right"/>
              <w:ind w:right="140"/>
              <w:spacing w:after="0"/>
              <w:rPr>
                <w:sz w:val="20"/>
                <w:szCs w:val="20"/>
                <w:color w:val="auto"/>
              </w:rPr>
            </w:pPr>
            <w:r>
              <w:rPr>
                <w:rFonts w:ascii="Arial" w:cs="Arial" w:eastAsia="Arial" w:hAnsi="Arial"/>
                <w:sz w:val="14"/>
                <w:szCs w:val="14"/>
                <w:color w:val="auto"/>
              </w:rPr>
              <w:t>26,932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Ordinary Share:</w:t>
            </w: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Arial" w:cs="Arial" w:eastAsia="Arial" w:hAnsi="Arial"/>
                <w:sz w:val="14"/>
                <w:szCs w:val="14"/>
                <w:color w:val="auto"/>
              </w:rPr>
              <w:t>Basic</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0.50</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7"/>
          </w:tcPr>
          <w:p>
            <w:pPr>
              <w:jc w:val="right"/>
              <w:ind w:right="240"/>
              <w:spacing w:after="0"/>
              <w:rPr>
                <w:sz w:val="20"/>
                <w:szCs w:val="20"/>
                <w:color w:val="auto"/>
              </w:rPr>
            </w:pPr>
            <w:r>
              <w:rPr>
                <w:rFonts w:ascii="Arial" w:cs="Arial" w:eastAsia="Arial" w:hAnsi="Arial"/>
                <w:sz w:val="14"/>
                <w:szCs w:val="14"/>
                <w:color w:val="auto"/>
              </w:rPr>
              <w:t>0.36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6"/>
          </w:tcPr>
          <w:p>
            <w:pPr>
              <w:jc w:val="right"/>
              <w:ind w:right="260"/>
              <w:spacing w:after="0"/>
              <w:rPr>
                <w:sz w:val="20"/>
                <w:szCs w:val="20"/>
                <w:color w:val="auto"/>
              </w:rPr>
            </w:pPr>
            <w:r>
              <w:rPr>
                <w:rFonts w:ascii="Arial" w:cs="Arial" w:eastAsia="Arial" w:hAnsi="Arial"/>
                <w:sz w:val="14"/>
                <w:szCs w:val="14"/>
                <w:color w:val="auto"/>
              </w:rPr>
              <w:t>1.40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6"/>
          </w:tcPr>
          <w:p>
            <w:pPr>
              <w:jc w:val="right"/>
              <w:ind w:right="140"/>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0.49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7"/>
            <w:shd w:val="clear" w:color="auto" w:fill="CCEEFF"/>
          </w:tcPr>
          <w:p>
            <w:pPr>
              <w:jc w:val="right"/>
              <w:ind w:right="240"/>
              <w:spacing w:after="0"/>
              <w:rPr>
                <w:sz w:val="20"/>
                <w:szCs w:val="20"/>
                <w:color w:val="auto"/>
              </w:rPr>
            </w:pPr>
            <w:r>
              <w:rPr>
                <w:rFonts w:ascii="Arial" w:cs="Arial" w:eastAsia="Arial" w:hAnsi="Arial"/>
                <w:sz w:val="14"/>
                <w:szCs w:val="14"/>
                <w:color w:val="auto"/>
              </w:rPr>
              <w:t>0.35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Arial" w:cs="Arial" w:eastAsia="Arial" w:hAnsi="Arial"/>
                <w:sz w:val="14"/>
                <w:szCs w:val="14"/>
                <w:color w:val="auto"/>
              </w:rPr>
              <w:t>Basic</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28,760,726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6"/>
          </w:tcPr>
          <w:p>
            <w:pPr>
              <w:jc w:val="right"/>
              <w:spacing w:after="0"/>
              <w:rPr>
                <w:sz w:val="20"/>
                <w:szCs w:val="20"/>
                <w:color w:val="auto"/>
              </w:rPr>
            </w:pPr>
            <w:r>
              <w:rPr>
                <w:rFonts w:ascii="Arial" w:cs="Arial" w:eastAsia="Arial" w:hAnsi="Arial"/>
                <w:sz w:val="14"/>
                <w:szCs w:val="14"/>
                <w:color w:val="auto"/>
              </w:rPr>
              <w:t>28,351,525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6"/>
          </w:tcPr>
          <w:p>
            <w:pPr>
              <w:jc w:val="right"/>
              <w:ind w:right="260"/>
              <w:spacing w:after="0"/>
              <w:rPr>
                <w:sz w:val="20"/>
                <w:szCs w:val="20"/>
                <w:color w:val="auto"/>
              </w:rPr>
            </w:pPr>
            <w:r>
              <w:rPr>
                <w:rFonts w:ascii="Arial" w:cs="Arial" w:eastAsia="Arial" w:hAnsi="Arial"/>
                <w:sz w:val="14"/>
                <w:szCs w:val="14"/>
                <w:color w:val="auto"/>
              </w:rPr>
              <w:t>28,669,798</w:t>
            </w:r>
          </w:p>
        </w:tc>
        <w:tc>
          <w:tcPr>
            <w:tcW w:w="120" w:type="dxa"/>
            <w:vAlign w:val="bottom"/>
          </w:tcPr>
          <w:p>
            <w:pPr>
              <w:spacing w:after="0"/>
              <w:rPr>
                <w:sz w:val="15"/>
                <w:szCs w:val="15"/>
                <w:color w:val="auto"/>
              </w:rPr>
            </w:pPr>
          </w:p>
        </w:tc>
        <w:tc>
          <w:tcPr>
            <w:tcW w:w="1140" w:type="dxa"/>
            <w:vAlign w:val="bottom"/>
            <w:gridSpan w:val="6"/>
          </w:tcPr>
          <w:p>
            <w:pPr>
              <w:jc w:val="right"/>
              <w:ind w:right="140"/>
              <w:spacing w:after="0"/>
              <w:rPr>
                <w:sz w:val="20"/>
                <w:szCs w:val="20"/>
                <w:color w:val="auto"/>
              </w:rPr>
            </w:pPr>
            <w:r>
              <w:rPr>
                <w:rFonts w:ascii="Arial" w:cs="Arial" w:eastAsia="Arial" w:hAnsi="Arial"/>
                <w:sz w:val="14"/>
                <w:szCs w:val="14"/>
                <w:color w:val="auto"/>
              </w:rPr>
              <w:t>28,333,823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29,826,457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29,085,080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4"/>
                <w:szCs w:val="14"/>
                <w:color w:val="auto"/>
              </w:rPr>
              <w:t>29,714,585</w:t>
            </w:r>
          </w:p>
        </w:tc>
        <w:tc>
          <w:tcPr>
            <w:tcW w:w="120" w:type="dxa"/>
            <w:vAlign w:val="bottom"/>
            <w:shd w:val="clear" w:color="auto" w:fill="CCEEFF"/>
          </w:tcPr>
          <w:p>
            <w:pPr>
              <w:spacing w:after="0"/>
              <w:rPr>
                <w:sz w:val="16"/>
                <w:szCs w:val="16"/>
                <w:color w:val="auto"/>
              </w:rPr>
            </w:pPr>
          </w:p>
        </w:tc>
        <w:tc>
          <w:tcPr>
            <w:tcW w:w="114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28,709,932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80" w:right="5680" w:hanging="5669"/>
        <w:spacing w:after="0" w:line="399" w:lineRule="auto"/>
        <w:rPr>
          <w:sz w:val="20"/>
          <w:szCs w:val="20"/>
          <w:color w:val="auto"/>
        </w:rPr>
      </w:pPr>
      <w:r>
        <w:rPr>
          <w:rFonts w:ascii="Arial" w:cs="Arial" w:eastAsia="Arial" w:hAnsi="Arial"/>
          <w:sz w:val="9"/>
          <w:szCs w:val="9"/>
          <w:color w:val="auto"/>
        </w:rPr>
        <w:t>The accompanying notes are an integral part of these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NINE MONTHS ENDED SEPTEMBER 30, 2007 AND SEPTEMBER 30, 2006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5"/>
          </w:tcPr>
          <w:p>
            <w:pPr>
              <w:jc w:val="right"/>
              <w:ind w:right="100"/>
              <w:spacing w:after="0" w:line="15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10"/>
          </w:tcPr>
          <w:p>
            <w:pPr>
              <w:jc w:val="right"/>
              <w:ind w:right="9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4"/>
        </w:trPr>
        <w:tc>
          <w:tcPr>
            <w:tcW w:w="5680" w:type="dxa"/>
            <w:vAlign w:val="bottom"/>
            <w:gridSpan w:val="2"/>
            <w:vMerge w:val="continue"/>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3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40,082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26,932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Loss on disposal of property, plant and equipment</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13,626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11,012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grants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160"/>
              <w:spacing w:after="0"/>
              <w:rPr>
                <w:sz w:val="20"/>
                <w:szCs w:val="20"/>
                <w:color w:val="auto"/>
              </w:rPr>
            </w:pPr>
            <w:r>
              <w:rPr>
                <w:rFonts w:ascii="Arial" w:cs="Arial" w:eastAsia="Arial" w:hAnsi="Arial"/>
                <w:sz w:val="14"/>
                <w:szCs w:val="14"/>
                <w:color w:val="auto"/>
              </w:rPr>
              <w:t>Share compensation expense</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3,940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taxes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160"/>
              <w:spacing w:after="0"/>
              <w:rPr>
                <w:sz w:val="20"/>
                <w:szCs w:val="20"/>
                <w:color w:val="auto"/>
              </w:rPr>
            </w:pPr>
            <w:r>
              <w:rPr>
                <w:rFonts w:ascii="Arial" w:cs="Arial" w:eastAsia="Arial" w:hAnsi="Arial"/>
                <w:sz w:val="14"/>
                <w:szCs w:val="14"/>
                <w:color w:val="auto"/>
              </w:rPr>
              <w:t>Minority interest</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Changes in assets and liabilities: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Increase in accounts receivable</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4"/>
                <w:szCs w:val="14"/>
                <w:color w:val="auto"/>
              </w:rPr>
              <w:t>(19,532)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(26,546)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Increase in unbilled revenue</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(32,089)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(11,340)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Decrease in other receivables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1,760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Increase in prepayments and other current assets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Increase in payments on account</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1,805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16,530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Increase in other liabilities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2,199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13,082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Increase in income taxes payable</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6,295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Increase/(decrease) in accounts payable</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2,487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19,918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32,038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160"/>
              <w:spacing w:after="0"/>
              <w:rPr>
                <w:sz w:val="20"/>
                <w:szCs w:val="20"/>
                <w:color w:val="auto"/>
              </w:rPr>
            </w:pPr>
            <w:r>
              <w:rPr>
                <w:rFonts w:ascii="Arial" w:cs="Arial" w:eastAsia="Arial" w:hAnsi="Arial"/>
                <w:sz w:val="14"/>
                <w:szCs w:val="14"/>
                <w:color w:val="auto"/>
              </w:rPr>
              <w:t>Purchase of property, plant and equipment</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4"/>
                <w:szCs w:val="14"/>
                <w:color w:val="auto"/>
              </w:rPr>
              <w:t>(49,660)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(19,260)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of subsidiary undertakings and acquisition costs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(40,568)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(6,837)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160"/>
              <w:spacing w:after="0"/>
              <w:rPr>
                <w:sz w:val="20"/>
                <w:szCs w:val="20"/>
                <w:color w:val="auto"/>
              </w:rPr>
            </w:pPr>
            <w:r>
              <w:rPr>
                <w:rFonts w:ascii="Arial" w:cs="Arial" w:eastAsia="Arial" w:hAnsi="Arial"/>
                <w:sz w:val="14"/>
                <w:szCs w:val="14"/>
                <w:color w:val="auto"/>
              </w:rPr>
              <w:t>Purchase of short term investments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(20,021)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 of short term investments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11,116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3,008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ind w:left="160"/>
              <w:spacing w:after="0"/>
              <w:rPr>
                <w:sz w:val="20"/>
                <w:szCs w:val="20"/>
                <w:color w:val="auto"/>
              </w:rPr>
            </w:pPr>
            <w:r>
              <w:rPr>
                <w:rFonts w:ascii="Arial" w:cs="Arial" w:eastAsia="Arial" w:hAnsi="Arial"/>
                <w:sz w:val="14"/>
                <w:szCs w:val="14"/>
                <w:color w:val="auto"/>
              </w:rPr>
              <w:t>Overdraft assumed/cash received on acquisition</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4"/>
                <w:szCs w:val="14"/>
                <w:color w:val="auto"/>
              </w:rPr>
              <w:t>(2,424)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payments in respect of prior year acquisitions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4"/>
                <w:szCs w:val="14"/>
                <w:color w:val="auto"/>
              </w:rPr>
              <w:t>(81,536)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(42,865)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Drawdown/(repayment) of bank credit lines and loan facilities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65,487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Proceeds from exercise of share options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4,188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6,015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Share issuance costs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Tax benefit from the exercise of share options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1,070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Repayment of other liabilities</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70,541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5,970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movements on cash</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(2,463)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Net increase/(decrease) in cash and cash equivalents</w:t>
            </w: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6,460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(4,621)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63,039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59,509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3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69,499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54,888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680" w:type="dxa"/>
            <w:vAlign w:val="bottom"/>
            <w:gridSpan w:val="2"/>
          </w:tcPr>
          <w:p>
            <w:pPr>
              <w:spacing w:after="0"/>
              <w:rPr>
                <w:sz w:val="20"/>
                <w:szCs w:val="20"/>
                <w:color w:val="auto"/>
              </w:rPr>
            </w:pPr>
            <w:r>
              <w:rPr>
                <w:rFonts w:ascii="Arial" w:cs="Arial" w:eastAsia="Arial" w:hAnsi="Arial"/>
                <w:sz w:val="14"/>
                <w:szCs w:val="14"/>
                <w:color w:val="auto"/>
                <w:w w:val="91"/>
              </w:rPr>
              <w:t>The accompanying notes are an integral part of these condensed consolidated financial statements.</w:t>
            </w:r>
          </w:p>
        </w:tc>
        <w:tc>
          <w:tcPr>
            <w:tcW w:w="3140" w:type="dxa"/>
            <w:vAlign w:val="bottom"/>
            <w:vMerge w:val="restart"/>
          </w:tcPr>
          <w:p>
            <w:pPr>
              <w:jc w:val="right"/>
              <w:ind w:right="3015"/>
              <w:spacing w:after="0"/>
              <w:rPr>
                <w:sz w:val="20"/>
                <w:szCs w:val="20"/>
                <w:color w:val="auto"/>
              </w:rPr>
            </w:pPr>
            <w:r>
              <w:rPr>
                <w:rFonts w:ascii="Arial" w:cs="Arial" w:eastAsia="Arial" w:hAnsi="Arial"/>
                <w:sz w:val="10"/>
                <w:szCs w:val="10"/>
                <w:color w:val="auto"/>
                <w:w w:val="71"/>
              </w:rPr>
              <w:t>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Paid-in</w:t>
            </w:r>
          </w:p>
        </w:tc>
        <w:tc>
          <w:tcPr>
            <w:tcW w:w="200" w:type="dxa"/>
            <w:vAlign w:val="bottom"/>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560"/>
              <w:spacing w:after="0" w:line="138"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3"/>
                <w:szCs w:val="13"/>
                <w:color w:val="auto"/>
              </w:rPr>
            </w:pPr>
          </w:p>
        </w:tc>
        <w:tc>
          <w:tcPr>
            <w:tcW w:w="1000" w:type="dxa"/>
            <w:vAlign w:val="bottom"/>
            <w:gridSpan w:val="2"/>
          </w:tcPr>
          <w:p>
            <w:pPr>
              <w:jc w:val="right"/>
              <w:ind w:right="500"/>
              <w:spacing w:after="0" w:line="138"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jc w:val="right"/>
              <w:ind w:right="540"/>
              <w:spacing w:after="0" w:line="138" w:lineRule="exact"/>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3"/>
                <w:szCs w:val="13"/>
                <w:color w:val="auto"/>
              </w:rPr>
            </w:pPr>
          </w:p>
        </w:tc>
        <w:tc>
          <w:tcPr>
            <w:tcW w:w="1240" w:type="dxa"/>
            <w:vAlign w:val="bottom"/>
            <w:gridSpan w:val="3"/>
          </w:tcPr>
          <w:p>
            <w:pPr>
              <w:jc w:val="center"/>
              <w:ind w:right="220"/>
              <w:spacing w:after="0" w:line="138" w:lineRule="exact"/>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3"/>
                <w:szCs w:val="13"/>
                <w:color w:val="auto"/>
              </w:rPr>
            </w:pPr>
          </w:p>
        </w:tc>
        <w:tc>
          <w:tcPr>
            <w:tcW w:w="1140" w:type="dxa"/>
            <w:vAlign w:val="bottom"/>
            <w:gridSpan w:val="3"/>
          </w:tcPr>
          <w:p>
            <w:pPr>
              <w:jc w:val="right"/>
              <w:ind w:right="440"/>
              <w:spacing w:after="0" w:line="138"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3"/>
          </w:tcPr>
          <w:p>
            <w:pPr>
              <w:jc w:val="right"/>
              <w:ind w:right="100"/>
              <w:spacing w:after="0" w:line="13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0"/>
              </w:rPr>
              <w:t>(dollars in thousands, except share data)</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2006</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28,517,852</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133,996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14,515</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152,127</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302,738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40,082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40,082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Currency translation adjustment</w:t>
            </w:r>
          </w:p>
        </w:tc>
        <w:tc>
          <w:tcPr>
            <w:tcW w:w="4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8,085</w:t>
            </w:r>
          </w:p>
        </w:tc>
        <w:tc>
          <w:tcPr>
            <w:tcW w:w="3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8,085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rPr>
              <w:t>Total comprehensive income</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350,905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 issuance costs</w:t>
            </w: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rPr>
              <w:t>Exercise of share options</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265,196</w:t>
            </w:r>
          </w:p>
        </w:tc>
        <w:tc>
          <w:tcPr>
            <w:tcW w:w="5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5"/>
                <w:szCs w:val="15"/>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color w:val="auto"/>
              </w:rPr>
              <w:t>4,170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4,188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Non-cash stock compensation expense</w:t>
            </w: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3,940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w w:val="98"/>
              </w:rPr>
              <w:t>Tax benefit on exercise of share options</w:t>
            </w: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1,070</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2007</w:t>
            </w:r>
          </w:p>
        </w:tc>
        <w:tc>
          <w:tcPr>
            <w:tcW w:w="14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28,783,048</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143,059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22,600</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192,209</w:t>
            </w:r>
          </w:p>
        </w:tc>
        <w:tc>
          <w:tcPr>
            <w:tcW w:w="54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359,986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680" w:right="5680" w:hanging="5669"/>
        <w:spacing w:after="0" w:line="383" w:lineRule="auto"/>
        <w:rPr>
          <w:sz w:val="20"/>
          <w:szCs w:val="20"/>
          <w:color w:val="auto"/>
        </w:rPr>
      </w:pPr>
      <w:r>
        <w:rPr>
          <w:rFonts w:ascii="Arial" w:cs="Arial" w:eastAsia="Arial" w:hAnsi="Arial"/>
          <w:sz w:val="9"/>
          <w:szCs w:val="9"/>
          <w:color w:val="auto"/>
        </w:rPr>
        <w:t>The accompanying notes are an integral part of these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ICON plc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2007</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62"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2006. Operating results for the nine months ended September 30, 2007 are not necessarily indicative of the results that may be expected for the fiscal period ending December 31,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2. Goodwill</w:t>
            </w: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68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2007</w:t>
            </w:r>
          </w:p>
        </w:tc>
        <w:tc>
          <w:tcPr>
            <w:tcW w:w="680" w:type="dxa"/>
            <w:vAlign w:val="bottom"/>
          </w:tcPr>
          <w:p>
            <w:pPr>
              <w:spacing w:after="0"/>
              <w:rPr>
                <w:sz w:val="13"/>
                <w:szCs w:val="13"/>
                <w:color w:val="auto"/>
              </w:rPr>
            </w:pPr>
          </w:p>
        </w:tc>
        <w:tc>
          <w:tcPr>
            <w:tcW w:w="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0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 w:type="dxa"/>
            <w:vAlign w:val="bottom"/>
            <w:vMerge w:val="continue"/>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Opening balance</w:t>
            </w: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78,717</w:t>
            </w:r>
          </w:p>
        </w:tc>
        <w:tc>
          <w:tcPr>
            <w:tcW w:w="6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65,731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Payments made in respect of current period acquisitions</w:t>
            </w:r>
          </w:p>
        </w:tc>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43,351</w:t>
            </w:r>
          </w:p>
        </w:tc>
        <w:tc>
          <w:tcPr>
            <w:tcW w:w="6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Payments made in respect of prior period acquisitions</w:t>
            </w:r>
          </w:p>
        </w:tc>
        <w:tc>
          <w:tcPr>
            <w:tcW w:w="2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Foreign exchange movement</w:t>
            </w:r>
          </w:p>
        </w:tc>
        <w:tc>
          <w:tcPr>
            <w:tcW w:w="2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2,285</w:t>
            </w: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3,885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120" w:type="dxa"/>
            <w:vAlign w:val="bottom"/>
            <w:gridSpan w:val="2"/>
          </w:tcPr>
          <w:p>
            <w:pPr>
              <w:ind w:left="300"/>
              <w:spacing w:after="0"/>
              <w:rPr>
                <w:sz w:val="20"/>
                <w:szCs w:val="20"/>
                <w:color w:val="auto"/>
              </w:rPr>
            </w:pPr>
            <w:r>
              <w:rPr>
                <w:rFonts w:ascii="Arial" w:cs="Arial" w:eastAsia="Arial" w:hAnsi="Arial"/>
                <w:sz w:val="14"/>
                <w:szCs w:val="14"/>
                <w:color w:val="auto"/>
              </w:rPr>
              <w:t>Closing balance</w:t>
            </w:r>
          </w:p>
        </w:tc>
        <w:tc>
          <w:tcPr>
            <w:tcW w:w="2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124,353</w:t>
            </w:r>
          </w:p>
        </w:tc>
        <w:tc>
          <w:tcPr>
            <w:tcW w:w="6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78,717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6120" w:type="dxa"/>
            <w:vAlign w:val="bottom"/>
            <w:gridSpan w:val="2"/>
          </w:tcPr>
          <w:p>
            <w:pPr>
              <w:spacing w:after="0"/>
              <w:rPr>
                <w:sz w:val="20"/>
                <w:szCs w:val="20"/>
                <w:color w:val="auto"/>
              </w:rPr>
            </w:pPr>
            <w:r>
              <w:rPr>
                <w:rFonts w:ascii="Arial" w:cs="Arial" w:eastAsia="Arial" w:hAnsi="Arial"/>
                <w:sz w:val="14"/>
                <w:szCs w:val="14"/>
                <w:color w:val="auto"/>
              </w:rPr>
              <w:t>The goodwill balance relates entirely to the clinical research segment.</w:t>
            </w:r>
          </w:p>
        </w:tc>
        <w:tc>
          <w:tcPr>
            <w:tcW w:w="2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Docs International</w:t>
      </w:r>
    </w:p>
    <w:p>
      <w:pPr>
        <w:spacing w:after="0" w:line="258"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On July 12, 2007 the Company acquired 100% of the common stock of DOCS International (“DOCS”), a European based clinical research staffing organization, for a cash consideration of approximately $40.6 million (€29.5 million), excluding costs of acquisition.</w:t>
      </w:r>
    </w:p>
    <w:p>
      <w:pPr>
        <w:spacing w:after="0" w:line="201"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The acquisition of DOCS has been accounted for as a purchase in accordance with SFAS No. 141, “Business Combinations”. The following table summarises the fair values of the assets acquired and the liabilities assumed at the date of acquisition.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At July 12,</w:t>
            </w:r>
          </w:p>
        </w:tc>
        <w:tc>
          <w:tcPr>
            <w:tcW w:w="860" w:type="dxa"/>
            <w:vAlign w:val="bottom"/>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3"/>
        </w:trPr>
        <w:tc>
          <w:tcPr>
            <w:tcW w:w="8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w:t>
            </w:r>
          </w:p>
        </w:tc>
        <w:tc>
          <w:tcPr>
            <w:tcW w:w="5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Arial" w:cs="Arial" w:eastAsia="Arial" w:hAnsi="Arial"/>
                <w:sz w:val="14"/>
                <w:szCs w:val="14"/>
                <w:color w:val="auto"/>
              </w:rPr>
              <w:t>Goodwill</w:t>
            </w:r>
          </w:p>
        </w:tc>
        <w:tc>
          <w:tcPr>
            <w:tcW w:w="5200" w:type="dxa"/>
            <w:vAlign w:val="bottom"/>
          </w:tcPr>
          <w:p>
            <w:pPr>
              <w:spacing w:after="0"/>
              <w:rPr>
                <w:sz w:val="15"/>
                <w:szCs w:val="15"/>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color w:val="auto"/>
              </w:rPr>
              <w:t>43,351</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520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(2,355)</w:t>
            </w:r>
          </w:p>
        </w:tc>
        <w:tc>
          <w:tcPr>
            <w:tcW w:w="86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334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5200" w:type="dxa"/>
            <w:vAlign w:val="bottom"/>
          </w:tcPr>
          <w:p>
            <w:pPr>
              <w:spacing w:after="0"/>
              <w:rPr>
                <w:sz w:val="15"/>
                <w:szCs w:val="15"/>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color w:val="auto"/>
              </w:rPr>
              <w:t>7,362</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liabilities</w:t>
            </w:r>
          </w:p>
        </w:tc>
        <w:tc>
          <w:tcPr>
            <w:tcW w:w="520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(8,198)</w:t>
            </w:r>
          </w:p>
        </w:tc>
        <w:tc>
          <w:tcPr>
            <w:tcW w:w="860" w:type="dxa"/>
            <w:vAlign w:val="bottom"/>
          </w:tcPr>
          <w:p>
            <w:pPr>
              <w:spacing w:after="0"/>
              <w:rPr>
                <w:sz w:val="15"/>
                <w:szCs w:val="15"/>
                <w:color w:val="auto"/>
              </w:rPr>
            </w:pPr>
          </w:p>
        </w:tc>
      </w:tr>
      <w:tr>
        <w:trPr>
          <w:trHeight w:val="191"/>
        </w:trPr>
        <w:tc>
          <w:tcPr>
            <w:tcW w:w="880" w:type="dxa"/>
            <w:vAlign w:val="bottom"/>
          </w:tcPr>
          <w:p>
            <w:pPr>
              <w:spacing w:after="0"/>
              <w:rPr>
                <w:sz w:val="16"/>
                <w:szCs w:val="16"/>
                <w:color w:val="auto"/>
              </w:rPr>
            </w:pPr>
          </w:p>
        </w:tc>
        <w:tc>
          <w:tcPr>
            <w:tcW w:w="3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Purchase price</w:t>
            </w:r>
          </w:p>
        </w:tc>
        <w:tc>
          <w:tcPr>
            <w:tcW w:w="5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41,144</w:t>
            </w:r>
          </w:p>
        </w:tc>
        <w:tc>
          <w:tcPr>
            <w:tcW w:w="80" w:type="dxa"/>
            <w:vAlign w:val="bottom"/>
            <w:tcBorders>
              <w:top w:val="single" w:sz="8" w:color="CCEEFF"/>
            </w:tcBorders>
          </w:tcPr>
          <w:p>
            <w:pPr>
              <w:spacing w:after="0"/>
              <w:rPr>
                <w:sz w:val="16"/>
                <w:szCs w:val="16"/>
                <w:color w:val="auto"/>
              </w:rPr>
            </w:pPr>
          </w:p>
        </w:tc>
        <w:tc>
          <w:tcPr>
            <w:tcW w:w="860" w:type="dxa"/>
            <w:vAlign w:val="bottom"/>
          </w:tcPr>
          <w:p>
            <w:pPr>
              <w:spacing w:after="0"/>
              <w:rPr>
                <w:sz w:val="16"/>
                <w:szCs w:val="16"/>
                <w:color w:val="auto"/>
              </w:rPr>
            </w:pPr>
          </w:p>
        </w:tc>
      </w:tr>
      <w:tr>
        <w:trPr>
          <w:trHeight w:val="392"/>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00" w:type="dxa"/>
            <w:vAlign w:val="bottom"/>
          </w:tcPr>
          <w:p>
            <w:pPr>
              <w:jc w:val="right"/>
              <w:ind w:right="3608"/>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3"/>
        </w:trPr>
        <w:tc>
          <w:tcPr>
            <w:tcW w:w="880" w:type="dxa"/>
            <w:vAlign w:val="bottom"/>
            <w:tcBorders>
              <w:bottom w:val="single" w:sz="8" w:color="808080"/>
            </w:tcBorders>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5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6651625</wp:posOffset>
            </wp:positionH>
            <wp:positionV relativeFrom="paragraph">
              <wp:posOffset>-1021715</wp:posOffset>
            </wp:positionV>
            <wp:extent cx="60325"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11176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auto"/>
        </w:rPr>
        <w:t>Prior Period Acquisitions</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July 10, 2006, the Company acquired 100% of the common stock of Ovation Healthcare Research 2 Inc. (“Ovation”), based in Illinois, USA, for an initial cash consideration of U.S.$6.6 million, excluding costs of acquisition. Working capital provisions had been built into the acquisition contract requiring the potential payment of additional deferred consideration up to a maximum of U.S.$1.4 million. On October 27, 2006, $0.18 million was paid to the former shareholders of Ovation in full and final settlement of the working capital provisions.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acquisition of Ovation has been accounted for as a purchase in accordance with SFAS No. 141, “Business Combinations”. The following table summarises the fair values of the assets acquired and the liabilities assumed at the date of acquisition.</w:t>
      </w:r>
    </w:p>
    <w:p>
      <w:pPr>
        <w:spacing w:after="0" w:line="19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At July 10,</w:t>
            </w:r>
          </w:p>
        </w:tc>
      </w:tr>
      <w:tr>
        <w:trPr>
          <w:trHeight w:val="156"/>
        </w:trPr>
        <w:tc>
          <w:tcPr>
            <w:tcW w:w="5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51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(in thousands)</w:t>
            </w:r>
          </w:p>
        </w:tc>
      </w:tr>
      <w:tr>
        <w:trPr>
          <w:trHeight w:val="176"/>
        </w:trPr>
        <w:tc>
          <w:tcPr>
            <w:tcW w:w="5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w:t>
            </w:r>
          </w:p>
        </w:tc>
        <w:tc>
          <w:tcPr>
            <w:tcW w:w="3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160" w:type="dxa"/>
            <w:vAlign w:val="bottom"/>
          </w:tcPr>
          <w:p>
            <w:pPr>
              <w:ind w:left="140"/>
              <w:spacing w:after="0"/>
              <w:rPr>
                <w:sz w:val="20"/>
                <w:szCs w:val="20"/>
                <w:color w:val="auto"/>
              </w:rPr>
            </w:pPr>
            <w:r>
              <w:rPr>
                <w:rFonts w:ascii="Arial" w:cs="Arial" w:eastAsia="Arial" w:hAnsi="Arial"/>
                <w:sz w:val="14"/>
                <w:szCs w:val="14"/>
                <w:color w:val="auto"/>
              </w:rPr>
              <w:t>Goodwill</w:t>
            </w:r>
          </w:p>
        </w:tc>
        <w:tc>
          <w:tcPr>
            <w:tcW w:w="3380" w:type="dxa"/>
            <w:vAlign w:val="bottom"/>
          </w:tcPr>
          <w:p>
            <w:pPr>
              <w:spacing w:after="0"/>
              <w:rPr>
                <w:sz w:val="15"/>
                <w:szCs w:val="15"/>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color w:val="auto"/>
              </w:rPr>
              <w:t>9,005</w:t>
            </w:r>
          </w:p>
        </w:tc>
        <w:tc>
          <w:tcPr>
            <w:tcW w:w="80" w:type="dxa"/>
            <w:vAlign w:val="bottom"/>
          </w:tcPr>
          <w:p>
            <w:pPr>
              <w:spacing w:after="0"/>
              <w:rPr>
                <w:sz w:val="15"/>
                <w:szCs w:val="15"/>
                <w:color w:val="auto"/>
              </w:rPr>
            </w:pPr>
          </w:p>
        </w:tc>
      </w:tr>
      <w:tr>
        <w:trPr>
          <w:trHeight w:val="176"/>
        </w:trPr>
        <w:tc>
          <w:tcPr>
            <w:tcW w:w="5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33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16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3380" w:type="dxa"/>
            <w:vAlign w:val="bottom"/>
          </w:tcPr>
          <w:p>
            <w:pPr>
              <w:spacing w:after="0"/>
              <w:rPr>
                <w:sz w:val="15"/>
                <w:szCs w:val="15"/>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color w:val="auto"/>
              </w:rPr>
              <w:t>4,381</w:t>
            </w:r>
          </w:p>
        </w:tc>
        <w:tc>
          <w:tcPr>
            <w:tcW w:w="80" w:type="dxa"/>
            <w:vAlign w:val="bottom"/>
          </w:tcPr>
          <w:p>
            <w:pPr>
              <w:spacing w:after="0"/>
              <w:rPr>
                <w:sz w:val="15"/>
                <w:szCs w:val="15"/>
                <w:color w:val="auto"/>
              </w:rPr>
            </w:pPr>
          </w:p>
        </w:tc>
      </w:tr>
      <w:tr>
        <w:trPr>
          <w:trHeight w:val="176"/>
        </w:trPr>
        <w:tc>
          <w:tcPr>
            <w:tcW w:w="5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liabilities</w:t>
            </w:r>
          </w:p>
        </w:tc>
        <w:tc>
          <w:tcPr>
            <w:tcW w:w="338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(6,952)</w:t>
            </w:r>
          </w:p>
        </w:tc>
      </w:tr>
      <w:tr>
        <w:trPr>
          <w:trHeight w:val="183"/>
        </w:trPr>
        <w:tc>
          <w:tcPr>
            <w:tcW w:w="5160" w:type="dxa"/>
            <w:vAlign w:val="bottom"/>
          </w:tcPr>
          <w:p>
            <w:pPr>
              <w:ind w:left="140"/>
              <w:spacing w:after="0"/>
              <w:rPr>
                <w:sz w:val="20"/>
                <w:szCs w:val="20"/>
                <w:color w:val="auto"/>
              </w:rPr>
            </w:pPr>
            <w:r>
              <w:rPr>
                <w:rFonts w:ascii="Arial" w:cs="Arial" w:eastAsia="Arial" w:hAnsi="Arial"/>
                <w:sz w:val="14"/>
                <w:szCs w:val="14"/>
                <w:color w:val="auto"/>
              </w:rPr>
              <w:t>Long term liabilities</w:t>
            </w:r>
          </w:p>
        </w:tc>
        <w:tc>
          <w:tcPr>
            <w:tcW w:w="3380" w:type="dxa"/>
            <w:vAlign w:val="bottom"/>
          </w:tcPr>
          <w:p>
            <w:pPr>
              <w:spacing w:after="0"/>
              <w:rPr>
                <w:sz w:val="15"/>
                <w:szCs w:val="15"/>
                <w:color w:val="auto"/>
              </w:rPr>
            </w:pPr>
          </w:p>
        </w:tc>
        <w:tc>
          <w:tcPr>
            <w:tcW w:w="1140" w:type="dxa"/>
            <w:vAlign w:val="bottom"/>
            <w:gridSpan w:val="5"/>
          </w:tcPr>
          <w:p>
            <w:pPr>
              <w:jc w:val="right"/>
              <w:ind w:right="40"/>
              <w:spacing w:after="0"/>
              <w:rPr>
                <w:sz w:val="20"/>
                <w:szCs w:val="20"/>
                <w:color w:val="auto"/>
              </w:rPr>
            </w:pPr>
            <w:r>
              <w:rPr>
                <w:rFonts w:ascii="Arial" w:cs="Arial" w:eastAsia="Arial" w:hAnsi="Arial"/>
                <w:sz w:val="14"/>
                <w:szCs w:val="14"/>
                <w:color w:val="auto"/>
              </w:rPr>
              <w:t>(124)</w:t>
            </w:r>
          </w:p>
        </w:tc>
      </w:tr>
      <w:tr>
        <w:trPr>
          <w:trHeight w:val="176"/>
        </w:trPr>
        <w:tc>
          <w:tcPr>
            <w:tcW w:w="51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Purchase price</w:t>
            </w:r>
          </w:p>
        </w:tc>
        <w:tc>
          <w:tcPr>
            <w:tcW w:w="3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7,035</w:t>
            </w:r>
          </w:p>
        </w:tc>
        <w:tc>
          <w:tcPr>
            <w:tcW w:w="8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6651625</wp:posOffset>
            </wp:positionH>
            <wp:positionV relativeFrom="paragraph">
              <wp:posOffset>-796925</wp:posOffset>
            </wp:positionV>
            <wp:extent cx="6032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111760"/>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-574040</wp:posOffset>
            </wp:positionV>
            <wp:extent cx="60325"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111760"/>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-111125</wp:posOffset>
            </wp:positionV>
            <wp:extent cx="60325"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111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On September 9, 2003, the Company acquired 100% of the outstanding shares of GloboMax LLC (“GloboMax”), based in Maryland, USA, for an initial cash consideration of $10.9 million, excluding costs of acquisition. Earn out provisions were built into the acquisition contract requiring the potential payment of additional deferred consideration up to a maximum of US$4 million depending on the performance of GloboMax over the period from date of acquisition to May 31, 2006. On August 26, 2005, cash consideration of US$1.4 million was paid to the former shareholders of GloboMax in respect of the first earn out target which was reached on May 31, 2005. On May 31, 2006 a final payment of $96,131 was made to the former shareholders of GloboMax. No further payments are anticipated.</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 Adoption of the provisions of FASB Interpretation No. 48 </w:t>
      </w:r>
      <w:r>
        <w:rPr>
          <w:rFonts w:ascii="Arial" w:cs="Arial" w:eastAsia="Arial" w:hAnsi="Arial"/>
          <w:sz w:val="14"/>
          <w:szCs w:val="14"/>
          <w:b w:val="1"/>
          <w:bCs w:val="1"/>
          <w:i w:val="1"/>
          <w:iCs w:val="1"/>
          <w:color w:val="auto"/>
        </w:rPr>
        <w:t>Accounting for Uncertainty in Income Taxes</w:t>
      </w:r>
    </w:p>
    <w:p>
      <w:pPr>
        <w:spacing w:after="0" w:line="262"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 xml:space="preserve">In June 2006, the FASB issued FIN 48, </w:t>
      </w:r>
      <w:r>
        <w:rPr>
          <w:rFonts w:ascii="Arial" w:cs="Arial" w:eastAsia="Arial" w:hAnsi="Arial"/>
          <w:sz w:val="14"/>
          <w:szCs w:val="14"/>
          <w:i w:val="1"/>
          <w:iCs w:val="1"/>
          <w:color w:val="auto"/>
        </w:rPr>
        <w:t>Accounting for Uncertainty in Income Taxes – an Interpretation of FASB Statement No. 109, Accounting for Income Taxes</w:t>
      </w:r>
      <w:r>
        <w:rPr>
          <w:rFonts w:ascii="Arial" w:cs="Arial" w:eastAsia="Arial" w:hAnsi="Arial"/>
          <w:sz w:val="14"/>
          <w:szCs w:val="14"/>
          <w:color w:val="auto"/>
        </w:rPr>
        <w:t>. The Interpretation addresses the determination of whether tax benefits claimed or expected to be claimed on a tax return should be recorded in the financial statements.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Under FIN 48, the Company may recognize the tax benefits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recognized upon ultimate settlement.</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FIN 48 also provides guidance on derecognition, classification, interest and penalties on income taxes, accounting in interim periods and requires increased disclosures.</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adopted the provisions of FIN 48 effective January 1, 2007. As a result of the implementation of FIN 48, the Company maintains a $11.2 million liability for unrecognized tax benefit, which is comprised of $10.2 million related to items generating unrecognized tax benefits and $1.0 million for interest and related penalties to such items. The Company recognizes interest accrued on unrecognized tax benefits as an additional income tax expense.</w:t>
      </w:r>
    </w:p>
    <w:p>
      <w:pPr>
        <w:spacing w:after="0" w:line="212"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Any recognition of an unrecognized tax liability would impact the Company’s effective tax rate in that period. We do not anticipate that the total unrecognized tax benefits or our effective tax rate will significantly change due to the settlement of audits and the expiration of statutes of limitations within the next 12 months.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2003 through 2006 tax years. The Company does not believe that the outcome of any examination will have a material impact on its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Net income per ordinary share</w:t>
      </w:r>
    </w:p>
    <w:p>
      <w:pPr>
        <w:spacing w:after="0" w:line="26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number of shares used in the computation of basic and diluted net income per ordinary share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80" w:type="dxa"/>
            <w:vAlign w:val="bottom"/>
            <w:gridSpan w:val="9"/>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10"/>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Sept 30,</w:t>
            </w: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Sept 30,</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w w:val="85"/>
              </w:rPr>
              <w:t>Sept 30,</w:t>
            </w:r>
          </w:p>
        </w:tc>
        <w:tc>
          <w:tcPr>
            <w:tcW w:w="360" w:type="dxa"/>
            <w:vAlign w:val="bottom"/>
            <w:tcBorders>
              <w:top w:val="single" w:sz="8" w:color="auto"/>
            </w:tcBorders>
          </w:tcPr>
          <w:p>
            <w:pPr>
              <w:spacing w:after="0"/>
              <w:rPr>
                <w:sz w:val="13"/>
                <w:szCs w:val="13"/>
                <w:color w:val="auto"/>
              </w:rPr>
            </w:pPr>
          </w:p>
        </w:tc>
        <w:tc>
          <w:tcPr>
            <w:tcW w:w="74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Sept 30,</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880" w:type="dxa"/>
            <w:vAlign w:val="bottom"/>
            <w:gridSpan w:val="2"/>
          </w:tcPr>
          <w:p>
            <w:pPr>
              <w:spacing w:after="0"/>
              <w:rPr>
                <w:sz w:val="14"/>
                <w:szCs w:val="14"/>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84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rPr>
              <w:t>2007</w:t>
            </w:r>
          </w:p>
        </w:tc>
        <w:tc>
          <w:tcPr>
            <w:tcW w:w="1100" w:type="dxa"/>
            <w:vAlign w:val="bottom"/>
            <w:gridSpan w:val="5"/>
          </w:tcPr>
          <w:p>
            <w:pPr>
              <w:jc w:val="right"/>
              <w:ind w:right="100"/>
              <w:spacing w:after="0" w:line="155" w:lineRule="exact"/>
              <w:rPr>
                <w:sz w:val="20"/>
                <w:szCs w:val="20"/>
                <w:color w:val="auto"/>
              </w:rPr>
            </w:pPr>
            <w:r>
              <w:rPr>
                <w:rFonts w:ascii="Arial" w:cs="Arial" w:eastAsia="Arial" w:hAnsi="Arial"/>
                <w:sz w:val="14"/>
                <w:szCs w:val="14"/>
                <w:b w:val="1"/>
                <w:bCs w:val="1"/>
                <w:color w:val="auto"/>
              </w:rPr>
              <w:t>2006</w:t>
            </w:r>
          </w:p>
        </w:tc>
      </w:tr>
      <w:tr>
        <w:trPr>
          <w:trHeight w:val="170"/>
        </w:trPr>
        <w:tc>
          <w:tcPr>
            <w:tcW w:w="20" w:type="dxa"/>
            <w:vAlign w:val="bottom"/>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ordinary shares outstanding for</w:t>
            </w: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 net income per ordinary share</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28,760,726</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28,351,525</w:t>
            </w:r>
          </w:p>
        </w:tc>
        <w:tc>
          <w:tcPr>
            <w:tcW w:w="340" w:type="dxa"/>
            <w:vAlign w:val="bottom"/>
            <w:shd w:val="clear" w:color="auto" w:fill="CCEEFF"/>
          </w:tcPr>
          <w:p>
            <w:pPr>
              <w:spacing w:after="0"/>
              <w:rPr>
                <w:sz w:val="15"/>
                <w:szCs w:val="15"/>
                <w:color w:val="auto"/>
              </w:rPr>
            </w:pPr>
          </w:p>
        </w:tc>
        <w:tc>
          <w:tcPr>
            <w:tcW w:w="1360" w:type="dxa"/>
            <w:vAlign w:val="bottom"/>
            <w:gridSpan w:val="5"/>
            <w:shd w:val="clear" w:color="auto" w:fill="CCEEFF"/>
          </w:tcPr>
          <w:p>
            <w:pPr>
              <w:jc w:val="right"/>
              <w:ind w:right="360"/>
              <w:spacing w:after="0"/>
              <w:rPr>
                <w:sz w:val="20"/>
                <w:szCs w:val="20"/>
                <w:color w:val="auto"/>
              </w:rPr>
            </w:pPr>
            <w:r>
              <w:rPr>
                <w:rFonts w:ascii="Arial" w:cs="Arial" w:eastAsia="Arial" w:hAnsi="Arial"/>
                <w:sz w:val="14"/>
                <w:szCs w:val="14"/>
                <w:color w:val="auto"/>
              </w:rPr>
              <w:t>28,669,798</w:t>
            </w: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28,333,823</w:t>
            </w:r>
          </w:p>
        </w:tc>
      </w:tr>
      <w:tr>
        <w:trPr>
          <w:trHeight w:val="183"/>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Effect of dilutive share options outstanding</w:t>
            </w:r>
          </w:p>
        </w:tc>
        <w:tc>
          <w:tcPr>
            <w:tcW w:w="1160" w:type="dxa"/>
            <w:vAlign w:val="bottom"/>
            <w:gridSpan w:val="4"/>
          </w:tcPr>
          <w:p>
            <w:pPr>
              <w:jc w:val="right"/>
              <w:spacing w:after="0"/>
              <w:rPr>
                <w:sz w:val="20"/>
                <w:szCs w:val="20"/>
                <w:color w:val="auto"/>
              </w:rPr>
            </w:pPr>
            <w:r>
              <w:rPr>
                <w:rFonts w:ascii="Arial" w:cs="Arial" w:eastAsia="Arial" w:hAnsi="Arial"/>
                <w:sz w:val="14"/>
                <w:szCs w:val="14"/>
                <w:color w:val="auto"/>
              </w:rPr>
              <w:t>1,065,731</w:t>
            </w:r>
          </w:p>
        </w:tc>
        <w:tc>
          <w:tcPr>
            <w:tcW w:w="1720" w:type="dxa"/>
            <w:vAlign w:val="bottom"/>
            <w:gridSpan w:val="5"/>
          </w:tcPr>
          <w:p>
            <w:pPr>
              <w:jc w:val="right"/>
              <w:ind w:right="340"/>
              <w:spacing w:after="0"/>
              <w:rPr>
                <w:sz w:val="20"/>
                <w:szCs w:val="20"/>
                <w:color w:val="auto"/>
              </w:rPr>
            </w:pPr>
            <w:r>
              <w:rPr>
                <w:rFonts w:ascii="Arial" w:cs="Arial" w:eastAsia="Arial" w:hAnsi="Arial"/>
                <w:sz w:val="14"/>
                <w:szCs w:val="14"/>
                <w:color w:val="auto"/>
              </w:rPr>
              <w:t>733,555</w:t>
            </w:r>
          </w:p>
        </w:tc>
        <w:tc>
          <w:tcPr>
            <w:tcW w:w="1360" w:type="dxa"/>
            <w:vAlign w:val="bottom"/>
            <w:gridSpan w:val="5"/>
          </w:tcPr>
          <w:p>
            <w:pPr>
              <w:jc w:val="right"/>
              <w:ind w:right="360"/>
              <w:spacing w:after="0"/>
              <w:rPr>
                <w:sz w:val="20"/>
                <w:szCs w:val="20"/>
                <w:color w:val="auto"/>
              </w:rPr>
            </w:pPr>
            <w:r>
              <w:rPr>
                <w:rFonts w:ascii="Arial" w:cs="Arial" w:eastAsia="Arial" w:hAnsi="Arial"/>
                <w:sz w:val="14"/>
                <w:szCs w:val="14"/>
                <w:color w:val="auto"/>
              </w:rPr>
              <w:t>1,044,787</w:t>
            </w:r>
          </w:p>
        </w:tc>
        <w:tc>
          <w:tcPr>
            <w:tcW w:w="1100" w:type="dxa"/>
            <w:vAlign w:val="bottom"/>
            <w:gridSpan w:val="5"/>
          </w:tcPr>
          <w:p>
            <w:pPr>
              <w:jc w:val="right"/>
              <w:ind w:right="100"/>
              <w:spacing w:after="0"/>
              <w:rPr>
                <w:sz w:val="20"/>
                <w:szCs w:val="20"/>
                <w:color w:val="auto"/>
              </w:rPr>
            </w:pPr>
            <w:r>
              <w:rPr>
                <w:rFonts w:ascii="Arial" w:cs="Arial" w:eastAsia="Arial" w:hAnsi="Arial"/>
                <w:sz w:val="14"/>
                <w:szCs w:val="14"/>
                <w:color w:val="auto"/>
              </w:rPr>
              <w:t>376,109</w:t>
            </w:r>
          </w:p>
        </w:tc>
      </w:tr>
      <w:tr>
        <w:trPr>
          <w:trHeight w:val="170"/>
        </w:trPr>
        <w:tc>
          <w:tcPr>
            <w:tcW w:w="20" w:type="dxa"/>
            <w:vAlign w:val="bottom"/>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ordinary shares for diluted net</w:t>
            </w: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income per ordinary share</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29,826,457</w:t>
            </w: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29,085,080</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5"/>
            <w:shd w:val="clear" w:color="auto" w:fill="CCEEFF"/>
          </w:tcPr>
          <w:p>
            <w:pPr>
              <w:jc w:val="right"/>
              <w:ind w:right="360"/>
              <w:spacing w:after="0"/>
              <w:rPr>
                <w:sz w:val="20"/>
                <w:szCs w:val="20"/>
                <w:color w:val="auto"/>
              </w:rPr>
            </w:pPr>
            <w:r>
              <w:rPr>
                <w:rFonts w:ascii="Arial" w:cs="Arial" w:eastAsia="Arial" w:hAnsi="Arial"/>
                <w:sz w:val="14"/>
                <w:szCs w:val="14"/>
                <w:color w:val="auto"/>
              </w:rPr>
              <w:t>29,714,585</w:t>
            </w: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28,709,932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Stock Options</w:t>
      </w:r>
    </w:p>
    <w:p>
      <w:pPr>
        <w:spacing w:after="0" w:line="248"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An aggregate of 3.0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No options can be granted after January 17, 2013.</w:t>
      </w:r>
    </w:p>
    <w:p>
      <w:pPr>
        <w:spacing w:after="0" w:line="2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In December 2004, the Financial Accounting Standards Board (“FASB”) issued Statement of Accounting Standards (“SFAS”) 123 (revised 2004), </w:t>
      </w:r>
      <w:r>
        <w:rPr>
          <w:rFonts w:ascii="Arial" w:cs="Arial" w:eastAsia="Arial" w:hAnsi="Arial"/>
          <w:sz w:val="14"/>
          <w:szCs w:val="14"/>
          <w:i w:val="1"/>
          <w:iCs w:val="1"/>
          <w:color w:val="auto"/>
        </w:rPr>
        <w:t>Share Based Payment</w:t>
      </w:r>
      <w:r>
        <w:rPr>
          <w:rFonts w:ascii="Arial" w:cs="Arial" w:eastAsia="Arial" w:hAnsi="Arial"/>
          <w:sz w:val="14"/>
          <w:szCs w:val="14"/>
          <w:color w:val="auto"/>
        </w:rPr>
        <w:t xml:space="preserve"> (“SFAS 123R”) which replaced SFAS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and supersedes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216"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three months ended September 30, 2007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The following table summarizes option activity for the nine months ended September 30, 2007:</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60" w:type="dxa"/>
            <w:vAlign w:val="bottom"/>
          </w:tcPr>
          <w:p>
            <w:pPr>
              <w:jc w:val="right"/>
              <w:ind w:right="188"/>
              <w:spacing w:after="0"/>
              <w:rPr>
                <w:sz w:val="20"/>
                <w:szCs w:val="20"/>
                <w:color w:val="auto"/>
              </w:rPr>
            </w:pPr>
            <w:r>
              <w:rPr>
                <w:rFonts w:ascii="Arial" w:cs="Arial" w:eastAsia="Arial" w:hAnsi="Arial"/>
                <w:sz w:val="14"/>
                <w:szCs w:val="14"/>
                <w:b w:val="1"/>
                <w:bCs w:val="1"/>
                <w:color w:val="auto"/>
                <w:w w:val="99"/>
              </w:rPr>
              <w:t>Options Outstanding</w:t>
            </w:r>
          </w:p>
        </w:tc>
        <w:tc>
          <w:tcPr>
            <w:tcW w:w="360" w:type="dxa"/>
            <w:vAlign w:val="bottom"/>
          </w:tcPr>
          <w:p>
            <w:pPr>
              <w:spacing w:after="0"/>
              <w:rPr>
                <w:sz w:val="15"/>
                <w:szCs w:val="15"/>
                <w:color w:val="auto"/>
              </w:rPr>
            </w:pP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5"/>
                <w:szCs w:val="15"/>
                <w:color w:val="auto"/>
              </w:rPr>
            </w:pPr>
          </w:p>
        </w:tc>
        <w:tc>
          <w:tcPr>
            <w:tcW w:w="1520" w:type="dxa"/>
            <w:vAlign w:val="bottom"/>
          </w:tcPr>
          <w:p>
            <w:pPr>
              <w:jc w:val="center"/>
              <w:ind w:right="468"/>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 Shares</w:t>
            </w:r>
          </w:p>
        </w:tc>
        <w:tc>
          <w:tcPr>
            <w:tcW w:w="360" w:type="dxa"/>
            <w:vAlign w:val="bottom"/>
          </w:tcPr>
          <w:p>
            <w:pPr>
              <w:spacing w:after="0"/>
              <w:rPr>
                <w:sz w:val="15"/>
                <w:szCs w:val="15"/>
                <w:color w:val="auto"/>
              </w:rPr>
            </w:pPr>
          </w:p>
        </w:tc>
        <w:tc>
          <w:tcPr>
            <w:tcW w:w="1320" w:type="dxa"/>
            <w:vAlign w:val="bottom"/>
          </w:tcPr>
          <w:p>
            <w:pPr>
              <w:jc w:val="center"/>
              <w:ind w:right="288"/>
              <w:spacing w:after="0"/>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5"/>
                <w:szCs w:val="15"/>
                <w:color w:val="auto"/>
              </w:rPr>
            </w:pPr>
          </w:p>
        </w:tc>
        <w:tc>
          <w:tcPr>
            <w:tcW w:w="1520" w:type="dxa"/>
            <w:vAlign w:val="bottom"/>
          </w:tcPr>
          <w:p>
            <w:pPr>
              <w:jc w:val="center"/>
              <w:ind w:right="468"/>
              <w:spacing w:after="0"/>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9"/>
                <w:szCs w:val="9"/>
                <w:color w:val="auto"/>
              </w:rPr>
            </w:pPr>
          </w:p>
        </w:tc>
        <w:tc>
          <w:tcPr>
            <w:tcW w:w="1520" w:type="dxa"/>
            <w:vAlign w:val="bottom"/>
            <w:vMerge w:val="restart"/>
          </w:tcPr>
          <w:p>
            <w:pPr>
              <w:jc w:val="center"/>
              <w:ind w:right="468"/>
              <w:spacing w:after="0"/>
              <w:rPr>
                <w:sz w:val="20"/>
                <w:szCs w:val="20"/>
                <w:color w:val="auto"/>
              </w:rPr>
            </w:pPr>
            <w:r>
              <w:rPr>
                <w:rFonts w:ascii="Arial" w:cs="Arial" w:eastAsia="Arial" w:hAnsi="Arial"/>
                <w:sz w:val="14"/>
                <w:szCs w:val="14"/>
                <w:b w:val="1"/>
                <w:bCs w:val="1"/>
                <w:color w:val="auto"/>
                <w:w w:val="98"/>
              </w:rPr>
              <w:t>Fair Value</w:t>
            </w:r>
          </w:p>
        </w:tc>
        <w:tc>
          <w:tcPr>
            <w:tcW w:w="15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December 31, 2006</w:t>
            </w: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2,321,852</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18.61</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8.45</w:t>
            </w:r>
          </w:p>
        </w:tc>
        <w:tc>
          <w:tcPr>
            <w:tcW w:w="14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625,415</w:t>
            </w: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42.51</w:t>
            </w:r>
          </w:p>
        </w:tc>
        <w:tc>
          <w:tcPr>
            <w:tcW w:w="36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18.23</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Exercised</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(265,276)</w:t>
            </w:r>
          </w:p>
        </w:tc>
        <w:tc>
          <w:tcPr>
            <w:tcW w:w="36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16.54</w:t>
            </w:r>
          </w:p>
        </w:tc>
        <w:tc>
          <w:tcPr>
            <w:tcW w:w="36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7.73</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Forfeited</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(121,143)</w:t>
            </w:r>
          </w:p>
        </w:tc>
        <w:tc>
          <w:tcPr>
            <w:tcW w:w="3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24.14</w:t>
            </w:r>
          </w:p>
        </w:tc>
        <w:tc>
          <w:tcPr>
            <w:tcW w:w="3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10.66</w:t>
            </w:r>
          </w:p>
        </w:tc>
        <w:tc>
          <w:tcPr>
            <w:tcW w:w="14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September 30, 2007</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2,560,848</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24.36</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10.81</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Borders>
              <w:top w:val="single" w:sz="8" w:color="CCEEFF"/>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Exercisable at September 30, 2007</w:t>
            </w: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720,670</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18.92</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8.65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2007 is eight years.</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weighted average fair value of stock options granted during the nine months ended September 30, 2007 calculated using the Black-Scholes option pricing model, was $18.23 based on the following assumptions; dividend yield - 0%, risk free interest rate – 4.7%, expected volatility - 40% and weighted average expected life – 5.11 years.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gilts zero-coupon yield curve in effect at time of grant for periods corresponding with the expected life of the option.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Income from operations for the nine months ended September 30, 2007 is stated after charging $3.9 million in respect of non-cash stock compensation expense. Basic and diluted earnings per share for the nine months ended September 30, 2007 had SFAS 123R not been introduced would have been $1.54 and $1.47 respectively. Non-cash stock compensation expense for the nine months ended September 30, 2007 has been allocated to direct costs and selling, general and administrative expenses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5"/>
              </w:rPr>
              <w:t>Sept 30,</w:t>
            </w:r>
          </w:p>
        </w:tc>
        <w:tc>
          <w:tcPr>
            <w:tcW w:w="380" w:type="dxa"/>
            <w:vAlign w:val="bottom"/>
          </w:tcPr>
          <w:p>
            <w:pPr>
              <w:spacing w:after="0"/>
              <w:rPr>
                <w:sz w:val="14"/>
                <w:szCs w:val="14"/>
                <w:color w:val="auto"/>
              </w:rPr>
            </w:pPr>
          </w:p>
        </w:tc>
        <w:tc>
          <w:tcPr>
            <w:tcW w:w="1440" w:type="dxa"/>
            <w:vAlign w:val="bottom"/>
            <w:gridSpan w:val="5"/>
          </w:tcPr>
          <w:p>
            <w:pPr>
              <w:jc w:val="center"/>
              <w:ind w:left="148"/>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Sept 30,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Borders>
              <w:top w:val="single" w:sz="8" w:color="auto"/>
            </w:tcBorders>
            <w:gridSpan w:val="4"/>
          </w:tcPr>
          <w:p>
            <w:pPr>
              <w:jc w:val="right"/>
              <w:ind w:right="760"/>
              <w:spacing w:after="0" w:line="155" w:lineRule="exact"/>
              <w:rPr>
                <w:sz w:val="20"/>
                <w:szCs w:val="20"/>
                <w:color w:val="auto"/>
              </w:rPr>
            </w:pPr>
            <w:r>
              <w:rPr>
                <w:rFonts w:ascii="Arial" w:cs="Arial" w:eastAsia="Arial" w:hAnsi="Arial"/>
                <w:sz w:val="14"/>
                <w:szCs w:val="14"/>
                <w:b w:val="1"/>
                <w:bCs w:val="1"/>
                <w:color w:val="auto"/>
                <w:w w:val="96"/>
              </w:rPr>
              <w:t>Sept 30,</w:t>
            </w:r>
          </w:p>
        </w:tc>
        <w:tc>
          <w:tcPr>
            <w:tcW w:w="2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Sept 30,</w:t>
            </w:r>
          </w:p>
        </w:tc>
        <w:tc>
          <w:tcPr>
            <w:tcW w:w="600" w:type="dxa"/>
            <w:vAlign w:val="bottom"/>
            <w:gridSpan w:val="4"/>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(In thousands</w:t>
            </w:r>
            <w:r>
              <w:rPr>
                <w:rFonts w:ascii="Arial" w:cs="Arial" w:eastAsia="Arial" w:hAnsi="Arial"/>
                <w:sz w:val="14"/>
                <w:szCs w:val="14"/>
                <w:color w:val="auto"/>
                <w:w w:val="93"/>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(In thousands</w:t>
            </w:r>
            <w:r>
              <w:rPr>
                <w:rFonts w:ascii="Arial" w:cs="Arial" w:eastAsia="Arial" w:hAnsi="Arial"/>
                <w:sz w:val="14"/>
                <w:szCs w:val="14"/>
                <w:color w:val="auto"/>
                <w:w w:val="93"/>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Direct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5"/>
            <w:shd w:val="clear" w:color="auto" w:fill="CCEEFF"/>
          </w:tcPr>
          <w:p>
            <w:pPr>
              <w:jc w:val="right"/>
              <w:ind w:right="700"/>
              <w:spacing w:after="0"/>
              <w:rPr>
                <w:sz w:val="20"/>
                <w:szCs w:val="20"/>
                <w:color w:val="auto"/>
              </w:rPr>
            </w:pPr>
            <w:r>
              <w:rPr>
                <w:rFonts w:ascii="Arial" w:cs="Arial" w:eastAsia="Arial" w:hAnsi="Arial"/>
                <w:sz w:val="14"/>
                <w:szCs w:val="14"/>
                <w:color w:val="auto"/>
              </w:rPr>
              <w:t>2,167</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1,649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5"/>
                <w:szCs w:val="15"/>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620</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5"/>
          </w:tcPr>
          <w:p>
            <w:pPr>
              <w:jc w:val="right"/>
              <w:ind w:right="700"/>
              <w:spacing w:after="0"/>
              <w:rPr>
                <w:sz w:val="20"/>
                <w:szCs w:val="20"/>
                <w:color w:val="auto"/>
              </w:rPr>
            </w:pPr>
            <w:r>
              <w:rPr>
                <w:rFonts w:ascii="Arial" w:cs="Arial" w:eastAsia="Arial" w:hAnsi="Arial"/>
                <w:sz w:val="14"/>
                <w:szCs w:val="14"/>
                <w:color w:val="auto"/>
              </w:rPr>
              <w:t>1,773</w:t>
            </w:r>
          </w:p>
        </w:tc>
        <w:tc>
          <w:tcPr>
            <w:tcW w:w="600" w:type="dxa"/>
            <w:vAlign w:val="bottom"/>
            <w:gridSpan w:val="4"/>
          </w:tcPr>
          <w:p>
            <w:pPr>
              <w:jc w:val="right"/>
              <w:ind w:right="100"/>
              <w:spacing w:after="0"/>
              <w:rPr>
                <w:sz w:val="20"/>
                <w:szCs w:val="20"/>
                <w:color w:val="auto"/>
              </w:rPr>
            </w:pPr>
            <w:r>
              <w:rPr>
                <w:rFonts w:ascii="Arial" w:cs="Arial" w:eastAsia="Arial" w:hAnsi="Arial"/>
                <w:sz w:val="14"/>
                <w:szCs w:val="14"/>
                <w:color w:val="auto"/>
              </w:rPr>
              <w:t>1,344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gridSpan w:val="5"/>
          </w:tcPr>
          <w:p>
            <w:pPr>
              <w:jc w:val="right"/>
              <w:ind w:right="760"/>
              <w:spacing w:after="0"/>
              <w:rPr>
                <w:sz w:val="20"/>
                <w:szCs w:val="20"/>
                <w:color w:val="auto"/>
              </w:rPr>
            </w:pPr>
            <w:r>
              <w:rPr>
                <w:rFonts w:ascii="Arial" w:cs="Arial" w:eastAsia="Arial" w:hAnsi="Arial"/>
                <w:sz w:val="14"/>
                <w:szCs w:val="14"/>
                <w:color w:val="auto"/>
              </w:rPr>
              <w:t>1,380</w:t>
            </w:r>
          </w:p>
        </w:tc>
        <w:tc>
          <w:tcPr>
            <w:tcW w:w="20" w:type="dxa"/>
            <w:vAlign w:val="bottom"/>
          </w:tcPr>
          <w:p>
            <w:pPr>
              <w:spacing w:after="0"/>
              <w:rPr>
                <w:sz w:val="15"/>
                <w:szCs w:val="15"/>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1,025</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5"/>
          </w:tcPr>
          <w:p>
            <w:pPr>
              <w:jc w:val="right"/>
              <w:ind w:right="700"/>
              <w:spacing w:after="0"/>
              <w:rPr>
                <w:sz w:val="20"/>
                <w:szCs w:val="20"/>
                <w:color w:val="auto"/>
              </w:rPr>
            </w:pPr>
            <w:r>
              <w:rPr>
                <w:rFonts w:ascii="Arial" w:cs="Arial" w:eastAsia="Arial" w:hAnsi="Arial"/>
                <w:sz w:val="14"/>
                <w:szCs w:val="14"/>
                <w:color w:val="auto"/>
              </w:rPr>
              <w:t>3,940</w:t>
            </w:r>
          </w:p>
        </w:tc>
        <w:tc>
          <w:tcPr>
            <w:tcW w:w="600" w:type="dxa"/>
            <w:vAlign w:val="bottom"/>
            <w:gridSpan w:val="4"/>
          </w:tcPr>
          <w:p>
            <w:pPr>
              <w:jc w:val="right"/>
              <w:ind w:right="100"/>
              <w:spacing w:after="0"/>
              <w:rPr>
                <w:sz w:val="20"/>
                <w:szCs w:val="20"/>
                <w:color w:val="auto"/>
              </w:rPr>
            </w:pPr>
            <w:r>
              <w:rPr>
                <w:rFonts w:ascii="Arial" w:cs="Arial" w:eastAsia="Arial" w:hAnsi="Arial"/>
                <w:sz w:val="14"/>
                <w:szCs w:val="14"/>
                <w:color w:val="auto"/>
              </w:rPr>
              <w:t>2,993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6080" w:type="dxa"/>
            <w:vAlign w:val="bottom"/>
            <w:gridSpan w:val="2"/>
          </w:tcPr>
          <w:p>
            <w:pPr>
              <w:spacing w:after="0"/>
              <w:rPr>
                <w:sz w:val="20"/>
                <w:szCs w:val="20"/>
                <w:color w:val="auto"/>
              </w:rPr>
            </w:pPr>
            <w:r>
              <w:rPr>
                <w:rFonts w:ascii="Arial" w:cs="Arial" w:eastAsia="Arial" w:hAnsi="Arial"/>
                <w:sz w:val="14"/>
                <w:szCs w:val="14"/>
                <w:color w:val="auto"/>
              </w:rPr>
              <w:t>Non vested shares outstanding as at September 30, 2007 are as follows:</w:t>
            </w:r>
          </w:p>
        </w:tc>
        <w:tc>
          <w:tcPr>
            <w:tcW w:w="1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74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5"/>
                <w:szCs w:val="15"/>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b w:val="1"/>
                <w:bCs w:val="1"/>
                <w:color w:val="auto"/>
                <w:w w:val="96"/>
              </w:rPr>
              <w:t>Weighted Average</w:t>
            </w:r>
          </w:p>
        </w:tc>
        <w:tc>
          <w:tcPr>
            <w:tcW w:w="26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74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Number of Shares</w:t>
            </w:r>
          </w:p>
        </w:tc>
        <w:tc>
          <w:tcPr>
            <w:tcW w:w="260" w:type="dxa"/>
            <w:vAlign w:val="bottom"/>
          </w:tcPr>
          <w:p>
            <w:pPr>
              <w:spacing w:after="0"/>
              <w:rPr>
                <w:sz w:val="16"/>
                <w:szCs w:val="16"/>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Non vested outstanding at December 31, 2006</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1,788,308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625,415</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42.51</w:t>
            </w:r>
          </w:p>
        </w:tc>
        <w:tc>
          <w:tcPr>
            <w:tcW w:w="2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Vested</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(452,402)</w:t>
            </w:r>
          </w:p>
        </w:tc>
        <w:tc>
          <w:tcPr>
            <w:tcW w:w="26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20.69</w:t>
            </w:r>
          </w:p>
        </w:tc>
        <w:tc>
          <w:tcPr>
            <w:tcW w:w="2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(121,143)</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24.14</w:t>
            </w:r>
          </w:p>
        </w:tc>
        <w:tc>
          <w:tcPr>
            <w:tcW w:w="2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 vested outstanding at September 30, 2007</w:t>
            </w: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1,840,178</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26.49</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As at September 30, 2007, total unrecognized compensation cost related to unvested options, which the Company expects to recognize over a weighted average period of 2.18 years, amounted to</w:t>
      </w:r>
    </w:p>
    <w:p>
      <w:pPr>
        <w:spacing w:after="0" w:line="1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$14.28 million. The Company has granted options with fair values ranging from $5.22 to $23.33 per option or a weighted average fair value of $9.69 per option. The Company issues new ordinary shares for all options exercised. The total amount of fully vested share options which remained outstanding at September 30, 2007 was 720,670. The fully vested options have an average remaining contractual term of 4.55 years and average exercise price of $18.92. The total intrinsic value of options exercised during the period was $10.29 million (three months ended September 30, 2006 was $.38 million).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Business Segment Information</w:t>
      </w:r>
    </w:p>
    <w:p>
      <w:pPr>
        <w:spacing w:after="0" w:line="262" w:lineRule="exact"/>
        <w:rPr>
          <w:sz w:val="20"/>
          <w:szCs w:val="20"/>
          <w:color w:val="auto"/>
        </w:rPr>
      </w:pPr>
    </w:p>
    <w:p>
      <w:pPr>
        <w:jc w:val="both"/>
        <w:ind w:right="20"/>
        <w:spacing w:after="0" w:line="277" w:lineRule="auto"/>
        <w:rPr>
          <w:sz w:val="20"/>
          <w:szCs w:val="20"/>
          <w:color w:val="auto"/>
        </w:rPr>
      </w:pPr>
      <w:r>
        <w:rPr>
          <w:rFonts w:ascii="Arial" w:cs="Arial" w:eastAsia="Arial" w:hAnsi="Arial"/>
          <w:sz w:val="14"/>
          <w:szCs w:val="14"/>
          <w:color w:val="auto"/>
        </w:rPr>
        <w:t>The Company's areas of operation outside of Ireland principally include the United Kingdom, United States, Germany, Australia, New Zealand, Argentina, Chile, France, Italy, Japan, Israel, Singapore, Canada, Sweden, Denmark, Finland, The Netherlands, Latvia, Russia, Lithuania, Poland, Taiwan, Hong Kong, South Africa, Spain, Hungary, India, Mexico, Brazil, South Korea, China, Thailand and Peru. Segment information for the three and nine month periods ended September 30, 2007 and September 30, 2006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a) The distribution of net revenue by geographical area was as follows: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10"/>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7"/>
                <w:szCs w:val="17"/>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7"/>
                <w:szCs w:val="17"/>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100" w:type="dxa"/>
            <w:vAlign w:val="bottom"/>
            <w:gridSpan w:val="5"/>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6"/>
        </w:trPr>
        <w:tc>
          <w:tcPr>
            <w:tcW w:w="5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3"/>
          </w:tcPr>
          <w:p>
            <w:pPr>
              <w:jc w:val="right"/>
              <w:spacing w:after="0" w:line="136"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1"/>
                <w:szCs w:val="11"/>
                <w:color w:val="auto"/>
              </w:rPr>
            </w:pPr>
          </w:p>
        </w:tc>
        <w:tc>
          <w:tcPr>
            <w:tcW w:w="880" w:type="dxa"/>
            <w:vAlign w:val="bottom"/>
            <w:gridSpan w:val="3"/>
          </w:tcPr>
          <w:p>
            <w:pPr>
              <w:jc w:val="right"/>
              <w:spacing w:after="0" w:line="136"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right"/>
              <w:ind w:right="120"/>
              <w:spacing w:after="0" w:line="136"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right"/>
              <w:spacing w:after="0" w:line="136"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9"/>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r>
      <w:tr>
        <w:trPr>
          <w:trHeight w:val="176"/>
        </w:trPr>
        <w:tc>
          <w:tcPr>
            <w:tcW w:w="580" w:type="dxa"/>
            <w:vAlign w:val="bottom"/>
          </w:tcPr>
          <w:p>
            <w:pPr>
              <w:spacing w:after="0"/>
              <w:rPr>
                <w:sz w:val="15"/>
                <w:szCs w:val="15"/>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Ireland*</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20,047</w:t>
            </w:r>
          </w:p>
        </w:tc>
        <w:tc>
          <w:tcPr>
            <w:tcW w:w="520" w:type="dxa"/>
            <w:vAlign w:val="bottom"/>
            <w:tcBorders>
              <w:lef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11,889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70,435</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31,199</w:t>
            </w:r>
          </w:p>
        </w:tc>
      </w:tr>
      <w:tr>
        <w:trPr>
          <w:trHeight w:val="176"/>
        </w:trPr>
        <w:tc>
          <w:tcPr>
            <w:tcW w:w="58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Rest of Europe</w:t>
            </w:r>
          </w:p>
        </w:tc>
        <w:tc>
          <w:tcPr>
            <w:tcW w:w="10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47,598</w:t>
            </w:r>
          </w:p>
        </w:tc>
        <w:tc>
          <w:tcPr>
            <w:tcW w:w="520" w:type="dxa"/>
            <w:vAlign w:val="bottom"/>
          </w:tcPr>
          <w:p>
            <w:pPr>
              <w:spacing w:after="0"/>
              <w:rPr>
                <w:sz w:val="15"/>
                <w:szCs w:val="15"/>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auto"/>
              </w:rPr>
              <w:t>28,322</w:t>
            </w:r>
          </w:p>
        </w:tc>
        <w:tc>
          <w:tcPr>
            <w:tcW w:w="280" w:type="dxa"/>
            <w:vAlign w:val="bottom"/>
          </w:tcPr>
          <w:p>
            <w:pPr>
              <w:spacing w:after="0"/>
              <w:rPr>
                <w:sz w:val="15"/>
                <w:szCs w:val="15"/>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4"/>
                <w:szCs w:val="14"/>
                <w:color w:val="auto"/>
              </w:rPr>
              <w:t>115,147</w:t>
            </w:r>
          </w:p>
        </w:tc>
        <w:tc>
          <w:tcPr>
            <w:tcW w:w="300" w:type="dxa"/>
            <w:vAlign w:val="bottom"/>
          </w:tcPr>
          <w:p>
            <w:pPr>
              <w:spacing w:after="0"/>
              <w:rPr>
                <w:sz w:val="15"/>
                <w:szCs w:val="15"/>
                <w:color w:val="auto"/>
              </w:rPr>
            </w:pPr>
          </w:p>
        </w:tc>
        <w:tc>
          <w:tcPr>
            <w:tcW w:w="1100" w:type="dxa"/>
            <w:vAlign w:val="bottom"/>
            <w:gridSpan w:val="5"/>
          </w:tcPr>
          <w:p>
            <w:pPr>
              <w:jc w:val="right"/>
              <w:ind w:right="100"/>
              <w:spacing w:after="0"/>
              <w:rPr>
                <w:sz w:val="20"/>
                <w:szCs w:val="20"/>
                <w:color w:val="auto"/>
              </w:rPr>
            </w:pPr>
            <w:r>
              <w:rPr>
                <w:rFonts w:ascii="Arial" w:cs="Arial" w:eastAsia="Arial" w:hAnsi="Arial"/>
                <w:sz w:val="14"/>
                <w:szCs w:val="14"/>
                <w:color w:val="auto"/>
              </w:rPr>
              <w:t>74,447</w:t>
            </w:r>
          </w:p>
        </w:tc>
      </w:tr>
      <w:tr>
        <w:trPr>
          <w:trHeight w:val="176"/>
        </w:trPr>
        <w:tc>
          <w:tcPr>
            <w:tcW w:w="580" w:type="dxa"/>
            <w:vAlign w:val="bottom"/>
          </w:tcPr>
          <w:p>
            <w:pPr>
              <w:spacing w:after="0"/>
              <w:rPr>
                <w:sz w:val="15"/>
                <w:szCs w:val="15"/>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w:t>
            </w:r>
          </w:p>
        </w:tc>
        <w:tc>
          <w:tcPr>
            <w:tcW w:w="10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88,552</w:t>
            </w:r>
          </w:p>
        </w:tc>
        <w:tc>
          <w:tcPr>
            <w:tcW w:w="520" w:type="dxa"/>
            <w:vAlign w:val="bottom"/>
            <w:tcBorders>
              <w:left w:val="single" w:sz="8" w:color="CCEEFF"/>
            </w:tcBorders>
            <w:shd w:val="clear" w:color="auto" w:fill="CCEEFF"/>
          </w:tcPr>
          <w:p>
            <w:pPr>
              <w:spacing w:after="0"/>
              <w:rPr>
                <w:sz w:val="15"/>
                <w:szCs w:val="15"/>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72,471</w:t>
            </w:r>
          </w:p>
        </w:tc>
        <w:tc>
          <w:tcPr>
            <w:tcW w:w="28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237,545</w:t>
            </w:r>
          </w:p>
        </w:tc>
        <w:tc>
          <w:tcPr>
            <w:tcW w:w="300" w:type="dxa"/>
            <w:vAlign w:val="bottom"/>
            <w:shd w:val="clear" w:color="auto" w:fill="CCEEFF"/>
          </w:tcPr>
          <w:p>
            <w:pPr>
              <w:spacing w:after="0"/>
              <w:rPr>
                <w:sz w:val="15"/>
                <w:szCs w:val="15"/>
                <w:color w:val="auto"/>
              </w:rPr>
            </w:pP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198,331</w:t>
            </w:r>
          </w:p>
        </w:tc>
      </w:tr>
      <w:tr>
        <w:trPr>
          <w:trHeight w:val="183"/>
        </w:trPr>
        <w:tc>
          <w:tcPr>
            <w:tcW w:w="58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Rest of the World</w:t>
            </w:r>
          </w:p>
        </w:tc>
        <w:tc>
          <w:tcPr>
            <w:tcW w:w="10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10,719</w:t>
            </w:r>
          </w:p>
        </w:tc>
        <w:tc>
          <w:tcPr>
            <w:tcW w:w="520" w:type="dxa"/>
            <w:vAlign w:val="bottom"/>
          </w:tcPr>
          <w:p>
            <w:pPr>
              <w:spacing w:after="0"/>
              <w:rPr>
                <w:sz w:val="15"/>
                <w:szCs w:val="15"/>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auto"/>
              </w:rPr>
              <w:t>8,032</w:t>
            </w:r>
          </w:p>
        </w:tc>
        <w:tc>
          <w:tcPr>
            <w:tcW w:w="280" w:type="dxa"/>
            <w:vAlign w:val="bottom"/>
          </w:tcPr>
          <w:p>
            <w:pPr>
              <w:spacing w:after="0"/>
              <w:rPr>
                <w:sz w:val="15"/>
                <w:szCs w:val="15"/>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4"/>
                <w:szCs w:val="14"/>
                <w:color w:val="auto"/>
              </w:rPr>
              <w:t>26,925</w:t>
            </w:r>
          </w:p>
        </w:tc>
        <w:tc>
          <w:tcPr>
            <w:tcW w:w="300" w:type="dxa"/>
            <w:vAlign w:val="bottom"/>
          </w:tcPr>
          <w:p>
            <w:pPr>
              <w:spacing w:after="0"/>
              <w:rPr>
                <w:sz w:val="15"/>
                <w:szCs w:val="15"/>
                <w:color w:val="auto"/>
              </w:rPr>
            </w:pPr>
          </w:p>
        </w:tc>
        <w:tc>
          <w:tcPr>
            <w:tcW w:w="1100" w:type="dxa"/>
            <w:vAlign w:val="bottom"/>
            <w:gridSpan w:val="5"/>
          </w:tcPr>
          <w:p>
            <w:pPr>
              <w:jc w:val="right"/>
              <w:ind w:right="100"/>
              <w:spacing w:after="0"/>
              <w:rPr>
                <w:sz w:val="20"/>
                <w:szCs w:val="20"/>
                <w:color w:val="auto"/>
              </w:rPr>
            </w:pPr>
            <w:r>
              <w:rPr>
                <w:rFonts w:ascii="Arial" w:cs="Arial" w:eastAsia="Arial" w:hAnsi="Arial"/>
                <w:sz w:val="14"/>
                <w:szCs w:val="14"/>
                <w:color w:val="auto"/>
              </w:rPr>
              <w:t>22,668</w:t>
            </w:r>
          </w:p>
        </w:tc>
      </w:tr>
      <w:tr>
        <w:trPr>
          <w:trHeight w:val="216"/>
        </w:trPr>
        <w:tc>
          <w:tcPr>
            <w:tcW w:w="58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8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Total</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166,916</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auto"/>
              </w:rPr>
              <w:t>120,714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5"/>
          </w:tcPr>
          <w:p>
            <w:pPr>
              <w:jc w:val="right"/>
              <w:ind w:right="120"/>
              <w:spacing w:after="0"/>
              <w:rPr>
                <w:sz w:val="20"/>
                <w:szCs w:val="20"/>
                <w:color w:val="auto"/>
              </w:rPr>
            </w:pPr>
            <w:r>
              <w:rPr>
                <w:rFonts w:ascii="Arial" w:cs="Arial" w:eastAsia="Arial" w:hAnsi="Arial"/>
                <w:sz w:val="14"/>
                <w:szCs w:val="14"/>
                <w:color w:val="auto"/>
              </w:rPr>
              <w:t>450,052</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5"/>
          </w:tcPr>
          <w:p>
            <w:pPr>
              <w:jc w:val="right"/>
              <w:ind w:right="100"/>
              <w:spacing w:after="0"/>
              <w:rPr>
                <w:sz w:val="20"/>
                <w:szCs w:val="20"/>
                <w:color w:val="auto"/>
              </w:rPr>
            </w:pPr>
            <w:r>
              <w:rPr>
                <w:rFonts w:ascii="Arial" w:cs="Arial" w:eastAsia="Arial" w:hAnsi="Arial"/>
                <w:sz w:val="14"/>
                <w:szCs w:val="14"/>
                <w:color w:val="auto"/>
              </w:rPr>
              <w:t>326,645</w:t>
            </w:r>
          </w:p>
        </w:tc>
      </w:tr>
      <w:tr>
        <w:trPr>
          <w:trHeight w:val="21"/>
        </w:trPr>
        <w:tc>
          <w:tcPr>
            <w:tcW w:w="580" w:type="dxa"/>
            <w:vAlign w:val="bottom"/>
          </w:tcPr>
          <w:p>
            <w:pPr>
              <w:spacing w:after="0" w:line="20" w:lineRule="exact"/>
              <w:rPr>
                <w:sz w:val="1"/>
                <w:szCs w:val="1"/>
                <w:color w:val="auto"/>
              </w:rPr>
            </w:pPr>
          </w:p>
        </w:tc>
        <w:tc>
          <w:tcPr>
            <w:tcW w:w="4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8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 All sales shown for Ireland are export sales.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00"/>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82"/>
        </w:trPr>
        <w:tc>
          <w:tcPr>
            <w:tcW w:w="4720" w:type="dxa"/>
            <w:vAlign w:val="bottom"/>
          </w:tcPr>
          <w:p>
            <w:pPr>
              <w:spacing w:after="0"/>
              <w:rPr>
                <w:sz w:val="20"/>
                <w:szCs w:val="20"/>
                <w:color w:val="auto"/>
              </w:rPr>
            </w:pPr>
            <w:r>
              <w:rPr>
                <w:rFonts w:ascii="Arial" w:cs="Arial" w:eastAsia="Arial" w:hAnsi="Arial"/>
                <w:sz w:val="14"/>
                <w:szCs w:val="14"/>
                <w:color w:val="auto"/>
              </w:rPr>
              <w:t>b) The distribution of net revenue by business segment was as follows:</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7"/>
        </w:trPr>
        <w:tc>
          <w:tcPr>
            <w:tcW w:w="4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11"/>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156"/>
        </w:trPr>
        <w:tc>
          <w:tcPr>
            <w:tcW w:w="4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3"/>
                <w:szCs w:val="13"/>
                <w:color w:val="auto"/>
              </w:rPr>
            </w:pPr>
          </w:p>
        </w:tc>
        <w:tc>
          <w:tcPr>
            <w:tcW w:w="100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3"/>
                <w:szCs w:val="13"/>
                <w:color w:val="auto"/>
              </w:rPr>
            </w:pPr>
          </w:p>
        </w:tc>
        <w:tc>
          <w:tcPr>
            <w:tcW w:w="1120" w:type="dxa"/>
            <w:vAlign w:val="bottom"/>
            <w:gridSpan w:val="5"/>
          </w:tcPr>
          <w:p>
            <w:pPr>
              <w:jc w:val="right"/>
              <w:ind w:right="120"/>
              <w:spacing w:after="0" w:line="155"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100" w:type="dxa"/>
            <w:vAlign w:val="bottom"/>
            <w:gridSpan w:val="6"/>
          </w:tcPr>
          <w:p>
            <w:pPr>
              <w:ind w:left="120"/>
              <w:spacing w:after="0" w:line="155" w:lineRule="exact"/>
              <w:rPr>
                <w:sz w:val="20"/>
                <w:szCs w:val="20"/>
                <w:color w:val="auto"/>
              </w:rPr>
            </w:pPr>
            <w:r>
              <w:rPr>
                <w:rFonts w:ascii="Arial" w:cs="Arial" w:eastAsia="Arial" w:hAnsi="Arial"/>
                <w:sz w:val="14"/>
                <w:szCs w:val="14"/>
                <w:b w:val="1"/>
                <w:bCs w:val="1"/>
                <w:color w:val="auto"/>
              </w:rPr>
              <w:t>September 30,</w:t>
            </w: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4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3"/>
                <w:szCs w:val="13"/>
                <w:color w:val="auto"/>
              </w:rPr>
            </w:pPr>
          </w:p>
        </w:tc>
        <w:tc>
          <w:tcPr>
            <w:tcW w:w="1020" w:type="dxa"/>
            <w:vAlign w:val="bottom"/>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4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10"/>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r>
      <w:tr>
        <w:trPr>
          <w:trHeight w:val="176"/>
        </w:trPr>
        <w:tc>
          <w:tcPr>
            <w:tcW w:w="4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Central laboratory</w:t>
            </w: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13,845</w:t>
            </w:r>
          </w:p>
        </w:tc>
        <w:tc>
          <w:tcPr>
            <w:tcW w:w="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12,888</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39,802</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33,693</w:t>
            </w:r>
          </w:p>
        </w:tc>
        <w:tc>
          <w:tcPr>
            <w:tcW w:w="80" w:type="dxa"/>
            <w:vAlign w:val="bottom"/>
            <w:shd w:val="clear" w:color="auto" w:fill="CCEEFF"/>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Arial" w:cs="Arial" w:eastAsia="Arial" w:hAnsi="Arial"/>
                <w:sz w:val="14"/>
                <w:szCs w:val="14"/>
                <w:color w:val="auto"/>
              </w:rPr>
              <w:t>Clinical research</w:t>
            </w:r>
          </w:p>
        </w:tc>
        <w:tc>
          <w:tcPr>
            <w:tcW w:w="92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153,071</w:t>
            </w:r>
          </w:p>
        </w:tc>
        <w:tc>
          <w:tcPr>
            <w:tcW w:w="520" w:type="dxa"/>
            <w:vAlign w:val="bottom"/>
          </w:tcPr>
          <w:p>
            <w:pPr>
              <w:spacing w:after="0"/>
              <w:rPr>
                <w:sz w:val="15"/>
                <w:szCs w:val="15"/>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auto"/>
              </w:rPr>
              <w:t>107,826</w:t>
            </w:r>
          </w:p>
        </w:tc>
        <w:tc>
          <w:tcPr>
            <w:tcW w:w="280" w:type="dxa"/>
            <w:vAlign w:val="bottom"/>
          </w:tcPr>
          <w:p>
            <w:pPr>
              <w:spacing w:after="0"/>
              <w:rPr>
                <w:sz w:val="15"/>
                <w:szCs w:val="15"/>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4"/>
                <w:szCs w:val="14"/>
                <w:color w:val="auto"/>
              </w:rPr>
              <w:t>410,250</w:t>
            </w:r>
          </w:p>
        </w:tc>
        <w:tc>
          <w:tcPr>
            <w:tcW w:w="300" w:type="dxa"/>
            <w:vAlign w:val="bottom"/>
          </w:tcPr>
          <w:p>
            <w:pPr>
              <w:spacing w:after="0"/>
              <w:rPr>
                <w:sz w:val="15"/>
                <w:szCs w:val="15"/>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4"/>
                <w:szCs w:val="14"/>
                <w:color w:val="auto"/>
              </w:rPr>
              <w:t>292,952</w:t>
            </w:r>
          </w:p>
        </w:tc>
        <w:tc>
          <w:tcPr>
            <w:tcW w:w="80" w:type="dxa"/>
            <w:vAlign w:val="bottom"/>
          </w:tcPr>
          <w:p>
            <w:pPr>
              <w:spacing w:after="0"/>
              <w:rPr>
                <w:sz w:val="15"/>
                <w:szCs w:val="15"/>
                <w:color w:val="auto"/>
              </w:rPr>
            </w:pPr>
          </w:p>
        </w:tc>
      </w:tr>
      <w:tr>
        <w:trPr>
          <w:trHeight w:val="216"/>
        </w:trPr>
        <w:tc>
          <w:tcPr>
            <w:tcW w:w="47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166,916</w:t>
            </w: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120,714</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450,052</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326,645</w:t>
            </w:r>
          </w:p>
        </w:tc>
        <w:tc>
          <w:tcPr>
            <w:tcW w:w="80" w:type="dxa"/>
            <w:vAlign w:val="bottom"/>
          </w:tcPr>
          <w:p>
            <w:pPr>
              <w:spacing w:after="0"/>
              <w:rPr>
                <w:sz w:val="15"/>
                <w:szCs w:val="15"/>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5080" w:type="dxa"/>
            <w:vAlign w:val="bottom"/>
          </w:tcPr>
          <w:p>
            <w:pPr>
              <w:spacing w:after="0"/>
              <w:rPr>
                <w:sz w:val="20"/>
                <w:szCs w:val="20"/>
                <w:color w:val="auto"/>
              </w:rPr>
            </w:pPr>
            <w:r>
              <w:rPr>
                <w:rFonts w:ascii="Arial" w:cs="Arial" w:eastAsia="Arial" w:hAnsi="Arial"/>
                <w:sz w:val="14"/>
                <w:szCs w:val="14"/>
                <w:color w:val="auto"/>
                <w:w w:val="99"/>
              </w:rPr>
              <w:t>c) The distribution of income from operations by geographical area was as follows: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7"/>
        </w:trPr>
        <w:tc>
          <w:tcPr>
            <w:tcW w:w="5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11"/>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156"/>
        </w:trPr>
        <w:tc>
          <w:tcPr>
            <w:tcW w:w="5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3"/>
                <w:szCs w:val="13"/>
                <w:color w:val="auto"/>
              </w:rPr>
            </w:pPr>
          </w:p>
        </w:tc>
        <w:tc>
          <w:tcPr>
            <w:tcW w:w="100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3"/>
                <w:szCs w:val="13"/>
                <w:color w:val="auto"/>
              </w:rPr>
            </w:pPr>
          </w:p>
        </w:tc>
        <w:tc>
          <w:tcPr>
            <w:tcW w:w="1120" w:type="dxa"/>
            <w:vAlign w:val="bottom"/>
            <w:gridSpan w:val="5"/>
          </w:tcPr>
          <w:p>
            <w:pPr>
              <w:jc w:val="right"/>
              <w:ind w:right="120"/>
              <w:spacing w:after="0" w:line="155"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5"/>
          </w:tcPr>
          <w:p>
            <w:pPr>
              <w:jc w:val="right"/>
              <w:ind w:right="100"/>
              <w:spacing w:after="0" w:line="155" w:lineRule="exact"/>
              <w:rPr>
                <w:sz w:val="20"/>
                <w:szCs w:val="20"/>
                <w:color w:val="auto"/>
              </w:rPr>
            </w:pPr>
            <w:r>
              <w:rPr>
                <w:rFonts w:ascii="Arial" w:cs="Arial" w:eastAsia="Arial" w:hAnsi="Arial"/>
                <w:sz w:val="14"/>
                <w:szCs w:val="14"/>
                <w:b w:val="1"/>
                <w:bCs w:val="1"/>
                <w:color w:val="auto"/>
                <w:w w:val="89"/>
              </w:rPr>
              <w:t>September 30,</w:t>
            </w: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5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3"/>
                <w:szCs w:val="13"/>
                <w:color w:val="auto"/>
              </w:rPr>
            </w:pPr>
          </w:p>
        </w:tc>
        <w:tc>
          <w:tcPr>
            <w:tcW w:w="1020" w:type="dxa"/>
            <w:vAlign w:val="bottom"/>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3"/>
                <w:szCs w:val="13"/>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5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7"/>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10"/>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r>
      <w:tr>
        <w:trPr>
          <w:trHeight w:val="1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Ireland</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2,331</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23,279</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6,263</w:t>
            </w:r>
          </w:p>
        </w:tc>
        <w:tc>
          <w:tcPr>
            <w:tcW w:w="80" w:type="dxa"/>
            <w:vAlign w:val="bottom"/>
            <w:shd w:val="clear" w:color="auto" w:fill="CCEEFF"/>
          </w:tcPr>
          <w:p>
            <w:pPr>
              <w:spacing w:after="0"/>
              <w:rPr>
                <w:sz w:val="15"/>
                <w:szCs w:val="15"/>
                <w:color w:val="auto"/>
              </w:rPr>
            </w:pPr>
          </w:p>
        </w:tc>
      </w:tr>
      <w:tr>
        <w:trPr>
          <w:trHeight w:val="176"/>
        </w:trPr>
        <w:tc>
          <w:tcPr>
            <w:tcW w:w="5080" w:type="dxa"/>
            <w:vAlign w:val="bottom"/>
          </w:tcPr>
          <w:p>
            <w:pPr>
              <w:ind w:left="180"/>
              <w:spacing w:after="0"/>
              <w:rPr>
                <w:sz w:val="20"/>
                <w:szCs w:val="20"/>
                <w:color w:val="auto"/>
              </w:rPr>
            </w:pPr>
            <w:r>
              <w:rPr>
                <w:rFonts w:ascii="Arial" w:cs="Arial" w:eastAsia="Arial" w:hAnsi="Arial"/>
                <w:sz w:val="14"/>
                <w:szCs w:val="14"/>
                <w:color w:val="auto"/>
              </w:rPr>
              <w:t>Rest of Europe</w:t>
            </w:r>
          </w:p>
        </w:tc>
        <w:tc>
          <w:tcPr>
            <w:tcW w:w="56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3,585</w:t>
            </w:r>
          </w:p>
        </w:tc>
        <w:tc>
          <w:tcPr>
            <w:tcW w:w="520" w:type="dxa"/>
            <w:vAlign w:val="bottom"/>
          </w:tcPr>
          <w:p>
            <w:pPr>
              <w:spacing w:after="0"/>
              <w:rPr>
                <w:sz w:val="15"/>
                <w:szCs w:val="15"/>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auto"/>
              </w:rPr>
              <w:t>3,676</w:t>
            </w:r>
          </w:p>
        </w:tc>
        <w:tc>
          <w:tcPr>
            <w:tcW w:w="280" w:type="dxa"/>
            <w:vAlign w:val="bottom"/>
          </w:tcPr>
          <w:p>
            <w:pPr>
              <w:spacing w:after="0"/>
              <w:rPr>
                <w:sz w:val="15"/>
                <w:szCs w:val="15"/>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4"/>
                <w:szCs w:val="14"/>
                <w:color w:val="auto"/>
              </w:rPr>
              <w:t>6,660</w:t>
            </w:r>
          </w:p>
        </w:tc>
        <w:tc>
          <w:tcPr>
            <w:tcW w:w="300" w:type="dxa"/>
            <w:vAlign w:val="bottom"/>
          </w:tcPr>
          <w:p>
            <w:pPr>
              <w:spacing w:after="0"/>
              <w:rPr>
                <w:sz w:val="15"/>
                <w:szCs w:val="15"/>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4"/>
                <w:szCs w:val="14"/>
                <w:color w:val="auto"/>
              </w:rPr>
              <w:t>10,047</w:t>
            </w:r>
          </w:p>
        </w:tc>
        <w:tc>
          <w:tcPr>
            <w:tcW w:w="80" w:type="dxa"/>
            <w:vAlign w:val="bottom"/>
          </w:tcPr>
          <w:p>
            <w:pPr>
              <w:spacing w:after="0"/>
              <w:rPr>
                <w:sz w:val="15"/>
                <w:szCs w:val="15"/>
                <w:color w:val="auto"/>
              </w:rPr>
            </w:pPr>
          </w:p>
        </w:tc>
      </w:tr>
      <w:tr>
        <w:trPr>
          <w:trHeight w:val="1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w:t>
            </w:r>
          </w:p>
        </w:tc>
        <w:tc>
          <w:tcPr>
            <w:tcW w:w="5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10,221</w:t>
            </w:r>
          </w:p>
        </w:tc>
        <w:tc>
          <w:tcPr>
            <w:tcW w:w="520" w:type="dxa"/>
            <w:vAlign w:val="bottom"/>
            <w:shd w:val="clear" w:color="auto" w:fill="CCEEFF"/>
          </w:tcPr>
          <w:p>
            <w:pPr>
              <w:spacing w:after="0"/>
              <w:rPr>
                <w:sz w:val="15"/>
                <w:szCs w:val="15"/>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5,612</w:t>
            </w:r>
          </w:p>
        </w:tc>
        <w:tc>
          <w:tcPr>
            <w:tcW w:w="28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17,918</w:t>
            </w:r>
          </w:p>
        </w:tc>
        <w:tc>
          <w:tcPr>
            <w:tcW w:w="300" w:type="dxa"/>
            <w:vAlign w:val="bottom"/>
            <w:shd w:val="clear" w:color="auto" w:fill="CCEEFF"/>
          </w:tcPr>
          <w:p>
            <w:pPr>
              <w:spacing w:after="0"/>
              <w:rPr>
                <w:sz w:val="15"/>
                <w:szCs w:val="15"/>
                <w:color w:val="auto"/>
              </w:rPr>
            </w:pP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14,517</w:t>
            </w:r>
          </w:p>
        </w:tc>
        <w:tc>
          <w:tcPr>
            <w:tcW w:w="80" w:type="dxa"/>
            <w:vAlign w:val="bottom"/>
            <w:shd w:val="clear" w:color="auto" w:fill="CCEEFF"/>
          </w:tcPr>
          <w:p>
            <w:pPr>
              <w:spacing w:after="0"/>
              <w:rPr>
                <w:sz w:val="15"/>
                <w:szCs w:val="15"/>
                <w:color w:val="auto"/>
              </w:rPr>
            </w:pPr>
          </w:p>
        </w:tc>
      </w:tr>
      <w:tr>
        <w:trPr>
          <w:trHeight w:val="183"/>
        </w:trPr>
        <w:tc>
          <w:tcPr>
            <w:tcW w:w="5080" w:type="dxa"/>
            <w:vAlign w:val="bottom"/>
          </w:tcPr>
          <w:p>
            <w:pPr>
              <w:ind w:left="180"/>
              <w:spacing w:after="0"/>
              <w:rPr>
                <w:sz w:val="20"/>
                <w:szCs w:val="20"/>
                <w:color w:val="auto"/>
              </w:rPr>
            </w:pPr>
            <w:r>
              <w:rPr>
                <w:rFonts w:ascii="Arial" w:cs="Arial" w:eastAsia="Arial" w:hAnsi="Arial"/>
                <w:sz w:val="14"/>
                <w:szCs w:val="14"/>
                <w:color w:val="auto"/>
              </w:rPr>
              <w:t>Rest of the World</w:t>
            </w:r>
          </w:p>
        </w:tc>
        <w:tc>
          <w:tcPr>
            <w:tcW w:w="56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1,555</w:t>
            </w:r>
          </w:p>
        </w:tc>
        <w:tc>
          <w:tcPr>
            <w:tcW w:w="52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4"/>
                <w:szCs w:val="14"/>
                <w:color w:val="auto"/>
              </w:rPr>
              <w:t>1,598</w:t>
            </w:r>
          </w:p>
        </w:tc>
        <w:tc>
          <w:tcPr>
            <w:tcW w:w="300" w:type="dxa"/>
            <w:vAlign w:val="bottom"/>
          </w:tcPr>
          <w:p>
            <w:pPr>
              <w:spacing w:after="0"/>
              <w:rPr>
                <w:sz w:val="15"/>
                <w:szCs w:val="15"/>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4"/>
                <w:szCs w:val="14"/>
                <w:color w:val="auto"/>
              </w:rPr>
              <w:t>3,186</w:t>
            </w:r>
          </w:p>
        </w:tc>
        <w:tc>
          <w:tcPr>
            <w:tcW w:w="80" w:type="dxa"/>
            <w:vAlign w:val="bottom"/>
          </w:tcPr>
          <w:p>
            <w:pPr>
              <w:spacing w:after="0"/>
              <w:rPr>
                <w:sz w:val="15"/>
                <w:szCs w:val="15"/>
                <w:color w:val="auto"/>
              </w:rPr>
            </w:pPr>
          </w:p>
        </w:tc>
      </w:tr>
      <w:tr>
        <w:trPr>
          <w:trHeight w:val="216"/>
        </w:trPr>
        <w:tc>
          <w:tcPr>
            <w:tcW w:w="50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5080" w:type="dxa"/>
            <w:vAlign w:val="bottom"/>
          </w:tcPr>
          <w:p>
            <w:pPr>
              <w:ind w:left="180"/>
              <w:spacing w:after="0"/>
              <w:rPr>
                <w:sz w:val="20"/>
                <w:szCs w:val="20"/>
                <w:color w:val="auto"/>
              </w:rPr>
            </w:pPr>
            <w:r>
              <w:rPr>
                <w:rFonts w:ascii="Arial" w:cs="Arial" w:eastAsia="Arial" w:hAnsi="Arial"/>
                <w:sz w:val="14"/>
                <w:szCs w:val="14"/>
                <w:color w:val="auto"/>
              </w:rPr>
              <w:t>Total</w:t>
            </w:r>
          </w:p>
        </w:tc>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18,703</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12,611</w:t>
            </w:r>
          </w:p>
        </w:tc>
        <w:tc>
          <w:tcPr>
            <w:tcW w:w="120" w:type="dxa"/>
            <w:vAlign w:val="bottom"/>
          </w:tcPr>
          <w:p>
            <w:pPr>
              <w:spacing w:after="0"/>
              <w:rPr>
                <w:sz w:val="15"/>
                <w:szCs w:val="15"/>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5"/>
          </w:tcPr>
          <w:p>
            <w:pPr>
              <w:jc w:val="right"/>
              <w:ind w:right="120"/>
              <w:spacing w:after="0"/>
              <w:rPr>
                <w:sz w:val="20"/>
                <w:szCs w:val="20"/>
                <w:color w:val="auto"/>
              </w:rPr>
            </w:pPr>
            <w:r>
              <w:rPr>
                <w:rFonts w:ascii="Arial" w:cs="Arial" w:eastAsia="Arial" w:hAnsi="Arial"/>
                <w:sz w:val="14"/>
                <w:szCs w:val="14"/>
                <w:color w:val="auto"/>
              </w:rPr>
              <w:t>49,455</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5"/>
          </w:tcPr>
          <w:p>
            <w:pPr>
              <w:jc w:val="right"/>
              <w:ind w:right="20"/>
              <w:spacing w:after="0"/>
              <w:rPr>
                <w:sz w:val="20"/>
                <w:szCs w:val="20"/>
                <w:color w:val="auto"/>
              </w:rPr>
            </w:pPr>
            <w:r>
              <w:rPr>
                <w:rFonts w:ascii="Arial" w:cs="Arial" w:eastAsia="Arial" w:hAnsi="Arial"/>
                <w:sz w:val="14"/>
                <w:szCs w:val="14"/>
                <w:color w:val="auto"/>
              </w:rPr>
              <w:t>34,013</w:t>
            </w:r>
          </w:p>
        </w:tc>
        <w:tc>
          <w:tcPr>
            <w:tcW w:w="80" w:type="dxa"/>
            <w:vAlign w:val="bottom"/>
          </w:tcPr>
          <w:p>
            <w:pPr>
              <w:spacing w:after="0"/>
              <w:rPr>
                <w:sz w:val="15"/>
                <w:szCs w:val="15"/>
                <w:color w:val="auto"/>
              </w:rPr>
            </w:pPr>
          </w:p>
        </w:tc>
      </w:tr>
      <w:tr>
        <w:trPr>
          <w:trHeight w:val="21"/>
        </w:trPr>
        <w:tc>
          <w:tcPr>
            <w:tcW w:w="5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1"/>
        </w:trPr>
        <w:tc>
          <w:tcPr>
            <w:tcW w:w="5080" w:type="dxa"/>
            <w:vAlign w:val="bottom"/>
          </w:tcPr>
          <w:p>
            <w:pPr>
              <w:spacing w:after="0"/>
              <w:rPr>
                <w:sz w:val="20"/>
                <w:szCs w:val="20"/>
                <w:color w:val="auto"/>
              </w:rPr>
            </w:pPr>
            <w:r>
              <w:rPr>
                <w:rFonts w:ascii="Arial" w:cs="Arial" w:eastAsia="Arial" w:hAnsi="Arial"/>
                <w:sz w:val="14"/>
                <w:szCs w:val="14"/>
                <w:color w:val="auto"/>
                <w:w w:val="98"/>
              </w:rPr>
              <w:t>d) The distribution of income from operations by business segment was as follows: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7"/>
        </w:trPr>
        <w:tc>
          <w:tcPr>
            <w:tcW w:w="5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11"/>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56"/>
        </w:trPr>
        <w:tc>
          <w:tcPr>
            <w:tcW w:w="5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3"/>
                <w:szCs w:val="13"/>
                <w:color w:val="auto"/>
              </w:rPr>
            </w:pPr>
          </w:p>
        </w:tc>
        <w:tc>
          <w:tcPr>
            <w:tcW w:w="100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3"/>
                <w:szCs w:val="13"/>
                <w:color w:val="auto"/>
              </w:rPr>
            </w:pPr>
          </w:p>
        </w:tc>
        <w:tc>
          <w:tcPr>
            <w:tcW w:w="1120" w:type="dxa"/>
            <w:vAlign w:val="bottom"/>
            <w:gridSpan w:val="5"/>
          </w:tcPr>
          <w:p>
            <w:pPr>
              <w:jc w:val="right"/>
              <w:ind w:right="120"/>
              <w:spacing w:after="0" w:line="155"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100" w:type="dxa"/>
            <w:vAlign w:val="bottom"/>
            <w:gridSpan w:val="6"/>
          </w:tcPr>
          <w:p>
            <w:pPr>
              <w:jc w:val="right"/>
              <w:ind w:right="100"/>
              <w:spacing w:after="0" w:line="155" w:lineRule="exact"/>
              <w:rPr>
                <w:sz w:val="20"/>
                <w:szCs w:val="20"/>
                <w:color w:val="auto"/>
              </w:rPr>
            </w:pPr>
            <w:r>
              <w:rPr>
                <w:rFonts w:ascii="Arial" w:cs="Arial" w:eastAsia="Arial" w:hAnsi="Arial"/>
                <w:sz w:val="14"/>
                <w:szCs w:val="14"/>
                <w:b w:val="1"/>
                <w:bCs w:val="1"/>
                <w:color w:val="auto"/>
              </w:rPr>
              <w:t>September 30,</w:t>
            </w: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5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3"/>
                <w:szCs w:val="13"/>
                <w:color w:val="auto"/>
              </w:rPr>
            </w:pPr>
          </w:p>
        </w:tc>
        <w:tc>
          <w:tcPr>
            <w:tcW w:w="1020" w:type="dxa"/>
            <w:vAlign w:val="bottom"/>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3"/>
                <w:szCs w:val="13"/>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5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7"/>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10"/>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r>
      <w:tr>
        <w:trPr>
          <w:trHeight w:val="1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Central laboratory</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2,759</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spacing w:after="0"/>
              <w:rPr>
                <w:sz w:val="15"/>
                <w:szCs w:val="15"/>
                <w:color w:val="auto"/>
              </w:rPr>
            </w:pPr>
          </w:p>
        </w:tc>
      </w:tr>
      <w:tr>
        <w:trPr>
          <w:trHeight w:val="183"/>
        </w:trPr>
        <w:tc>
          <w:tcPr>
            <w:tcW w:w="50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Clinical research</w:t>
            </w: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17,737</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11,972</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46,696</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33,708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50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18,703</w:t>
            </w: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12,611</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49,455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34,013</w:t>
            </w:r>
          </w:p>
        </w:tc>
        <w:tc>
          <w:tcPr>
            <w:tcW w:w="80" w:type="dxa"/>
            <w:vAlign w:val="bottom"/>
          </w:tcPr>
          <w:p>
            <w:pPr>
              <w:spacing w:after="0"/>
              <w:rPr>
                <w:sz w:val="15"/>
                <w:szCs w:val="15"/>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e) The distribution of property, plant and equipment, net, by geographical area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5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Ireland</w:t>
            </w:r>
          </w:p>
        </w:tc>
        <w:tc>
          <w:tcPr>
            <w:tcW w:w="5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67,344</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33,999</w:t>
            </w:r>
          </w:p>
        </w:tc>
      </w:tr>
      <w:tr>
        <w:trPr>
          <w:trHeight w:val="176"/>
        </w:trPr>
        <w:tc>
          <w:tcPr>
            <w:tcW w:w="580" w:type="dxa"/>
            <w:vAlign w:val="bottom"/>
          </w:tcPr>
          <w:p>
            <w:pPr>
              <w:spacing w:after="0"/>
              <w:rPr>
                <w:sz w:val="15"/>
                <w:szCs w:val="15"/>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Rest of Europe</w:t>
            </w:r>
          </w:p>
        </w:tc>
        <w:tc>
          <w:tcPr>
            <w:tcW w:w="5200" w:type="dxa"/>
            <w:vAlign w:val="bottom"/>
          </w:tcPr>
          <w:p>
            <w:pPr>
              <w:spacing w:after="0"/>
              <w:rPr>
                <w:sz w:val="15"/>
                <w:szCs w:val="15"/>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4"/>
                <w:szCs w:val="14"/>
                <w:color w:val="auto"/>
              </w:rPr>
              <w:t>12,496</w:t>
            </w:r>
          </w:p>
        </w:tc>
        <w:tc>
          <w:tcPr>
            <w:tcW w:w="46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9,213</w:t>
            </w:r>
          </w:p>
        </w:tc>
      </w:tr>
      <w:tr>
        <w:trPr>
          <w:trHeight w:val="176"/>
        </w:trPr>
        <w:tc>
          <w:tcPr>
            <w:tcW w:w="580" w:type="dxa"/>
            <w:vAlign w:val="bottom"/>
          </w:tcPr>
          <w:p>
            <w:pPr>
              <w:spacing w:after="0"/>
              <w:rPr>
                <w:sz w:val="15"/>
                <w:szCs w:val="15"/>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w:t>
            </w:r>
          </w:p>
        </w:tc>
        <w:tc>
          <w:tcPr>
            <w:tcW w:w="5200" w:type="dxa"/>
            <w:vAlign w:val="bottom"/>
            <w:shd w:val="clear" w:color="auto" w:fill="CCEEFF"/>
          </w:tcPr>
          <w:p>
            <w:pPr>
              <w:spacing w:after="0"/>
              <w:rPr>
                <w:sz w:val="15"/>
                <w:szCs w:val="15"/>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24,195</w:t>
            </w:r>
          </w:p>
        </w:tc>
        <w:tc>
          <w:tcPr>
            <w:tcW w:w="46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21,421</w:t>
            </w:r>
          </w:p>
        </w:tc>
      </w:tr>
      <w:tr>
        <w:trPr>
          <w:trHeight w:val="183"/>
        </w:trPr>
        <w:tc>
          <w:tcPr>
            <w:tcW w:w="580" w:type="dxa"/>
            <w:vAlign w:val="bottom"/>
          </w:tcPr>
          <w:p>
            <w:pPr>
              <w:spacing w:after="0"/>
              <w:rPr>
                <w:sz w:val="15"/>
                <w:szCs w:val="15"/>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Rest of the World</w:t>
            </w:r>
          </w:p>
        </w:tc>
        <w:tc>
          <w:tcPr>
            <w:tcW w:w="5200" w:type="dxa"/>
            <w:vAlign w:val="bottom"/>
          </w:tcPr>
          <w:p>
            <w:pPr>
              <w:spacing w:after="0"/>
              <w:rPr>
                <w:sz w:val="15"/>
                <w:szCs w:val="15"/>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4"/>
                <w:szCs w:val="14"/>
                <w:color w:val="auto"/>
              </w:rPr>
              <w:t>5,917</w:t>
            </w:r>
          </w:p>
        </w:tc>
        <w:tc>
          <w:tcPr>
            <w:tcW w:w="46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3,575</w:t>
            </w:r>
          </w:p>
        </w:tc>
      </w:tr>
      <w:tr>
        <w:trPr>
          <w:trHeight w:val="216"/>
        </w:trPr>
        <w:tc>
          <w:tcPr>
            <w:tcW w:w="58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80" w:type="dxa"/>
            <w:vAlign w:val="bottom"/>
          </w:tcPr>
          <w:p>
            <w:pPr>
              <w:spacing w:after="0"/>
              <w:rPr>
                <w:sz w:val="15"/>
                <w:szCs w:val="15"/>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Total</w:t>
            </w:r>
          </w:p>
        </w:tc>
        <w:tc>
          <w:tcPr>
            <w:tcW w:w="5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color w:val="auto"/>
              </w:rPr>
              <w:t>109,952</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68,208</w:t>
            </w:r>
          </w:p>
        </w:tc>
      </w:tr>
      <w:tr>
        <w:trPr>
          <w:trHeight w:val="21"/>
        </w:trPr>
        <w:tc>
          <w:tcPr>
            <w:tcW w:w="580" w:type="dxa"/>
            <w:vAlign w:val="bottom"/>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5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00" w:type="dxa"/>
            <w:vAlign w:val="bottom"/>
          </w:tcPr>
          <w:p>
            <w:pPr>
              <w:jc w:val="right"/>
              <w:ind w:right="30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c>
          <w:tcPr>
            <w:tcW w:w="5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5640" w:type="dxa"/>
            <w:vAlign w:val="bottom"/>
            <w:gridSpan w:val="2"/>
          </w:tcPr>
          <w:p>
            <w:pPr>
              <w:spacing w:after="0"/>
              <w:rPr>
                <w:sz w:val="20"/>
                <w:szCs w:val="20"/>
                <w:color w:val="auto"/>
              </w:rPr>
            </w:pPr>
            <w:r>
              <w:rPr>
                <w:rFonts w:ascii="Arial" w:cs="Arial" w:eastAsia="Arial" w:hAnsi="Arial"/>
                <w:sz w:val="14"/>
                <w:szCs w:val="14"/>
                <w:color w:val="auto"/>
                <w:w w:val="97"/>
              </w:rPr>
              <w:t>f) The distribution of property, plant and equipment, net, by business segment was as follows:</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Central laboratory</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5,611</w:t>
            </w:r>
          </w:p>
        </w:tc>
        <w:tc>
          <w:tcPr>
            <w:tcW w:w="12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5,050</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26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Clinical research</w:t>
            </w: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right"/>
              <w:ind w:right="48"/>
              <w:spacing w:after="0" w:line="149" w:lineRule="exact"/>
              <w:rPr>
                <w:sz w:val="20"/>
                <w:szCs w:val="20"/>
                <w:color w:val="auto"/>
              </w:rPr>
            </w:pPr>
            <w:r>
              <w:rPr>
                <w:rFonts w:ascii="Arial" w:cs="Arial" w:eastAsia="Arial" w:hAnsi="Arial"/>
                <w:sz w:val="14"/>
                <w:szCs w:val="14"/>
                <w:color w:val="auto"/>
              </w:rPr>
              <w:t>104,341</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63,158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109,952</w:t>
            </w:r>
          </w:p>
        </w:tc>
        <w:tc>
          <w:tcPr>
            <w:tcW w:w="40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68,208</w:t>
            </w:r>
          </w:p>
        </w:tc>
        <w:tc>
          <w:tcPr>
            <w:tcW w:w="0" w:type="dxa"/>
            <w:vAlign w:val="bottom"/>
          </w:tcPr>
          <w:p>
            <w:pPr>
              <w:spacing w:after="0"/>
              <w:rPr>
                <w:sz w:val="1"/>
                <w:szCs w:val="1"/>
                <w:color w:val="auto"/>
              </w:rPr>
            </w:pPr>
          </w:p>
        </w:tc>
      </w:tr>
      <w:tr>
        <w:trPr>
          <w:trHeight w:val="684"/>
        </w:trPr>
        <w:tc>
          <w:tcPr>
            <w:tcW w:w="580" w:type="dxa"/>
            <w:vAlign w:val="bottom"/>
          </w:tcPr>
          <w:p>
            <w:pPr>
              <w:spacing w:after="0"/>
              <w:rPr>
                <w:sz w:val="24"/>
                <w:szCs w:val="24"/>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5"/>
              </w:rPr>
              <w:t>g) The distribution of depreciation and amortization by geographical area was as follows:</w:t>
            </w:r>
          </w:p>
        </w:tc>
        <w:tc>
          <w:tcPr>
            <w:tcW w:w="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11"/>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1"/>
                <w:szCs w:val="11"/>
                <w:color w:val="auto"/>
              </w:rPr>
            </w:pPr>
          </w:p>
        </w:tc>
        <w:tc>
          <w:tcPr>
            <w:tcW w:w="1000" w:type="dxa"/>
            <w:vAlign w:val="bottom"/>
            <w:gridSpan w:val="4"/>
          </w:tcPr>
          <w:p>
            <w:pPr>
              <w:jc w:val="right"/>
              <w:ind w:right="120"/>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1"/>
                <w:szCs w:val="11"/>
                <w:color w:val="auto"/>
              </w:rPr>
            </w:pPr>
          </w:p>
        </w:tc>
        <w:tc>
          <w:tcPr>
            <w:tcW w:w="1120" w:type="dxa"/>
            <w:vAlign w:val="bottom"/>
            <w:gridSpan w:val="5"/>
          </w:tcPr>
          <w:p>
            <w:pPr>
              <w:jc w:val="right"/>
              <w:ind w:right="48"/>
              <w:spacing w:after="0" w:line="129" w:lineRule="exact"/>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1"/>
                <w:szCs w:val="11"/>
                <w:color w:val="auto"/>
              </w:rPr>
            </w:pPr>
          </w:p>
        </w:tc>
        <w:tc>
          <w:tcPr>
            <w:tcW w:w="1000" w:type="dxa"/>
            <w:vAlign w:val="bottom"/>
            <w:gridSpan w:val="6"/>
          </w:tcPr>
          <w:p>
            <w:pPr>
              <w:jc w:val="right"/>
              <w:ind w:right="10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thousands)</w:t>
            </w:r>
          </w:p>
        </w:tc>
        <w:tc>
          <w:tcPr>
            <w:tcW w:w="2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Pr>
          <w:p>
            <w:pPr>
              <w:jc w:val="right"/>
              <w:ind w:right="103"/>
              <w:spacing w:after="0"/>
              <w:rPr>
                <w:sz w:val="20"/>
                <w:szCs w:val="20"/>
                <w:color w:val="auto"/>
              </w:rPr>
            </w:pPr>
            <w:r>
              <w:rPr>
                <w:rFonts w:ascii="Arial" w:cs="Arial" w:eastAsia="Arial" w:hAnsi="Arial"/>
                <w:sz w:val="11"/>
                <w:szCs w:val="11"/>
                <w:b w:val="1"/>
                <w:bCs w:val="1"/>
                <w:color w:val="auto"/>
                <w:w w:val="74"/>
              </w:rPr>
              <w:t>(in</w:t>
            </w:r>
          </w:p>
        </w:tc>
        <w:tc>
          <w:tcPr>
            <w:tcW w:w="11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Ireland</w:t>
            </w:r>
          </w:p>
        </w:tc>
        <w:tc>
          <w:tcPr>
            <w:tcW w:w="3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1,731</w:t>
            </w:r>
          </w:p>
        </w:tc>
        <w:tc>
          <w:tcPr>
            <w:tcW w:w="5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1,318</w:t>
            </w: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4,493</w:t>
            </w:r>
          </w:p>
        </w:tc>
        <w:tc>
          <w:tcPr>
            <w:tcW w:w="40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3,844</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Rest of Europe</w:t>
            </w:r>
          </w:p>
        </w:tc>
        <w:tc>
          <w:tcPr>
            <w:tcW w:w="3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906</w:t>
            </w:r>
          </w:p>
        </w:tc>
        <w:tc>
          <w:tcPr>
            <w:tcW w:w="5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5"/>
          </w:tcPr>
          <w:p>
            <w:pPr>
              <w:jc w:val="right"/>
              <w:ind w:right="48"/>
              <w:spacing w:after="0" w:line="149" w:lineRule="exact"/>
              <w:rPr>
                <w:sz w:val="20"/>
                <w:szCs w:val="20"/>
                <w:color w:val="auto"/>
              </w:rPr>
            </w:pPr>
            <w:r>
              <w:rPr>
                <w:rFonts w:ascii="Arial" w:cs="Arial" w:eastAsia="Arial" w:hAnsi="Arial"/>
                <w:sz w:val="14"/>
                <w:szCs w:val="14"/>
                <w:color w:val="auto"/>
              </w:rPr>
              <w:t>2,358</w:t>
            </w:r>
          </w:p>
        </w:tc>
        <w:tc>
          <w:tcPr>
            <w:tcW w:w="400" w:type="dxa"/>
            <w:vAlign w:val="bottom"/>
          </w:tcPr>
          <w:p>
            <w:pPr>
              <w:spacing w:after="0"/>
              <w:rPr>
                <w:sz w:val="12"/>
                <w:szCs w:val="12"/>
                <w:color w:val="auto"/>
              </w:rPr>
            </w:pPr>
          </w:p>
        </w:tc>
        <w:tc>
          <w:tcPr>
            <w:tcW w:w="100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3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1,982</w:t>
            </w:r>
          </w:p>
        </w:tc>
        <w:tc>
          <w:tcPr>
            <w:tcW w:w="52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1,690</w:t>
            </w:r>
          </w:p>
        </w:tc>
        <w:tc>
          <w:tcPr>
            <w:tcW w:w="28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5,703</w:t>
            </w:r>
          </w:p>
        </w:tc>
        <w:tc>
          <w:tcPr>
            <w:tcW w:w="400" w:type="dxa"/>
            <w:vAlign w:val="bottom"/>
            <w:shd w:val="clear" w:color="auto" w:fill="CCEEFF"/>
          </w:tcPr>
          <w:p>
            <w:pPr>
              <w:spacing w:after="0"/>
              <w:rPr>
                <w:sz w:val="12"/>
                <w:szCs w:val="12"/>
                <w:color w:val="auto"/>
              </w:rPr>
            </w:pP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26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Rest of the World</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401</w:t>
            </w: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230</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right"/>
              <w:ind w:right="48"/>
              <w:spacing w:after="0" w:line="149" w:lineRule="exact"/>
              <w:rPr>
                <w:sz w:val="20"/>
                <w:szCs w:val="20"/>
                <w:color w:val="auto"/>
              </w:rPr>
            </w:pPr>
            <w:r>
              <w:rPr>
                <w:rFonts w:ascii="Arial" w:cs="Arial" w:eastAsia="Arial" w:hAnsi="Arial"/>
                <w:sz w:val="14"/>
                <w:szCs w:val="14"/>
                <w:color w:val="auto"/>
              </w:rPr>
              <w:t>1,072</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588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5,020</w:t>
            </w:r>
          </w:p>
        </w:tc>
        <w:tc>
          <w:tcPr>
            <w:tcW w:w="5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3,875</w:t>
            </w: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13,626</w:t>
            </w:r>
          </w:p>
        </w:tc>
        <w:tc>
          <w:tcPr>
            <w:tcW w:w="40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11,009</w:t>
            </w:r>
          </w:p>
        </w:tc>
        <w:tc>
          <w:tcPr>
            <w:tcW w:w="0" w:type="dxa"/>
            <w:vAlign w:val="bottom"/>
          </w:tcPr>
          <w:p>
            <w:pPr>
              <w:spacing w:after="0"/>
              <w:rPr>
                <w:sz w:val="1"/>
                <w:szCs w:val="1"/>
                <w:color w:val="auto"/>
              </w:rPr>
            </w:pPr>
          </w:p>
        </w:tc>
      </w:tr>
      <w:tr>
        <w:trPr>
          <w:trHeight w:val="684"/>
        </w:trPr>
        <w:tc>
          <w:tcPr>
            <w:tcW w:w="580" w:type="dxa"/>
            <w:vAlign w:val="bottom"/>
          </w:tcPr>
          <w:p>
            <w:pPr>
              <w:spacing w:after="0"/>
              <w:rPr>
                <w:sz w:val="24"/>
                <w:szCs w:val="24"/>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5"/>
              </w:rPr>
              <w:t>h) The distribution of depreciation and amortization by business segment was as follows:</w:t>
            </w:r>
          </w:p>
        </w:tc>
        <w:tc>
          <w:tcPr>
            <w:tcW w:w="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11"/>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1"/>
                <w:szCs w:val="11"/>
                <w:color w:val="auto"/>
              </w:rPr>
            </w:pPr>
          </w:p>
        </w:tc>
        <w:tc>
          <w:tcPr>
            <w:tcW w:w="1000" w:type="dxa"/>
            <w:vAlign w:val="bottom"/>
            <w:gridSpan w:val="4"/>
          </w:tcPr>
          <w:p>
            <w:pPr>
              <w:jc w:val="right"/>
              <w:ind w:right="120"/>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1"/>
                <w:szCs w:val="11"/>
                <w:color w:val="auto"/>
              </w:rPr>
            </w:pPr>
          </w:p>
        </w:tc>
        <w:tc>
          <w:tcPr>
            <w:tcW w:w="1120" w:type="dxa"/>
            <w:vAlign w:val="bottom"/>
            <w:gridSpan w:val="5"/>
          </w:tcPr>
          <w:p>
            <w:pPr>
              <w:jc w:val="right"/>
              <w:ind w:right="48"/>
              <w:spacing w:after="0" w:line="129" w:lineRule="exact"/>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1"/>
                <w:szCs w:val="11"/>
                <w:color w:val="auto"/>
              </w:rPr>
            </w:pPr>
          </w:p>
        </w:tc>
        <w:tc>
          <w:tcPr>
            <w:tcW w:w="1000" w:type="dxa"/>
            <w:vAlign w:val="bottom"/>
            <w:gridSpan w:val="6"/>
          </w:tcPr>
          <w:p>
            <w:pPr>
              <w:jc w:val="right"/>
              <w:ind w:right="10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7"/>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gridSpan w:val="10"/>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Central laboratory</w:t>
            </w:r>
          </w:p>
        </w:tc>
        <w:tc>
          <w:tcPr>
            <w:tcW w:w="3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5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1,358</w:t>
            </w:r>
          </w:p>
        </w:tc>
        <w:tc>
          <w:tcPr>
            <w:tcW w:w="40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26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Clinical research</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4,505</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120"/>
              <w:spacing w:after="0" w:line="149" w:lineRule="exact"/>
              <w:rPr>
                <w:sz w:val="20"/>
                <w:szCs w:val="20"/>
                <w:color w:val="auto"/>
              </w:rPr>
            </w:pPr>
            <w:r>
              <w:rPr>
                <w:rFonts w:ascii="Arial" w:cs="Arial" w:eastAsia="Arial" w:hAnsi="Arial"/>
                <w:sz w:val="14"/>
                <w:szCs w:val="14"/>
                <w:color w:val="auto"/>
              </w:rPr>
              <w:t>3,515</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right"/>
              <w:ind w:right="48"/>
              <w:spacing w:after="0" w:line="149" w:lineRule="exact"/>
              <w:rPr>
                <w:sz w:val="20"/>
                <w:szCs w:val="20"/>
                <w:color w:val="auto"/>
              </w:rPr>
            </w:pPr>
            <w:r>
              <w:rPr>
                <w:rFonts w:ascii="Arial" w:cs="Arial" w:eastAsia="Arial" w:hAnsi="Arial"/>
                <w:sz w:val="14"/>
                <w:szCs w:val="14"/>
                <w:color w:val="auto"/>
              </w:rPr>
              <w:t>12,268</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10,027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5,020</w:t>
            </w:r>
          </w:p>
        </w:tc>
        <w:tc>
          <w:tcPr>
            <w:tcW w:w="5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3,875</w:t>
            </w: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13,626</w:t>
            </w:r>
          </w:p>
        </w:tc>
        <w:tc>
          <w:tcPr>
            <w:tcW w:w="40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11,009</w:t>
            </w:r>
          </w:p>
        </w:tc>
        <w:tc>
          <w:tcPr>
            <w:tcW w:w="0" w:type="dxa"/>
            <w:vAlign w:val="bottom"/>
          </w:tcPr>
          <w:p>
            <w:pPr>
              <w:spacing w:after="0"/>
              <w:rPr>
                <w:sz w:val="1"/>
                <w:szCs w:val="1"/>
                <w:color w:val="auto"/>
              </w:rPr>
            </w:pPr>
          </w:p>
        </w:tc>
      </w:tr>
      <w:tr>
        <w:trPr>
          <w:trHeight w:val="711"/>
        </w:trPr>
        <w:tc>
          <w:tcPr>
            <w:tcW w:w="580" w:type="dxa"/>
            <w:vAlign w:val="bottom"/>
          </w:tcPr>
          <w:p>
            <w:pPr>
              <w:spacing w:after="0"/>
              <w:rPr>
                <w:sz w:val="24"/>
                <w:szCs w:val="24"/>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 The distribution of total assets by geographical area was as follows:</w:t>
            </w:r>
          </w:p>
        </w:tc>
        <w:tc>
          <w:tcPr>
            <w:tcW w:w="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8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74"/>
              </w:rPr>
              <w:t>(in</w:t>
            </w:r>
          </w:p>
        </w:tc>
        <w:tc>
          <w:tcPr>
            <w:tcW w:w="1120" w:type="dxa"/>
            <w:vAlign w:val="bottom"/>
            <w:gridSpan w:val="6"/>
          </w:tcPr>
          <w:p>
            <w:pPr>
              <w:jc w:val="center"/>
              <w:ind w:right="560"/>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Ireland</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177,630</w:t>
            </w:r>
          </w:p>
        </w:tc>
        <w:tc>
          <w:tcPr>
            <w:tcW w:w="40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115,802</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Rest of Europe</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5"/>
          </w:tcPr>
          <w:p>
            <w:pPr>
              <w:jc w:val="right"/>
              <w:ind w:right="48"/>
              <w:spacing w:after="0" w:line="149" w:lineRule="exact"/>
              <w:rPr>
                <w:sz w:val="20"/>
                <w:szCs w:val="20"/>
                <w:color w:val="auto"/>
              </w:rPr>
            </w:pPr>
            <w:r>
              <w:rPr>
                <w:rFonts w:ascii="Arial" w:cs="Arial" w:eastAsia="Arial" w:hAnsi="Arial"/>
                <w:sz w:val="14"/>
                <w:szCs w:val="14"/>
                <w:color w:val="auto"/>
              </w:rPr>
              <w:t>154,603</w:t>
            </w:r>
          </w:p>
        </w:tc>
        <w:tc>
          <w:tcPr>
            <w:tcW w:w="400" w:type="dxa"/>
            <w:vAlign w:val="bottom"/>
          </w:tcPr>
          <w:p>
            <w:pPr>
              <w:spacing w:after="0"/>
              <w:rPr>
                <w:sz w:val="12"/>
                <w:szCs w:val="12"/>
                <w:color w:val="auto"/>
              </w:rPr>
            </w:pPr>
          </w:p>
        </w:tc>
        <w:tc>
          <w:tcPr>
            <w:tcW w:w="100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100,212</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U.S.</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271,246</w:t>
            </w:r>
          </w:p>
        </w:tc>
        <w:tc>
          <w:tcPr>
            <w:tcW w:w="400" w:type="dxa"/>
            <w:vAlign w:val="bottom"/>
            <w:shd w:val="clear" w:color="auto" w:fill="CCEEFF"/>
          </w:tcPr>
          <w:p>
            <w:pPr>
              <w:spacing w:after="0"/>
              <w:rPr>
                <w:sz w:val="12"/>
                <w:szCs w:val="12"/>
                <w:color w:val="auto"/>
              </w:rPr>
            </w:pP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245,381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26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Rest of the World</w:t>
            </w: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right"/>
              <w:ind w:right="48"/>
              <w:spacing w:after="0" w:line="149" w:lineRule="exact"/>
              <w:rPr>
                <w:sz w:val="20"/>
                <w:szCs w:val="20"/>
                <w:color w:val="auto"/>
              </w:rPr>
            </w:pPr>
            <w:r>
              <w:rPr>
                <w:rFonts w:ascii="Arial" w:cs="Arial" w:eastAsia="Arial" w:hAnsi="Arial"/>
                <w:sz w:val="14"/>
                <w:szCs w:val="14"/>
                <w:color w:val="auto"/>
              </w:rPr>
              <w:t>28,301</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14,946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631,780</w:t>
            </w:r>
          </w:p>
        </w:tc>
        <w:tc>
          <w:tcPr>
            <w:tcW w:w="40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400"/>
        </w:trPr>
        <w:tc>
          <w:tcPr>
            <w:tcW w:w="580" w:type="dxa"/>
            <w:vAlign w:val="bottom"/>
          </w:tcPr>
          <w:p>
            <w:pPr>
              <w:spacing w:after="0"/>
              <w:rPr>
                <w:sz w:val="24"/>
                <w:szCs w:val="24"/>
                <w:color w:val="auto"/>
              </w:rPr>
            </w:pPr>
          </w:p>
        </w:tc>
        <w:tc>
          <w:tcPr>
            <w:tcW w:w="5260" w:type="dxa"/>
            <w:vAlign w:val="bottom"/>
            <w:tcBorders>
              <w:top w:val="single" w:sz="8" w:color="auto"/>
            </w:tcBorders>
          </w:tcPr>
          <w:p>
            <w:pPr>
              <w:ind w:left="5060"/>
              <w:spacing w:after="0"/>
              <w:rPr>
                <w:sz w:val="20"/>
                <w:szCs w:val="20"/>
                <w:color w:val="auto"/>
              </w:rPr>
            </w:pPr>
            <w:r>
              <w:rPr>
                <w:rFonts w:ascii="Arial" w:cs="Arial" w:eastAsia="Arial" w:hAnsi="Arial"/>
                <w:sz w:val="14"/>
                <w:szCs w:val="14"/>
                <w:color w:val="auto"/>
              </w:rPr>
              <w:t>13</w:t>
            </w:r>
          </w:p>
        </w:tc>
        <w:tc>
          <w:tcPr>
            <w:tcW w:w="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Arial" w:cs="Arial" w:eastAsia="Arial" w:hAnsi="Arial"/>
                <w:sz w:val="14"/>
                <w:szCs w:val="14"/>
                <w:color w:val="auto"/>
              </w:rPr>
              <w:t>j) The distribution of total assets by business segment was as follows:</w:t>
            </w: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2"/>
          </w:tcPr>
          <w:p>
            <w:pPr>
              <w:ind w:left="600"/>
              <w:spacing w:after="0" w:line="129" w:lineRule="exact"/>
              <w:rPr>
                <w:sz w:val="20"/>
                <w:szCs w:val="20"/>
                <w:color w:val="auto"/>
              </w:rPr>
            </w:pPr>
            <w:r>
              <w:rPr>
                <w:rFonts w:ascii="Arial" w:cs="Arial" w:eastAsia="Arial" w:hAnsi="Arial"/>
                <w:sz w:val="14"/>
                <w:szCs w:val="14"/>
                <w:b w:val="1"/>
                <w:bCs w:val="1"/>
                <w:color w:val="auto"/>
                <w:w w:val="83"/>
              </w:rPr>
              <w:t>2007</w:t>
            </w: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Central laboratory</w:t>
            </w:r>
          </w:p>
        </w:tc>
        <w:tc>
          <w:tcPr>
            <w:tcW w:w="3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4"/>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54,801</w:t>
            </w:r>
          </w:p>
        </w:tc>
        <w:tc>
          <w:tcPr>
            <w:tcW w:w="460" w:type="dxa"/>
            <w:vAlign w:val="bottom"/>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28,272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4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Clinical research</w:t>
            </w:r>
          </w:p>
        </w:tc>
        <w:tc>
          <w:tcPr>
            <w:tcW w:w="3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48"/>
              <w:spacing w:after="0" w:line="149" w:lineRule="exact"/>
              <w:rPr>
                <w:sz w:val="20"/>
                <w:szCs w:val="20"/>
                <w:color w:val="auto"/>
              </w:rPr>
            </w:pPr>
            <w:r>
              <w:rPr>
                <w:rFonts w:ascii="Arial" w:cs="Arial" w:eastAsia="Arial" w:hAnsi="Arial"/>
                <w:sz w:val="14"/>
                <w:szCs w:val="14"/>
                <w:color w:val="auto"/>
              </w:rPr>
              <w:t>576,979</w:t>
            </w: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448,069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w:t>
            </w:r>
          </w:p>
        </w:tc>
        <w:tc>
          <w:tcPr>
            <w:tcW w:w="3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4"/>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631,780</w:t>
            </w:r>
          </w:p>
        </w:tc>
        <w:tc>
          <w:tcPr>
            <w:tcW w:w="460" w:type="dxa"/>
            <w:vAlign w:val="bottom"/>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jc w:val="right"/>
              <w:ind w:right="304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Annual Report on Form 20-F for the year ended December 31, 2006. The Consolidated Financial Statements have been prepared in accordance with accounting principles generally accepted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September 30, 2007 we had approximately 5,400 employees worldwide, with operations in 65 locations in 33 countries including the United States and major markets in Europe and Rest of World. For the nine months ended September 30, 2007 we derived approximately 52.8%, 41.2%, and 6.0% of our net revenue in the United States, Europe and Rest of World, respectively.</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an adjustment is recorded in the period in which they become readily estimable.</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 w:name="page18"/>
    <w:bookmarkEnd w:id="17"/>
    <w:p>
      <w:pPr>
        <w:jc w:val="both"/>
        <w:spacing w:after="0" w:line="226" w:lineRule="auto"/>
        <w:rPr>
          <w:sz w:val="20"/>
          <w:szCs w:val="20"/>
          <w:color w:val="auto"/>
        </w:rPr>
      </w:pPr>
      <w:r>
        <w:rPr>
          <w:rFonts w:ascii="Arial" w:cs="Arial" w:eastAsia="Arial" w:hAnsi="Arial"/>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19 operations operating in U.S. dollars, 11 trading in Euros, 5 in pounds Sterling, 2 each in Indian Rupee, Russian Rouble, Japanese Yen, Swedish Krona and Polish Zloty, and 1 each in Australian dollars, Singapore dollars, Israeli New Shekels, Latvian Lats, Argentine Peso, South African Rand, Canadian dollar, Hungarian Forint, Danish Krone, Hong Kong dollar, Taiwan dollar, Mexican Peso, Brazilian Real, Chilean Peso, South Korean Won, Thai Baht, Chinese Yuan Renminbi, Lithuanian Litas, Peruvian Neuvo Sol &amp; New Zealand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213"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September 30, 2007, we have received $2.9 million and $2.2 million under the capital grants and operating grants, respectively. Pursuant to the terms of the grant agreements, we are restricted from distributing some of these amounts by way of dividend or otherwise.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2007 compared with Three Months Ended September 30, 2006</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6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Three Months Ended</w:t>
            </w:r>
          </w:p>
        </w:tc>
        <w:tc>
          <w:tcPr>
            <w:tcW w:w="1520" w:type="dxa"/>
            <w:vAlign w:val="bottom"/>
            <w:gridSpan w:val="4"/>
          </w:tcPr>
          <w:p>
            <w:pPr>
              <w:spacing w:after="0"/>
              <w:rPr>
                <w:sz w:val="14"/>
                <w:szCs w:val="14"/>
                <w:color w:val="auto"/>
              </w:rPr>
            </w:pPr>
          </w:p>
        </w:tc>
        <w:tc>
          <w:tcPr>
            <w:tcW w:w="740" w:type="dxa"/>
            <w:vAlign w:val="bottom"/>
            <w:gridSpan w:val="4"/>
            <w:vMerge w:val="restart"/>
          </w:tcPr>
          <w:p>
            <w:pPr>
              <w:jc w:val="center"/>
              <w:ind w:left="388"/>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280" w:type="dxa"/>
            <w:vAlign w:val="bottom"/>
            <w:gridSpan w:val="6"/>
          </w:tcPr>
          <w:p>
            <w:pPr>
              <w:jc w:val="right"/>
              <w:ind w:right="400"/>
              <w:spacing w:after="0" w:line="129" w:lineRule="exact"/>
              <w:rPr>
                <w:sz w:val="20"/>
                <w:szCs w:val="20"/>
                <w:color w:val="auto"/>
              </w:rPr>
            </w:pPr>
            <w:r>
              <w:rPr>
                <w:rFonts w:ascii="Arial" w:cs="Arial" w:eastAsia="Arial" w:hAnsi="Arial"/>
                <w:sz w:val="14"/>
                <w:szCs w:val="14"/>
                <w:b w:val="1"/>
                <w:bCs w:val="1"/>
                <w:color w:val="auto"/>
              </w:rPr>
              <w:t>September 30,</w:t>
            </w:r>
          </w:p>
        </w:tc>
        <w:tc>
          <w:tcPr>
            <w:tcW w:w="2040" w:type="dxa"/>
            <w:vAlign w:val="bottom"/>
            <w:gridSpan w:val="7"/>
          </w:tcPr>
          <w:p>
            <w:pPr>
              <w:jc w:val="center"/>
              <w:ind w:right="88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2007</w:t>
            </w:r>
          </w:p>
        </w:tc>
        <w:tc>
          <w:tcPr>
            <w:tcW w:w="7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0"/>
              </w:rPr>
              <w:t>Percentage</w:t>
            </w:r>
          </w:p>
        </w:tc>
        <w:tc>
          <w:tcPr>
            <w:tcW w:w="6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Borders>
              <w:bottom w:val="single" w:sz="8" w:color="auto"/>
            </w:tcBorders>
            <w:gridSpan w:val="8"/>
          </w:tcPr>
          <w:p>
            <w:pPr>
              <w:spacing w:after="0" w:line="149" w:lineRule="exact"/>
              <w:rPr>
                <w:sz w:val="20"/>
                <w:szCs w:val="20"/>
                <w:color w:val="auto"/>
              </w:rPr>
            </w:pPr>
            <w:r>
              <w:rPr>
                <w:rFonts w:ascii="Arial" w:cs="Arial" w:eastAsia="Arial" w:hAnsi="Arial"/>
                <w:sz w:val="14"/>
                <w:szCs w:val="14"/>
                <w:b w:val="1"/>
                <w:bCs w:val="1"/>
                <w:color w:val="auto"/>
                <w:w w:val="89"/>
              </w:rPr>
              <w:t>Percentage of Net Revenue</w:t>
            </w:r>
          </w:p>
        </w:tc>
        <w:tc>
          <w:tcPr>
            <w:tcW w:w="1400" w:type="dxa"/>
            <w:vAlign w:val="bottom"/>
            <w:gridSpan w:val="3"/>
          </w:tcPr>
          <w:p>
            <w:pPr>
              <w:spacing w:after="0"/>
              <w:rPr>
                <w:sz w:val="14"/>
                <w:szCs w:val="14"/>
                <w:color w:val="auto"/>
              </w:rPr>
            </w:pPr>
          </w:p>
        </w:tc>
        <w:tc>
          <w:tcPr>
            <w:tcW w:w="15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3280" w:type="dxa"/>
            <w:vAlign w:val="bottom"/>
            <w:gridSpan w:val="6"/>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2040" w:type="dxa"/>
            <w:vAlign w:val="bottom"/>
            <w:gridSpan w:val="7"/>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100.0%</w:t>
            </w:r>
          </w:p>
        </w:tc>
        <w:tc>
          <w:tcPr>
            <w:tcW w:w="1540" w:type="dxa"/>
            <w:vAlign w:val="bottom"/>
            <w:gridSpan w:val="8"/>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280" w:type="dxa"/>
            <w:vAlign w:val="bottom"/>
            <w:gridSpan w:val="6"/>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54.9%</w:t>
            </w:r>
          </w:p>
        </w:tc>
        <w:tc>
          <w:tcPr>
            <w:tcW w:w="2040" w:type="dxa"/>
            <w:vAlign w:val="bottom"/>
            <w:gridSpan w:val="7"/>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56.7%</w:t>
            </w:r>
          </w:p>
        </w:tc>
        <w:tc>
          <w:tcPr>
            <w:tcW w:w="1540" w:type="dxa"/>
            <w:vAlign w:val="bottom"/>
            <w:gridSpan w:val="8"/>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280" w:type="dxa"/>
            <w:vAlign w:val="bottom"/>
            <w:gridSpan w:val="6"/>
          </w:tcPr>
          <w:p>
            <w:pPr>
              <w:jc w:val="right"/>
              <w:ind w:right="140"/>
              <w:spacing w:after="0" w:line="149" w:lineRule="exact"/>
              <w:rPr>
                <w:sz w:val="20"/>
                <w:szCs w:val="20"/>
                <w:color w:val="auto"/>
              </w:rPr>
            </w:pPr>
            <w:r>
              <w:rPr>
                <w:rFonts w:ascii="Arial" w:cs="Arial" w:eastAsia="Arial" w:hAnsi="Arial"/>
                <w:sz w:val="14"/>
                <w:szCs w:val="14"/>
                <w:color w:val="auto"/>
              </w:rPr>
              <w:t>30.9%</w:t>
            </w:r>
          </w:p>
        </w:tc>
        <w:tc>
          <w:tcPr>
            <w:tcW w:w="2040" w:type="dxa"/>
            <w:vAlign w:val="bottom"/>
            <w:gridSpan w:val="7"/>
          </w:tcPr>
          <w:p>
            <w:pPr>
              <w:jc w:val="right"/>
              <w:ind w:right="760"/>
              <w:spacing w:after="0" w:line="149" w:lineRule="exact"/>
              <w:rPr>
                <w:sz w:val="20"/>
                <w:szCs w:val="20"/>
                <w:color w:val="auto"/>
              </w:rPr>
            </w:pPr>
            <w:r>
              <w:rPr>
                <w:rFonts w:ascii="Arial" w:cs="Arial" w:eastAsia="Arial" w:hAnsi="Arial"/>
                <w:sz w:val="14"/>
                <w:szCs w:val="14"/>
                <w:color w:val="auto"/>
              </w:rPr>
              <w:t>29.7%</w:t>
            </w:r>
          </w:p>
        </w:tc>
        <w:tc>
          <w:tcPr>
            <w:tcW w:w="1540" w:type="dxa"/>
            <w:vAlign w:val="bottom"/>
            <w:gridSpan w:val="8"/>
          </w:tcPr>
          <w:p>
            <w:pPr>
              <w:jc w:val="right"/>
              <w:ind w:right="20"/>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280" w:type="dxa"/>
            <w:vAlign w:val="bottom"/>
            <w:gridSpan w:val="6"/>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040" w:type="dxa"/>
            <w:vAlign w:val="bottom"/>
            <w:gridSpan w:val="7"/>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3.2%</w:t>
            </w:r>
          </w:p>
        </w:tc>
        <w:tc>
          <w:tcPr>
            <w:tcW w:w="1540" w:type="dxa"/>
            <w:vAlign w:val="bottom"/>
            <w:gridSpan w:val="8"/>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Income from operations</w:t>
            </w:r>
          </w:p>
        </w:tc>
        <w:tc>
          <w:tcPr>
            <w:tcW w:w="3280" w:type="dxa"/>
            <w:vAlign w:val="bottom"/>
            <w:gridSpan w:val="6"/>
          </w:tcPr>
          <w:p>
            <w:pPr>
              <w:jc w:val="right"/>
              <w:ind w:right="140"/>
              <w:spacing w:after="0"/>
              <w:rPr>
                <w:sz w:val="20"/>
                <w:szCs w:val="20"/>
                <w:color w:val="auto"/>
              </w:rPr>
            </w:pPr>
            <w:r>
              <w:rPr>
                <w:rFonts w:ascii="Arial" w:cs="Arial" w:eastAsia="Arial" w:hAnsi="Arial"/>
                <w:sz w:val="14"/>
                <w:szCs w:val="14"/>
                <w:color w:val="auto"/>
              </w:rPr>
              <w:t>11.2%</w:t>
            </w:r>
          </w:p>
        </w:tc>
        <w:tc>
          <w:tcPr>
            <w:tcW w:w="2040" w:type="dxa"/>
            <w:vAlign w:val="bottom"/>
            <w:gridSpan w:val="7"/>
          </w:tcPr>
          <w:p>
            <w:pPr>
              <w:jc w:val="right"/>
              <w:ind w:right="760"/>
              <w:spacing w:after="0"/>
              <w:rPr>
                <w:sz w:val="20"/>
                <w:szCs w:val="20"/>
                <w:color w:val="auto"/>
              </w:rPr>
            </w:pPr>
            <w:r>
              <w:rPr>
                <w:rFonts w:ascii="Arial" w:cs="Arial" w:eastAsia="Arial" w:hAnsi="Arial"/>
                <w:sz w:val="14"/>
                <w:szCs w:val="14"/>
                <w:color w:val="auto"/>
              </w:rPr>
              <w:t>10.4%</w:t>
            </w:r>
          </w:p>
        </w:tc>
        <w:tc>
          <w:tcPr>
            <w:tcW w:w="1540" w:type="dxa"/>
            <w:vAlign w:val="bottom"/>
            <w:gridSpan w:val="8"/>
          </w:tcPr>
          <w:p>
            <w:pPr>
              <w:jc w:val="right"/>
              <w:ind w:right="2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Net revenue increased by $46.2 million, or 38.3%, from $120.7 million for the three months ended September 30, 2006, to $166.9 million for the three months ended September 30, 2007. In the three months ended September 30, 2007, net revenue from our central laboratory business increased by 7.4%, from $12.9 million, to $13.8 million, while our clinical research segment grew by 42%, from $107.8 million, to $153.1 million, in each case over the period ended September 30, 2006. The increase in net revenue in our central laboratory segment is primarily due to higher testing volumes over the comparative period. The improvement in net revenue in the clinical research segment arose through a combination of increased business from existing clients, and business won from new clients due to increased use of outsourcing by the pharmaceutical, biotechnology and medical device industries, an underlying increase in research and development spending and consolidation in the CRO industry.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jc w:val="both"/>
        <w:spacing w:after="0" w:line="238" w:lineRule="auto"/>
        <w:rPr>
          <w:sz w:val="20"/>
          <w:szCs w:val="20"/>
          <w:color w:val="auto"/>
        </w:rPr>
      </w:pPr>
      <w:r>
        <w:rPr>
          <w:rFonts w:ascii="Arial" w:cs="Arial" w:eastAsia="Arial" w:hAnsi="Arial"/>
          <w:sz w:val="14"/>
          <w:szCs w:val="14"/>
          <w:color w:val="auto"/>
        </w:rPr>
        <w:t>Direct costs increased by $23.2 million, or 34.0%, from $68.4 million for the three months ended September 30, 2006 to $91.7 million for the three months ended September 30, 2007, primarily due to increased staff numbers needed to support increased project related activity. Direct costs as a percentage of net revenue decreased from 56.7% for the three months ended September 30, 2006, to 54.9% for the three months ended September 30, 2007.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Selling, general and administrative expenses increased by $15.7 million, or 44.0%, from $35.8 million for the three months ended September 30, 2006, to $51.5 million for the three months ended September 30, 2007. This increase is due to the continued expansion of our operations. As a percentage of net revenue, selling, general and administrative expenses, increased from 29.7% in the three months ended September 30, 2006, to 30.9% in the three months ended September 30, 2007.</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Depreciation and amortization expense increased by $1.1 million, or 29.5%, from $3.9 million for the three months ended September 30, 2006, to $5.0 million for the three months ended September 30, 2007. This increase is due to the continued investment in facilities and information technology to support the growth in activity and in providing for future capacity. As a percentage of net revenue, depreciation and amortization decreased from 3.2% in the three months ended September 30, 2006, to 3.0% in the three months ended September 30, 2007.</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Income from operations increased by $6.1 million, or 48.3%, from $12.6 million for the three months ended September 30, 2006, to $18.7 million for the three months ended September 30, 2007. The operating income for the quarter is derived after the recognition of the non cash stock compensation charge of $1.4 million (September 30, 2006; $1.0 million). As a percentage of net revenue, income from operations increased from 10.4% for the three months ended September 30, 2006, to 11.2% of net revenues for the three months ended September 30, 2007.</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three months ended September 30, 2007, saw a continued improvement in the performance of the central laboratory business, from an operating profit of 5.0% for the three months ended September 30, 2006, to an operating profit of 7.0% for the three months ended September 30, 2007. The central laboratory constitutes approximately 8.3% of our business revenues for the three months ended September 30, 2007 (September 30, 2006; 10.7%).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interest income for the three months ended September 30, 2007 was $0.02 million, a decrease of $0.9 million on the amount of interest income for the three months ended September 30, 2006. The decrease in net interest income earned in the period was due to a higher level of borrowings in the period to fund the acquisition of DOCS International in July 2007 and to meet the ongoing funding requirements for the Company’s new headquarters building in Dublin, Ireland.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ICON's effective tax rate for the three months ended September 30, 2007 was 22.2% compared with 25.2% for the three months ended September 30, 2006. The decrease is due mainly to the changes in the geographic distribution of pre-tax earnings.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Nine Months Ended September 30, 2007 compared with the Nine Months Ended September 30, 2006</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0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520" w:type="dxa"/>
            <w:vAlign w:val="bottom"/>
            <w:gridSpan w:val="4"/>
            <w:vMerge w:val="restart"/>
          </w:tcPr>
          <w:p>
            <w:pPr>
              <w:ind w:left="2000"/>
              <w:spacing w:after="0"/>
              <w:rPr>
                <w:sz w:val="20"/>
                <w:szCs w:val="20"/>
                <w:color w:val="auto"/>
              </w:rPr>
            </w:pPr>
            <w:r>
              <w:rPr>
                <w:rFonts w:ascii="Arial" w:cs="Arial" w:eastAsia="Arial" w:hAnsi="Arial"/>
                <w:sz w:val="13"/>
                <w:szCs w:val="13"/>
                <w:b w:val="1"/>
                <w:bCs w:val="1"/>
                <w:color w:val="auto"/>
                <w:w w:val="74"/>
              </w:rPr>
              <w:t>September</w:t>
            </w: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560" w:type="dxa"/>
            <w:vAlign w:val="bottom"/>
            <w:gridSpan w:val="4"/>
          </w:tcPr>
          <w:p>
            <w:pPr>
              <w:spacing w:after="0"/>
              <w:rPr>
                <w:sz w:val="14"/>
                <w:szCs w:val="14"/>
                <w:color w:val="auto"/>
              </w:rPr>
            </w:pPr>
          </w:p>
        </w:tc>
        <w:tc>
          <w:tcPr>
            <w:tcW w:w="740" w:type="dxa"/>
            <w:vAlign w:val="bottom"/>
            <w:gridSpan w:val="4"/>
            <w:vMerge w:val="restart"/>
          </w:tcPr>
          <w:p>
            <w:pPr>
              <w:jc w:val="center"/>
              <w:ind w:left="388"/>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520" w:type="dxa"/>
            <w:vAlign w:val="bottom"/>
            <w:gridSpan w:val="4"/>
            <w:vMerge w:val="continue"/>
          </w:tcPr>
          <w:p>
            <w:pPr>
              <w:spacing w:after="0"/>
              <w:rPr>
                <w:sz w:val="11"/>
                <w:szCs w:val="11"/>
                <w:color w:val="auto"/>
              </w:rPr>
            </w:pPr>
          </w:p>
        </w:tc>
        <w:tc>
          <w:tcPr>
            <w:tcW w:w="76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rPr>
              <w:t>30,</w:t>
            </w:r>
          </w:p>
        </w:tc>
        <w:tc>
          <w:tcPr>
            <w:tcW w:w="2040" w:type="dxa"/>
            <w:vAlign w:val="bottom"/>
            <w:gridSpan w:val="7"/>
          </w:tcPr>
          <w:p>
            <w:pPr>
              <w:jc w:val="center"/>
              <w:ind w:right="88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880" w:type="dxa"/>
            <w:vAlign w:val="bottom"/>
            <w:gridSpan w:val="5"/>
          </w:tcPr>
          <w:p>
            <w:pPr>
              <w:jc w:val="right"/>
              <w:ind w:right="300"/>
              <w:spacing w:after="0" w:line="129"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80" w:type="dxa"/>
            <w:vAlign w:val="bottom"/>
            <w:gridSpan w:val="5"/>
          </w:tcPr>
          <w:p>
            <w:pPr>
              <w:jc w:val="right"/>
              <w:ind w:right="300"/>
              <w:spacing w:after="0" w:line="129" w:lineRule="exact"/>
              <w:rPr>
                <w:sz w:val="20"/>
                <w:szCs w:val="20"/>
                <w:color w:val="auto"/>
              </w:rPr>
            </w:pPr>
            <w:r>
              <w:rPr>
                <w:rFonts w:ascii="Arial" w:cs="Arial" w:eastAsia="Arial" w:hAnsi="Arial"/>
                <w:sz w:val="14"/>
                <w:szCs w:val="14"/>
                <w:b w:val="1"/>
                <w:bCs w:val="1"/>
                <w:color w:val="auto"/>
              </w:rPr>
              <w:t>2006</w:t>
            </w:r>
          </w:p>
        </w:tc>
        <w:tc>
          <w:tcPr>
            <w:tcW w:w="1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6"/>
          </w:tcPr>
          <w:p>
            <w:pPr>
              <w:jc w:val="center"/>
              <w:ind w:right="720"/>
              <w:spacing w:after="0" w:line="129" w:lineRule="exact"/>
              <w:rPr>
                <w:sz w:val="20"/>
                <w:szCs w:val="20"/>
                <w:color w:val="auto"/>
              </w:rPr>
            </w:pPr>
            <w:r>
              <w:rPr>
                <w:rFonts w:ascii="Arial" w:cs="Arial" w:eastAsia="Arial" w:hAnsi="Arial"/>
                <w:sz w:val="14"/>
                <w:szCs w:val="14"/>
                <w:b w:val="1"/>
                <w:bCs w:val="1"/>
                <w:color w:val="auto"/>
                <w:w w:val="91"/>
              </w:rPr>
              <w:t>to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74"/>
              </w:rPr>
              <w:t>Percentage</w:t>
            </w:r>
          </w:p>
        </w:tc>
        <w:tc>
          <w:tcPr>
            <w:tcW w:w="1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bottom w:val="single" w:sz="8" w:color="auto"/>
            </w:tcBorders>
            <w:gridSpan w:val="8"/>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 Net Revenue</w:t>
            </w:r>
          </w:p>
        </w:tc>
        <w:tc>
          <w:tcPr>
            <w:tcW w:w="1380" w:type="dxa"/>
            <w:vAlign w:val="bottom"/>
            <w:gridSpan w:val="3"/>
          </w:tcPr>
          <w:p>
            <w:pPr>
              <w:spacing w:after="0"/>
              <w:rPr>
                <w:sz w:val="14"/>
                <w:szCs w:val="14"/>
                <w:color w:val="auto"/>
              </w:rPr>
            </w:pPr>
          </w:p>
        </w:tc>
        <w:tc>
          <w:tcPr>
            <w:tcW w:w="15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32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2040" w:type="dxa"/>
            <w:vAlign w:val="bottom"/>
            <w:gridSpan w:val="7"/>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100.0%</w:t>
            </w:r>
          </w:p>
        </w:tc>
        <w:tc>
          <w:tcPr>
            <w:tcW w:w="1540" w:type="dxa"/>
            <w:vAlign w:val="bottom"/>
            <w:gridSpan w:val="8"/>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2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56.5%</w:t>
            </w:r>
          </w:p>
        </w:tc>
        <w:tc>
          <w:tcPr>
            <w:tcW w:w="2040" w:type="dxa"/>
            <w:vAlign w:val="bottom"/>
            <w:gridSpan w:val="7"/>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56.1%</w:t>
            </w:r>
          </w:p>
        </w:tc>
        <w:tc>
          <w:tcPr>
            <w:tcW w:w="1540" w:type="dxa"/>
            <w:vAlign w:val="bottom"/>
            <w:gridSpan w:val="8"/>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280" w:type="dxa"/>
            <w:vAlign w:val="bottom"/>
            <w:gridSpan w:val="7"/>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2040" w:type="dxa"/>
            <w:vAlign w:val="bottom"/>
            <w:gridSpan w:val="7"/>
          </w:tcPr>
          <w:p>
            <w:pPr>
              <w:jc w:val="right"/>
              <w:ind w:right="760"/>
              <w:spacing w:after="0" w:line="149" w:lineRule="exact"/>
              <w:rPr>
                <w:sz w:val="20"/>
                <w:szCs w:val="20"/>
                <w:color w:val="auto"/>
              </w:rPr>
            </w:pPr>
            <w:r>
              <w:rPr>
                <w:rFonts w:ascii="Arial" w:cs="Arial" w:eastAsia="Arial" w:hAnsi="Arial"/>
                <w:sz w:val="14"/>
                <w:szCs w:val="14"/>
                <w:color w:val="auto"/>
              </w:rPr>
              <w:t>30.1%</w:t>
            </w:r>
          </w:p>
        </w:tc>
        <w:tc>
          <w:tcPr>
            <w:tcW w:w="1540" w:type="dxa"/>
            <w:vAlign w:val="bottom"/>
            <w:gridSpan w:val="8"/>
          </w:tcPr>
          <w:p>
            <w:pPr>
              <w:jc w:val="right"/>
              <w:ind w:right="2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2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040" w:type="dxa"/>
            <w:vAlign w:val="bottom"/>
            <w:gridSpan w:val="7"/>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3.4%</w:t>
            </w:r>
          </w:p>
        </w:tc>
        <w:tc>
          <w:tcPr>
            <w:tcW w:w="1540" w:type="dxa"/>
            <w:vAlign w:val="bottom"/>
            <w:gridSpan w:val="8"/>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Income from operations</w:t>
            </w:r>
          </w:p>
        </w:tc>
        <w:tc>
          <w:tcPr>
            <w:tcW w:w="3280" w:type="dxa"/>
            <w:vAlign w:val="bottom"/>
            <w:gridSpan w:val="7"/>
          </w:tcPr>
          <w:p>
            <w:pPr>
              <w:jc w:val="right"/>
              <w:ind w:right="140"/>
              <w:spacing w:after="0"/>
              <w:rPr>
                <w:sz w:val="20"/>
                <w:szCs w:val="20"/>
                <w:color w:val="auto"/>
              </w:rPr>
            </w:pPr>
            <w:r>
              <w:rPr>
                <w:rFonts w:ascii="Arial" w:cs="Arial" w:eastAsia="Arial" w:hAnsi="Arial"/>
                <w:sz w:val="14"/>
                <w:szCs w:val="14"/>
                <w:color w:val="auto"/>
              </w:rPr>
              <w:t>11.0%</w:t>
            </w:r>
          </w:p>
        </w:tc>
        <w:tc>
          <w:tcPr>
            <w:tcW w:w="2040" w:type="dxa"/>
            <w:vAlign w:val="bottom"/>
            <w:gridSpan w:val="7"/>
          </w:tcPr>
          <w:p>
            <w:pPr>
              <w:jc w:val="right"/>
              <w:ind w:right="760"/>
              <w:spacing w:after="0"/>
              <w:rPr>
                <w:sz w:val="20"/>
                <w:szCs w:val="20"/>
                <w:color w:val="auto"/>
              </w:rPr>
            </w:pPr>
            <w:r>
              <w:rPr>
                <w:rFonts w:ascii="Arial" w:cs="Arial" w:eastAsia="Arial" w:hAnsi="Arial"/>
                <w:sz w:val="14"/>
                <w:szCs w:val="14"/>
                <w:color w:val="auto"/>
              </w:rPr>
              <w:t>10.4%</w:t>
            </w:r>
          </w:p>
        </w:tc>
        <w:tc>
          <w:tcPr>
            <w:tcW w:w="1540" w:type="dxa"/>
            <w:vAlign w:val="bottom"/>
            <w:gridSpan w:val="8"/>
          </w:tcPr>
          <w:p>
            <w:pPr>
              <w:jc w:val="right"/>
              <w:ind w:right="20"/>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Net revenue increased by $123.4 million, or 37.8%, from $326.6 million for the nine months ended September, 2006, to $450.1 million for the nine months ended September 30, 2007. This improvement arose through a combination of increased business from existing clients and business won from new clients. In the nine months ended September 30, 2007, net revenue from our central laboratory business increased by 18.1%, from $33.7 million for the nine months ended September 30, 2006, to $39.8 million for the nine months ended September 30, 2007, while our clinical research segment grew by 40%, from $292.9 million, to $410.3 million over the comparable period. The increase in net revenue in our central laboratory segment is primarily due to higher testing volumes in 2007.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revenue from acquisitions and consolidation in the CRO industry.</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Direct costs increased by $71.0 million, or 38.7%, from $183.1 million for the nine months ended September 30, 2006, to $254.1 million for the nine months ended September 30, 2007, primarily due to increased staff numbers needed to support increased project related activity. Direct costs as a percentage of net revenue increased from 56.1% in the nine months ended September 30, 2006, to 56.5% in the nine months ended September 30, 2007.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Selling, general and administrative expenses increased by $34.4 million, or 34.9%, from $98.5 million for the nine months ended September 30, 2006, to $132.9 million for the nine months ended September 30, 2007. This increase is due to the continued expansion of our operations. As a percentage of net revenue, selling, general and administrative expenses, decreased from 30.1% in the nine months ended September 30, 2006, to 29.5% in the nine months ended September 30, 2007.</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Depreciation and amortization expense increased by $2.6 million, or 23.8%, from $11.0 million for the nine months ended September 30, 2006, to $13.6 million for the nine months ended September 30, 2007. This increase is due to the continued investment in facilities and information technology to support the growth in activity and in providing for future capacity. As a percentage of net revenue, depreciation and amortization, decreased from 3.4% in the nine months ended September 30, 2006, to 3.0% in the nine months ended September 30, 2007.</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Income from operations increased by $15.5 million, or 45.4%, from $34.0 million for the nine months ended September 30, 2006, to $49.5 million for the nine months ended September 30, 2007. As a percentage of net revenue, income from operations increased from 10.4% for the nine months ended September 30, 2006, to 11.0% of net revenues for the nine months ended September 30, 2007. The operating income for the nine months is derived after the recognition of the non cash stock compensation charge of $3.9 million (September 30, 2006; $3.0 million). As a percentage of net revenue, the central laboratory business generated operating profits of 7% for the nine months ended September 30, 2007 compared to a profit from operations percentage of 1.0% for the nine months ended September 30, 2006, due to the efficiencies gained in the higher testing volumes in fiscal 2007. For the nine months ended September 30, 2007, the central laboratory constituted approximately 8.8% of our business revenues (September 30, 2006; 10.3%).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both"/>
        <w:spacing w:after="0" w:line="238" w:lineRule="auto"/>
        <w:rPr>
          <w:sz w:val="20"/>
          <w:szCs w:val="20"/>
          <w:color w:val="auto"/>
        </w:rPr>
      </w:pPr>
      <w:r>
        <w:rPr>
          <w:rFonts w:ascii="Arial" w:cs="Arial" w:eastAsia="Arial" w:hAnsi="Arial"/>
          <w:sz w:val="14"/>
          <w:szCs w:val="14"/>
          <w:color w:val="auto"/>
        </w:rPr>
        <w:t>Net interest income for the nine months ended September 30, 2007 was $2.1 million, a decrease of $0.4 million over the amount of net interest income for the nine months ended September 30, 2006. The decrease in net interest income earned in the period was due to a higher level of borrowings in the period to fund the acquisition of DOCS International in July 2007 and to meet the ongoing funding requirements for the Company’s new headquarters building in Dublin, Ireland.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ICON's effective tax rate for the nine months ended September 30, 2007 was 22.0% compared with 26.0% for the nine months ended September 30, 2006. This decrease is mainly due to the changes in the geographic distribution of pre tax earnings.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nine months ended September 30, 2007 amounted to $272.2 million, compared to $196.0 million for the nine months ended September 30, 2006. Investing activities primarily reflect capital expenditures for facilities and for information systems enhancements, the sale and purchase of short-term investments and acquisitions.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As of September 30, 2007, our working capital amounted to $127.9 million, compared to $160.3 million at December 31, 2006.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65 days at September 30, 2007, compared to 53 days at December 31, 2006.</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 was $19.9 million in the nine months ended September 30, 2007, compared to $32.0 million in the nine months ended September 30, 2006.</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cash used in investing activities was $81.5 million in the nine months ended September 30, 2007, compared to $42.9 million in the nine months ended September 30, 2006. Net cash used in investing activities is primarily used in the construction of the new facility head office building located in Dublin, Republic of Ireland and the ongoing investment in information technology to support the Company’s current and future growth.</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financing activities was $70.5 million in the nine months ended September 30, 2007, compared to $6.0 million in the nine months ended September 30, 2006.</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As a result of these cash flows, cash and cash equivalents increased by $6.5 million in the nine months ended September 30, 2007, compared to a decrease of $4.6 million in the nine months ended September 30, 2006.</w:t>
      </w:r>
    </w:p>
    <w:p>
      <w:pPr>
        <w:spacing w:after="0" w:line="201"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On April 24, 2007, the Company entered into a facility agreement for the provision of an overdraft facility of €14 million (U.S. $19.8 million) with AIB Bank. The overdraft facility bears interest at an annual rate equal to the bank’s prime rate and is repayable on demand if the Company defaults under its obligations as specified in the loan agreement. On September 25, 2007 the amount available to be drawn down under this facility was increased to €21 million ($29.7 million). As of September 30, 2007 €20.4 million ($28.9 million) of the facility had been drawn down.</w:t>
      </w:r>
    </w:p>
    <w:p>
      <w:pPr>
        <w:spacing w:after="0" w:line="195"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On July 12, 2007 the Company acquired 100% of the common stock of DOCS International, a European based clinical research staffing organization, for a cash consideration of approximately $40.6 million (€29.5 million). DOCS International operates in eight European countries and focuses on the training and supply of contract and permanent clinical research personnel to the pharmaceutical and biotech industry.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spacing w:after="0" w:line="234" w:lineRule="auto"/>
        <w:rPr>
          <w:sz w:val="20"/>
          <w:szCs w:val="20"/>
          <w:color w:val="auto"/>
        </w:rPr>
      </w:pPr>
      <w:r>
        <w:rPr>
          <w:rFonts w:ascii="Arial" w:cs="Arial" w:eastAsia="Arial" w:hAnsi="Arial"/>
          <w:sz w:val="14"/>
          <w:szCs w:val="14"/>
          <w:color w:val="auto"/>
        </w:rPr>
        <w:t>On July 9, 2007 ICON plc entered into a facility agreement for the provision of a multi-currency revolving credit facility of €35 million ($49.5 million) with The Governor and Company of the Bank of Ireland. Our obligations under the facility are secured by certain composite guarantees and indemnities and pledges in favour of the bank. The facility bears interest at an annual rate equal to the interbank rate plus 0.6 percent. On July 10, 2007 the Company drew down €29.5 million ($40.6 million) of the facility to fund the acquisition of DOCS International. The facility will become payable on demand if the Company defaults under its obligations as specified in the loan agreement.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ind w:left="5260"/>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720"/>
        <w:spacing w:after="0"/>
        <w:rPr>
          <w:sz w:val="20"/>
          <w:szCs w:val="20"/>
          <w:color w:val="auto"/>
        </w:rPr>
      </w:pPr>
      <w:r>
        <w:rPr>
          <w:rFonts w:ascii="Arial" w:cs="Arial" w:eastAsia="Arial" w:hAnsi="Arial"/>
          <w:sz w:val="14"/>
          <w:szCs w:val="14"/>
          <w:u w:val="single" w:color="auto"/>
          <w:color w:val="auto"/>
        </w:rPr>
        <w:t>/s/ Ciaran Murray</w:t>
      </w:r>
    </w:p>
    <w:p>
      <w:pPr>
        <w:spacing w:after="0" w:line="28"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color w:val="auto"/>
        </w:rPr>
        <w:t>Date: October 23, 2007</w:t>
      </w:r>
      <w:r>
        <w:rPr>
          <w:sz w:val="20"/>
          <w:szCs w:val="20"/>
          <w:color w:val="auto"/>
        </w:rPr>
        <w:tab/>
      </w:r>
      <w:r>
        <w:rPr>
          <w:rFonts w:ascii="Arial" w:cs="Arial" w:eastAsia="Arial" w:hAnsi="Arial"/>
          <w:sz w:val="13"/>
          <w:szCs w:val="13"/>
          <w:color w:val="auto"/>
        </w:rPr>
        <w:t>Ciaran Murray</w:t>
      </w:r>
    </w:p>
    <w:p>
      <w:pPr>
        <w:spacing w:after="0" w:line="2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21</w:t>
      </w:r>
    </w:p>
    <w:sectPr>
      <w:pgSz w:w="11900" w:h="16838" w:orient="portrait"/>
      <w:cols w:equalWidth="0" w:num="1">
        <w:col w:w="10560"/>
      </w:cols>
      <w:pgMar w:left="240" w:top="603"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2019-12-14T20:58:23Z</dcterms:created>
  <dcterms:modified xsi:type="dcterms:W3CDTF">2019-12-14T20:58:23Z</dcterms:modified>
</cp:coreProperties>
</file>