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May, 2015</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702"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2015 we had approximately 11,200 employees, in 81 locations in 38 countries. During the three months ended March 31, 2015 we derived approximately 38.7%, 51.0% and 10.3%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27,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w:t>
      </w:r>
      <w:r>
        <w:rPr>
          <w:rFonts w:ascii="Arial" w:cs="Arial" w:eastAsia="Arial" w:hAnsi="Arial"/>
          <w:sz w:val="18"/>
          <w:szCs w:val="18"/>
          <w:i w:val="1"/>
          <w:iCs w:val="1"/>
          <w:color w:val="auto"/>
        </w:rPr>
        <w:t>see note 3</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 for further information)</w:t>
      </w:r>
      <w:r>
        <w:rPr>
          <w:rFonts w:ascii="Arial" w:cs="Arial" w:eastAsia="Arial" w:hAnsi="Arial"/>
          <w:sz w:val="18"/>
          <w:szCs w:val="18"/>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2015 AND DECEMBER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95,241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96,434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97,100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361,780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156,595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146,163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35,092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30,628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28,465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16,009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811,592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819,507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141,552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148,185</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571,523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463,324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12,833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13,022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21,472</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44,587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49,719</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1,604,901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3,859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253,043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280,097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273,902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251,091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credit lines and loan facilities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7,506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558,544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538,359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15,389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13,179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12,895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12,389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17,811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13,601</w:t>
            </w: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60,580,540 shares issued and outstanding at March 31, 2015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60,106,780 shares issued and outstanding at December 31, 2014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343,320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327,234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(60,469)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(37,555)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711,054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655,185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999,269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950,206</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1,604,901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MARCH 31,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7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503,366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476,544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(115,135)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(126,910)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0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388,231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349,634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Costs and expenses: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0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228,078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06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79,555</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78,948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13,925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321,558</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306,636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66,673</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66,670</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(10,801)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55,869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36,195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0.93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0.90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60,281,059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61,776,643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61,856,347</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63,225,797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Pr>
          <w:p>
            <w:pPr>
              <w:spacing w:after="0"/>
              <w:rPr>
                <w:sz w:val="20"/>
                <w:szCs w:val="20"/>
                <w:color w:val="auto"/>
              </w:rPr>
            </w:pPr>
          </w:p>
        </w:tc>
        <w:tc>
          <w:tcPr>
            <w:tcW w:w="23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2"/>
        </w:trPr>
        <w:tc>
          <w:tcPr>
            <w:tcW w:w="79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55,869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4,018</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grants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Share compensation expense</w:t>
            </w: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6,043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accounts receivable</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16,381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unbilled revenue</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receivables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 current assets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(31,093)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current liabilities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13,462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10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income taxes payable</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Increase in accounts payable</w:t>
            </w:r>
          </w:p>
        </w:tc>
        <w:tc>
          <w:tcPr>
            <w:tcW w:w="1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subsidiary undertakings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(112,849)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8,146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Share issuance costs</w:t>
            </w:r>
          </w:p>
        </w:tc>
        <w:tc>
          <w:tcPr>
            <w:tcW w:w="1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1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20,000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30,065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118,900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95,241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236,656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Other</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80" w:type="dxa"/>
            <w:vAlign w:val="bottom"/>
            <w:gridSpan w:val="5"/>
          </w:tcPr>
          <w:p>
            <w:pPr>
              <w:ind w:left="140"/>
              <w:spacing w:after="0" w:line="196" w:lineRule="exact"/>
              <w:rPr>
                <w:sz w:val="20"/>
                <w:szCs w:val="20"/>
                <w:color w:val="auto"/>
              </w:rPr>
            </w:pPr>
            <w:r>
              <w:rPr>
                <w:rFonts w:ascii="Arial" w:cs="Arial" w:eastAsia="Arial" w:hAnsi="Arial"/>
                <w:sz w:val="18"/>
                <w:szCs w:val="18"/>
                <w:b w:val="1"/>
                <w:bCs w:val="1"/>
                <w:color w:val="auto"/>
                <w:w w:val="98"/>
              </w:rPr>
              <w:t>Redemption</w:t>
            </w:r>
          </w:p>
        </w:tc>
        <w:tc>
          <w:tcPr>
            <w:tcW w:w="140" w:type="dxa"/>
            <w:vAlign w:val="bottom"/>
          </w:tcPr>
          <w:p>
            <w:pPr>
              <w:spacing w:after="0"/>
              <w:rPr>
                <w:sz w:val="17"/>
                <w:szCs w:val="17"/>
                <w:color w:val="auto"/>
              </w:rPr>
            </w:pPr>
          </w:p>
        </w:tc>
        <w:tc>
          <w:tcPr>
            <w:tcW w:w="132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300" w:type="dxa"/>
            <w:vAlign w:val="bottom"/>
          </w:tcPr>
          <w:p>
            <w:pPr>
              <w:spacing w:after="0"/>
              <w:rPr>
                <w:sz w:val="17"/>
                <w:szCs w:val="17"/>
                <w:color w:val="auto"/>
              </w:rPr>
            </w:pPr>
          </w:p>
        </w:tc>
        <w:tc>
          <w:tcPr>
            <w:tcW w:w="8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6"/>
              </w:rPr>
              <w:t>Retained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3"/>
              </w:rPr>
              <w:t>Shares</w:t>
            </w:r>
          </w:p>
        </w:tc>
        <w:tc>
          <w:tcPr>
            <w:tcW w:w="300" w:type="dxa"/>
            <w:vAlign w:val="bottom"/>
          </w:tcPr>
          <w:p>
            <w:pPr>
              <w:spacing w:after="0"/>
              <w:rPr>
                <w:sz w:val="17"/>
                <w:szCs w:val="17"/>
                <w:color w:val="auto"/>
              </w:rPr>
            </w:pPr>
          </w:p>
        </w:tc>
        <w:tc>
          <w:tcPr>
            <w:tcW w:w="82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Reserve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Earnings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15"/>
          </w:tcPr>
          <w:p>
            <w:pPr>
              <w:jc w:val="right"/>
              <w:ind w:right="360"/>
              <w:spacing w:after="0"/>
              <w:rPr>
                <w:sz w:val="20"/>
                <w:szCs w:val="20"/>
                <w:color w:val="auto"/>
              </w:rPr>
            </w:pPr>
            <w:r>
              <w:rPr>
                <w:rFonts w:ascii="Arial" w:cs="Arial" w:eastAsia="Arial" w:hAnsi="Arial"/>
                <w:sz w:val="18"/>
                <w:szCs w:val="18"/>
                <w:b w:val="1"/>
                <w:bCs w:val="1"/>
                <w:color w:val="auto"/>
                <w:w w:val="90"/>
              </w:rPr>
              <w:t>(dollars in thousands, except share data)</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2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60,106,780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5,037</w:t>
            </w: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327,234</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left w:val="single" w:sz="8" w:color="CCEEFF"/>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(37,555)</w:t>
            </w:r>
          </w:p>
        </w:tc>
        <w:tc>
          <w:tcPr>
            <w:tcW w:w="30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655,185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55,869</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(31,789)</w:t>
            </w:r>
          </w:p>
        </w:tc>
        <w:tc>
          <w:tcPr>
            <w:tcW w:w="3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8,978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30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 - investments</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(22,914)</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55,869</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32,955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317,777</w:t>
            </w:r>
          </w:p>
        </w:tc>
        <w:tc>
          <w:tcPr>
            <w:tcW w:w="3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155,983</w:t>
            </w:r>
          </w:p>
        </w:tc>
        <w:tc>
          <w:tcPr>
            <w:tcW w:w="3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Non-cash stock compensation expense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2015</w:t>
            </w:r>
          </w:p>
        </w:tc>
        <w:tc>
          <w:tcPr>
            <w:tcW w:w="12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60,580,540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5,059</w:t>
            </w: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343,320</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left w:val="single" w:sz="8" w:color="CCEEFF"/>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(60,469)</w:t>
            </w:r>
          </w:p>
        </w:tc>
        <w:tc>
          <w:tcPr>
            <w:tcW w:w="300" w:type="dxa"/>
            <w:vAlign w:val="bottom"/>
            <w:tcBorders>
              <w:bottom w:val="single" w:sz="8" w:color="auto"/>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711,054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999,269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gridSpan w:val="17"/>
          </w:tcPr>
          <w:p>
            <w:pPr>
              <w:ind w:left="48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2014. Operating results for the three months ended March 31, 2015 are not necessarily indicative of the results that may be expected for the fiscal period ending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Three months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2"/>
              </w:rPr>
              <w:t>ended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420" w:type="dxa"/>
            <w:vAlign w:val="bottom"/>
          </w:tcPr>
          <w:p>
            <w:pPr>
              <w:spacing w:after="0"/>
              <w:rPr>
                <w:sz w:val="18"/>
                <w:szCs w:val="18"/>
                <w:color w:val="auto"/>
              </w:rPr>
            </w:pPr>
          </w:p>
        </w:tc>
        <w:tc>
          <w:tcPr>
            <w:tcW w:w="1320" w:type="dxa"/>
            <w:vAlign w:val="bottom"/>
            <w:gridSpan w:val="6"/>
          </w:tcPr>
          <w:p>
            <w:pPr>
              <w:jc w:val="right"/>
              <w:ind w:right="140"/>
              <w:spacing w:after="0"/>
              <w:rPr>
                <w:sz w:val="20"/>
                <w:szCs w:val="20"/>
                <w:color w:val="auto"/>
              </w:rPr>
            </w:pPr>
            <w:r>
              <w:rPr>
                <w:rFonts w:ascii="Arial" w:cs="Arial" w:eastAsia="Arial" w:hAnsi="Arial"/>
                <w:sz w:val="18"/>
                <w:szCs w:val="18"/>
                <w:color w:val="auto"/>
              </w:rPr>
              <w:t>115,037</w:t>
            </w:r>
          </w:p>
        </w:tc>
        <w:tc>
          <w:tcPr>
            <w:tcW w:w="3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121,209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44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(11,256)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4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571,523</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463,324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tcPr>
          <w:p>
            <w:pPr>
              <w:jc w:val="right"/>
              <w:ind w:right="27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2015 the Company acquired MediMedia Pharma Solutions for a total cash consideration of $120.0 million including certain payments to be made on behalf of the company on completion totalling $14.9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 on acquisition. The Company has withheld a provisional amount of $3.3 million pending completion of this review.</w:t>
      </w:r>
    </w:p>
    <w:p>
      <w:pPr>
        <w:spacing w:after="0" w:line="2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acquisition of MediMedia Pharma Solutions has been accounted for as a business combination in accordance with FASB ASC 805 Business Combinations. The following table summarizes the Company’s provisional estimates of the fair values of the assets acquired and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Payments on account</w:t>
            </w:r>
          </w:p>
        </w:tc>
        <w:tc>
          <w:tcPr>
            <w:tcW w:w="38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Adjustments to cash consideration **</w:t>
            </w:r>
          </w:p>
        </w:tc>
        <w:tc>
          <w:tcPr>
            <w:tcW w:w="38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3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purchase consideration</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w:t>
      </w:r>
    </w:p>
    <w:p>
      <w:pPr>
        <w:spacing w:after="0"/>
        <w:rPr>
          <w:sz w:val="20"/>
          <w:szCs w:val="20"/>
          <w:color w:val="auto"/>
        </w:rPr>
      </w:pPr>
      <w:r>
        <w:rPr>
          <w:rFonts w:ascii="Arial" w:cs="Arial" w:eastAsia="Arial" w:hAnsi="Arial"/>
          <w:sz w:val="18"/>
          <w:szCs w:val="18"/>
          <w:color w:val="auto"/>
        </w:rPr>
        <w:t>** Adjustments to cash consideration represents certain one-time liabilities at the acquisition date which have subsequently been repaid.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Aptiv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The acquisition agreement also provided for certain working capital targets to be achieved by Aptiv on completion. On March 25, 2015 the Company received $1.9 million on completion of this review.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600"/>
        <w:spacing w:after="0" w:line="277" w:lineRule="auto"/>
        <w:rPr>
          <w:sz w:val="20"/>
          <w:szCs w:val="20"/>
          <w:color w:val="auto"/>
        </w:rPr>
      </w:pPr>
      <w:r>
        <w:rPr>
          <w:rFonts w:ascii="Arial" w:cs="Arial" w:eastAsia="Arial" w:hAnsi="Arial"/>
          <w:sz w:val="18"/>
          <w:szCs w:val="18"/>
          <w:color w:val="auto"/>
        </w:rPr>
        <w:t>The acquisition of Aptiv Solutions has been accounted for as a business combination in accordance with FASB ASC 805 Business Combinations. The following table summarizes the preliminary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account</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 **</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consideration</w:t>
            </w:r>
          </w:p>
        </w:tc>
        <w:tc>
          <w:tcPr>
            <w:tcW w:w="3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 Adjustments to cash consideration represent certain one-time liabilities (including loan notes) identified at the acquisition date which have subsequently been repaid.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Restructuring and other items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Charges- 2014 Restructuring Provisions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Asset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Impairment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3,167</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5,629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Asset write-off</w:t>
            </w:r>
          </w:p>
        </w:tc>
        <w:tc>
          <w:tcPr>
            <w:tcW w:w="29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March 31, 2015</w:t>
            </w: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2,553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$444,000 were paid in respect of the onerous lease during the three months ended March 31,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 – 2013 Restructuring Provisions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Q1 and Q2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Details of the movement in this restructuring plan recognized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Office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Consolidations</w:t>
            </w:r>
          </w:p>
        </w:tc>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2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Q2 Plan - Initial provision recognized</w:t>
            </w:r>
          </w:p>
        </w:tc>
        <w:tc>
          <w:tcPr>
            <w:tcW w:w="2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4,228</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8,131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Cash payments</w:t>
            </w:r>
          </w:p>
        </w:tc>
        <w:tc>
          <w:tcPr>
            <w:tcW w:w="2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(7,934)</w:t>
            </w:r>
          </w:p>
        </w:tc>
        <w:tc>
          <w:tcPr>
            <w:tcW w:w="2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March 31, 2015</w:t>
            </w:r>
          </w:p>
        </w:tc>
        <w:tc>
          <w:tcPr>
            <w:tcW w:w="2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Cash payments of $114,000 (workforce reductions $71,000; office consolidations $43,000) were paid during the three months ended March 31,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40" w:type="dxa"/>
            <w:vAlign w:val="bottom"/>
            <w:gridSpan w:val="2"/>
          </w:tcPr>
          <w:p>
            <w:pPr>
              <w:spacing w:after="0"/>
              <w:rPr>
                <w:sz w:val="20"/>
                <w:szCs w:val="20"/>
                <w:color w:val="auto"/>
              </w:rPr>
            </w:pPr>
            <w:r>
              <w:rPr>
                <w:rFonts w:ascii="Arial" w:cs="Arial" w:eastAsia="Arial" w:hAnsi="Arial"/>
                <w:sz w:val="18"/>
                <w:szCs w:val="18"/>
                <w:color w:val="auto"/>
              </w:rPr>
              <w:t>Income taxes recognized during the three and three months ended March 31, 2015 comprise:</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10,801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March 31, 2015 the Company maintains a $27.6 million liability (December 31, 2014: $25.6 million) for unrecognized tax benefit, which is comprised of $25.1 million (December 31, 2014: $23.2 million) related to items generating unrecognized tax benefits and $2.4 million (December 31, 2014: $2.4 million) for interest and related penalties to such items. The Company recognizes interest accrued on unrecognized tax benefits as an additional income tax expense.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2009 through 2014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18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900" w:type="dxa"/>
            <w:vAlign w:val="bottom"/>
            <w:gridSpan w:val="4"/>
          </w:tcPr>
          <w:p>
            <w:pPr>
              <w:jc w:val="right"/>
              <w:spacing w:after="0" w:line="183" w:lineRule="exact"/>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5"/>
                <w:szCs w:val="15"/>
                <w:color w:val="auto"/>
              </w:rPr>
            </w:pPr>
          </w:p>
        </w:tc>
        <w:tc>
          <w:tcPr>
            <w:tcW w:w="1180" w:type="dxa"/>
            <w:vAlign w:val="bottom"/>
            <w:gridSpan w:val="5"/>
          </w:tcPr>
          <w:p>
            <w:pPr>
              <w:jc w:val="right"/>
              <w:ind w:right="100"/>
              <w:spacing w:after="0" w:line="183"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60,281,059</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61,776,643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1,575,288</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1,449,154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218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61,856,347</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63,225,797</w:t>
            </w:r>
          </w:p>
        </w:tc>
        <w:tc>
          <w:tcPr>
            <w:tcW w:w="0" w:type="dxa"/>
            <w:vAlign w:val="bottom"/>
          </w:tcPr>
          <w:p>
            <w:pPr>
              <w:spacing w:after="0"/>
              <w:rPr>
                <w:sz w:val="1"/>
                <w:szCs w:val="1"/>
                <w:color w:val="auto"/>
              </w:rPr>
            </w:pPr>
          </w:p>
        </w:tc>
      </w:tr>
      <w:tr>
        <w:trPr>
          <w:trHeight w:val="601"/>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2015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Weighted</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2,227,700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10.40</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239,972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19.78</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(317,777)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9.89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9.29</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2,118,258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11.56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March 31, 2015</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924,768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9.80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980" w:type="dxa"/>
            <w:vAlign w:val="bottom"/>
          </w:tcPr>
          <w:p>
            <w:pPr>
              <w:jc w:val="right"/>
              <w:ind w:right="117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$5.88 to $19.78 per option or a weighted average fair value of $10.64 per option. The Company issues ordinary shares for all options exercised. The total amount of fully vested share options which remained outstanding at March 31, 2015, was 924,768. Fully vested share options at March 31, 2015, have an average remaining contractual term of 3.42 years, an average exercise price of $25.53 and a total intrinsic value of $41.6 million. The total intrinsic value of options exercised during the three months ended March 31, 2015 was $12.6 million (March 31, 2014: $8.9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Exercise Price</w:t>
            </w: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2014</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1,203,150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239,972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3140" w:type="dxa"/>
            <w:vAlign w:val="bottom"/>
          </w:tcPr>
          <w:p>
            <w:pPr>
              <w:jc w:val="right"/>
              <w:ind w:right="10"/>
              <w:spacing w:after="0"/>
              <w:rPr>
                <w:sz w:val="20"/>
                <w:szCs w:val="20"/>
                <w:color w:val="auto"/>
              </w:rPr>
            </w:pPr>
            <w:r>
              <w:rPr>
                <w:rFonts w:ascii="Arial" w:cs="Arial" w:eastAsia="Arial" w:hAnsi="Arial"/>
                <w:sz w:val="18"/>
                <w:szCs w:val="18"/>
                <w:color w:val="auto"/>
              </w:rPr>
              <w:t>(230,849)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March 31, 2015</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1,193,490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2015 and March 31, 2014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5 years</w:t>
            </w:r>
          </w:p>
        </w:tc>
        <w:tc>
          <w:tcPr>
            <w:tcW w:w="2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76"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669,171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39.78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1,038,996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35.19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231,284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68.39</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75,412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68.39</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(155,983)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21.75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39.12</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896,474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47.21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934,817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40.01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2015 totaled $3.4 million (full year 2014: $4.9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either the first three months of 2015 or the full year 2014.</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PSUs vest based on service and specified EPS targets over the period 2013 – 2016, 2014 – 2017 and 2015 - 2018. Since 2013, we granted 449,399 PSUs (net of forfeitures). Depending on the actual amount of EPS from 2013 to 2018, up to an additional 447,075 PSUs may also be granted.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80" w:type="dxa"/>
            <w:vAlign w:val="bottom"/>
          </w:tcPr>
          <w:p>
            <w:pPr>
              <w:spacing w:after="0"/>
              <w:rPr>
                <w:sz w:val="20"/>
                <w:szCs w:val="20"/>
                <w:color w:val="auto"/>
              </w:rPr>
            </w:pPr>
            <w:r>
              <w:rPr>
                <w:rFonts w:ascii="Arial" w:cs="Arial" w:eastAsia="Arial" w:hAnsi="Arial"/>
                <w:sz w:val="18"/>
                <w:szCs w:val="18"/>
                <w:color w:val="auto"/>
                <w:w w:val="92"/>
              </w:rPr>
              <w:t>Non-cash stock compensation expense for the three months ended March 31, 2015 has been allocated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r>
      <w:tr>
        <w:trPr>
          <w:trHeight w:val="20"/>
        </w:trPr>
        <w:tc>
          <w:tcPr>
            <w:tcW w:w="8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8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4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8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r>
      <w:tr>
        <w:trPr>
          <w:trHeight w:val="216"/>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2,713</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1,816</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6,043</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4,045</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March 31, 2015 amounted to $69.3 million. The weighted average period over which this is expected to be recognized is 2.5 years. Total tax benefit recognized in additional paid in capital related to the non-cash compensation expense amounted to $1.9 million for the three months ended March 31, 2015 (March 31, 2014: $0.7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Operating Officer and Chief Financial Officer, who together are considered the Company’s chief operating decision makers, in accordance with FASB ASC 280-10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France, Germany, Italy, Spain, The Netherlands, Sweden, Turkey, Poland, Czech Republic, Lithuania, Latvia, Russia, Ukraine, Hungary, Israel, Romania, Switzerland, Canada, Mexico, Brazil, Colombia, Argentina, Chile, Peru, India, China, South Korea, Japan, Thailand, Taiwan, Singapore, The Philippines, Australia, New Zealand, and South Africa.</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as at March 31, 2015 and December 31, 2014 and for the three months ended March 31, 2015 and March 31, 2014 is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114,090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22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84,088</w:t>
            </w:r>
          </w:p>
        </w:tc>
        <w:tc>
          <w:tcPr>
            <w:tcW w:w="3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86,401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141,679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39,989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388,231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349,634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800" w:hanging="144"/>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1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6"/>
          </w:tcPr>
          <w:p>
            <w:pPr>
              <w:ind w:left="22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47,566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 of Europe</w:t>
            </w:r>
          </w:p>
        </w:tc>
        <w:tc>
          <w:tcPr>
            <w:tcW w:w="1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66,673</w:t>
            </w: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42,998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00" w:type="dxa"/>
            <w:vAlign w:val="bottom"/>
            <w:gridSpan w:val="2"/>
          </w:tcPr>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6"/>
          </w:tcPr>
          <w:p>
            <w:pPr>
              <w:ind w:left="22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90,481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 of Europe</w:t>
            </w:r>
          </w:p>
        </w:tc>
        <w:tc>
          <w:tcPr>
            <w:tcW w:w="1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34,239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141,552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8"/>
              </w:rPr>
              <w:t>148,185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800" w:type="dxa"/>
            <w:vAlign w:val="bottom"/>
            <w:gridSpan w:val="2"/>
          </w:tcPr>
          <w:p>
            <w:pPr>
              <w:jc w:val="right"/>
              <w:ind w:right="1910"/>
              <w:spacing w:after="0"/>
              <w:rPr>
                <w:sz w:val="20"/>
                <w:szCs w:val="20"/>
                <w:color w:val="auto"/>
              </w:rPr>
            </w:pPr>
            <w:r>
              <w:rPr>
                <w:rFonts w:ascii="Arial" w:cs="Arial" w:eastAsia="Arial" w:hAnsi="Arial"/>
                <w:sz w:val="18"/>
                <w:szCs w:val="18"/>
                <w:color w:val="auto"/>
              </w:rPr>
              <w:t>16</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38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13,925</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e) The distribution of total assets by geographical area was as follows:</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491,413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38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310,481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324,086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648,559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55,366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1,604,901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1,528,850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40" w:type="dxa"/>
            <w:vAlign w:val="bottom"/>
          </w:tcPr>
          <w:p>
            <w:pPr>
              <w:jc w:val="right"/>
              <w:ind w:right="329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2014. The Consolidated Financial Statements have been prepared in accordance with accounting principles generally accepted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2015, we employed approximately 11,200 employees, in 81 locations in 38 countries. During the three months ended March 31, 2015 we derived approximately 38.7%, 51.0% and 10.3%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2015 we had a backlog of approximately $3.6 billion, compared with approximately $3.6 billion at December 31, 2014.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with Three Months Ended March 31, 2014</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b w:val="1"/>
                <w:bCs w:val="1"/>
                <w:color w:val="auto"/>
                <w:w w:val="93"/>
              </w:rPr>
              <w:t>March 31,</w:t>
            </w:r>
          </w:p>
        </w:tc>
        <w:tc>
          <w:tcPr>
            <w:tcW w:w="380" w:type="dxa"/>
            <w:vAlign w:val="bottom"/>
          </w:tcPr>
          <w:p>
            <w:pPr>
              <w:spacing w:after="0"/>
              <w:rPr>
                <w:sz w:val="17"/>
                <w:szCs w:val="17"/>
                <w:color w:val="auto"/>
              </w:rPr>
            </w:pPr>
          </w:p>
        </w:tc>
        <w:tc>
          <w:tcPr>
            <w:tcW w:w="1640" w:type="dxa"/>
            <w:vAlign w:val="bottom"/>
            <w:gridSpan w:val="6"/>
          </w:tcPr>
          <w:p>
            <w:pPr>
              <w:jc w:val="right"/>
              <w:ind w:right="600"/>
              <w:spacing w:after="0" w:line="196" w:lineRule="exact"/>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vMerge w:val="restart"/>
          </w:tcPr>
          <w:p>
            <w:pPr>
              <w:jc w:val="right"/>
              <w:spacing w:after="0" w:line="182" w:lineRule="exact"/>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vMerge w:val="restart"/>
          </w:tcPr>
          <w:p>
            <w:pPr>
              <w:jc w:val="right"/>
              <w:spacing w:after="0" w:line="182" w:lineRule="exact"/>
              <w:rPr>
                <w:sz w:val="20"/>
                <w:szCs w:val="20"/>
                <w:color w:val="auto"/>
              </w:rPr>
            </w:pPr>
            <w:r>
              <w:rPr>
                <w:rFonts w:ascii="Arial" w:cs="Arial" w:eastAsia="Arial" w:hAnsi="Arial"/>
                <w:sz w:val="18"/>
                <w:szCs w:val="18"/>
                <w:b w:val="1"/>
                <w:bCs w:val="1"/>
                <w:color w:val="auto"/>
                <w:w w:val="86"/>
              </w:rPr>
              <w:t>to 2014</w:t>
            </w: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0" w:type="dxa"/>
            <w:vAlign w:val="bottom"/>
            <w:gridSpan w:val="3"/>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6"/>
          </w:tcPr>
          <w:p>
            <w:pPr>
              <w:jc w:val="right"/>
              <w:ind w:right="600"/>
              <w:spacing w:after="0" w:line="156" w:lineRule="exact"/>
              <w:rPr>
                <w:sz w:val="20"/>
                <w:szCs w:val="20"/>
                <w:color w:val="auto"/>
              </w:rPr>
            </w:pPr>
            <w:r>
              <w:rPr>
                <w:rFonts w:ascii="Arial" w:cs="Arial" w:eastAsia="Arial" w:hAnsi="Arial"/>
                <w:sz w:val="18"/>
                <w:szCs w:val="18"/>
                <w:b w:val="1"/>
                <w:bCs w:val="1"/>
                <w:color w:val="auto"/>
              </w:rPr>
              <w:t>2014</w:t>
            </w:r>
          </w:p>
        </w:tc>
        <w:tc>
          <w:tcPr>
            <w:tcW w:w="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6"/>
            <w:vMerge w:val="restart"/>
          </w:tcPr>
          <w:p>
            <w:pPr>
              <w:jc w:val="right"/>
              <w:ind w:right="20"/>
              <w:spacing w:after="0"/>
              <w:rPr>
                <w:sz w:val="20"/>
                <w:szCs w:val="20"/>
                <w:color w:val="auto"/>
              </w:rPr>
            </w:pPr>
            <w:r>
              <w:rPr>
                <w:rFonts w:ascii="Arial" w:cs="Arial" w:eastAsia="Arial" w:hAnsi="Arial"/>
                <w:sz w:val="18"/>
                <w:szCs w:val="18"/>
                <w:b w:val="1"/>
                <w:bCs w:val="1"/>
                <w:color w:val="auto"/>
                <w:w w:val="84"/>
              </w:rPr>
              <w:t>Percentage</w:t>
            </w: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Borders>
              <w:bottom w:val="single" w:sz="8" w:color="auto"/>
            </w:tcBorders>
            <w:gridSpan w:val="6"/>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920" w:type="dxa"/>
            <w:vAlign w:val="bottom"/>
            <w:gridSpan w:val="12"/>
          </w:tcPr>
          <w:p>
            <w:pPr>
              <w:jc w:val="center"/>
              <w:ind w:right="86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40" w:type="dxa"/>
            <w:vAlign w:val="bottom"/>
          </w:tcPr>
          <w:p>
            <w:pPr>
              <w:spacing w:after="0"/>
              <w:rPr>
                <w:sz w:val="17"/>
                <w:szCs w:val="17"/>
                <w:color w:val="auto"/>
              </w:rPr>
            </w:pPr>
          </w:p>
        </w:tc>
        <w:tc>
          <w:tcPr>
            <w:tcW w:w="1000" w:type="dxa"/>
            <w:vAlign w:val="bottom"/>
            <w:gridSpan w:val="6"/>
          </w:tcPr>
          <w:p>
            <w:pPr>
              <w:jc w:val="right"/>
              <w:ind w:right="200"/>
              <w:spacing w:after="0" w:line="196" w:lineRule="exact"/>
              <w:rPr>
                <w:sz w:val="20"/>
                <w:szCs w:val="20"/>
                <w:color w:val="auto"/>
              </w:rPr>
            </w:pPr>
            <w:r>
              <w:rPr>
                <w:rFonts w:ascii="Arial" w:cs="Arial" w:eastAsia="Arial" w:hAnsi="Arial"/>
                <w:sz w:val="18"/>
                <w:szCs w:val="18"/>
                <w:b w:val="1"/>
                <w:bCs w:val="1"/>
                <w:color w:val="auto"/>
                <w:w w:val="99"/>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7"/>
          </w:tcPr>
          <w:p>
            <w:pPr>
              <w:jc w:val="right"/>
              <w:ind w:right="200"/>
              <w:spacing w:after="0" w:line="196" w:lineRule="exact"/>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4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740" w:type="dxa"/>
            <w:vAlign w:val="bottom"/>
            <w:tcBorders>
              <w:bottom w:val="single" w:sz="8" w:color="auto"/>
            </w:tcBorders>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640" w:type="dxa"/>
            <w:vAlign w:val="bottom"/>
            <w:tcBorders>
              <w:bottom w:val="single" w:sz="8" w:color="auto"/>
            </w:tcBorders>
            <w:gridSpan w:val="6"/>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040" w:type="dxa"/>
            <w:vAlign w:val="bottom"/>
            <w:tcBorders>
              <w:bottom w:val="single" w:sz="8" w:color="auto"/>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354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3740" w:type="dxa"/>
            <w:vAlign w:val="bottom"/>
            <w:gridSpan w:val="7"/>
          </w:tcPr>
          <w:p>
            <w:pPr>
              <w:jc w:val="right"/>
              <w:ind w:right="240"/>
              <w:spacing w:after="0"/>
              <w:rPr>
                <w:sz w:val="20"/>
                <w:szCs w:val="20"/>
                <w:color w:val="auto"/>
              </w:rPr>
            </w:pPr>
            <w:r>
              <w:rPr>
                <w:rFonts w:ascii="Arial" w:cs="Arial" w:eastAsia="Arial" w:hAnsi="Arial"/>
                <w:sz w:val="18"/>
                <w:szCs w:val="18"/>
                <w:color w:val="auto"/>
              </w:rPr>
              <w:t>58.7%</w:t>
            </w:r>
          </w:p>
        </w:tc>
        <w:tc>
          <w:tcPr>
            <w:tcW w:w="1640" w:type="dxa"/>
            <w:vAlign w:val="bottom"/>
            <w:gridSpan w:val="6"/>
          </w:tcPr>
          <w:p>
            <w:pPr>
              <w:jc w:val="right"/>
              <w:ind w:right="460"/>
              <w:spacing w:after="0"/>
              <w:rPr>
                <w:sz w:val="20"/>
                <w:szCs w:val="20"/>
                <w:color w:val="auto"/>
              </w:rPr>
            </w:pPr>
            <w:r>
              <w:rPr>
                <w:rFonts w:ascii="Arial" w:cs="Arial" w:eastAsia="Arial" w:hAnsi="Arial"/>
                <w:sz w:val="18"/>
                <w:szCs w:val="18"/>
                <w:color w:val="auto"/>
              </w:rPr>
              <w:t>61.8%</w:t>
            </w:r>
          </w:p>
        </w:tc>
        <w:tc>
          <w:tcPr>
            <w:tcW w:w="1040" w:type="dxa"/>
            <w:vAlign w:val="bottom"/>
            <w:gridSpan w:val="7"/>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74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640" w:type="dxa"/>
            <w:vAlign w:val="bottom"/>
            <w:gridSpan w:val="6"/>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10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3740" w:type="dxa"/>
            <w:vAlign w:val="bottom"/>
            <w:gridSpan w:val="7"/>
          </w:tcPr>
          <w:p>
            <w:pPr>
              <w:jc w:val="right"/>
              <w:ind w:right="240"/>
              <w:spacing w:after="0"/>
              <w:rPr>
                <w:sz w:val="20"/>
                <w:szCs w:val="20"/>
                <w:color w:val="auto"/>
              </w:rPr>
            </w:pPr>
            <w:r>
              <w:rPr>
                <w:rFonts w:ascii="Arial" w:cs="Arial" w:eastAsia="Arial" w:hAnsi="Arial"/>
                <w:sz w:val="18"/>
                <w:szCs w:val="18"/>
                <w:color w:val="auto"/>
              </w:rPr>
              <w:t>2.6%</w:t>
            </w:r>
          </w:p>
        </w:tc>
        <w:tc>
          <w:tcPr>
            <w:tcW w:w="1640" w:type="dxa"/>
            <w:vAlign w:val="bottom"/>
            <w:gridSpan w:val="6"/>
          </w:tcPr>
          <w:p>
            <w:pPr>
              <w:jc w:val="right"/>
              <w:ind w:right="460"/>
              <w:spacing w:after="0"/>
              <w:rPr>
                <w:sz w:val="20"/>
                <w:szCs w:val="20"/>
                <w:color w:val="auto"/>
              </w:rPr>
            </w:pPr>
            <w:r>
              <w:rPr>
                <w:rFonts w:ascii="Arial" w:cs="Arial" w:eastAsia="Arial" w:hAnsi="Arial"/>
                <w:sz w:val="18"/>
                <w:szCs w:val="18"/>
                <w:color w:val="auto"/>
              </w:rPr>
              <w:t>2.8%</w:t>
            </w:r>
          </w:p>
        </w:tc>
        <w:tc>
          <w:tcPr>
            <w:tcW w:w="1040" w:type="dxa"/>
            <w:vAlign w:val="bottom"/>
            <w:gridSpan w:val="7"/>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3740" w:type="dxa"/>
            <w:vAlign w:val="bottom"/>
            <w:tcBorders>
              <w:bottom w:val="single" w:sz="8" w:color="auto"/>
            </w:tcBorders>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auto"/>
            </w:tcBorders>
            <w:gridSpan w:val="6"/>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auto"/>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w:t>
            </w:r>
          </w:p>
        </w:tc>
        <w:tc>
          <w:tcPr>
            <w:tcW w:w="37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color w:val="auto"/>
              </w:rPr>
              <w:t>17.2%</w:t>
            </w:r>
          </w:p>
        </w:tc>
        <w:tc>
          <w:tcPr>
            <w:tcW w:w="16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color w:val="auto"/>
              </w:rPr>
              <w:t>12.3%</w:t>
            </w:r>
          </w:p>
        </w:tc>
        <w:tc>
          <w:tcPr>
            <w:tcW w:w="10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for the period increased by $38.6 million, or 11.0%, from $349.6 million for the three months ended March 31, 2014 to $388.2 million for the three months ended March 31, 2015. For the three months ended March 31, 2015 we derived approximately 38.7%, 51.0% and 10.3% of our net revenue in the United States, Europe and Rest of World, respectively. During the three months ended March 31, 2015, $202.6 million or 52.2% of our net revenues were derived from our top five customers compared to $184.3 million or 52.7% of net revenues derived from our top five customers during the three months ended March 31, 2014. The increased use of strategic partnerships arrangements in recent years has resulted in a greater portion of our net revenues being derived from our top five customers. While net revenues from these customers continue to increase, we have seen a reduction in the overall proportion of Group revenues being derived from these customers as the Company continues to expand its customer base. Net revenues for the three months ended March 31, 2015 includes revenues from the acquisition of Aptiv Solutions which was acquired on May 7, 2014 together with revenues from the acquisition of MediMedia Pharma Solutions since its acquisition on February 28, 2015. This equivalent revenue was not earned during the three months ended March 31, 2014.</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Net revenue in Ireland increased from $85.4 million for the three months ended March 31, 2014 to $114.1 million for the three months ended March 31, 2015. Net revenue in Ireland is principally a function of the Company’s global transfer pricing model (</w:t>
      </w:r>
      <w:r>
        <w:rPr>
          <w:rFonts w:ascii="Arial" w:cs="Arial" w:eastAsia="Arial" w:hAnsi="Arial"/>
          <w:sz w:val="17"/>
          <w:szCs w:val="17"/>
          <w:i w:val="1"/>
          <w:iCs w:val="1"/>
          <w:color w:val="auto"/>
        </w:rPr>
        <w:t>see note 8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Net revenue in our Rest of Europe region decreased from $86.4 million for the three months ended March 31, 2014 to $84.1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2015. Net revenues in non-U.S. dollar operations in this region were impacted by foreign currency translation and the movement in local rates to the U.S. dollar over the comparative quarter. In addition, the previous closure of the Company’s early phase operations in the United Kingdom contributed to a reduction in net revenues in this region for the three months ended March 31, 2015. Net revenues in the U.S. region for the three months ended March 31, 2015 were impacted positively by the acquisitions of Aptiv Solutions, which was acquired on May 7, 2014, and MediMedia Pharma Solutions, which was acquired on February 28, 2015. Net revenues in our Other region increased from $36.2 million for three months ended March 31, 2014 to $40.0 million for the three months ended March 31, 2015. Net revenues in this region were also positively impacted by the acquisitions of Aptiv Solutions, which was acquired on May 7, 2014.</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Direct costs for the period increased by $12.0 million, or 5.5%, from $216.1 million for the three months March 31, 2014 to $228.1 million for the three months ended March 31, 2015.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$7.8 million and an increase in other direct project related costs of $4.2 million. As a percentage of net revenue, direct costs have decreased from 61.8% for the three months ended March 31, 2014 to 58.7% for the three months ended March 31, 2015.</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increased by $0.6 million, or 0.8%, from $78.9 million for the three months ended March 31, 2014 to $79.5 million for the three months ended March 31,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$1.5 million, an increase in facilities and related costs expenditure of $1.1 million, and an increase in general and administrative expenses of $1.4 million. The increase in selling, general and administrative expenses are inclusive of amounts in relation to MediMedia Pharma Solutions since acquisition. In addition, during the three months ended March 31, 2015, we recognized a foreign exchange gain of $2.9 million, which reduced selling, general and administrative expenses from 21.2% of revenue to 20.5% of revenue for the three months ended March 31, 2015. As a percentage of net revenue, selling, general and administrative expenses, decreased from 22.6% for the three months ended March 31, 2014 to 20.5% for the three months ended March 31, 2015.</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Depreciation expense for the period increased by $0.2 million, or 2.3%, from $9.7 million for the three months ended March 31, 2014 to $9.9 million for three months ended March 31, 2015 and principally arises from an investment in facilities, information systems and equipment to support the Company’s growth. As a percentage of net revenue, depreciation expense decreased from 2.8% of net revenues for the three months ended March 31, 2014 to 2.6% of net revenues for the three months ended March 31, 2015. Amortization expense for the period increased by $2.1 million, or 115.3%, from $1.9 million for the three months ended March 31, 2014 to $4.0 million for the three months ended March 31, 2015. Amortization expense represents the amortization of intangible assets acquired on business combinations. The increase in the amortization expense for the period relates to the Aptiv and MediMedia acquisitions. As a percentage of net revenue, amortization expense increased from 0.5% of net revenues for the three months ended March 31, 2014 to 1.0% for the three months ended March 31, 2015.</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three months increased by $23.7 million, or 55.1%, from $43.0 million for the three months ended March 31, 2014 to $66.7 million for the three months ended March 31, 2015. As a percentage of net revenue, income from operations increased from 12.3% of net revenues for the three months ended March 31, 2014 to 17.2% of net revenues for the three months ended March 31, 2015.</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Income from operations in Ireland increased from a profit of $28.1 million for the three months ended March 31, 2014 to a profit of $47.6 million for the three months ended March 31, 2015. Income from operations in Ireland is impacted by the Group’s global transfer pricing model </w:t>
      </w:r>
      <w:r>
        <w:rPr>
          <w:rFonts w:ascii="Arial" w:cs="Arial" w:eastAsia="Arial" w:hAnsi="Arial"/>
          <w:sz w:val="17"/>
          <w:szCs w:val="17"/>
          <w:i w:val="1"/>
          <w:iCs w:val="1"/>
          <w:color w:val="auto"/>
        </w:rPr>
        <w:t>(see note 8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Segmental Information for further details). </w:t>
      </w:r>
      <w:r>
        <w:rPr>
          <w:rFonts w:ascii="Arial" w:cs="Arial" w:eastAsia="Arial" w:hAnsi="Arial"/>
          <w:sz w:val="17"/>
          <w:szCs w:val="17"/>
          <w:color w:val="auto"/>
        </w:rPr>
        <w:t>Income from operations in our Rest of Europe region increased from $6.4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2014 to $6.8 million for the three months ended March 31, 2015. The previous closure of the Company’s early phase operations in the United Kingdom contributed to an increase in income from operations in this region during the three months ended March 31, 2015. Income from operations in the U.S. region increased from $6.7 million for the year ended March 31, 2014 to $9.9 million for the three months ended March 31, 2015. Income from operations in the U.S. region for the three months ended March 31, 2015 were impacted positively by the acquisitions of Aptiv Solutions, which was acquired on May 7, 2014, and MediMedia Pharma Solutions, which was acquired on February 28, 2015. Income from operations in our Other region increased from $1.8 million for three months ended March 31, 2014 to $2.5 million for the three months ended March 31, 2015. Income from operations in this region was also positively impacted by the acquisitions of Aptiv Solutions, which was acquired on May 7, 2014.</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Interest expense for the period remained at $0.3 million for the three months ended March 31, 2014 and the three months ended March 31, 2015. Interest income remained at $0.3 million for the three months ended March 31, 2014 and the three months ended March 31, 2015.</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for the period increased from $6.9 million for the three months ended March 31, 2014 to $10.8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2015. The Company’s effective tax rate for the three months ended March 31, 2015 was 16.2% compared with 16.0%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Company’s effective tax rate is principally a function of the distribution of pre-tax profits amongst the territories in which it operates.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cash and short term investment balances at March 31, 2015 amounted to $191.7 million compared with cash and short term investment balances of $216.0 million at December 31, 2014. The Company’s cash and short term investment balances at March 31, 2015 comprised cash and cash equivalents $95.2 million and short-term investments $96.4 million. The Company’s cash and short-term investment balances at December 31, 2014 comprised cash and cash equivalents $118.9 million and short-term investments $97.1 million. During the three months ended March 31, 2015, the Company completed the acquisition of MediMedia Pharma Solutions resulting in a cash outflow totalling $105.1 million.</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30, 2014 the Company entered into a five year committed multi 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favor of the banks. During the three months ended March 31, 2015, the company drew down $20 million of the facility. Amounts available to the Group under the facility amounted to $80.0 million at March 31, 2015. This replaced all other facilities in place at that date.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was $61.1 million for the three months ended March 31, 2015 compared with cash provided by operating activities of $38.7 million for the three months ended March 31, 2014. The most significant influence on our operating cashflows has been an increase to revenues and underlying profitability of the Company. This was offset by an increase in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2015 was 47 days compared to 40 days at December 31, 2014. The number of days revenue outstanding at March 31, 2014 was 35 days compared to 32 days at December 31, 2013.</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Net cash used in investing activities was $112.8 million for the three months ended March 31, 2015 compared to net cash provided by investing activities of $5.4 million for the three months ended March 31, 2014. Net cash used in the three months ended March 31, 2015 arose principally from cash paid on the purchase of MediMedia Pharma Solutions.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three months ended March 31, 2015 amounted to $10.7 million and comprised mainly of expenditure on global infrastructure and information technology systems to support the Company’s growth. During the three months ended March 31, 2015 the Company received a net $1.0 million from the sale of short-term investments.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three months ended March 31, 2015 amounted to $30.1 million compared with net cash provided by financing activities of $10.5 million for the three months ended March 31, 2014. During the three months ended March 31, 2015 $20.0 million was drawn down by the Company under its negotiated banking facility. In addition, $8.1 million was received by the Company from the exercise of share options. Net cash provided by financing activities during the three months ended March 31, 2014 arose primarily from the $9.8 million received from the exercise of stock options.</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these cash flows, cash and cash equivalents decreased by $23.7 million for the three months ended March 31, 2015 compared to an increase of $54.1 million for the three months ended March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60" w:type="dxa"/>
            <w:vAlign w:val="bottom"/>
            <w:gridSpan w:val="2"/>
          </w:tcPr>
          <w:p>
            <w:pPr>
              <w:ind w:left="2300"/>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60" w:type="dxa"/>
            <w:vAlign w:val="bottom"/>
            <w:gridSpan w:val="2"/>
          </w:tcPr>
          <w:p>
            <w:pPr>
              <w:ind w:left="2300"/>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 May 15, 2015</w:t>
            </w: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60" w:type="dxa"/>
            <w:vAlign w:val="bottom"/>
            <w:gridSpan w:val="2"/>
          </w:tcPr>
          <w:p>
            <w:pPr>
              <w:ind w:left="23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2019-12-07T04:13:48Z</dcterms:created>
  <dcterms:modified xsi:type="dcterms:W3CDTF">2019-12-07T04:13:48Z</dcterms:modified>
</cp:coreProperties>
</file>