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t>FORM 6-K</w:t>
      </w:r>
    </w:p>
    <w:p>
      <w:pPr>
        <w:spacing w:after="0" w:line="252"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1"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Washington, D.C. 20549</w:t>
      </w:r>
    </w:p>
    <w:p>
      <w:pPr>
        <w:spacing w:after="0" w:line="235"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Report of Foreign Private Issuer</w:t>
      </w:r>
    </w:p>
    <w:p>
      <w:pPr>
        <w:spacing w:after="0" w:line="24"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Pursuant to Rule 13a-16 under</w:t>
      </w:r>
    </w:p>
    <w:p>
      <w:pPr>
        <w:jc w:val="center"/>
        <w:ind w:right="-139"/>
        <w:spacing w:after="0"/>
        <w:rPr>
          <w:sz w:val="20"/>
          <w:szCs w:val="20"/>
          <w:color w:val="auto"/>
        </w:rPr>
      </w:pPr>
      <w:r>
        <w:rPr>
          <w:rFonts w:ascii="Arial" w:cs="Arial" w:eastAsia="Arial" w:hAnsi="Arial"/>
          <w:sz w:val="21"/>
          <w:szCs w:val="21"/>
          <w:b w:val="1"/>
          <w:bCs w:val="1"/>
          <w:color w:val="auto"/>
        </w:rPr>
        <w:t>the Securities Exchange Act of 1934</w:t>
      </w:r>
    </w:p>
    <w:p>
      <w:pPr>
        <w:spacing w:after="0" w:line="200" w:lineRule="exact"/>
        <w:rPr>
          <w:sz w:val="24"/>
          <w:szCs w:val="24"/>
          <w:color w:val="auto"/>
        </w:rPr>
      </w:pPr>
    </w:p>
    <w:p>
      <w:pPr>
        <w:spacing w:after="0" w:line="265"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 xml:space="preserve">For the month ended </w:t>
      </w:r>
      <w:r>
        <w:rPr>
          <w:rFonts w:ascii="Arial" w:cs="Arial" w:eastAsia="Arial" w:hAnsi="Arial"/>
          <w:sz w:val="17"/>
          <w:szCs w:val="17"/>
          <w:color w:val="auto"/>
        </w:rPr>
        <w:t>May, 2019</w:t>
      </w:r>
    </w:p>
    <w:p>
      <w:pPr>
        <w:spacing w:after="0" w:line="200" w:lineRule="exact"/>
        <w:rPr>
          <w:sz w:val="24"/>
          <w:szCs w:val="24"/>
          <w:color w:val="auto"/>
        </w:rPr>
      </w:pPr>
    </w:p>
    <w:p>
      <w:pPr>
        <w:spacing w:after="0" w:line="272"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ICON plc</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(R</w:t>
      </w:r>
      <w:r>
        <w:rPr>
          <w:rFonts w:ascii="Arial" w:cs="Arial" w:eastAsia="Arial" w:hAnsi="Arial"/>
          <w:sz w:val="17"/>
          <w:szCs w:val="17"/>
          <w:color w:val="auto"/>
        </w:rPr>
        <w:t>egistrant's name)</w:t>
      </w:r>
    </w:p>
    <w:p>
      <w:pPr>
        <w:spacing w:after="0" w:line="200" w:lineRule="exact"/>
        <w:rPr>
          <w:sz w:val="24"/>
          <w:szCs w:val="24"/>
          <w:color w:val="auto"/>
        </w:rPr>
      </w:pPr>
    </w:p>
    <w:p>
      <w:pPr>
        <w:spacing w:after="0" w:line="259"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333-08704</w:t>
      </w:r>
    </w:p>
    <w:p>
      <w:pPr>
        <w:spacing w:after="0" w:line="24"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(Commission file number)</w:t>
      </w:r>
    </w:p>
    <w:p>
      <w:pPr>
        <w:spacing w:after="0" w:line="200" w:lineRule="exact"/>
        <w:rPr>
          <w:sz w:val="24"/>
          <w:szCs w:val="24"/>
          <w:color w:val="auto"/>
        </w:rPr>
      </w:pPr>
    </w:p>
    <w:p>
      <w:pPr>
        <w:spacing w:after="0" w:line="265"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South County Business Park, Leopardstown, Dublin 18, Ireland</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(Address of principal executive offices)</w:t>
      </w:r>
    </w:p>
    <w:p>
      <w:pPr>
        <w:spacing w:after="0" w:line="223"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Brendan Brennan, CFO</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South County Business Park, Leopardstown, Dublin 18, Ireland.</w:t>
      </w:r>
    </w:p>
    <w:p>
      <w:pPr>
        <w:jc w:val="center"/>
        <w:ind w:right="-139"/>
        <w:spacing w:after="0"/>
        <w:rPr>
          <w:sz w:val="20"/>
          <w:szCs w:val="20"/>
          <w:color w:val="auto"/>
        </w:rPr>
      </w:pPr>
      <w:r>
        <w:rPr>
          <w:rFonts w:ascii="Arial" w:cs="Arial" w:eastAsia="Arial" w:hAnsi="Arial"/>
          <w:sz w:val="21"/>
          <w:szCs w:val="21"/>
          <w:color w:val="auto"/>
        </w:rPr>
        <w:t>Brendan.Brennan@iconplc.com</w:t>
      </w:r>
    </w:p>
    <w:p>
      <w:pPr>
        <w:jc w:val="center"/>
        <w:ind w:right="-139"/>
        <w:spacing w:after="0"/>
        <w:rPr>
          <w:sz w:val="20"/>
          <w:szCs w:val="20"/>
          <w:color w:val="auto"/>
        </w:rPr>
      </w:pPr>
      <w:r>
        <w:rPr>
          <w:rFonts w:ascii="Arial" w:cs="Arial" w:eastAsia="Arial" w:hAnsi="Arial"/>
          <w:sz w:val="21"/>
          <w:szCs w:val="21"/>
          <w:color w:val="auto"/>
        </w:rPr>
        <w:t>00-353-1-291-2000</w:t>
      </w:r>
    </w:p>
    <w:p>
      <w:pPr>
        <w:jc w:val="center"/>
        <w:ind w:right="-139"/>
        <w:spacing w:after="0"/>
        <w:rPr>
          <w:sz w:val="20"/>
          <w:szCs w:val="20"/>
          <w:color w:val="auto"/>
        </w:rPr>
      </w:pPr>
      <w:r>
        <w:rPr>
          <w:rFonts w:ascii="Arial" w:cs="Arial" w:eastAsia="Arial" w:hAnsi="Arial"/>
          <w:sz w:val="21"/>
          <w:szCs w:val="21"/>
          <w:color w:val="auto"/>
        </w:rPr>
        <w:t>(Name, telephone number, email and/or facsimile number and address of Company contact person)</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15" w:lineRule="exact"/>
        <w:rPr>
          <w:sz w:val="24"/>
          <w:szCs w:val="24"/>
          <w:color w:val="auto"/>
        </w:rPr>
      </w:pPr>
    </w:p>
    <w:p>
      <w:pPr>
        <w:ind w:left="3660"/>
        <w:spacing w:after="0"/>
        <w:tabs>
          <w:tab w:leader="none" w:pos="5900" w:val="left"/>
        </w:tabs>
        <w:rPr>
          <w:sz w:val="20"/>
          <w:szCs w:val="20"/>
          <w:color w:val="auto"/>
        </w:rPr>
      </w:pPr>
      <w:r>
        <w:rPr>
          <w:rFonts w:ascii="Arial" w:cs="Arial" w:eastAsia="Arial" w:hAnsi="Arial"/>
          <w:sz w:val="21"/>
          <w:szCs w:val="21"/>
          <w:color w:val="auto"/>
        </w:rPr>
        <w:t>Form 20-F __X___</w:t>
      </w:r>
      <w:r>
        <w:rPr>
          <w:sz w:val="20"/>
          <w:szCs w:val="20"/>
          <w:color w:val="auto"/>
        </w:rPr>
        <w:tab/>
      </w:r>
      <w:r>
        <w:rPr>
          <w:rFonts w:ascii="Arial" w:cs="Arial" w:eastAsia="Arial" w:hAnsi="Arial"/>
          <w:sz w:val="19"/>
          <w:szCs w:val="19"/>
          <w:color w:val="auto"/>
        </w:rPr>
        <w:t>Form 40-F ______</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w:t>
      </w:r>
    </w:p>
    <w:p>
      <w:pPr>
        <w:spacing w:after="0" w:line="41" w:lineRule="exact"/>
        <w:rPr>
          <w:sz w:val="24"/>
          <w:szCs w:val="24"/>
          <w:color w:val="auto"/>
        </w:rPr>
      </w:pPr>
    </w:p>
    <w:p>
      <w:pPr>
        <w:spacing w:after="0"/>
        <w:rPr>
          <w:sz w:val="20"/>
          <w:szCs w:val="20"/>
          <w:color w:val="auto"/>
        </w:rPr>
      </w:pPr>
      <w:r>
        <w:rPr>
          <w:rFonts w:ascii="Arial" w:cs="Arial" w:eastAsia="Arial" w:hAnsi="Arial"/>
          <w:sz w:val="21"/>
          <w:szCs w:val="21"/>
          <w:color w:val="auto"/>
        </w:rPr>
        <w:t>(1):</w:t>
      </w:r>
    </w:p>
    <w:p>
      <w:pPr>
        <w:spacing w:after="0" w:line="191" w:lineRule="exact"/>
        <w:rPr>
          <w:sz w:val="24"/>
          <w:szCs w:val="24"/>
          <w:color w:val="auto"/>
        </w:rPr>
      </w:pPr>
    </w:p>
    <w:p>
      <w:pPr>
        <w:ind w:left="4000"/>
        <w:spacing w:after="0"/>
        <w:tabs>
          <w:tab w:leader="none" w:pos="6860" w:val="left"/>
        </w:tabs>
        <w:rPr>
          <w:sz w:val="20"/>
          <w:szCs w:val="20"/>
          <w:color w:val="auto"/>
        </w:rPr>
      </w:pPr>
      <w:r>
        <w:rPr>
          <w:rFonts w:ascii="Arial" w:cs="Arial" w:eastAsia="Arial" w:hAnsi="Arial"/>
          <w:sz w:val="21"/>
          <w:szCs w:val="21"/>
          <w:color w:val="auto"/>
        </w:rPr>
        <w:t>Yes______</w:t>
      </w:r>
      <w:r>
        <w:rPr>
          <w:sz w:val="20"/>
          <w:szCs w:val="20"/>
          <w:color w:val="auto"/>
        </w:rPr>
        <w:tab/>
      </w:r>
      <w:r>
        <w:rPr>
          <w:rFonts w:ascii="Arial" w:cs="Arial" w:eastAsia="Arial" w:hAnsi="Arial"/>
          <w:sz w:val="20"/>
          <w:szCs w:val="20"/>
          <w:color w:val="auto"/>
        </w:rPr>
        <w:t>No___</w:t>
      </w:r>
      <w:r>
        <w:rPr>
          <w:rFonts w:ascii="Arial" w:cs="Arial" w:eastAsia="Arial" w:hAnsi="Arial"/>
          <w:sz w:val="20"/>
          <w:szCs w:val="20"/>
          <w:b w:val="1"/>
          <w:bCs w:val="1"/>
          <w:u w:val="single" w:color="auto"/>
          <w:color w:val="auto"/>
        </w:rPr>
        <w:t>X</w:t>
      </w:r>
      <w:r>
        <w:rPr>
          <w:rFonts w:ascii="Arial" w:cs="Arial" w:eastAsia="Arial" w:hAnsi="Arial"/>
          <w:sz w:val="20"/>
          <w:szCs w:val="20"/>
          <w:color w:val="auto"/>
        </w:rPr>
        <w:t>___</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w:t>
      </w:r>
    </w:p>
    <w:p>
      <w:pPr>
        <w:spacing w:after="0" w:line="41" w:lineRule="exact"/>
        <w:rPr>
          <w:sz w:val="24"/>
          <w:szCs w:val="24"/>
          <w:color w:val="auto"/>
        </w:rPr>
      </w:pPr>
    </w:p>
    <w:p>
      <w:pPr>
        <w:spacing w:after="0"/>
        <w:rPr>
          <w:sz w:val="20"/>
          <w:szCs w:val="20"/>
          <w:color w:val="auto"/>
        </w:rPr>
      </w:pPr>
      <w:r>
        <w:rPr>
          <w:rFonts w:ascii="Arial" w:cs="Arial" w:eastAsia="Arial" w:hAnsi="Arial"/>
          <w:sz w:val="21"/>
          <w:szCs w:val="21"/>
          <w:color w:val="auto"/>
        </w:rPr>
        <w:t>(7):</w:t>
      </w:r>
    </w:p>
    <w:p>
      <w:pPr>
        <w:spacing w:after="0" w:line="191" w:lineRule="exact"/>
        <w:rPr>
          <w:sz w:val="24"/>
          <w:szCs w:val="24"/>
          <w:color w:val="auto"/>
        </w:rPr>
      </w:pPr>
    </w:p>
    <w:p>
      <w:pPr>
        <w:ind w:left="4000"/>
        <w:spacing w:after="0"/>
        <w:tabs>
          <w:tab w:leader="none" w:pos="6860" w:val="left"/>
        </w:tabs>
        <w:rPr>
          <w:sz w:val="20"/>
          <w:szCs w:val="20"/>
          <w:color w:val="auto"/>
        </w:rPr>
      </w:pPr>
      <w:r>
        <w:rPr>
          <w:rFonts w:ascii="Arial" w:cs="Arial" w:eastAsia="Arial" w:hAnsi="Arial"/>
          <w:sz w:val="21"/>
          <w:szCs w:val="21"/>
          <w:color w:val="auto"/>
        </w:rPr>
        <w:t>Yes______</w:t>
      </w:r>
      <w:r>
        <w:rPr>
          <w:sz w:val="20"/>
          <w:szCs w:val="20"/>
          <w:color w:val="auto"/>
        </w:rPr>
        <w:tab/>
      </w:r>
      <w:r>
        <w:rPr>
          <w:rFonts w:ascii="Arial" w:cs="Arial" w:eastAsia="Arial" w:hAnsi="Arial"/>
          <w:sz w:val="20"/>
          <w:szCs w:val="20"/>
          <w:color w:val="auto"/>
        </w:rPr>
        <w:t>No___</w:t>
      </w:r>
      <w:r>
        <w:rPr>
          <w:rFonts w:ascii="Arial" w:cs="Arial" w:eastAsia="Arial" w:hAnsi="Arial"/>
          <w:sz w:val="20"/>
          <w:szCs w:val="20"/>
          <w:b w:val="1"/>
          <w:bCs w:val="1"/>
          <w:u w:val="single" w:color="auto"/>
          <w:color w:val="auto"/>
        </w:rPr>
        <w:t>X</w:t>
      </w:r>
      <w:r>
        <w:rPr>
          <w:rFonts w:ascii="Arial" w:cs="Arial" w:eastAsia="Arial" w:hAnsi="Arial"/>
          <w:sz w:val="20"/>
          <w:szCs w:val="20"/>
          <w:color w:val="auto"/>
        </w:rPr>
        <w:t>___</w:t>
      </w:r>
    </w:p>
    <w:p>
      <w:pPr>
        <w:spacing w:after="0" w:line="200" w:lineRule="exact"/>
        <w:rPr>
          <w:sz w:val="24"/>
          <w:szCs w:val="24"/>
          <w:color w:val="auto"/>
        </w:rPr>
      </w:pPr>
    </w:p>
    <w:p>
      <w:pPr>
        <w:spacing w:after="0" w:line="262" w:lineRule="exact"/>
        <w:rPr>
          <w:sz w:val="24"/>
          <w:szCs w:val="24"/>
          <w:color w:val="auto"/>
        </w:rPr>
      </w:pPr>
    </w:p>
    <w:p>
      <w:pPr>
        <w:spacing w:after="0" w:line="27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6" w:lineRule="exact"/>
        <w:rPr>
          <w:sz w:val="24"/>
          <w:szCs w:val="24"/>
          <w:color w:val="auto"/>
        </w:rPr>
      </w:pPr>
    </w:p>
    <w:p>
      <w:pPr>
        <w:ind w:left="3960"/>
        <w:spacing w:after="0"/>
        <w:tabs>
          <w:tab w:leader="none" w:pos="6880" w:val="left"/>
        </w:tabs>
        <w:rPr>
          <w:sz w:val="20"/>
          <w:szCs w:val="20"/>
          <w:color w:val="auto"/>
        </w:rPr>
      </w:pPr>
      <w:r>
        <w:rPr>
          <w:rFonts w:ascii="Arial" w:cs="Arial" w:eastAsia="Arial" w:hAnsi="Arial"/>
          <w:sz w:val="21"/>
          <w:szCs w:val="21"/>
          <w:color w:val="auto"/>
        </w:rPr>
        <w:t>Yes___</w:t>
      </w:r>
      <w:r>
        <w:rPr>
          <w:rFonts w:ascii="Arial" w:cs="Arial" w:eastAsia="Arial" w:hAnsi="Arial"/>
          <w:sz w:val="21"/>
          <w:szCs w:val="21"/>
          <w:b w:val="1"/>
          <w:bCs w:val="1"/>
          <w:color w:val="auto"/>
        </w:rPr>
        <w:t>_</w:t>
      </w:r>
      <w:r>
        <w:rPr>
          <w:rFonts w:ascii="Arial" w:cs="Arial" w:eastAsia="Arial" w:hAnsi="Arial"/>
          <w:sz w:val="21"/>
          <w:szCs w:val="21"/>
          <w:color w:val="auto"/>
        </w:rPr>
        <w:t>___</w:t>
      </w:r>
      <w:r>
        <w:rPr>
          <w:sz w:val="20"/>
          <w:szCs w:val="20"/>
          <w:color w:val="auto"/>
        </w:rPr>
        <w:tab/>
      </w:r>
      <w:r>
        <w:rPr>
          <w:rFonts w:ascii="Arial" w:cs="Arial" w:eastAsia="Arial" w:hAnsi="Arial"/>
          <w:sz w:val="20"/>
          <w:szCs w:val="20"/>
          <w:color w:val="auto"/>
        </w:rPr>
        <w:t>No___</w:t>
      </w:r>
      <w:r>
        <w:rPr>
          <w:rFonts w:ascii="Arial" w:cs="Arial" w:eastAsia="Arial" w:hAnsi="Arial"/>
          <w:sz w:val="20"/>
          <w:szCs w:val="20"/>
          <w:b w:val="1"/>
          <w:bCs w:val="1"/>
          <w:u w:val="single" w:color="auto"/>
          <w:color w:val="auto"/>
        </w:rPr>
        <w:t>X</w:t>
      </w:r>
      <w:r>
        <w:rPr>
          <w:rFonts w:ascii="Arial" w:cs="Arial" w:eastAsia="Arial" w:hAnsi="Arial"/>
          <w:sz w:val="20"/>
          <w:szCs w:val="20"/>
          <w:color w:val="auto"/>
        </w:rPr>
        <w:t>___</w:t>
      </w:r>
    </w:p>
    <w:p>
      <w:pPr>
        <w:sectPr>
          <w:pgSz w:w="12240" w:h="15840" w:orient="portrait"/>
          <w:cols w:equalWidth="0" w:num="1">
            <w:col w:w="11060"/>
          </w:cols>
          <w:pgMar w:left="520" w:top="209" w:right="660" w:bottom="1440" w:gutter="0" w:footer="0" w:header="0"/>
        </w:sectPr>
      </w:pPr>
    </w:p>
    <w:p>
      <w:pPr>
        <w:spacing w:after="0" w:line="200" w:lineRule="exact"/>
        <w:rPr>
          <w:sz w:val="24"/>
          <w:szCs w:val="24"/>
          <w:color w:val="auto"/>
        </w:rPr>
      </w:pPr>
    </w:p>
    <w:p>
      <w:pPr>
        <w:spacing w:after="0" w:line="256" w:lineRule="exact"/>
        <w:rPr>
          <w:sz w:val="24"/>
          <w:szCs w:val="24"/>
          <w:color w:val="auto"/>
        </w:rPr>
      </w:pPr>
    </w:p>
    <w:p>
      <w:pPr>
        <w:spacing w:after="0"/>
        <w:tabs>
          <w:tab w:leader="none" w:pos="1010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20"/>
          <w:szCs w:val="20"/>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708660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59690"/>
                    </a:xfrm>
                    <a:prstGeom prst="rect">
                      <a:avLst/>
                    </a:prstGeom>
                    <a:noFill/>
                  </pic:spPr>
                </pic:pic>
              </a:graphicData>
            </a:graphic>
          </wp:anchor>
        </w:drawing>
      </w:r>
    </w:p>
    <w:p>
      <w:pPr>
        <w:sectPr>
          <w:pgSz w:w="12240" w:h="15840" w:orient="portrait"/>
          <w:cols w:equalWidth="0" w:num="1">
            <w:col w:w="11060"/>
          </w:cols>
          <w:pgMar w:left="520" w:top="209" w:right="660" w:bottom="1440" w:gutter="0" w:footer="0" w:header="0"/>
          <w:type w:val="continuous"/>
        </w:sectPr>
      </w:pPr>
    </w:p>
    <w:bookmarkStart w:id="1" w:name="page2"/>
    <w:bookmarkEnd w:id="1"/>
    <w:p>
      <w:pPr>
        <w:ind w:left="498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Press Release issued May 1, 2019 —ICON Reports First Quarter 2019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08660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6600" cy="59690"/>
                    </a:xfrm>
                    <a:prstGeom prst="rect">
                      <a:avLst/>
                    </a:prstGeom>
                    <a:noFill/>
                  </pic:spPr>
                </pic:pic>
              </a:graphicData>
            </a:graphic>
          </wp:anchor>
        </w:drawing>
      </w:r>
    </w:p>
    <w:p>
      <w:pPr>
        <w:sectPr>
          <w:pgSz w:w="12240" w:h="15840" w:orient="portrait"/>
          <w:cols w:equalWidth="0" w:num="1">
            <w:col w:w="10280"/>
          </w:cols>
          <w:pgMar w:left="520" w:top="223"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19" w:lineRule="exact"/>
        <w:rPr>
          <w:sz w:val="20"/>
          <w:szCs w:val="20"/>
          <w:color w:val="auto"/>
        </w:rPr>
      </w:pPr>
    </w:p>
    <w:p>
      <w:pPr>
        <w:spacing w:after="0" w:line="271"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720"/>
        <w:spacing w:after="0"/>
        <w:rPr>
          <w:sz w:val="20"/>
          <w:szCs w:val="20"/>
          <w:color w:val="auto"/>
        </w:rPr>
      </w:pPr>
      <w:r>
        <w:rPr>
          <w:rFonts w:ascii="Arial" w:cs="Arial" w:eastAsia="Arial" w:hAnsi="Arial"/>
          <w:sz w:val="18"/>
          <w:szCs w:val="18"/>
          <w:u w:val="single" w:color="auto"/>
          <w:color w:val="auto"/>
        </w:rPr>
        <w:t>/s/ Brendan Brennan</w:t>
      </w:r>
    </w:p>
    <w:p>
      <w:pPr>
        <w:spacing w:after="0" w:line="34" w:lineRule="exact"/>
        <w:rPr>
          <w:sz w:val="20"/>
          <w:szCs w:val="20"/>
          <w:color w:val="auto"/>
        </w:rPr>
      </w:pPr>
    </w:p>
    <w:p>
      <w:pPr>
        <w:ind w:left="560" w:right="2780" w:hanging="6720"/>
        <w:spacing w:after="0" w:line="272" w:lineRule="auto"/>
        <w:tabs>
          <w:tab w:leader="none" w:pos="540" w:val="left"/>
        </w:tabs>
        <w:rPr>
          <w:sz w:val="20"/>
          <w:szCs w:val="20"/>
          <w:color w:val="auto"/>
        </w:rPr>
      </w:pPr>
      <w:r>
        <w:rPr>
          <w:rFonts w:ascii="Arial" w:cs="Arial" w:eastAsia="Arial" w:hAnsi="Arial"/>
          <w:sz w:val="18"/>
          <w:szCs w:val="18"/>
          <w:color w:val="auto"/>
        </w:rPr>
        <w:t>Date:</w:t>
        <w:tab/>
        <w:t>May 1, 2019 Brendan Brennan Chief Financial Officer</w:t>
      </w:r>
    </w:p>
    <w:p>
      <w:pPr>
        <w:sectPr>
          <w:pgSz w:w="12240" w:h="15840" w:orient="portrait"/>
          <w:cols w:equalWidth="0" w:num="1">
            <w:col w:w="11160"/>
          </w:cols>
          <w:pgMar w:left="520" w:top="223" w:right="560"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b w:val="1"/>
          <w:bCs w:val="1"/>
          <w:color w:val="auto"/>
        </w:rPr>
        <w:t>Exhibit 99.1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ICON Reports First Quarter 2019 Results</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Highlights</w:t>
      </w:r>
    </w:p>
    <w:p>
      <w:pPr>
        <w:spacing w:after="0" w:line="215"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Net business wins (including pass-through) in the quarter of $885 million; a book to bill of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-88265</wp:posOffset>
            </wp:positionV>
            <wp:extent cx="67945" cy="679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Closing backlog (including pass-through) of $7.9 billion, a year on year increase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-88265</wp:posOffset>
            </wp:positionV>
            <wp:extent cx="67945" cy="67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14" w:lineRule="exact"/>
        <w:rPr>
          <w:sz w:val="20"/>
          <w:szCs w:val="20"/>
          <w:color w:val="auto"/>
        </w:rPr>
      </w:pPr>
    </w:p>
    <w:p>
      <w:pPr>
        <w:ind w:left="540" w:right="80"/>
        <w:spacing w:after="0" w:line="277" w:lineRule="auto"/>
        <w:rPr>
          <w:sz w:val="20"/>
          <w:szCs w:val="20"/>
          <w:color w:val="auto"/>
        </w:rPr>
      </w:pPr>
      <w:r>
        <w:rPr>
          <w:rFonts w:ascii="Arial" w:cs="Arial" w:eastAsia="Arial" w:hAnsi="Arial"/>
          <w:sz w:val="21"/>
          <w:szCs w:val="21"/>
          <w:b w:val="1"/>
          <w:bCs w:val="1"/>
          <w:color w:val="auto"/>
        </w:rPr>
        <w:t>Quarter 1 reported revenue of $675 million. This represents a year on year increase of 8.8% or 11.1%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-288925</wp:posOffset>
            </wp:positionV>
            <wp:extent cx="67945" cy="67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40" w:lineRule="exact"/>
        <w:rPr>
          <w:sz w:val="20"/>
          <w:szCs w:val="20"/>
          <w:color w:val="auto"/>
        </w:rPr>
      </w:pPr>
    </w:p>
    <w:p>
      <w:pPr>
        <w:ind w:left="540" w:right="80"/>
        <w:spacing w:after="0" w:line="277" w:lineRule="auto"/>
        <w:rPr>
          <w:sz w:val="20"/>
          <w:szCs w:val="20"/>
          <w:color w:val="auto"/>
        </w:rPr>
      </w:pPr>
      <w:r>
        <w:rPr>
          <w:rFonts w:ascii="Arial" w:cs="Arial" w:eastAsia="Arial" w:hAnsi="Arial"/>
          <w:sz w:val="21"/>
          <w:szCs w:val="21"/>
          <w:b w:val="1"/>
          <w:bCs w:val="1"/>
          <w:color w:val="auto"/>
        </w:rPr>
        <w:t>Reported income from operations was $102 million, or 15.1% of revenue. This represents an increase of 11.1% over Q1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-288925</wp:posOffset>
            </wp:positionV>
            <wp:extent cx="67945" cy="67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40"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Reported earnings per share of $1.63, an increase of 14.8% over Q1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-88265</wp:posOffset>
            </wp:positionV>
            <wp:extent cx="67945" cy="679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14" w:lineRule="exact"/>
        <w:rPr>
          <w:sz w:val="20"/>
          <w:szCs w:val="20"/>
          <w:color w:val="auto"/>
        </w:rPr>
      </w:pPr>
    </w:p>
    <w:p>
      <w:pPr>
        <w:ind w:left="540" w:right="200"/>
        <w:spacing w:after="0" w:line="277" w:lineRule="auto"/>
        <w:rPr>
          <w:sz w:val="20"/>
          <w:szCs w:val="20"/>
          <w:color w:val="auto"/>
        </w:rPr>
      </w:pPr>
      <w:r>
        <w:rPr>
          <w:rFonts w:ascii="Arial" w:cs="Arial" w:eastAsia="Arial" w:hAnsi="Arial"/>
          <w:sz w:val="21"/>
          <w:szCs w:val="21"/>
          <w:b w:val="1"/>
          <w:bCs w:val="1"/>
          <w:color w:val="auto"/>
        </w:rPr>
        <w:t>Revenue guidance increased from a range of $2,735 - $2,835 million to a range of $2,760 - $2,840 million. Earnings per share guidance increased from a range of $6.69 - $6.89 to a range of $6.75 - $6.95.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-288925</wp:posOffset>
            </wp:positionV>
            <wp:extent cx="67945" cy="67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40" w:lineRule="exact"/>
        <w:rPr>
          <w:sz w:val="20"/>
          <w:szCs w:val="20"/>
          <w:color w:val="auto"/>
        </w:rPr>
      </w:pPr>
    </w:p>
    <w:p>
      <w:pPr>
        <w:ind w:left="540" w:right="260"/>
        <w:spacing w:after="0" w:line="277" w:lineRule="auto"/>
        <w:rPr>
          <w:sz w:val="20"/>
          <w:szCs w:val="20"/>
          <w:color w:val="auto"/>
        </w:rPr>
      </w:pPr>
      <w:r>
        <w:rPr>
          <w:rFonts w:ascii="Arial" w:cs="Arial" w:eastAsia="Arial" w:hAnsi="Arial"/>
          <w:sz w:val="21"/>
          <w:szCs w:val="21"/>
          <w:b w:val="1"/>
          <w:bCs w:val="1"/>
          <w:color w:val="auto"/>
        </w:rPr>
        <w:t>Strong cash generated from operating activities totalling $95 million in the quarter. This represents an increase of $54 million on Q1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-288925</wp:posOffset>
            </wp:positionV>
            <wp:extent cx="67945" cy="67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20" w:lineRule="exact"/>
        <w:rPr>
          <w:sz w:val="20"/>
          <w:szCs w:val="20"/>
          <w:color w:val="auto"/>
        </w:rPr>
      </w:pPr>
    </w:p>
    <w:p>
      <w:pPr>
        <w:jc w:val="both"/>
        <w:ind w:right="220"/>
        <w:spacing w:after="0" w:line="258" w:lineRule="auto"/>
        <w:rPr>
          <w:sz w:val="20"/>
          <w:szCs w:val="20"/>
          <w:color w:val="auto"/>
        </w:rPr>
      </w:pPr>
      <w:r>
        <w:rPr>
          <w:rFonts w:ascii="Arial" w:cs="Arial" w:eastAsia="Arial" w:hAnsi="Arial"/>
          <w:sz w:val="21"/>
          <w:szCs w:val="21"/>
          <w:color w:val="auto"/>
        </w:rPr>
        <w:t>DUBLIN--(BUSINESS WIRE)--May 1, 2019--</w:t>
      </w:r>
      <w:r>
        <w:rPr>
          <w:rFonts w:ascii="Arial" w:cs="Arial" w:eastAsia="Arial" w:hAnsi="Arial"/>
          <w:sz w:val="21"/>
          <w:szCs w:val="21"/>
          <w:b w:val="1"/>
          <w:bCs w:val="1"/>
          <w:color w:val="auto"/>
        </w:rPr>
        <w:t>ICON plc</w:t>
      </w:r>
      <w:r>
        <w:rPr>
          <w:rFonts w:ascii="Arial" w:cs="Arial" w:eastAsia="Arial" w:hAnsi="Arial"/>
          <w:sz w:val="21"/>
          <w:szCs w:val="21"/>
          <w:color w:val="auto"/>
        </w:rPr>
        <w:t xml:space="preserve"> (NASDAQ:ICLR)</w:t>
      </w:r>
      <w:r>
        <w:rPr>
          <w:rFonts w:ascii="Arial" w:cs="Arial" w:eastAsia="Arial" w:hAnsi="Arial"/>
          <w:sz w:val="21"/>
          <w:szCs w:val="21"/>
          <w:b w:val="1"/>
          <w:bCs w:val="1"/>
          <w:color w:val="auto"/>
        </w:rPr>
        <w:t>,</w:t>
      </w:r>
      <w:r>
        <w:rPr>
          <w:rFonts w:ascii="Arial" w:cs="Arial" w:eastAsia="Arial" w:hAnsi="Arial"/>
          <w:sz w:val="21"/>
          <w:szCs w:val="21"/>
          <w:color w:val="auto"/>
        </w:rPr>
        <w:t xml:space="preserve"> a global provider of drug development solutions and services to the pharmaceutical, biotechnology and medical device industries, today reported its financial results for the first quarter ended March 31, 2019.</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color w:val="auto"/>
        </w:rPr>
        <w:t>CEO Dr. Steve Cutler commented, “</w:t>
      </w:r>
      <w:r>
        <w:rPr>
          <w:rFonts w:ascii="Arial" w:cs="Arial" w:eastAsia="Arial" w:hAnsi="Arial"/>
          <w:sz w:val="20"/>
          <w:szCs w:val="20"/>
          <w:i w:val="1"/>
          <w:iCs w:val="1"/>
          <w:color w:val="auto"/>
        </w:rPr>
        <w:t>I’m pleased with our results in quarter one which represent a good start to 2019. Supported</w:t>
      </w:r>
      <w:r>
        <w:rPr>
          <w:rFonts w:ascii="Arial" w:cs="Arial" w:eastAsia="Arial" w:hAnsi="Arial"/>
          <w:sz w:val="20"/>
          <w:szCs w:val="20"/>
          <w:color w:val="auto"/>
        </w:rPr>
        <w:t xml:space="preserve"> </w:t>
      </w:r>
      <w:r>
        <w:rPr>
          <w:rFonts w:ascii="Arial" w:cs="Arial" w:eastAsia="Arial" w:hAnsi="Arial"/>
          <w:sz w:val="20"/>
          <w:szCs w:val="20"/>
          <w:i w:val="1"/>
          <w:iCs w:val="1"/>
          <w:color w:val="auto"/>
        </w:rPr>
        <w:t>by a strong book to bill of 1.31x, our backlog of business increased by 11% year over year to $7.9 billion. Revenue grew by 11% on a constant currency basis over the same period last year and combined with further leverage of our cost base enabled us to deliver earnings per share of $1.63, a 15% increase. With new business opportunities continuing to be robust and our strong balance sheet enhanced by solid cash collection during the quarter, we look to the future with optimism. We are therefore increasing our 2019 revenue guidance from a range of $2,735 - $2,835 million to a range of $2,760 - $2,840 million and we are increasing earnings guidance from a range of $6.69 - $6.89 to $6.75 - $6.95.”</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First Quarter 2019 Results</w:t>
      </w:r>
    </w:p>
    <w:p>
      <w:pPr>
        <w:spacing w:after="0" w:line="221" w:lineRule="exact"/>
        <w:rPr>
          <w:sz w:val="20"/>
          <w:szCs w:val="20"/>
          <w:color w:val="auto"/>
        </w:rPr>
      </w:pPr>
    </w:p>
    <w:p>
      <w:pPr>
        <w:ind w:right="380"/>
        <w:spacing w:after="0" w:line="271" w:lineRule="auto"/>
        <w:rPr>
          <w:sz w:val="20"/>
          <w:szCs w:val="20"/>
          <w:color w:val="auto"/>
        </w:rPr>
      </w:pPr>
      <w:r>
        <w:rPr>
          <w:rFonts w:ascii="Arial" w:cs="Arial" w:eastAsia="Arial" w:hAnsi="Arial"/>
          <w:sz w:val="21"/>
          <w:szCs w:val="21"/>
          <w:color w:val="auto"/>
        </w:rPr>
        <w:t>Gross business wins (including pass-through) in the first quarter were $1.04 billion and cancellations were $156 million. This resulted in net business wins of $885 million and a book to bill of 1.31.</w:t>
      </w:r>
    </w:p>
    <w:p>
      <w:pPr>
        <w:spacing w:after="0" w:line="152" w:lineRule="exact"/>
        <w:rPr>
          <w:sz w:val="20"/>
          <w:szCs w:val="20"/>
          <w:color w:val="auto"/>
        </w:rPr>
      </w:pPr>
    </w:p>
    <w:p>
      <w:pPr>
        <w:ind w:right="620"/>
        <w:spacing w:after="0" w:line="271" w:lineRule="auto"/>
        <w:rPr>
          <w:sz w:val="20"/>
          <w:szCs w:val="20"/>
          <w:color w:val="auto"/>
        </w:rPr>
      </w:pPr>
      <w:r>
        <w:rPr>
          <w:rFonts w:ascii="Arial" w:cs="Arial" w:eastAsia="Arial" w:hAnsi="Arial"/>
          <w:sz w:val="21"/>
          <w:szCs w:val="21"/>
          <w:color w:val="auto"/>
        </w:rPr>
        <w:t>Reported revenue for quarter 1 was $674.9 million. This represents a year on year increase of 8.8% or 11.1% on a constant currency basis.</w:t>
      </w:r>
    </w:p>
    <w:p>
      <w:pPr>
        <w:spacing w:after="0" w:line="152" w:lineRule="exact"/>
        <w:rPr>
          <w:sz w:val="20"/>
          <w:szCs w:val="20"/>
          <w:color w:val="auto"/>
        </w:rPr>
      </w:pPr>
    </w:p>
    <w:p>
      <w:pPr>
        <w:ind w:right="160"/>
        <w:spacing w:after="0" w:line="271" w:lineRule="auto"/>
        <w:rPr>
          <w:sz w:val="20"/>
          <w:szCs w:val="20"/>
          <w:color w:val="auto"/>
        </w:rPr>
      </w:pPr>
      <w:r>
        <w:rPr>
          <w:rFonts w:ascii="Arial" w:cs="Arial" w:eastAsia="Arial" w:hAnsi="Arial"/>
          <w:sz w:val="21"/>
          <w:szCs w:val="21"/>
          <w:color w:val="auto"/>
        </w:rPr>
        <w:t>Reported income from operations in the quarter was $101.9 million or 15.1% of revenue compared to $91.7 million or 14.8% of revenue for the same quarter last year.</w:t>
      </w:r>
    </w:p>
    <w:p>
      <w:pPr>
        <w:spacing w:after="0" w:line="152" w:lineRule="exact"/>
        <w:rPr>
          <w:sz w:val="20"/>
          <w:szCs w:val="20"/>
          <w:color w:val="auto"/>
        </w:rPr>
      </w:pPr>
    </w:p>
    <w:p>
      <w:pPr>
        <w:ind w:right="120"/>
        <w:spacing w:after="0" w:line="271" w:lineRule="auto"/>
        <w:rPr>
          <w:sz w:val="20"/>
          <w:szCs w:val="20"/>
          <w:color w:val="auto"/>
        </w:rPr>
      </w:pPr>
      <w:r>
        <w:rPr>
          <w:rFonts w:ascii="Arial" w:cs="Arial" w:eastAsia="Arial" w:hAnsi="Arial"/>
          <w:sz w:val="21"/>
          <w:szCs w:val="21"/>
          <w:color w:val="auto"/>
        </w:rPr>
        <w:t>Reported net income for the quarter was $88.3 million or 13.1% of revenue compared with $78.1 million or 12.6% of revenue in the same quarter last year.</w:t>
      </w:r>
    </w:p>
    <w:p>
      <w:pPr>
        <w:spacing w:after="0" w:line="152" w:lineRule="exact"/>
        <w:rPr>
          <w:sz w:val="20"/>
          <w:szCs w:val="20"/>
          <w:color w:val="auto"/>
        </w:rPr>
      </w:pPr>
    </w:p>
    <w:p>
      <w:pPr>
        <w:ind w:right="60"/>
        <w:spacing w:after="0" w:line="271" w:lineRule="auto"/>
        <w:rPr>
          <w:sz w:val="20"/>
          <w:szCs w:val="20"/>
          <w:color w:val="auto"/>
        </w:rPr>
      </w:pPr>
      <w:r>
        <w:rPr>
          <w:rFonts w:ascii="Arial" w:cs="Arial" w:eastAsia="Arial" w:hAnsi="Arial"/>
          <w:sz w:val="21"/>
          <w:szCs w:val="21"/>
          <w:color w:val="auto"/>
        </w:rPr>
        <w:t>Reported earnings per share on a diluted basis was $1.63, an increase of 14.8%, compared to $1.42 per share for the same quarter last year.</w:t>
      </w:r>
    </w:p>
    <w:p>
      <w:pPr>
        <w:spacing w:after="0" w:line="152" w:lineRule="exact"/>
        <w:rPr>
          <w:sz w:val="20"/>
          <w:szCs w:val="20"/>
          <w:color w:val="auto"/>
        </w:rPr>
      </w:pPr>
    </w:p>
    <w:p>
      <w:pPr>
        <w:ind w:right="60"/>
        <w:spacing w:after="0" w:line="271" w:lineRule="auto"/>
        <w:rPr>
          <w:sz w:val="20"/>
          <w:szCs w:val="20"/>
          <w:color w:val="auto"/>
        </w:rPr>
      </w:pPr>
      <w:r>
        <w:rPr>
          <w:rFonts w:ascii="Arial" w:cs="Arial" w:eastAsia="Arial" w:hAnsi="Arial"/>
          <w:sz w:val="21"/>
          <w:szCs w:val="21"/>
          <w:color w:val="auto"/>
        </w:rPr>
        <w:t>On a comparative basis, non-GAAP days sales outstanding were 59 days at March 31, 2019, compared with 57 days at the end of December 2018.</w:t>
      </w:r>
    </w:p>
    <w:p>
      <w:pPr>
        <w:spacing w:after="0" w:line="152" w:lineRule="exact"/>
        <w:rPr>
          <w:sz w:val="20"/>
          <w:szCs w:val="20"/>
          <w:color w:val="auto"/>
        </w:rPr>
      </w:pPr>
    </w:p>
    <w:p>
      <w:pPr>
        <w:ind w:right="60"/>
        <w:spacing w:after="0" w:line="267" w:lineRule="auto"/>
        <w:rPr>
          <w:sz w:val="20"/>
          <w:szCs w:val="20"/>
          <w:color w:val="auto"/>
        </w:rPr>
      </w:pPr>
      <w:r>
        <w:rPr>
          <w:rFonts w:ascii="Arial" w:cs="Arial" w:eastAsia="Arial" w:hAnsi="Arial"/>
          <w:sz w:val="20"/>
          <w:szCs w:val="20"/>
          <w:color w:val="auto"/>
        </w:rPr>
        <w:t>Cash generated from operating activities for the quarter was $94.6 million. During the quarter, the Group completed the purchase of MolecularMD for $42.3 million, capital expenditure was $7.0 million and $25 million worth of stock was repurchased at an average price of $124.84. As a result, at March 31, 2019, the company had net cash of $128.6 million, compared to net cash of $106.5 million at December 31, 2018 and net cash of $4.6 million at the end of March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08660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6600" cy="59690"/>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4" w:name="page5"/>
    <w:bookmarkEnd w:id="4"/>
    <w:p>
      <w:pPr>
        <w:spacing w:after="0"/>
        <w:rPr>
          <w:sz w:val="20"/>
          <w:szCs w:val="20"/>
          <w:color w:val="auto"/>
        </w:rPr>
      </w:pPr>
      <w:r>
        <w:rPr>
          <w:rFonts w:ascii="Arial" w:cs="Arial" w:eastAsia="Arial" w:hAnsi="Arial"/>
          <w:sz w:val="21"/>
          <w:szCs w:val="21"/>
          <w:b w:val="1"/>
          <w:bCs w:val="1"/>
          <w:color w:val="auto"/>
        </w:rPr>
        <w:t>Other Information</w:t>
      </w:r>
    </w:p>
    <w:p>
      <w:pPr>
        <w:spacing w:after="0" w:line="193" w:lineRule="exact"/>
        <w:rPr>
          <w:sz w:val="20"/>
          <w:szCs w:val="20"/>
          <w:color w:val="auto"/>
        </w:rPr>
      </w:pPr>
    </w:p>
    <w:p>
      <w:pPr>
        <w:ind w:right="60"/>
        <w:spacing w:after="0" w:line="285" w:lineRule="auto"/>
        <w:rPr>
          <w:sz w:val="20"/>
          <w:szCs w:val="20"/>
          <w:color w:val="auto"/>
        </w:rPr>
      </w:pPr>
      <w:r>
        <w:rPr>
          <w:rFonts w:ascii="Arial" w:cs="Arial" w:eastAsia="Arial" w:hAnsi="Arial"/>
          <w:sz w:val="19"/>
          <w:szCs w:val="19"/>
          <w:color w:val="auto"/>
        </w:rPr>
        <w:t>The new leasing standard (ASU No. 2016-02) ‘Leases’ was effective for ICON plc from January 1, 2019. ICON adopted the new standard as of January 1, 2019 under the modified retrospective approach. Under this transition method, the new standard is applied from January 1, 2019 without restatement of comparative period amounts. Results as at December 31, 2018 and for the three months ended March 31, 2018 are therefore presented under the previous lease accounting principles.</w:t>
      </w:r>
    </w:p>
    <w:p>
      <w:pPr>
        <w:spacing w:after="0" w:line="143" w:lineRule="exact"/>
        <w:rPr>
          <w:sz w:val="20"/>
          <w:szCs w:val="20"/>
          <w:color w:val="auto"/>
        </w:rPr>
      </w:pPr>
    </w:p>
    <w:p>
      <w:pPr>
        <w:ind w:right="280"/>
        <w:spacing w:after="0" w:line="250" w:lineRule="auto"/>
        <w:rPr>
          <w:sz w:val="20"/>
          <w:szCs w:val="20"/>
          <w:color w:val="auto"/>
        </w:rPr>
      </w:pPr>
      <w:r>
        <w:rPr>
          <w:rFonts w:ascii="Arial" w:cs="Arial" w:eastAsia="Arial" w:hAnsi="Arial"/>
          <w:sz w:val="21"/>
          <w:szCs w:val="21"/>
          <w:color w:val="auto"/>
        </w:rPr>
        <w:t>In addition to the financial measures prepared in accordance with generally accepted accounting principles (GAAP), this press release contains certain non-GAAP financial measures. While non-GAAP financial measures are not superior to or a substitute for the comparable GAAP measures, ICON believes certain non-GAAP information is useful to investors for historical comparison purposes.</w:t>
      </w:r>
    </w:p>
    <w:p>
      <w:pPr>
        <w:spacing w:after="0" w:line="181"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color w:val="auto"/>
        </w:rPr>
        <w:t>ICON will hold its first quarter conference call tomorrow, May 2</w:t>
      </w:r>
      <w:r>
        <w:rPr>
          <w:rFonts w:ascii="Arial" w:cs="Arial" w:eastAsia="Arial" w:hAnsi="Arial"/>
          <w:sz w:val="33"/>
          <w:szCs w:val="33"/>
          <w:color w:val="auto"/>
          <w:vertAlign w:val="superscript"/>
        </w:rPr>
        <w:t>nd</w:t>
      </w:r>
      <w:r>
        <w:rPr>
          <w:rFonts w:ascii="Arial" w:cs="Arial" w:eastAsia="Arial" w:hAnsi="Arial"/>
          <w:sz w:val="20"/>
          <w:szCs w:val="20"/>
          <w:color w:val="auto"/>
        </w:rPr>
        <w:t xml:space="preserve">, 2019 at 10:00 EDT [15:00 Ireland &amp; UK]. This call and linked slide presentation can be accessed live from our website at </w:t>
      </w:r>
      <w:r>
        <w:rPr>
          <w:rFonts w:ascii="Arial" w:cs="Arial" w:eastAsia="Arial" w:hAnsi="Arial"/>
          <w:sz w:val="20"/>
          <w:szCs w:val="20"/>
          <w:u w:val="single" w:color="auto"/>
          <w:color w:val="auto"/>
        </w:rPr>
        <w:t>http://investor.iconplc.com</w:t>
      </w:r>
      <w:r>
        <w:rPr>
          <w:rFonts w:ascii="Arial" w:cs="Arial" w:eastAsia="Arial" w:hAnsi="Arial"/>
          <w:sz w:val="20"/>
          <w:szCs w:val="20"/>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167" w:lineRule="exact"/>
        <w:rPr>
          <w:sz w:val="20"/>
          <w:szCs w:val="20"/>
          <w:color w:val="auto"/>
        </w:rPr>
      </w:pPr>
    </w:p>
    <w:p>
      <w:pPr>
        <w:ind w:right="60"/>
        <w:spacing w:after="0" w:line="247" w:lineRule="auto"/>
        <w:rPr>
          <w:sz w:val="20"/>
          <w:szCs w:val="20"/>
          <w:color w:val="auto"/>
        </w:rPr>
      </w:pPr>
      <w:r>
        <w:rPr>
          <w:rFonts w:ascii="Arial" w:cs="Arial" w:eastAsia="Arial" w:hAnsi="Arial"/>
          <w:sz w:val="21"/>
          <w:szCs w:val="21"/>
          <w:color w:val="auto"/>
        </w:rPr>
        <w:t xml:space="preserve">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employed approximately 13,920 employees in 90 locations in 37 countries as at March 31, 2019. Further information is available at </w:t>
      </w:r>
      <w:r>
        <w:rPr>
          <w:rFonts w:ascii="Arial" w:cs="Arial" w:eastAsia="Arial" w:hAnsi="Arial"/>
          <w:sz w:val="21"/>
          <w:szCs w:val="21"/>
          <w:u w:val="single" w:color="auto"/>
          <w:color w:val="auto"/>
        </w:rPr>
        <w:t>www.iconplc.com</w:t>
      </w:r>
      <w:r>
        <w:rPr>
          <w:rFonts w:ascii="Arial" w:cs="Arial" w:eastAsia="Arial" w:hAnsi="Arial"/>
          <w:sz w:val="21"/>
          <w:szCs w:val="21"/>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Source: 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708660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6600" cy="59690"/>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5" w:name="page6"/>
    <w:bookmarkEnd w:id="5"/>
    <w:p>
      <w:pPr>
        <w:jc w:val="center"/>
        <w:ind w:right="-19"/>
        <w:spacing w:after="0" w:line="230" w:lineRule="auto"/>
        <w:rPr>
          <w:sz w:val="20"/>
          <w:szCs w:val="20"/>
          <w:color w:val="auto"/>
        </w:rPr>
      </w:pPr>
      <w:r>
        <w:rPr>
          <w:rFonts w:ascii="Arial" w:cs="Arial" w:eastAsia="Arial" w:hAnsi="Arial"/>
          <w:sz w:val="14"/>
          <w:szCs w:val="14"/>
          <w:b w:val="1"/>
          <w:bCs w:val="1"/>
          <w:color w:val="auto"/>
        </w:rPr>
        <w:t>ICON plc</w:t>
      </w:r>
    </w:p>
    <w:p>
      <w:pPr>
        <w:jc w:val="center"/>
        <w:ind w:right="-19"/>
        <w:spacing w:after="0" w:line="219" w:lineRule="auto"/>
        <w:rPr>
          <w:sz w:val="20"/>
          <w:szCs w:val="20"/>
          <w:color w:val="auto"/>
        </w:rPr>
      </w:pPr>
      <w:r>
        <w:rPr>
          <w:rFonts w:ascii="Arial" w:cs="Arial" w:eastAsia="Arial" w:hAnsi="Arial"/>
          <w:sz w:val="14"/>
          <w:szCs w:val="14"/>
          <w:b w:val="1"/>
          <w:bCs w:val="1"/>
          <w:color w:val="auto"/>
        </w:rPr>
        <w:t>Condensed Consolidated Statements of Operations</w:t>
      </w:r>
    </w:p>
    <w:p>
      <w:pPr>
        <w:jc w:val="center"/>
        <w:ind w:right="-19"/>
        <w:spacing w:after="0" w:line="220" w:lineRule="auto"/>
        <w:rPr>
          <w:sz w:val="20"/>
          <w:szCs w:val="20"/>
          <w:color w:val="auto"/>
        </w:rPr>
      </w:pPr>
      <w:r>
        <w:rPr>
          <w:rFonts w:ascii="Arial" w:cs="Arial" w:eastAsia="Arial" w:hAnsi="Arial"/>
          <w:sz w:val="14"/>
          <w:szCs w:val="14"/>
          <w:b w:val="1"/>
          <w:bCs w:val="1"/>
          <w:color w:val="auto"/>
        </w:rPr>
        <w:t>(US GAAP)</w:t>
      </w:r>
    </w:p>
    <w:p>
      <w:pPr>
        <w:jc w:val="center"/>
        <w:ind w:right="-19"/>
        <w:spacing w:after="0" w:line="220" w:lineRule="auto"/>
        <w:rPr>
          <w:sz w:val="20"/>
          <w:szCs w:val="20"/>
          <w:color w:val="auto"/>
        </w:rPr>
      </w:pPr>
      <w:r>
        <w:rPr>
          <w:rFonts w:ascii="Arial" w:cs="Arial" w:eastAsia="Arial" w:hAnsi="Arial"/>
          <w:sz w:val="14"/>
          <w:szCs w:val="14"/>
          <w:b w:val="1"/>
          <w:bCs w:val="1"/>
          <w:color w:val="auto"/>
        </w:rPr>
        <w:t>Three Months ended March 31, 2019 and March 31, 2018</w:t>
      </w:r>
    </w:p>
    <w:p>
      <w:pPr>
        <w:jc w:val="center"/>
        <w:ind w:right="-19"/>
        <w:spacing w:after="0" w:line="220" w:lineRule="auto"/>
        <w:rPr>
          <w:sz w:val="20"/>
          <w:szCs w:val="20"/>
          <w:color w:val="auto"/>
        </w:rPr>
      </w:pPr>
      <w:r>
        <w:rPr>
          <w:rFonts w:ascii="Arial" w:cs="Arial" w:eastAsia="Arial" w:hAnsi="Arial"/>
          <w:sz w:val="14"/>
          <w:szCs w:val="14"/>
          <w:b w:val="1"/>
          <w:bCs w:val="1"/>
          <w:color w:val="auto"/>
        </w:rPr>
        <w:t>(Dollars, in thousands, except share and per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0" w:type="dxa"/>
            <w:vAlign w:val="bottom"/>
            <w:gridSpan w:val="8"/>
          </w:tcPr>
          <w:p>
            <w:pPr>
              <w:ind w:left="380"/>
              <w:spacing w:after="0"/>
              <w:rPr>
                <w:sz w:val="20"/>
                <w:szCs w:val="20"/>
                <w:color w:val="auto"/>
              </w:rPr>
            </w:pPr>
            <w:r>
              <w:rPr>
                <w:rFonts w:ascii="Arial" w:cs="Arial" w:eastAsia="Arial" w:hAnsi="Arial"/>
                <w:sz w:val="14"/>
                <w:szCs w:val="14"/>
                <w:b w:val="1"/>
                <w:bCs w:val="1"/>
                <w:color w:val="auto"/>
              </w:rPr>
              <w:t>Three Months Ended</w:t>
            </w:r>
          </w:p>
        </w:tc>
      </w:tr>
      <w:tr>
        <w:trPr>
          <w:trHeight w:val="157"/>
        </w:trPr>
        <w:tc>
          <w:tcPr>
            <w:tcW w:w="59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line="157" w:lineRule="exact"/>
              <w:rPr>
                <w:sz w:val="20"/>
                <w:szCs w:val="20"/>
                <w:color w:val="auto"/>
              </w:rPr>
            </w:pPr>
            <w:r>
              <w:rPr>
                <w:rFonts w:ascii="Arial" w:cs="Arial" w:eastAsia="Arial" w:hAnsi="Arial"/>
                <w:sz w:val="14"/>
                <w:szCs w:val="14"/>
                <w:b w:val="1"/>
                <w:bCs w:val="1"/>
                <w:color w:val="auto"/>
                <w:w w:val="96"/>
              </w:rPr>
              <w:t>March</w:t>
            </w:r>
          </w:p>
        </w:tc>
        <w:tc>
          <w:tcPr>
            <w:tcW w:w="62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gridSpan w:val="4"/>
          </w:tcPr>
          <w:p>
            <w:pPr>
              <w:ind w:left="40"/>
              <w:spacing w:after="0" w:line="157" w:lineRule="exact"/>
              <w:rPr>
                <w:sz w:val="20"/>
                <w:szCs w:val="20"/>
                <w:color w:val="auto"/>
              </w:rPr>
            </w:pPr>
            <w:r>
              <w:rPr>
                <w:rFonts w:ascii="Arial" w:cs="Arial" w:eastAsia="Arial" w:hAnsi="Arial"/>
                <w:sz w:val="14"/>
                <w:szCs w:val="14"/>
                <w:b w:val="1"/>
                <w:bCs w:val="1"/>
                <w:color w:val="auto"/>
              </w:rPr>
              <w:t>March</w:t>
            </w:r>
          </w:p>
        </w:tc>
      </w:tr>
      <w:tr>
        <w:trPr>
          <w:trHeight w:val="20"/>
        </w:trPr>
        <w:tc>
          <w:tcPr>
            <w:tcW w:w="59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54"/>
        </w:trPr>
        <w:tc>
          <w:tcPr>
            <w:tcW w:w="59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80" w:type="dxa"/>
            <w:vAlign w:val="bottom"/>
            <w:gridSpan w:val="4"/>
          </w:tcPr>
          <w:p>
            <w:pPr>
              <w:jc w:val="center"/>
              <w:ind w:right="580"/>
              <w:spacing w:after="0" w:line="155" w:lineRule="exact"/>
              <w:rPr>
                <w:sz w:val="20"/>
                <w:szCs w:val="20"/>
                <w:color w:val="auto"/>
              </w:rPr>
            </w:pPr>
            <w:r>
              <w:rPr>
                <w:rFonts w:ascii="Arial" w:cs="Arial" w:eastAsia="Arial" w:hAnsi="Arial"/>
                <w:sz w:val="14"/>
                <w:szCs w:val="14"/>
                <w:b w:val="1"/>
                <w:bCs w:val="1"/>
                <w:color w:val="auto"/>
                <w:w w:val="91"/>
              </w:rPr>
              <w:t>31, 2019</w:t>
            </w:r>
          </w:p>
        </w:tc>
        <w:tc>
          <w:tcPr>
            <w:tcW w:w="1080" w:type="dxa"/>
            <w:vAlign w:val="bottom"/>
            <w:gridSpan w:val="4"/>
          </w:tcPr>
          <w:p>
            <w:pPr>
              <w:jc w:val="center"/>
              <w:ind w:left="509"/>
              <w:spacing w:after="0" w:line="155" w:lineRule="exact"/>
              <w:rPr>
                <w:sz w:val="20"/>
                <w:szCs w:val="20"/>
                <w:color w:val="auto"/>
              </w:rPr>
            </w:pPr>
            <w:r>
              <w:rPr>
                <w:rFonts w:ascii="Arial" w:cs="Arial" w:eastAsia="Arial" w:hAnsi="Arial"/>
                <w:sz w:val="14"/>
                <w:szCs w:val="14"/>
                <w:b w:val="1"/>
                <w:bCs w:val="1"/>
                <w:color w:val="auto"/>
                <w:w w:val="91"/>
              </w:rPr>
              <w:t>31, 2018</w:t>
            </w:r>
          </w:p>
        </w:tc>
        <w:tc>
          <w:tcPr>
            <w:tcW w:w="480" w:type="dxa"/>
            <w:vAlign w:val="bottom"/>
          </w:tcPr>
          <w:p>
            <w:pPr>
              <w:spacing w:after="0"/>
              <w:rPr>
                <w:sz w:val="13"/>
                <w:szCs w:val="13"/>
                <w:color w:val="auto"/>
              </w:rPr>
            </w:pPr>
          </w:p>
        </w:tc>
      </w:tr>
      <w:tr>
        <w:trPr>
          <w:trHeight w:val="357"/>
        </w:trPr>
        <w:tc>
          <w:tcPr>
            <w:tcW w:w="5900" w:type="dxa"/>
            <w:vAlign w:val="bottom"/>
          </w:tcPr>
          <w:p>
            <w:pPr>
              <w:spacing w:after="0"/>
              <w:rPr>
                <w:sz w:val="20"/>
                <w:szCs w:val="20"/>
                <w:color w:val="auto"/>
              </w:rPr>
            </w:pPr>
            <w:r>
              <w:rPr>
                <w:rFonts w:ascii="Arial" w:cs="Arial" w:eastAsia="Arial" w:hAnsi="Arial"/>
                <w:sz w:val="14"/>
                <w:szCs w:val="14"/>
                <w:b w:val="1"/>
                <w:bCs w:val="1"/>
                <w:color w:val="auto"/>
              </w:rPr>
              <w:t>Revenue</w:t>
            </w:r>
          </w:p>
        </w:tc>
        <w:tc>
          <w:tcPr>
            <w:tcW w:w="2620" w:type="dxa"/>
            <w:vAlign w:val="bottom"/>
          </w:tcPr>
          <w:p>
            <w:pPr>
              <w:spacing w:after="0"/>
              <w:rPr>
                <w:sz w:val="24"/>
                <w:szCs w:val="24"/>
                <w:color w:val="auto"/>
              </w:rPr>
            </w:pPr>
          </w:p>
        </w:tc>
        <w:tc>
          <w:tcPr>
            <w:tcW w:w="5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90"/>
              </w:rPr>
              <w:t>674,852</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90"/>
              </w:rPr>
              <w:t>620,125</w:t>
            </w:r>
          </w:p>
        </w:tc>
        <w:tc>
          <w:tcPr>
            <w:tcW w:w="480" w:type="dxa"/>
            <w:vAlign w:val="bottom"/>
          </w:tcPr>
          <w:p>
            <w:pPr>
              <w:spacing w:after="0"/>
              <w:rPr>
                <w:sz w:val="24"/>
                <w:szCs w:val="24"/>
                <w:color w:val="auto"/>
              </w:rPr>
            </w:pPr>
          </w:p>
        </w:tc>
      </w:tr>
      <w:tr>
        <w:trPr>
          <w:trHeight w:val="342"/>
        </w:trPr>
        <w:tc>
          <w:tcPr>
            <w:tcW w:w="590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2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4"/>
        </w:trPr>
        <w:tc>
          <w:tcPr>
            <w:tcW w:w="5900" w:type="dxa"/>
            <w:vAlign w:val="bottom"/>
          </w:tcPr>
          <w:p>
            <w:pPr>
              <w:spacing w:after="0"/>
              <w:rPr>
                <w:sz w:val="20"/>
                <w:szCs w:val="20"/>
                <w:color w:val="auto"/>
              </w:rPr>
            </w:pPr>
            <w:r>
              <w:rPr>
                <w:rFonts w:ascii="Arial" w:cs="Arial" w:eastAsia="Arial" w:hAnsi="Arial"/>
                <w:sz w:val="14"/>
                <w:szCs w:val="14"/>
                <w:color w:val="auto"/>
              </w:rPr>
              <w:t>Direct costs</w:t>
            </w:r>
          </w:p>
        </w:tc>
        <w:tc>
          <w:tcPr>
            <w:tcW w:w="3700" w:type="dxa"/>
            <w:vAlign w:val="bottom"/>
            <w:gridSpan w:val="5"/>
          </w:tcPr>
          <w:p>
            <w:pPr>
              <w:jc w:val="center"/>
              <w:ind w:left="1989"/>
              <w:spacing w:after="0"/>
              <w:rPr>
                <w:sz w:val="20"/>
                <w:szCs w:val="20"/>
                <w:color w:val="auto"/>
              </w:rPr>
            </w:pPr>
            <w:r>
              <w:rPr>
                <w:rFonts w:ascii="Arial" w:cs="Arial" w:eastAsia="Arial" w:hAnsi="Arial"/>
                <w:sz w:val="14"/>
                <w:szCs w:val="14"/>
                <w:color w:val="auto"/>
                <w:w w:val="93"/>
              </w:rPr>
              <w:t>(475,497)</w:t>
            </w:r>
          </w:p>
        </w:tc>
        <w:tc>
          <w:tcPr>
            <w:tcW w:w="1560" w:type="dxa"/>
            <w:vAlign w:val="bottom"/>
            <w:gridSpan w:val="5"/>
          </w:tcPr>
          <w:p>
            <w:pPr>
              <w:jc w:val="center"/>
              <w:ind w:left="29"/>
              <w:spacing w:after="0"/>
              <w:rPr>
                <w:sz w:val="20"/>
                <w:szCs w:val="20"/>
                <w:color w:val="auto"/>
              </w:rPr>
            </w:pPr>
            <w:r>
              <w:rPr>
                <w:rFonts w:ascii="Arial" w:cs="Arial" w:eastAsia="Arial" w:hAnsi="Arial"/>
                <w:sz w:val="14"/>
                <w:szCs w:val="14"/>
                <w:color w:val="auto"/>
                <w:w w:val="90"/>
              </w:rPr>
              <w:t>(430,592)</w:t>
            </w:r>
          </w:p>
        </w:tc>
      </w:tr>
      <w:tr>
        <w:trPr>
          <w:trHeight w:val="174"/>
        </w:trPr>
        <w:tc>
          <w:tcPr>
            <w:tcW w:w="5900" w:type="dxa"/>
            <w:vAlign w:val="bottom"/>
          </w:tcPr>
          <w:p>
            <w:pPr>
              <w:spacing w:after="0"/>
              <w:rPr>
                <w:sz w:val="20"/>
                <w:szCs w:val="20"/>
                <w:color w:val="auto"/>
              </w:rPr>
            </w:pPr>
            <w:r>
              <w:rPr>
                <w:rFonts w:ascii="Arial" w:cs="Arial" w:eastAsia="Arial" w:hAnsi="Arial"/>
                <w:sz w:val="14"/>
                <w:szCs w:val="14"/>
                <w:color w:val="auto"/>
              </w:rPr>
              <w:t>Selling, general and administrative expense</w:t>
            </w:r>
          </w:p>
        </w:tc>
        <w:tc>
          <w:tcPr>
            <w:tcW w:w="3120" w:type="dxa"/>
            <w:vAlign w:val="bottom"/>
            <w:gridSpan w:val="4"/>
          </w:tcPr>
          <w:p>
            <w:pPr>
              <w:jc w:val="center"/>
              <w:ind w:left="2549"/>
              <w:spacing w:after="0"/>
              <w:rPr>
                <w:sz w:val="20"/>
                <w:szCs w:val="20"/>
                <w:color w:val="auto"/>
              </w:rPr>
            </w:pPr>
            <w:r>
              <w:rPr>
                <w:rFonts w:ascii="Arial" w:cs="Arial" w:eastAsia="Arial" w:hAnsi="Arial"/>
                <w:sz w:val="14"/>
                <w:szCs w:val="14"/>
                <w:color w:val="auto"/>
                <w:w w:val="95"/>
              </w:rPr>
              <w:t>(81,912)</w:t>
            </w:r>
          </w:p>
        </w:tc>
        <w:tc>
          <w:tcPr>
            <w:tcW w:w="580" w:type="dxa"/>
            <w:vAlign w:val="bottom"/>
          </w:tcPr>
          <w:p>
            <w:pPr>
              <w:spacing w:after="0"/>
              <w:rPr>
                <w:sz w:val="15"/>
                <w:szCs w:val="15"/>
                <w:color w:val="auto"/>
              </w:rPr>
            </w:pPr>
          </w:p>
        </w:tc>
        <w:tc>
          <w:tcPr>
            <w:tcW w:w="1080" w:type="dxa"/>
            <w:vAlign w:val="bottom"/>
            <w:gridSpan w:val="4"/>
          </w:tcPr>
          <w:p>
            <w:pPr>
              <w:jc w:val="center"/>
              <w:ind w:left="509"/>
              <w:spacing w:after="0"/>
              <w:rPr>
                <w:sz w:val="20"/>
                <w:szCs w:val="20"/>
                <w:color w:val="auto"/>
              </w:rPr>
            </w:pPr>
            <w:r>
              <w:rPr>
                <w:rFonts w:ascii="Arial" w:cs="Arial" w:eastAsia="Arial" w:hAnsi="Arial"/>
                <w:sz w:val="14"/>
                <w:szCs w:val="14"/>
                <w:color w:val="auto"/>
                <w:w w:val="95"/>
              </w:rPr>
              <w:t>(80,915)</w:t>
            </w:r>
          </w:p>
        </w:tc>
        <w:tc>
          <w:tcPr>
            <w:tcW w:w="480" w:type="dxa"/>
            <w:vAlign w:val="bottom"/>
          </w:tcPr>
          <w:p>
            <w:pPr>
              <w:spacing w:after="0"/>
              <w:rPr>
                <w:sz w:val="15"/>
                <w:szCs w:val="15"/>
                <w:color w:val="auto"/>
              </w:rPr>
            </w:pPr>
          </w:p>
        </w:tc>
      </w:tr>
      <w:tr>
        <w:trPr>
          <w:trHeight w:val="180"/>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Depreciation and amortization</w:t>
            </w:r>
          </w:p>
        </w:tc>
        <w:tc>
          <w:tcPr>
            <w:tcW w:w="3120" w:type="dxa"/>
            <w:vAlign w:val="bottom"/>
            <w:tcBorders>
              <w:bottom w:val="single" w:sz="8" w:color="auto"/>
            </w:tcBorders>
            <w:gridSpan w:val="4"/>
          </w:tcPr>
          <w:p>
            <w:pPr>
              <w:jc w:val="center"/>
              <w:ind w:left="2549"/>
              <w:spacing w:after="0"/>
              <w:rPr>
                <w:sz w:val="20"/>
                <w:szCs w:val="20"/>
                <w:color w:val="auto"/>
              </w:rPr>
            </w:pPr>
            <w:r>
              <w:rPr>
                <w:rFonts w:ascii="Arial" w:cs="Arial" w:eastAsia="Arial" w:hAnsi="Arial"/>
                <w:sz w:val="14"/>
                <w:szCs w:val="14"/>
                <w:color w:val="auto"/>
                <w:w w:val="95"/>
              </w:rPr>
              <w:t>(15,497)</w:t>
            </w: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ind w:left="509"/>
              <w:spacing w:after="0"/>
              <w:rPr>
                <w:sz w:val="20"/>
                <w:szCs w:val="20"/>
                <w:color w:val="auto"/>
              </w:rPr>
            </w:pPr>
            <w:r>
              <w:rPr>
                <w:rFonts w:ascii="Arial" w:cs="Arial" w:eastAsia="Arial" w:hAnsi="Arial"/>
                <w:sz w:val="14"/>
                <w:szCs w:val="14"/>
                <w:color w:val="auto"/>
                <w:w w:val="95"/>
              </w:rPr>
              <w:t>(16,898)</w:t>
            </w:r>
          </w:p>
        </w:tc>
        <w:tc>
          <w:tcPr>
            <w:tcW w:w="480" w:type="dxa"/>
            <w:vAlign w:val="bottom"/>
            <w:tcBorders>
              <w:bottom w:val="single" w:sz="8" w:color="auto"/>
            </w:tcBorders>
          </w:tcPr>
          <w:p>
            <w:pPr>
              <w:spacing w:after="0"/>
              <w:rPr>
                <w:sz w:val="15"/>
                <w:szCs w:val="15"/>
                <w:color w:val="auto"/>
              </w:rPr>
            </w:pPr>
          </w:p>
        </w:tc>
      </w:tr>
      <w:tr>
        <w:trPr>
          <w:trHeight w:val="342"/>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costs and expenses</w:t>
            </w:r>
          </w:p>
        </w:tc>
        <w:tc>
          <w:tcPr>
            <w:tcW w:w="3700" w:type="dxa"/>
            <w:vAlign w:val="bottom"/>
            <w:tcBorders>
              <w:bottom w:val="single" w:sz="8" w:color="auto"/>
            </w:tcBorders>
            <w:gridSpan w:val="5"/>
          </w:tcPr>
          <w:p>
            <w:pPr>
              <w:jc w:val="center"/>
              <w:ind w:left="1989"/>
              <w:spacing w:after="0"/>
              <w:rPr>
                <w:sz w:val="20"/>
                <w:szCs w:val="20"/>
                <w:color w:val="auto"/>
              </w:rPr>
            </w:pPr>
            <w:r>
              <w:rPr>
                <w:rFonts w:ascii="Arial" w:cs="Arial" w:eastAsia="Arial" w:hAnsi="Arial"/>
                <w:sz w:val="14"/>
                <w:szCs w:val="14"/>
                <w:color w:val="auto"/>
                <w:w w:val="93"/>
              </w:rPr>
              <w:t>(572,906)</w:t>
            </w:r>
          </w:p>
        </w:tc>
        <w:tc>
          <w:tcPr>
            <w:tcW w:w="1560" w:type="dxa"/>
            <w:vAlign w:val="bottom"/>
            <w:tcBorders>
              <w:bottom w:val="single" w:sz="8" w:color="auto"/>
            </w:tcBorders>
            <w:gridSpan w:val="5"/>
          </w:tcPr>
          <w:p>
            <w:pPr>
              <w:jc w:val="center"/>
              <w:ind w:left="29"/>
              <w:spacing w:after="0"/>
              <w:rPr>
                <w:sz w:val="20"/>
                <w:szCs w:val="20"/>
                <w:color w:val="auto"/>
              </w:rPr>
            </w:pPr>
            <w:r>
              <w:rPr>
                <w:rFonts w:ascii="Arial" w:cs="Arial" w:eastAsia="Arial" w:hAnsi="Arial"/>
                <w:sz w:val="14"/>
                <w:szCs w:val="14"/>
                <w:color w:val="auto"/>
                <w:w w:val="90"/>
              </w:rPr>
              <w:t>(528,405)</w:t>
            </w:r>
          </w:p>
        </w:tc>
      </w:tr>
      <w:tr>
        <w:trPr>
          <w:trHeight w:val="344"/>
        </w:trPr>
        <w:tc>
          <w:tcPr>
            <w:tcW w:w="590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3120" w:type="dxa"/>
            <w:vAlign w:val="bottom"/>
            <w:gridSpan w:val="4"/>
          </w:tcPr>
          <w:p>
            <w:pPr>
              <w:jc w:val="center"/>
              <w:ind w:left="2549"/>
              <w:spacing w:after="0"/>
              <w:rPr>
                <w:sz w:val="20"/>
                <w:szCs w:val="20"/>
                <w:color w:val="auto"/>
              </w:rPr>
            </w:pPr>
            <w:r>
              <w:rPr>
                <w:rFonts w:ascii="Arial" w:cs="Arial" w:eastAsia="Arial" w:hAnsi="Arial"/>
                <w:sz w:val="14"/>
                <w:szCs w:val="14"/>
                <w:color w:val="auto"/>
                <w:w w:val="90"/>
              </w:rPr>
              <w:t>101,946</w:t>
            </w:r>
          </w:p>
        </w:tc>
        <w:tc>
          <w:tcPr>
            <w:tcW w:w="580" w:type="dxa"/>
            <w:vAlign w:val="bottom"/>
          </w:tcPr>
          <w:p>
            <w:pPr>
              <w:spacing w:after="0"/>
              <w:rPr>
                <w:sz w:val="24"/>
                <w:szCs w:val="24"/>
                <w:color w:val="auto"/>
              </w:rPr>
            </w:pPr>
          </w:p>
        </w:tc>
        <w:tc>
          <w:tcPr>
            <w:tcW w:w="1020" w:type="dxa"/>
            <w:vAlign w:val="bottom"/>
            <w:gridSpan w:val="3"/>
          </w:tcPr>
          <w:p>
            <w:pPr>
              <w:jc w:val="center"/>
              <w:ind w:left="569"/>
              <w:spacing w:after="0"/>
              <w:rPr>
                <w:sz w:val="20"/>
                <w:szCs w:val="20"/>
                <w:color w:val="auto"/>
              </w:rPr>
            </w:pPr>
            <w:r>
              <w:rPr>
                <w:rFonts w:ascii="Arial" w:cs="Arial" w:eastAsia="Arial" w:hAnsi="Arial"/>
                <w:sz w:val="14"/>
                <w:szCs w:val="14"/>
                <w:color w:val="auto"/>
                <w:w w:val="88"/>
              </w:rPr>
              <w:t>91,720</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47"/>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interest expense</w:t>
            </w:r>
          </w:p>
        </w:tc>
        <w:tc>
          <w:tcPr>
            <w:tcW w:w="3120" w:type="dxa"/>
            <w:vAlign w:val="bottom"/>
            <w:tcBorders>
              <w:bottom w:val="single" w:sz="8" w:color="auto"/>
            </w:tcBorders>
            <w:gridSpan w:val="4"/>
          </w:tcPr>
          <w:p>
            <w:pPr>
              <w:jc w:val="center"/>
              <w:ind w:left="2549"/>
              <w:spacing w:after="0"/>
              <w:rPr>
                <w:sz w:val="20"/>
                <w:szCs w:val="20"/>
                <w:color w:val="auto"/>
              </w:rPr>
            </w:pPr>
            <w:r>
              <w:rPr>
                <w:rFonts w:ascii="Arial" w:cs="Arial" w:eastAsia="Arial" w:hAnsi="Arial"/>
                <w:sz w:val="14"/>
                <w:szCs w:val="14"/>
                <w:color w:val="auto"/>
                <w:w w:val="94"/>
              </w:rPr>
              <w:t>(1,609)</w:t>
            </w: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jc w:val="center"/>
              <w:ind w:left="509"/>
              <w:spacing w:after="0"/>
              <w:rPr>
                <w:sz w:val="20"/>
                <w:szCs w:val="20"/>
                <w:color w:val="auto"/>
              </w:rPr>
            </w:pPr>
            <w:r>
              <w:rPr>
                <w:rFonts w:ascii="Arial" w:cs="Arial" w:eastAsia="Arial" w:hAnsi="Arial"/>
                <w:sz w:val="14"/>
                <w:szCs w:val="14"/>
                <w:color w:val="auto"/>
                <w:w w:val="94"/>
              </w:rPr>
              <w:t>(2,972)</w:t>
            </w:r>
          </w:p>
        </w:tc>
        <w:tc>
          <w:tcPr>
            <w:tcW w:w="480" w:type="dxa"/>
            <w:vAlign w:val="bottom"/>
            <w:tcBorders>
              <w:bottom w:val="single" w:sz="8" w:color="auto"/>
            </w:tcBorders>
          </w:tcPr>
          <w:p>
            <w:pPr>
              <w:spacing w:after="0"/>
              <w:rPr>
                <w:sz w:val="24"/>
                <w:szCs w:val="24"/>
                <w:color w:val="auto"/>
              </w:rPr>
            </w:pPr>
          </w:p>
        </w:tc>
      </w:tr>
      <w:tr>
        <w:trPr>
          <w:trHeight w:val="344"/>
        </w:trPr>
        <w:tc>
          <w:tcPr>
            <w:tcW w:w="5900" w:type="dxa"/>
            <w:vAlign w:val="bottom"/>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3120" w:type="dxa"/>
            <w:vAlign w:val="bottom"/>
            <w:gridSpan w:val="4"/>
          </w:tcPr>
          <w:p>
            <w:pPr>
              <w:jc w:val="center"/>
              <w:ind w:left="2549"/>
              <w:spacing w:after="0"/>
              <w:rPr>
                <w:sz w:val="20"/>
                <w:szCs w:val="20"/>
                <w:color w:val="auto"/>
              </w:rPr>
            </w:pPr>
            <w:r>
              <w:rPr>
                <w:rFonts w:ascii="Arial" w:cs="Arial" w:eastAsia="Arial" w:hAnsi="Arial"/>
                <w:sz w:val="14"/>
                <w:szCs w:val="14"/>
                <w:color w:val="auto"/>
                <w:w w:val="90"/>
              </w:rPr>
              <w:t>100,337</w:t>
            </w:r>
          </w:p>
        </w:tc>
        <w:tc>
          <w:tcPr>
            <w:tcW w:w="580" w:type="dxa"/>
            <w:vAlign w:val="bottom"/>
          </w:tcPr>
          <w:p>
            <w:pPr>
              <w:spacing w:after="0"/>
              <w:rPr>
                <w:sz w:val="24"/>
                <w:szCs w:val="24"/>
                <w:color w:val="auto"/>
              </w:rPr>
            </w:pPr>
          </w:p>
        </w:tc>
        <w:tc>
          <w:tcPr>
            <w:tcW w:w="1020" w:type="dxa"/>
            <w:vAlign w:val="bottom"/>
            <w:gridSpan w:val="3"/>
          </w:tcPr>
          <w:p>
            <w:pPr>
              <w:jc w:val="center"/>
              <w:ind w:left="569"/>
              <w:spacing w:after="0"/>
              <w:rPr>
                <w:sz w:val="20"/>
                <w:szCs w:val="20"/>
                <w:color w:val="auto"/>
              </w:rPr>
            </w:pPr>
            <w:r>
              <w:rPr>
                <w:rFonts w:ascii="Arial" w:cs="Arial" w:eastAsia="Arial" w:hAnsi="Arial"/>
                <w:sz w:val="14"/>
                <w:szCs w:val="14"/>
                <w:color w:val="auto"/>
                <w:w w:val="88"/>
              </w:rPr>
              <w:t>88,748</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47"/>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Provision for income taxes</w:t>
            </w:r>
          </w:p>
        </w:tc>
        <w:tc>
          <w:tcPr>
            <w:tcW w:w="3120" w:type="dxa"/>
            <w:vAlign w:val="bottom"/>
            <w:tcBorders>
              <w:bottom w:val="single" w:sz="8" w:color="auto"/>
            </w:tcBorders>
            <w:gridSpan w:val="4"/>
          </w:tcPr>
          <w:p>
            <w:pPr>
              <w:jc w:val="center"/>
              <w:ind w:left="2549"/>
              <w:spacing w:after="0"/>
              <w:rPr>
                <w:sz w:val="20"/>
                <w:szCs w:val="20"/>
                <w:color w:val="auto"/>
              </w:rPr>
            </w:pPr>
            <w:r>
              <w:rPr>
                <w:rFonts w:ascii="Arial" w:cs="Arial" w:eastAsia="Arial" w:hAnsi="Arial"/>
                <w:sz w:val="14"/>
                <w:szCs w:val="14"/>
                <w:color w:val="auto"/>
                <w:w w:val="95"/>
              </w:rPr>
              <w:t>(12,040)</w:t>
            </w: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jc w:val="center"/>
              <w:ind w:left="509"/>
              <w:spacing w:after="0"/>
              <w:rPr>
                <w:sz w:val="20"/>
                <w:szCs w:val="20"/>
                <w:color w:val="auto"/>
              </w:rPr>
            </w:pPr>
            <w:r>
              <w:rPr>
                <w:rFonts w:ascii="Arial" w:cs="Arial" w:eastAsia="Arial" w:hAnsi="Arial"/>
                <w:sz w:val="14"/>
                <w:szCs w:val="14"/>
                <w:color w:val="auto"/>
                <w:w w:val="95"/>
              </w:rPr>
              <w:t>(10,650)</w:t>
            </w:r>
          </w:p>
        </w:tc>
        <w:tc>
          <w:tcPr>
            <w:tcW w:w="480" w:type="dxa"/>
            <w:vAlign w:val="bottom"/>
            <w:tcBorders>
              <w:bottom w:val="single" w:sz="8" w:color="auto"/>
            </w:tcBorders>
          </w:tcPr>
          <w:p>
            <w:pPr>
              <w:spacing w:after="0"/>
              <w:rPr>
                <w:sz w:val="24"/>
                <w:szCs w:val="24"/>
                <w:color w:val="auto"/>
              </w:rPr>
            </w:pPr>
          </w:p>
        </w:tc>
      </w:tr>
      <w:tr>
        <w:trPr>
          <w:trHeight w:val="342"/>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w:t>
            </w:r>
          </w:p>
        </w:tc>
        <w:tc>
          <w:tcPr>
            <w:tcW w:w="3080" w:type="dxa"/>
            <w:vAlign w:val="bottom"/>
            <w:tcBorders>
              <w:bottom w:val="single" w:sz="8" w:color="auto"/>
            </w:tcBorders>
            <w:gridSpan w:val="3"/>
          </w:tcPr>
          <w:p>
            <w:pPr>
              <w:jc w:val="center"/>
              <w:ind w:left="2589"/>
              <w:spacing w:after="0"/>
              <w:rPr>
                <w:sz w:val="20"/>
                <w:szCs w:val="20"/>
                <w:color w:val="auto"/>
              </w:rPr>
            </w:pPr>
            <w:r>
              <w:rPr>
                <w:rFonts w:ascii="Arial" w:cs="Arial" w:eastAsia="Arial" w:hAnsi="Arial"/>
                <w:sz w:val="14"/>
                <w:szCs w:val="14"/>
                <w:color w:val="auto"/>
                <w:w w:val="88"/>
              </w:rPr>
              <w:t>88,297</w:t>
            </w: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center"/>
              <w:ind w:left="569"/>
              <w:spacing w:after="0"/>
              <w:rPr>
                <w:sz w:val="20"/>
                <w:szCs w:val="20"/>
                <w:color w:val="auto"/>
              </w:rPr>
            </w:pPr>
            <w:r>
              <w:rPr>
                <w:rFonts w:ascii="Arial" w:cs="Arial" w:eastAsia="Arial" w:hAnsi="Arial"/>
                <w:sz w:val="14"/>
                <w:szCs w:val="14"/>
                <w:color w:val="auto"/>
                <w:w w:val="88"/>
              </w:rPr>
              <w:t>78,098</w:t>
            </w: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r>
        <w:trPr>
          <w:trHeight w:val="344"/>
        </w:trPr>
        <w:tc>
          <w:tcPr>
            <w:tcW w:w="5900" w:type="dxa"/>
            <w:vAlign w:val="bottom"/>
          </w:tcPr>
          <w:p>
            <w:pPr>
              <w:spacing w:after="0"/>
              <w:rPr>
                <w:sz w:val="20"/>
                <w:szCs w:val="20"/>
                <w:color w:val="auto"/>
              </w:rPr>
            </w:pPr>
            <w:r>
              <w:rPr>
                <w:rFonts w:ascii="Arial" w:cs="Arial" w:eastAsia="Arial" w:hAnsi="Arial"/>
                <w:sz w:val="14"/>
                <w:szCs w:val="14"/>
                <w:color w:val="auto"/>
              </w:rPr>
              <w:t>Net income per Ordinary Share:</w:t>
            </w:r>
          </w:p>
        </w:tc>
        <w:tc>
          <w:tcPr>
            <w:tcW w:w="2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47"/>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3080" w:type="dxa"/>
            <w:vAlign w:val="bottom"/>
            <w:tcBorders>
              <w:bottom w:val="single" w:sz="8" w:color="auto"/>
            </w:tcBorders>
            <w:gridSpan w:val="3"/>
          </w:tcPr>
          <w:p>
            <w:pPr>
              <w:jc w:val="center"/>
              <w:ind w:left="2609"/>
              <w:spacing w:after="0"/>
              <w:rPr>
                <w:sz w:val="20"/>
                <w:szCs w:val="20"/>
                <w:color w:val="auto"/>
              </w:rPr>
            </w:pPr>
            <w:r>
              <w:rPr>
                <w:rFonts w:ascii="Arial" w:cs="Arial" w:eastAsia="Arial" w:hAnsi="Arial"/>
                <w:sz w:val="14"/>
                <w:szCs w:val="14"/>
                <w:color w:val="auto"/>
                <w:w w:val="91"/>
              </w:rPr>
              <w:t>$1.64</w:t>
            </w: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center"/>
              <w:ind w:left="569"/>
              <w:spacing w:after="0"/>
              <w:rPr>
                <w:sz w:val="20"/>
                <w:szCs w:val="20"/>
                <w:color w:val="auto"/>
              </w:rPr>
            </w:pPr>
            <w:r>
              <w:rPr>
                <w:rFonts w:ascii="Arial" w:cs="Arial" w:eastAsia="Arial" w:hAnsi="Arial"/>
                <w:sz w:val="14"/>
                <w:szCs w:val="14"/>
                <w:color w:val="auto"/>
                <w:w w:val="96"/>
              </w:rPr>
              <w:t>$1.45</w:t>
            </w: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r>
        <w:trPr>
          <w:trHeight w:val="342"/>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3080" w:type="dxa"/>
            <w:vAlign w:val="bottom"/>
            <w:tcBorders>
              <w:bottom w:val="single" w:sz="8" w:color="auto"/>
            </w:tcBorders>
            <w:gridSpan w:val="3"/>
          </w:tcPr>
          <w:p>
            <w:pPr>
              <w:jc w:val="center"/>
              <w:ind w:left="2609"/>
              <w:spacing w:after="0"/>
              <w:rPr>
                <w:sz w:val="20"/>
                <w:szCs w:val="20"/>
                <w:color w:val="auto"/>
              </w:rPr>
            </w:pPr>
            <w:r>
              <w:rPr>
                <w:rFonts w:ascii="Arial" w:cs="Arial" w:eastAsia="Arial" w:hAnsi="Arial"/>
                <w:sz w:val="14"/>
                <w:szCs w:val="14"/>
                <w:color w:val="auto"/>
                <w:w w:val="91"/>
              </w:rPr>
              <w:t>$1.63</w:t>
            </w: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center"/>
              <w:ind w:left="569"/>
              <w:spacing w:after="0"/>
              <w:rPr>
                <w:sz w:val="20"/>
                <w:szCs w:val="20"/>
                <w:color w:val="auto"/>
              </w:rPr>
            </w:pPr>
            <w:r>
              <w:rPr>
                <w:rFonts w:ascii="Arial" w:cs="Arial" w:eastAsia="Arial" w:hAnsi="Arial"/>
                <w:sz w:val="14"/>
                <w:szCs w:val="14"/>
                <w:color w:val="auto"/>
                <w:w w:val="96"/>
              </w:rPr>
              <w:t>$1.42</w:t>
            </w: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r>
        <w:trPr>
          <w:trHeight w:val="344"/>
        </w:trPr>
        <w:tc>
          <w:tcPr>
            <w:tcW w:w="5900" w:type="dxa"/>
            <w:vAlign w:val="bottom"/>
          </w:tcPr>
          <w:p>
            <w:pPr>
              <w:spacing w:after="0"/>
              <w:rPr>
                <w:sz w:val="20"/>
                <w:szCs w:val="20"/>
                <w:color w:val="auto"/>
              </w:rPr>
            </w:pPr>
            <w:r>
              <w:rPr>
                <w:rFonts w:ascii="Arial" w:cs="Arial" w:eastAsia="Arial" w:hAnsi="Arial"/>
                <w:sz w:val="14"/>
                <w:szCs w:val="14"/>
                <w:color w:val="auto"/>
              </w:rPr>
              <w:t>Weighted average number of Ordinary Shares outstanding:</w:t>
            </w:r>
          </w:p>
        </w:tc>
        <w:tc>
          <w:tcPr>
            <w:tcW w:w="2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47"/>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3700" w:type="dxa"/>
            <w:vAlign w:val="bottom"/>
            <w:tcBorders>
              <w:bottom w:val="single" w:sz="8" w:color="auto"/>
            </w:tcBorders>
            <w:gridSpan w:val="5"/>
          </w:tcPr>
          <w:p>
            <w:pPr>
              <w:jc w:val="center"/>
              <w:ind w:left="1989"/>
              <w:spacing w:after="0"/>
              <w:rPr>
                <w:sz w:val="20"/>
                <w:szCs w:val="20"/>
                <w:color w:val="auto"/>
              </w:rPr>
            </w:pPr>
            <w:r>
              <w:rPr>
                <w:rFonts w:ascii="Arial" w:cs="Arial" w:eastAsia="Arial" w:hAnsi="Arial"/>
                <w:sz w:val="14"/>
                <w:szCs w:val="14"/>
                <w:color w:val="auto"/>
                <w:w w:val="91"/>
              </w:rPr>
              <w:t>53,845,407</w:t>
            </w:r>
          </w:p>
        </w:tc>
        <w:tc>
          <w:tcPr>
            <w:tcW w:w="1560" w:type="dxa"/>
            <w:vAlign w:val="bottom"/>
            <w:tcBorders>
              <w:bottom w:val="single" w:sz="8" w:color="auto"/>
            </w:tcBorders>
            <w:gridSpan w:val="5"/>
          </w:tcPr>
          <w:p>
            <w:pPr>
              <w:jc w:val="center"/>
              <w:ind w:left="29"/>
              <w:spacing w:after="0"/>
              <w:rPr>
                <w:sz w:val="20"/>
                <w:szCs w:val="20"/>
                <w:color w:val="auto"/>
              </w:rPr>
            </w:pPr>
            <w:r>
              <w:rPr>
                <w:rFonts w:ascii="Arial" w:cs="Arial" w:eastAsia="Arial" w:hAnsi="Arial"/>
                <w:sz w:val="14"/>
                <w:szCs w:val="14"/>
                <w:color w:val="auto"/>
                <w:w w:val="94"/>
              </w:rPr>
              <w:t>53,925,560</w:t>
            </w:r>
          </w:p>
        </w:tc>
      </w:tr>
      <w:tr>
        <w:trPr>
          <w:trHeight w:val="342"/>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3700" w:type="dxa"/>
            <w:vAlign w:val="bottom"/>
            <w:tcBorders>
              <w:bottom w:val="single" w:sz="8" w:color="auto"/>
            </w:tcBorders>
            <w:gridSpan w:val="5"/>
          </w:tcPr>
          <w:p>
            <w:pPr>
              <w:jc w:val="center"/>
              <w:ind w:left="1989"/>
              <w:spacing w:after="0"/>
              <w:rPr>
                <w:sz w:val="20"/>
                <w:szCs w:val="20"/>
                <w:color w:val="auto"/>
              </w:rPr>
            </w:pPr>
            <w:r>
              <w:rPr>
                <w:rFonts w:ascii="Arial" w:cs="Arial" w:eastAsia="Arial" w:hAnsi="Arial"/>
                <w:sz w:val="14"/>
                <w:szCs w:val="14"/>
                <w:color w:val="auto"/>
                <w:w w:val="91"/>
              </w:rPr>
              <w:t>54,142,510</w:t>
            </w:r>
          </w:p>
        </w:tc>
        <w:tc>
          <w:tcPr>
            <w:tcW w:w="1560" w:type="dxa"/>
            <w:vAlign w:val="bottom"/>
            <w:tcBorders>
              <w:bottom w:val="single" w:sz="8" w:color="auto"/>
            </w:tcBorders>
            <w:gridSpan w:val="5"/>
          </w:tcPr>
          <w:p>
            <w:pPr>
              <w:jc w:val="center"/>
              <w:ind w:left="29"/>
              <w:spacing w:after="0"/>
              <w:rPr>
                <w:sz w:val="20"/>
                <w:szCs w:val="20"/>
                <w:color w:val="auto"/>
              </w:rPr>
            </w:pPr>
            <w:r>
              <w:rPr>
                <w:rFonts w:ascii="Arial" w:cs="Arial" w:eastAsia="Arial" w:hAnsi="Arial"/>
                <w:sz w:val="14"/>
                <w:szCs w:val="14"/>
                <w:color w:val="auto"/>
                <w:w w:val="94"/>
              </w:rPr>
              <w:t>54,985,790</w:t>
            </w:r>
          </w:p>
        </w:tc>
      </w:tr>
      <w:tr>
        <w:trPr>
          <w:trHeight w:val="128"/>
        </w:trPr>
        <w:tc>
          <w:tcPr>
            <w:tcW w:w="5900" w:type="dxa"/>
            <w:vAlign w:val="bottom"/>
            <w:tcBorders>
              <w:bottom w:val="single" w:sz="8" w:color="9A9A9A"/>
            </w:tcBorders>
          </w:tcPr>
          <w:p>
            <w:pPr>
              <w:spacing w:after="0"/>
              <w:rPr>
                <w:sz w:val="11"/>
                <w:szCs w:val="11"/>
                <w:color w:val="auto"/>
              </w:rPr>
            </w:pPr>
          </w:p>
        </w:tc>
        <w:tc>
          <w:tcPr>
            <w:tcW w:w="26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r>
      <w:tr>
        <w:trPr>
          <w:trHeight w:val="20"/>
        </w:trPr>
        <w:tc>
          <w:tcPr>
            <w:tcW w:w="5900" w:type="dxa"/>
            <w:vAlign w:val="bottom"/>
            <w:tcBorders>
              <w:bottom w:val="single" w:sz="8" w:color="EEEEEE"/>
            </w:tcBorders>
          </w:tcPr>
          <w:p>
            <w:pPr>
              <w:spacing w:after="0" w:line="20" w:lineRule="exact"/>
              <w:rPr>
                <w:sz w:val="1"/>
                <w:szCs w:val="1"/>
                <w:color w:val="auto"/>
              </w:rPr>
            </w:pPr>
          </w:p>
        </w:tc>
        <w:tc>
          <w:tcPr>
            <w:tcW w:w="26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20955"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55" cy="59690"/>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6" w:name="page7"/>
    <w:bookmarkEnd w:id="6"/>
    <w:p>
      <w:pPr>
        <w:jc w:val="center"/>
        <w:ind w:right="-899"/>
        <w:spacing w:after="0" w:line="230" w:lineRule="auto"/>
        <w:rPr>
          <w:sz w:val="20"/>
          <w:szCs w:val="20"/>
          <w:color w:val="auto"/>
        </w:rPr>
      </w:pPr>
      <w:r>
        <w:rPr>
          <w:rFonts w:ascii="Arial" w:cs="Arial" w:eastAsia="Arial" w:hAnsi="Arial"/>
          <w:sz w:val="14"/>
          <w:szCs w:val="14"/>
          <w:b w:val="1"/>
          <w:bCs w:val="1"/>
          <w:color w:val="auto"/>
        </w:rPr>
        <w:t>ICON plc</w:t>
      </w:r>
    </w:p>
    <w:p>
      <w:pPr>
        <w:jc w:val="center"/>
        <w:ind w:right="-899"/>
        <w:spacing w:after="0" w:line="219" w:lineRule="auto"/>
        <w:rPr>
          <w:sz w:val="20"/>
          <w:szCs w:val="20"/>
          <w:color w:val="auto"/>
        </w:rPr>
      </w:pPr>
      <w:r>
        <w:rPr>
          <w:rFonts w:ascii="Arial" w:cs="Arial" w:eastAsia="Arial" w:hAnsi="Arial"/>
          <w:sz w:val="14"/>
          <w:szCs w:val="14"/>
          <w:b w:val="1"/>
          <w:bCs w:val="1"/>
          <w:color w:val="auto"/>
        </w:rPr>
        <w:t>Summary Balance Sheet Data</w:t>
      </w:r>
    </w:p>
    <w:p>
      <w:pPr>
        <w:jc w:val="center"/>
        <w:ind w:right="-899"/>
        <w:spacing w:after="0" w:line="220" w:lineRule="auto"/>
        <w:rPr>
          <w:sz w:val="20"/>
          <w:szCs w:val="20"/>
          <w:color w:val="auto"/>
        </w:rPr>
      </w:pPr>
      <w:r>
        <w:rPr>
          <w:rFonts w:ascii="Arial" w:cs="Arial" w:eastAsia="Arial" w:hAnsi="Arial"/>
          <w:sz w:val="14"/>
          <w:szCs w:val="14"/>
          <w:b w:val="1"/>
          <w:bCs w:val="1"/>
          <w:color w:val="auto"/>
        </w:rPr>
        <w:t>March 31, 2019 and December 31, 2018</w:t>
      </w:r>
    </w:p>
    <w:p>
      <w:pPr>
        <w:spacing w:after="0" w:line="1" w:lineRule="exact"/>
        <w:rPr>
          <w:sz w:val="20"/>
          <w:szCs w:val="20"/>
          <w:color w:val="auto"/>
        </w:rPr>
      </w:pPr>
    </w:p>
    <w:p>
      <w:pPr>
        <w:jc w:val="center"/>
        <w:ind w:right="-899"/>
        <w:spacing w:after="0"/>
        <w:rPr>
          <w:sz w:val="20"/>
          <w:szCs w:val="20"/>
          <w:color w:val="auto"/>
        </w:rPr>
      </w:pPr>
      <w:r>
        <w:rPr>
          <w:rFonts w:ascii="Arial" w:cs="Arial" w:eastAsia="Arial" w:hAnsi="Arial"/>
          <w:sz w:val="14"/>
          <w:szCs w:val="14"/>
          <w:b w:val="1"/>
          <w:bCs w:val="1"/>
          <w:color w:val="auto"/>
        </w:rPr>
        <w:t>(Dollars,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40" w:type="dxa"/>
            <w:vAlign w:val="bottom"/>
          </w:tcPr>
          <w:p>
            <w:pPr>
              <w:spacing w:after="0"/>
              <w:rPr>
                <w:sz w:val="15"/>
                <w:szCs w:val="15"/>
                <w:color w:val="auto"/>
              </w:rPr>
            </w:pPr>
          </w:p>
        </w:tc>
        <w:tc>
          <w:tcPr>
            <w:tcW w:w="4140" w:type="dxa"/>
            <w:vAlign w:val="bottom"/>
          </w:tcPr>
          <w:p>
            <w:pPr>
              <w:jc w:val="center"/>
              <w:ind w:left="1449"/>
              <w:spacing w:after="0"/>
              <w:rPr>
                <w:sz w:val="20"/>
                <w:szCs w:val="20"/>
                <w:color w:val="auto"/>
              </w:rPr>
            </w:pPr>
            <w:r>
              <w:rPr>
                <w:rFonts w:ascii="Arial" w:cs="Arial" w:eastAsia="Arial" w:hAnsi="Arial"/>
                <w:sz w:val="14"/>
                <w:szCs w:val="14"/>
                <w:b w:val="1"/>
                <w:bCs w:val="1"/>
                <w:color w:val="auto"/>
                <w:w w:val="95"/>
              </w:rPr>
              <w:t>March 31,</w:t>
            </w:r>
          </w:p>
        </w:tc>
        <w:tc>
          <w:tcPr>
            <w:tcW w:w="1800" w:type="dxa"/>
            <w:vAlign w:val="bottom"/>
          </w:tcPr>
          <w:p>
            <w:pPr>
              <w:jc w:val="center"/>
              <w:ind w:left="889"/>
              <w:spacing w:after="0"/>
              <w:rPr>
                <w:sz w:val="20"/>
                <w:szCs w:val="20"/>
                <w:color w:val="auto"/>
              </w:rPr>
            </w:pPr>
            <w:r>
              <w:rPr>
                <w:rFonts w:ascii="Arial" w:cs="Arial" w:eastAsia="Arial" w:hAnsi="Arial"/>
                <w:sz w:val="14"/>
                <w:szCs w:val="14"/>
                <w:b w:val="1"/>
                <w:bCs w:val="1"/>
                <w:color w:val="auto"/>
                <w:w w:val="92"/>
              </w:rPr>
              <w:t>December 31,</w:t>
            </w:r>
          </w:p>
        </w:tc>
      </w:tr>
      <w:tr>
        <w:trPr>
          <w:trHeight w:val="174"/>
        </w:trPr>
        <w:tc>
          <w:tcPr>
            <w:tcW w:w="4340" w:type="dxa"/>
            <w:vAlign w:val="bottom"/>
          </w:tcPr>
          <w:p>
            <w:pPr>
              <w:spacing w:after="0"/>
              <w:rPr>
                <w:sz w:val="15"/>
                <w:szCs w:val="15"/>
                <w:color w:val="auto"/>
              </w:rPr>
            </w:pPr>
          </w:p>
        </w:tc>
        <w:tc>
          <w:tcPr>
            <w:tcW w:w="4140" w:type="dxa"/>
            <w:vAlign w:val="bottom"/>
          </w:tcPr>
          <w:p>
            <w:pPr>
              <w:jc w:val="center"/>
              <w:ind w:left="1449"/>
              <w:spacing w:after="0"/>
              <w:rPr>
                <w:sz w:val="20"/>
                <w:szCs w:val="20"/>
                <w:color w:val="auto"/>
              </w:rPr>
            </w:pPr>
            <w:r>
              <w:rPr>
                <w:rFonts w:ascii="Arial" w:cs="Arial" w:eastAsia="Arial" w:hAnsi="Arial"/>
                <w:sz w:val="14"/>
                <w:szCs w:val="14"/>
                <w:b w:val="1"/>
                <w:bCs w:val="1"/>
                <w:color w:val="auto"/>
                <w:w w:val="96"/>
              </w:rPr>
              <w:t>2019</w:t>
            </w:r>
          </w:p>
        </w:tc>
        <w:tc>
          <w:tcPr>
            <w:tcW w:w="1800" w:type="dxa"/>
            <w:vAlign w:val="bottom"/>
          </w:tcPr>
          <w:p>
            <w:pPr>
              <w:jc w:val="center"/>
              <w:ind w:left="889"/>
              <w:spacing w:after="0"/>
              <w:rPr>
                <w:sz w:val="20"/>
                <w:szCs w:val="20"/>
                <w:color w:val="auto"/>
              </w:rPr>
            </w:pPr>
            <w:r>
              <w:rPr>
                <w:rFonts w:ascii="Arial" w:cs="Arial" w:eastAsia="Arial" w:hAnsi="Arial"/>
                <w:sz w:val="14"/>
                <w:szCs w:val="14"/>
                <w:b w:val="1"/>
                <w:bCs w:val="1"/>
                <w:color w:val="auto"/>
                <w:w w:val="89"/>
              </w:rPr>
              <w:t>2018</w:t>
            </w:r>
          </w:p>
        </w:tc>
      </w:tr>
      <w:tr>
        <w:trPr>
          <w:trHeight w:val="185"/>
        </w:trPr>
        <w:tc>
          <w:tcPr>
            <w:tcW w:w="4340" w:type="dxa"/>
            <w:vAlign w:val="bottom"/>
          </w:tcPr>
          <w:p>
            <w:pPr>
              <w:spacing w:after="0"/>
              <w:rPr>
                <w:sz w:val="16"/>
                <w:szCs w:val="16"/>
                <w:color w:val="auto"/>
              </w:rPr>
            </w:pPr>
          </w:p>
        </w:tc>
        <w:tc>
          <w:tcPr>
            <w:tcW w:w="4140" w:type="dxa"/>
            <w:vAlign w:val="bottom"/>
          </w:tcPr>
          <w:p>
            <w:pPr>
              <w:jc w:val="center"/>
              <w:ind w:left="1449"/>
              <w:spacing w:after="0"/>
              <w:rPr>
                <w:sz w:val="20"/>
                <w:szCs w:val="20"/>
                <w:color w:val="auto"/>
              </w:rPr>
            </w:pPr>
            <w:r>
              <w:rPr>
                <w:rFonts w:ascii="Arial" w:cs="Arial" w:eastAsia="Arial" w:hAnsi="Arial"/>
                <w:sz w:val="14"/>
                <w:szCs w:val="14"/>
                <w:b w:val="1"/>
                <w:bCs w:val="1"/>
                <w:color w:val="auto"/>
                <w:w w:val="95"/>
              </w:rPr>
              <w:t>(Unaudited)</w:t>
            </w:r>
          </w:p>
        </w:tc>
        <w:tc>
          <w:tcPr>
            <w:tcW w:w="1800" w:type="dxa"/>
            <w:vAlign w:val="bottom"/>
          </w:tcPr>
          <w:p>
            <w:pPr>
              <w:jc w:val="center"/>
              <w:ind w:left="889"/>
              <w:spacing w:after="0"/>
              <w:rPr>
                <w:sz w:val="20"/>
                <w:szCs w:val="20"/>
                <w:color w:val="auto"/>
              </w:rPr>
            </w:pPr>
            <w:r>
              <w:rPr>
                <w:rFonts w:ascii="Arial" w:cs="Arial" w:eastAsia="Arial" w:hAnsi="Arial"/>
                <w:sz w:val="14"/>
                <w:szCs w:val="14"/>
                <w:b w:val="1"/>
                <w:bCs w:val="1"/>
                <w:color w:val="auto"/>
                <w:w w:val="97"/>
              </w:rPr>
              <w:t>(Audited)</w:t>
            </w:r>
          </w:p>
        </w:tc>
      </w:tr>
      <w:tr>
        <w:trPr>
          <w:trHeight w:val="516"/>
        </w:trPr>
        <w:tc>
          <w:tcPr>
            <w:tcW w:w="4340" w:type="dxa"/>
            <w:vAlign w:val="bottom"/>
          </w:tcPr>
          <w:p>
            <w:pPr>
              <w:spacing w:after="0"/>
              <w:rPr>
                <w:sz w:val="20"/>
                <w:szCs w:val="20"/>
                <w:color w:val="auto"/>
              </w:rPr>
            </w:pPr>
            <w:r>
              <w:rPr>
                <w:rFonts w:ascii="Arial" w:cs="Arial" w:eastAsia="Arial" w:hAnsi="Arial"/>
                <w:sz w:val="14"/>
                <w:szCs w:val="14"/>
                <w:color w:val="auto"/>
              </w:rPr>
              <w:t>Cash and short-term investments</w:t>
            </w:r>
          </w:p>
        </w:tc>
        <w:tc>
          <w:tcPr>
            <w:tcW w:w="4140" w:type="dxa"/>
            <w:vAlign w:val="bottom"/>
          </w:tcPr>
          <w:p>
            <w:pPr>
              <w:jc w:val="center"/>
              <w:ind w:left="1449"/>
              <w:spacing w:after="0"/>
              <w:rPr>
                <w:sz w:val="20"/>
                <w:szCs w:val="20"/>
                <w:color w:val="auto"/>
              </w:rPr>
            </w:pPr>
            <w:r>
              <w:rPr>
                <w:rFonts w:ascii="Arial" w:cs="Arial" w:eastAsia="Arial" w:hAnsi="Arial"/>
                <w:sz w:val="14"/>
                <w:szCs w:val="14"/>
                <w:color w:val="auto"/>
                <w:w w:val="90"/>
              </w:rPr>
              <w:t>477,937</w:t>
            </w:r>
          </w:p>
        </w:tc>
        <w:tc>
          <w:tcPr>
            <w:tcW w:w="1800" w:type="dxa"/>
            <w:vAlign w:val="bottom"/>
          </w:tcPr>
          <w:p>
            <w:pPr>
              <w:jc w:val="center"/>
              <w:ind w:left="909"/>
              <w:spacing w:after="0"/>
              <w:rPr>
                <w:sz w:val="20"/>
                <w:szCs w:val="20"/>
                <w:color w:val="auto"/>
              </w:rPr>
            </w:pPr>
            <w:r>
              <w:rPr>
                <w:rFonts w:ascii="Arial" w:cs="Arial" w:eastAsia="Arial" w:hAnsi="Arial"/>
                <w:sz w:val="14"/>
                <w:szCs w:val="14"/>
                <w:color w:val="auto"/>
                <w:w w:val="90"/>
              </w:rPr>
              <w:t>455,761</w:t>
            </w:r>
          </w:p>
        </w:tc>
      </w:tr>
      <w:tr>
        <w:trPr>
          <w:trHeight w:val="174"/>
        </w:trPr>
        <w:tc>
          <w:tcPr>
            <w:tcW w:w="4340" w:type="dxa"/>
            <w:vAlign w:val="bottom"/>
          </w:tcPr>
          <w:p>
            <w:pPr>
              <w:spacing w:after="0"/>
              <w:rPr>
                <w:sz w:val="20"/>
                <w:szCs w:val="20"/>
                <w:color w:val="auto"/>
              </w:rPr>
            </w:pPr>
            <w:r>
              <w:rPr>
                <w:rFonts w:ascii="Arial" w:cs="Arial" w:eastAsia="Arial" w:hAnsi="Arial"/>
                <w:sz w:val="14"/>
                <w:szCs w:val="14"/>
                <w:color w:val="auto"/>
              </w:rPr>
              <w:t>Debt</w:t>
            </w:r>
          </w:p>
        </w:tc>
        <w:tc>
          <w:tcPr>
            <w:tcW w:w="4140" w:type="dxa"/>
            <w:vAlign w:val="bottom"/>
          </w:tcPr>
          <w:p>
            <w:pPr>
              <w:jc w:val="center"/>
              <w:ind w:left="1469"/>
              <w:spacing w:after="0"/>
              <w:rPr>
                <w:sz w:val="20"/>
                <w:szCs w:val="20"/>
                <w:color w:val="auto"/>
              </w:rPr>
            </w:pPr>
            <w:r>
              <w:rPr>
                <w:rFonts w:ascii="Arial" w:cs="Arial" w:eastAsia="Arial" w:hAnsi="Arial"/>
                <w:sz w:val="14"/>
                <w:szCs w:val="14"/>
                <w:color w:val="auto"/>
                <w:w w:val="93"/>
              </w:rPr>
              <w:t>(349,357)</w:t>
            </w:r>
          </w:p>
        </w:tc>
        <w:tc>
          <w:tcPr>
            <w:tcW w:w="1800" w:type="dxa"/>
            <w:vAlign w:val="bottom"/>
          </w:tcPr>
          <w:p>
            <w:pPr>
              <w:jc w:val="center"/>
              <w:ind w:left="889"/>
              <w:spacing w:after="0"/>
              <w:rPr>
                <w:sz w:val="20"/>
                <w:szCs w:val="20"/>
                <w:color w:val="auto"/>
              </w:rPr>
            </w:pPr>
            <w:r>
              <w:rPr>
                <w:rFonts w:ascii="Arial" w:cs="Arial" w:eastAsia="Arial" w:hAnsi="Arial"/>
                <w:sz w:val="14"/>
                <w:szCs w:val="14"/>
                <w:color w:val="auto"/>
                <w:w w:val="93"/>
              </w:rPr>
              <w:t>(349,264)</w:t>
            </w:r>
          </w:p>
        </w:tc>
      </w:tr>
      <w:tr>
        <w:trPr>
          <w:trHeight w:val="181"/>
        </w:trPr>
        <w:tc>
          <w:tcPr>
            <w:tcW w:w="4340" w:type="dxa"/>
            <w:vAlign w:val="bottom"/>
          </w:tcPr>
          <w:p>
            <w:pPr>
              <w:spacing w:after="0"/>
              <w:rPr>
                <w:sz w:val="20"/>
                <w:szCs w:val="20"/>
                <w:color w:val="auto"/>
              </w:rPr>
            </w:pPr>
            <w:r>
              <w:rPr>
                <w:rFonts w:ascii="Arial" w:cs="Arial" w:eastAsia="Arial" w:hAnsi="Arial"/>
                <w:sz w:val="14"/>
                <w:szCs w:val="14"/>
                <w:color w:val="auto"/>
              </w:rPr>
              <w:t>Net cash/(debt)</w:t>
            </w:r>
          </w:p>
        </w:tc>
        <w:tc>
          <w:tcPr>
            <w:tcW w:w="4140" w:type="dxa"/>
            <w:vAlign w:val="bottom"/>
          </w:tcPr>
          <w:p>
            <w:pPr>
              <w:jc w:val="center"/>
              <w:ind w:left="1449"/>
              <w:spacing w:after="0"/>
              <w:rPr>
                <w:sz w:val="20"/>
                <w:szCs w:val="20"/>
                <w:color w:val="auto"/>
              </w:rPr>
            </w:pPr>
            <w:r>
              <w:rPr>
                <w:rFonts w:ascii="Arial" w:cs="Arial" w:eastAsia="Arial" w:hAnsi="Arial"/>
                <w:sz w:val="14"/>
                <w:szCs w:val="14"/>
                <w:color w:val="auto"/>
                <w:w w:val="90"/>
              </w:rPr>
              <w:t>128,580</w:t>
            </w:r>
          </w:p>
        </w:tc>
        <w:tc>
          <w:tcPr>
            <w:tcW w:w="1800" w:type="dxa"/>
            <w:vAlign w:val="bottom"/>
          </w:tcPr>
          <w:p>
            <w:pPr>
              <w:jc w:val="center"/>
              <w:ind w:left="909"/>
              <w:spacing w:after="0"/>
              <w:rPr>
                <w:sz w:val="20"/>
                <w:szCs w:val="20"/>
                <w:color w:val="auto"/>
              </w:rPr>
            </w:pPr>
            <w:r>
              <w:rPr>
                <w:rFonts w:ascii="Arial" w:cs="Arial" w:eastAsia="Arial" w:hAnsi="Arial"/>
                <w:sz w:val="14"/>
                <w:szCs w:val="14"/>
                <w:color w:val="auto"/>
                <w:w w:val="90"/>
              </w:rPr>
              <w:t>106,497</w:t>
            </w:r>
          </w:p>
        </w:tc>
      </w:tr>
      <w:tr>
        <w:trPr>
          <w:trHeight w:val="349"/>
        </w:trPr>
        <w:tc>
          <w:tcPr>
            <w:tcW w:w="4340" w:type="dxa"/>
            <w:vAlign w:val="bottom"/>
          </w:tcPr>
          <w:p>
            <w:pPr>
              <w:spacing w:after="0"/>
              <w:rPr>
                <w:sz w:val="20"/>
                <w:szCs w:val="20"/>
                <w:color w:val="auto"/>
              </w:rPr>
            </w:pPr>
            <w:r>
              <w:rPr>
                <w:rFonts w:ascii="Arial" w:cs="Arial" w:eastAsia="Arial" w:hAnsi="Arial"/>
                <w:sz w:val="14"/>
                <w:szCs w:val="14"/>
                <w:color w:val="auto"/>
              </w:rPr>
              <w:t>Net Accounts Receivable</w:t>
            </w:r>
          </w:p>
        </w:tc>
        <w:tc>
          <w:tcPr>
            <w:tcW w:w="4140" w:type="dxa"/>
            <w:vAlign w:val="bottom"/>
          </w:tcPr>
          <w:p>
            <w:pPr>
              <w:jc w:val="center"/>
              <w:ind w:left="1449"/>
              <w:spacing w:after="0"/>
              <w:rPr>
                <w:sz w:val="20"/>
                <w:szCs w:val="20"/>
                <w:color w:val="auto"/>
              </w:rPr>
            </w:pPr>
            <w:r>
              <w:rPr>
                <w:rFonts w:ascii="Arial" w:cs="Arial" w:eastAsia="Arial" w:hAnsi="Arial"/>
                <w:sz w:val="14"/>
                <w:szCs w:val="14"/>
                <w:color w:val="auto"/>
                <w:w w:val="90"/>
              </w:rPr>
              <w:t>537,626</w:t>
            </w:r>
          </w:p>
        </w:tc>
        <w:tc>
          <w:tcPr>
            <w:tcW w:w="1800" w:type="dxa"/>
            <w:vAlign w:val="bottom"/>
          </w:tcPr>
          <w:p>
            <w:pPr>
              <w:jc w:val="center"/>
              <w:ind w:left="909"/>
              <w:spacing w:after="0"/>
              <w:rPr>
                <w:sz w:val="20"/>
                <w:szCs w:val="20"/>
                <w:color w:val="auto"/>
              </w:rPr>
            </w:pPr>
            <w:r>
              <w:rPr>
                <w:rFonts w:ascii="Arial" w:cs="Arial" w:eastAsia="Arial" w:hAnsi="Arial"/>
                <w:sz w:val="14"/>
                <w:szCs w:val="14"/>
                <w:color w:val="auto"/>
                <w:w w:val="90"/>
              </w:rPr>
              <w:t>503,249</w:t>
            </w:r>
          </w:p>
        </w:tc>
      </w:tr>
      <w:tr>
        <w:trPr>
          <w:trHeight w:val="349"/>
        </w:trPr>
        <w:tc>
          <w:tcPr>
            <w:tcW w:w="4340" w:type="dxa"/>
            <w:vAlign w:val="bottom"/>
          </w:tcPr>
          <w:p>
            <w:pPr>
              <w:spacing w:after="0"/>
              <w:rPr>
                <w:sz w:val="20"/>
                <w:szCs w:val="20"/>
                <w:color w:val="auto"/>
              </w:rPr>
            </w:pPr>
            <w:r>
              <w:rPr>
                <w:rFonts w:ascii="Arial" w:cs="Arial" w:eastAsia="Arial" w:hAnsi="Arial"/>
                <w:sz w:val="14"/>
                <w:szCs w:val="14"/>
                <w:color w:val="auto"/>
              </w:rPr>
              <w:t>Working Capital</w:t>
            </w:r>
          </w:p>
        </w:tc>
        <w:tc>
          <w:tcPr>
            <w:tcW w:w="4140" w:type="dxa"/>
            <w:vAlign w:val="bottom"/>
          </w:tcPr>
          <w:p>
            <w:pPr>
              <w:jc w:val="center"/>
              <w:ind w:left="1449"/>
              <w:spacing w:after="0"/>
              <w:rPr>
                <w:sz w:val="20"/>
                <w:szCs w:val="20"/>
                <w:color w:val="auto"/>
              </w:rPr>
            </w:pPr>
            <w:r>
              <w:rPr>
                <w:rFonts w:ascii="Arial" w:cs="Arial" w:eastAsia="Arial" w:hAnsi="Arial"/>
                <w:sz w:val="14"/>
                <w:szCs w:val="14"/>
                <w:color w:val="auto"/>
                <w:w w:val="90"/>
              </w:rPr>
              <w:t>728,251</w:t>
            </w:r>
          </w:p>
        </w:tc>
        <w:tc>
          <w:tcPr>
            <w:tcW w:w="1800" w:type="dxa"/>
            <w:vAlign w:val="bottom"/>
          </w:tcPr>
          <w:p>
            <w:pPr>
              <w:jc w:val="center"/>
              <w:ind w:left="909"/>
              <w:spacing w:after="0"/>
              <w:rPr>
                <w:sz w:val="20"/>
                <w:szCs w:val="20"/>
                <w:color w:val="auto"/>
              </w:rPr>
            </w:pPr>
            <w:r>
              <w:rPr>
                <w:rFonts w:ascii="Arial" w:cs="Arial" w:eastAsia="Arial" w:hAnsi="Arial"/>
                <w:sz w:val="14"/>
                <w:szCs w:val="14"/>
                <w:color w:val="auto"/>
                <w:w w:val="90"/>
              </w:rPr>
              <w:t>719,560</w:t>
            </w:r>
          </w:p>
        </w:tc>
      </w:tr>
      <w:tr>
        <w:trPr>
          <w:trHeight w:val="349"/>
        </w:trPr>
        <w:tc>
          <w:tcPr>
            <w:tcW w:w="4340" w:type="dxa"/>
            <w:vAlign w:val="bottom"/>
          </w:tcPr>
          <w:p>
            <w:pPr>
              <w:spacing w:after="0"/>
              <w:rPr>
                <w:sz w:val="20"/>
                <w:szCs w:val="20"/>
                <w:color w:val="auto"/>
              </w:rPr>
            </w:pPr>
            <w:r>
              <w:rPr>
                <w:rFonts w:ascii="Arial" w:cs="Arial" w:eastAsia="Arial" w:hAnsi="Arial"/>
                <w:sz w:val="14"/>
                <w:szCs w:val="14"/>
                <w:color w:val="auto"/>
              </w:rPr>
              <w:t>Total Assets</w:t>
            </w:r>
          </w:p>
        </w:tc>
        <w:tc>
          <w:tcPr>
            <w:tcW w:w="4140" w:type="dxa"/>
            <w:vAlign w:val="bottom"/>
          </w:tcPr>
          <w:p>
            <w:pPr>
              <w:jc w:val="center"/>
              <w:ind w:left="1449"/>
              <w:spacing w:after="0"/>
              <w:rPr>
                <w:sz w:val="20"/>
                <w:szCs w:val="20"/>
                <w:color w:val="auto"/>
              </w:rPr>
            </w:pPr>
            <w:r>
              <w:rPr>
                <w:rFonts w:ascii="Arial" w:cs="Arial" w:eastAsia="Arial" w:hAnsi="Arial"/>
                <w:sz w:val="14"/>
                <w:szCs w:val="14"/>
                <w:color w:val="auto"/>
                <w:w w:val="93"/>
              </w:rPr>
              <w:t>2,607,258</w:t>
            </w:r>
          </w:p>
        </w:tc>
        <w:tc>
          <w:tcPr>
            <w:tcW w:w="1800" w:type="dxa"/>
            <w:vAlign w:val="bottom"/>
          </w:tcPr>
          <w:p>
            <w:pPr>
              <w:jc w:val="center"/>
              <w:ind w:left="909"/>
              <w:spacing w:after="0"/>
              <w:rPr>
                <w:sz w:val="20"/>
                <w:szCs w:val="20"/>
                <w:color w:val="auto"/>
              </w:rPr>
            </w:pPr>
            <w:r>
              <w:rPr>
                <w:rFonts w:ascii="Arial" w:cs="Arial" w:eastAsia="Arial" w:hAnsi="Arial"/>
                <w:sz w:val="14"/>
                <w:szCs w:val="14"/>
                <w:color w:val="auto"/>
                <w:w w:val="93"/>
              </w:rPr>
              <w:t>2,354,255</w:t>
            </w:r>
          </w:p>
        </w:tc>
      </w:tr>
      <w:tr>
        <w:trPr>
          <w:trHeight w:val="349"/>
        </w:trPr>
        <w:tc>
          <w:tcPr>
            <w:tcW w:w="4340" w:type="dxa"/>
            <w:vAlign w:val="bottom"/>
          </w:tcPr>
          <w:p>
            <w:pPr>
              <w:spacing w:after="0"/>
              <w:rPr>
                <w:sz w:val="20"/>
                <w:szCs w:val="20"/>
                <w:color w:val="auto"/>
              </w:rPr>
            </w:pPr>
            <w:r>
              <w:rPr>
                <w:rFonts w:ascii="Arial" w:cs="Arial" w:eastAsia="Arial" w:hAnsi="Arial"/>
                <w:sz w:val="14"/>
                <w:szCs w:val="14"/>
                <w:color w:val="auto"/>
              </w:rPr>
              <w:t>Shareholder's Equity</w:t>
            </w:r>
          </w:p>
        </w:tc>
        <w:tc>
          <w:tcPr>
            <w:tcW w:w="4140" w:type="dxa"/>
            <w:vAlign w:val="bottom"/>
          </w:tcPr>
          <w:p>
            <w:pPr>
              <w:jc w:val="center"/>
              <w:ind w:left="1449"/>
              <w:spacing w:after="0"/>
              <w:rPr>
                <w:sz w:val="20"/>
                <w:szCs w:val="20"/>
                <w:color w:val="auto"/>
              </w:rPr>
            </w:pPr>
            <w:r>
              <w:rPr>
                <w:rFonts w:ascii="Arial" w:cs="Arial" w:eastAsia="Arial" w:hAnsi="Arial"/>
                <w:sz w:val="14"/>
                <w:szCs w:val="14"/>
                <w:color w:val="auto"/>
                <w:w w:val="93"/>
              </w:rPr>
              <w:t>1,422,185</w:t>
            </w:r>
          </w:p>
        </w:tc>
        <w:tc>
          <w:tcPr>
            <w:tcW w:w="1800" w:type="dxa"/>
            <w:vAlign w:val="bottom"/>
          </w:tcPr>
          <w:p>
            <w:pPr>
              <w:jc w:val="center"/>
              <w:ind w:left="909"/>
              <w:spacing w:after="0"/>
              <w:rPr>
                <w:sz w:val="20"/>
                <w:szCs w:val="20"/>
                <w:color w:val="auto"/>
              </w:rPr>
            </w:pPr>
            <w:r>
              <w:rPr>
                <w:rFonts w:ascii="Arial" w:cs="Arial" w:eastAsia="Arial" w:hAnsi="Arial"/>
                <w:sz w:val="14"/>
                <w:szCs w:val="14"/>
                <w:color w:val="auto"/>
                <w:w w:val="93"/>
              </w:rPr>
              <w:t>1,354,281</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ICON/ICLR-F</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color w:val="auto"/>
        </w:rPr>
        <w:t>CONTACT:</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ICON plc Contact:</w:t>
      </w:r>
    </w:p>
    <w:p>
      <w:pPr>
        <w:spacing w:after="0"/>
        <w:rPr>
          <w:sz w:val="20"/>
          <w:szCs w:val="20"/>
          <w:color w:val="auto"/>
        </w:rPr>
      </w:pPr>
      <w:r>
        <w:rPr>
          <w:rFonts w:ascii="Arial" w:cs="Arial" w:eastAsia="Arial" w:hAnsi="Arial"/>
          <w:sz w:val="21"/>
          <w:szCs w:val="21"/>
          <w:color w:val="auto"/>
        </w:rPr>
        <w:t>Investor Relations +1 888 381 7923 or</w:t>
      </w:r>
    </w:p>
    <w:p>
      <w:pPr>
        <w:spacing w:after="0"/>
        <w:rPr>
          <w:sz w:val="20"/>
          <w:szCs w:val="20"/>
          <w:color w:val="auto"/>
        </w:rPr>
      </w:pPr>
      <w:r>
        <w:rPr>
          <w:rFonts w:ascii="Arial" w:cs="Arial" w:eastAsia="Arial" w:hAnsi="Arial"/>
          <w:sz w:val="21"/>
          <w:szCs w:val="21"/>
          <w:color w:val="auto"/>
        </w:rPr>
        <w:t>Brendan Brennan, Chief Financial Officer +353 1 291 2000</w:t>
      </w:r>
    </w:p>
    <w:p>
      <w:pPr>
        <w:ind w:right="2460"/>
        <w:spacing w:after="0" w:line="253" w:lineRule="auto"/>
        <w:rPr>
          <w:sz w:val="20"/>
          <w:szCs w:val="20"/>
          <w:color w:val="auto"/>
        </w:rPr>
      </w:pPr>
      <w:r>
        <w:rPr>
          <w:rFonts w:ascii="Arial" w:cs="Arial" w:eastAsia="Arial" w:hAnsi="Arial"/>
          <w:sz w:val="21"/>
          <w:szCs w:val="21"/>
          <w:color w:val="auto"/>
        </w:rPr>
        <w:t xml:space="preserve">Jonathan Curtain, Vice President Corporate Finance &amp; Investor Relations +353 1 291 2000 </w:t>
      </w:r>
      <w:r>
        <w:rPr>
          <w:rFonts w:ascii="Arial" w:cs="Arial" w:eastAsia="Arial" w:hAnsi="Arial"/>
          <w:sz w:val="21"/>
          <w:szCs w:val="21"/>
          <w:u w:val="single" w:color="auto"/>
          <w:color w:val="auto"/>
        </w:rPr>
        <w:t>http://www.iconplc.com</w:t>
      </w:r>
    </w:p>
    <w:sectPr>
      <w:pgSz w:w="12240" w:h="15840" w:orient="portrait"/>
      <w:cols w:equalWidth="0" w:num="1">
        <w:col w:w="10280"/>
      </w:cols>
      <w:pgMar w:left="520" w:top="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2019-12-14T20:49:23Z</dcterms:created>
  <dcterms:modified xsi:type="dcterms:W3CDTF">2019-12-14T20:49:23Z</dcterms:modified>
</cp:coreProperties>
</file>