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00"/>
        <w:spacing w:after="0"/>
        <w:rPr>
          <w:sz w:val="20"/>
          <w:szCs w:val="20"/>
          <w:color w:val="auto"/>
        </w:rPr>
      </w:pPr>
      <w:r>
        <w:rPr>
          <w:rFonts w:ascii="Arial" w:cs="Arial" w:eastAsia="Arial" w:hAnsi="Arial"/>
          <w:sz w:val="22"/>
          <w:szCs w:val="22"/>
          <w:color w:val="auto"/>
        </w:rPr>
        <w:t>For the month ended April, 2022</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92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April 27, 2022 - ICON Reports First Quarter 2022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320" w:right="2260" w:hanging="7302"/>
        <w:spacing w:after="0" w:line="323" w:lineRule="auto"/>
        <w:tabs>
          <w:tab w:leader="none" w:pos="7300" w:val="left"/>
        </w:tabs>
        <w:rPr>
          <w:sz w:val="20"/>
          <w:szCs w:val="20"/>
          <w:color w:val="auto"/>
        </w:rPr>
      </w:pPr>
      <w:r>
        <w:rPr>
          <w:rFonts w:ascii="Arial" w:cs="Arial" w:eastAsia="Arial" w:hAnsi="Arial"/>
          <w:sz w:val="18"/>
          <w:szCs w:val="18"/>
          <w:color w:val="auto"/>
        </w:rPr>
        <w:t>Date: April 27, 2022</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First Quarter 2022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net business wins in the quarter of $2,426 million; a net book to bill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840"/>
        <w:spacing w:after="0" w:line="256" w:lineRule="auto"/>
        <w:rPr>
          <w:sz w:val="20"/>
          <w:szCs w:val="20"/>
          <w:color w:val="auto"/>
        </w:rPr>
      </w:pPr>
      <w:r>
        <w:rPr>
          <w:rFonts w:ascii="Arial" w:cs="Arial" w:eastAsia="Arial" w:hAnsi="Arial"/>
          <w:sz w:val="22"/>
          <w:szCs w:val="22"/>
          <w:b w:val="1"/>
          <w:bCs w:val="1"/>
          <w:color w:val="auto"/>
        </w:rPr>
        <w:t>Closing backlog of $19.6 billion, an increase of 2.7% on Q4 2021 or an increase of 9.8% year over year on a Combined Company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500"/>
        <w:spacing w:after="0" w:line="334" w:lineRule="auto"/>
        <w:rPr>
          <w:sz w:val="20"/>
          <w:szCs w:val="20"/>
          <w:color w:val="auto"/>
        </w:rPr>
      </w:pPr>
      <w:r>
        <w:rPr>
          <w:rFonts w:ascii="Arial" w:cs="Arial" w:eastAsia="Arial" w:hAnsi="Arial"/>
          <w:sz w:val="19"/>
          <w:szCs w:val="19"/>
          <w:b w:val="1"/>
          <w:bCs w:val="1"/>
          <w:color w:val="auto"/>
        </w:rPr>
        <w:t>Quarter 1 revenue of $1,902 million representing a year on year increase of 121.6%. On a Combined Company basis, Quarter 1 revenue increased 6.1% year over year and 7.8% on a constant dollar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-320675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Adjusted EBITDA of $340.6 million or 17.9% of revenue, a year on year increase of 124.5%.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Adjusted net income attributable to the Group was $228.0 million or $2.76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GAAP net income attributable to the Group for Quarter 1 of $112.0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Days sales outstanding reduced to 35 days from 49 days at March 31, 2021 on a comparable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760"/>
        <w:spacing w:after="0" w:line="256" w:lineRule="auto"/>
        <w:rPr>
          <w:sz w:val="20"/>
          <w:szCs w:val="20"/>
          <w:color w:val="auto"/>
        </w:rPr>
      </w:pPr>
      <w:r>
        <w:rPr>
          <w:rFonts w:ascii="Arial" w:cs="Arial" w:eastAsia="Arial" w:hAnsi="Arial"/>
          <w:sz w:val="22"/>
          <w:szCs w:val="22"/>
          <w:b w:val="1"/>
          <w:bCs w:val="1"/>
          <w:color w:val="auto"/>
        </w:rPr>
        <w:t>$300 million early repayment made on Term Loan B debt. Net debt balance of $4.58 billion with Net Debt to Adjusted EBITDA of 3.3x.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$100 million worth of stock repurchased at an average price of $237.76.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20"/>
        <w:spacing w:after="0" w:line="239" w:lineRule="auto"/>
        <w:rPr>
          <w:sz w:val="20"/>
          <w:szCs w:val="20"/>
          <w:color w:val="auto"/>
        </w:rPr>
      </w:pPr>
      <w:r>
        <w:rPr>
          <w:rFonts w:ascii="Arial" w:cs="Arial" w:eastAsia="Arial" w:hAnsi="Arial"/>
          <w:sz w:val="22"/>
          <w:szCs w:val="22"/>
          <w:b w:val="1"/>
          <w:bCs w:val="1"/>
          <w:color w:val="auto"/>
        </w:rPr>
        <w:t>Full year 2022 revenue guidance reaffirmed in the range of $7,770 - $8,050 million, representing a year over year increase of 41.8% to 46.9%. Full year 2022 adjusted earnings per share guidance reaffirmed in the range of $11.55 - $11.95. Adjusted earnings per share to exclude amortization, stock compensation, foreign exchange and transaction-related / integration-related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ind w:right="440"/>
        <w:spacing w:after="0" w:line="280" w:lineRule="auto"/>
        <w:rPr>
          <w:sz w:val="20"/>
          <w:szCs w:val="20"/>
          <w:color w:val="auto"/>
        </w:rPr>
      </w:pPr>
      <w:r>
        <w:rPr>
          <w:rFonts w:ascii="Arial" w:cs="Arial" w:eastAsia="Arial" w:hAnsi="Arial"/>
          <w:sz w:val="21"/>
          <w:szCs w:val="21"/>
          <w:color w:val="auto"/>
        </w:rPr>
        <w:t>DUBLIN--(BUSINESS WIRE)--April 27, 2022--</w:t>
      </w:r>
      <w:r>
        <w:rPr>
          <w:rFonts w:ascii="Arial" w:cs="Arial" w:eastAsia="Arial" w:hAnsi="Arial"/>
          <w:sz w:val="21"/>
          <w:szCs w:val="21"/>
          <w:b w:val="1"/>
          <w:bCs w:val="1"/>
          <w:color w:val="auto"/>
        </w:rPr>
        <w:t>ICON plc (NASDAQ: ICLR),</w:t>
      </w:r>
      <w:r>
        <w:rPr>
          <w:rFonts w:ascii="Arial" w:cs="Arial" w:eastAsia="Arial" w:hAnsi="Arial"/>
          <w:sz w:val="21"/>
          <w:szCs w:val="21"/>
          <w:color w:val="auto"/>
        </w:rPr>
        <w:t xml:space="preserve"> a world-leading healthcare intelligence and clinical research organisation, today reported its financial results for the first quarter ended March 31, 2022.</w:t>
      </w:r>
    </w:p>
    <w:p>
      <w:pPr>
        <w:spacing w:after="0" w:line="14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 xml:space="preserve">CEO Dr. Steve Cutler commented, </w:t>
      </w:r>
      <w:r>
        <w:rPr>
          <w:rFonts w:ascii="Arial" w:cs="Arial" w:eastAsia="Arial" w:hAnsi="Arial"/>
          <w:sz w:val="22"/>
          <w:szCs w:val="22"/>
          <w:i w:val="1"/>
          <w:iCs w:val="1"/>
          <w:color w:val="auto"/>
        </w:rPr>
        <w:t>“ICON had a strong start to the year in the first quarter. We saw solid demand across</w:t>
      </w:r>
      <w:r>
        <w:rPr>
          <w:rFonts w:ascii="Arial" w:cs="Arial" w:eastAsia="Arial" w:hAnsi="Arial"/>
          <w:sz w:val="22"/>
          <w:szCs w:val="22"/>
          <w:color w:val="auto"/>
        </w:rPr>
        <w:t xml:space="preserve"> </w:t>
      </w:r>
      <w:r>
        <w:rPr>
          <w:rFonts w:ascii="Arial" w:cs="Arial" w:eastAsia="Arial" w:hAnsi="Arial"/>
          <w:sz w:val="22"/>
          <w:szCs w:val="22"/>
          <w:i w:val="1"/>
          <w:iCs w:val="1"/>
          <w:color w:val="auto"/>
        </w:rPr>
        <w:t>customer segments, resulting in another quarter of record net business wins, and a book to bill of 1.28x. Financial performance was driven by constant currency revenue growth of 8% and adjusted EBITDA growth of 19% year over year on a combined company basis, resulting in an impressive 27% growth in earnings per share from quarter one 2021. In addition, further progress was made on our debt pay down with a $300 million early repayment on the Term Loan B facility, bringing our Net Debt to adjusted EBITDA ratio down further to 3.3x.”</w:t>
      </w:r>
    </w:p>
    <w:p>
      <w:pPr>
        <w:spacing w:after="0" w:line="188"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Dr. Cutler added</w:t>
      </w:r>
      <w:r>
        <w:rPr>
          <w:rFonts w:ascii="Arial" w:cs="Arial" w:eastAsia="Arial" w:hAnsi="Arial"/>
          <w:sz w:val="22"/>
          <w:szCs w:val="22"/>
          <w:i w:val="1"/>
          <w:iCs w:val="1"/>
          <w:color w:val="auto"/>
        </w:rPr>
        <w:t>, “Given the positive demand environment in clinical development and backlog growth realized in quarter one,</w:t>
      </w:r>
      <w:r>
        <w:rPr>
          <w:rFonts w:ascii="Arial" w:cs="Arial" w:eastAsia="Arial" w:hAnsi="Arial"/>
          <w:sz w:val="22"/>
          <w:szCs w:val="22"/>
          <w:color w:val="auto"/>
        </w:rPr>
        <w:t xml:space="preserve"> </w:t>
      </w:r>
      <w:r>
        <w:rPr>
          <w:rFonts w:ascii="Arial" w:cs="Arial" w:eastAsia="Arial" w:hAnsi="Arial"/>
          <w:sz w:val="22"/>
          <w:szCs w:val="22"/>
          <w:i w:val="1"/>
          <w:iCs w:val="1"/>
          <w:color w:val="auto"/>
        </w:rPr>
        <w:t>we are reaffirming our revenue guidance of $7,770 - $8,050 million, and adjusted earnings per share guidance of $11.55 – $11.95 for the full year 2022.”</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2022 Results</w:t>
      </w:r>
    </w:p>
    <w:p>
      <w:pPr>
        <w:spacing w:after="0" w:line="212"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Gross business wins in the first quarter were $2,783 million and cancellations were $357 million. This resulted in net business wins of $2,426 million and a book to bill of 1.28.</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Revenue for Quarter 1 was $1,901.8 million. This represents a year on year increase of 121.6% or 125.0% on a constant currency basis.</w:t>
      </w:r>
    </w:p>
    <w:p>
      <w:pPr>
        <w:spacing w:after="0" w:line="175"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GAAP net income attributable to the Group was $112.0 million. Adjusted net income attributable to the Group for the quarter was $228.0 million resulting in an adjusted diluted earnings per share of $2.76 compared to $2.17 per share for Quarter 1 2021.</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Adjusted EBITDA for Quarter 1 was $340.6 million or 17.9% of revenue, a year on year increase of 124.5%.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160"/>
        <w:spacing w:after="0" w:line="282" w:lineRule="auto"/>
        <w:rPr>
          <w:sz w:val="20"/>
          <w:szCs w:val="20"/>
          <w:color w:val="auto"/>
        </w:rPr>
      </w:pPr>
      <w:r>
        <w:rPr>
          <w:rFonts w:ascii="Arial" w:cs="Arial" w:eastAsia="Arial" w:hAnsi="Arial"/>
          <w:sz w:val="19"/>
          <w:szCs w:val="19"/>
          <w:color w:val="auto"/>
        </w:rPr>
        <w:t>Cash generated from operating activities for the quarter was $226.9 million. During the quarter, $19.6 million was spent on capital expenditure. At March 31, 2022, the Group had cash and cash equivalents of $559.1 million, compared to cash and cash equivalents of $752.2 million at December 31, 2021 and $942.5 million at March 31, 2021. During the quarter, a $300 million Term Loan B payment was made resulting in a net indebtedness balance of $4.58 billion at year end. Additionally, during the quarter $100 million worth of stock repurchased at an average price of $237.76.</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adjusted EBITDA, adjusted net income attributable to the Group and adjusted diluted earnings per share attributable to the Group. Adjusted EBITDA, adjusted net income and adjusted diluted earnings per share exclude amortization, stock compensation, foreign exchange gains and losses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50"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To assist investors and analysts with year-over-year comparability for the merged business, we have included Combined Company information. These measures include financial information that combines the stand-alone ICON plc and PRA Health Sciences, Inc. information for revenue and Adjusted EBITDA, and other metrics as if the merger had taken place on January 1, 2020, with conforming adjustments to the current year presentation. Specifically, these financials represent the simple addition of the historical adjusted financials of each company. These combined financials are not intended to represent pro forma financial statements prepared in accordance with GAAP or Regulation S-X.</w:t>
      </w:r>
    </w:p>
    <w:p>
      <w:pPr>
        <w:spacing w:after="0" w:line="177"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ICON will hold a conference call tomorrow, April 28th, 2022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Our full-year 2022 guidance measures (other than revenue) are provided on a non-GAAP basis without a reconciliation to the most directly comparable GAAP measure because the company is unable to predict with a reasonable degree of certainty certain items contained in the GAAP measures without unreasonable efforts. Such items include, but are not limited to, transaction-related / integration-related expenses, restructuring and related expenses, and other items not reflective of the company's ongoing operations.</w:t>
      </w:r>
    </w:p>
    <w:p>
      <w:pPr>
        <w:spacing w:after="0" w:line="187"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39,300 employees in 138 locations in 53 countries as at March 31, 2022. For further information about ICON, visit: www.iconplc.com.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THREE MONTHS ENDED MARCH 31, 2022 AND MARCH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720" w:type="dxa"/>
            <w:vAlign w:val="bottom"/>
          </w:tcPr>
          <w:p>
            <w:pPr>
              <w:spacing w:after="0"/>
              <w:rPr>
                <w:sz w:val="24"/>
                <w:szCs w:val="24"/>
                <w:color w:val="auto"/>
              </w:rPr>
            </w:pPr>
          </w:p>
        </w:tc>
        <w:tc>
          <w:tcPr>
            <w:tcW w:w="2100" w:type="dxa"/>
            <w:vAlign w:val="bottom"/>
          </w:tcPr>
          <w:p>
            <w:pPr>
              <w:jc w:val="right"/>
              <w:ind w:right="389"/>
              <w:spacing w:after="0"/>
              <w:rPr>
                <w:sz w:val="20"/>
                <w:szCs w:val="20"/>
                <w:color w:val="auto"/>
              </w:rPr>
            </w:pPr>
            <w:r>
              <w:rPr>
                <w:rFonts w:ascii="Arial" w:cs="Arial" w:eastAsia="Arial" w:hAnsi="Arial"/>
                <w:sz w:val="22"/>
                <w:szCs w:val="22"/>
                <w:b w:val="1"/>
                <w:bCs w:val="1"/>
                <w:color w:val="auto"/>
              </w:rPr>
              <w:t>(UNAUDITED)</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5"/>
        </w:trPr>
        <w:tc>
          <w:tcPr>
            <w:tcW w:w="4720" w:type="dxa"/>
            <w:vAlign w:val="bottom"/>
          </w:tcPr>
          <w:p>
            <w:pPr>
              <w:spacing w:after="0"/>
              <w:rPr>
                <w:sz w:val="24"/>
                <w:szCs w:val="24"/>
                <w:color w:val="auto"/>
              </w:rPr>
            </w:pPr>
          </w:p>
        </w:tc>
        <w:tc>
          <w:tcPr>
            <w:tcW w:w="3620" w:type="dxa"/>
            <w:vAlign w:val="bottom"/>
            <w:gridSpan w:val="3"/>
          </w:tcPr>
          <w:p>
            <w:pPr>
              <w:ind w:left="980"/>
              <w:spacing w:after="0"/>
              <w:rPr>
                <w:sz w:val="20"/>
                <w:szCs w:val="20"/>
                <w:color w:val="auto"/>
              </w:rPr>
            </w:pPr>
            <w:r>
              <w:rPr>
                <w:rFonts w:ascii="Arial" w:cs="Arial" w:eastAsia="Arial" w:hAnsi="Arial"/>
                <w:sz w:val="18"/>
                <w:szCs w:val="18"/>
                <w:b w:val="1"/>
                <w:bCs w:val="1"/>
                <w:color w:val="auto"/>
              </w:rPr>
              <w:t>Three Months Ended</w:t>
            </w:r>
          </w:p>
        </w:tc>
        <w:tc>
          <w:tcPr>
            <w:tcW w:w="2900" w:type="dxa"/>
            <w:vAlign w:val="bottom"/>
          </w:tcPr>
          <w:p>
            <w:pPr>
              <w:spacing w:after="0"/>
              <w:rPr>
                <w:sz w:val="24"/>
                <w:szCs w:val="24"/>
                <w:color w:val="auto"/>
              </w:rPr>
            </w:pPr>
          </w:p>
        </w:tc>
      </w:tr>
      <w:tr>
        <w:trPr>
          <w:trHeight w:val="243"/>
        </w:trPr>
        <w:tc>
          <w:tcPr>
            <w:tcW w:w="4720" w:type="dxa"/>
            <w:vAlign w:val="bottom"/>
          </w:tcPr>
          <w:p>
            <w:pPr>
              <w:spacing w:after="0"/>
              <w:rPr>
                <w:sz w:val="21"/>
                <w:szCs w:val="21"/>
                <w:color w:val="auto"/>
              </w:rPr>
            </w:pPr>
          </w:p>
        </w:tc>
        <w:tc>
          <w:tcPr>
            <w:tcW w:w="2100" w:type="dxa"/>
            <w:vAlign w:val="bottom"/>
          </w:tcPr>
          <w:p>
            <w:pPr>
              <w:jc w:val="right"/>
              <w:ind w:right="229"/>
              <w:spacing w:after="0"/>
              <w:rPr>
                <w:sz w:val="20"/>
                <w:szCs w:val="20"/>
                <w:color w:val="auto"/>
              </w:rPr>
            </w:pPr>
            <w:r>
              <w:rPr>
                <w:rFonts w:ascii="Arial" w:cs="Arial" w:eastAsia="Arial" w:hAnsi="Arial"/>
                <w:sz w:val="18"/>
                <w:szCs w:val="18"/>
                <w:b w:val="1"/>
                <w:bCs w:val="1"/>
                <w:color w:val="auto"/>
              </w:rPr>
              <w:t>March 31, 2022</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March 31, 2021</w:t>
            </w:r>
          </w:p>
        </w:tc>
        <w:tc>
          <w:tcPr>
            <w:tcW w:w="2900" w:type="dxa"/>
            <w:vAlign w:val="bottom"/>
          </w:tcPr>
          <w:p>
            <w:pPr>
              <w:spacing w:after="0"/>
              <w:rPr>
                <w:sz w:val="21"/>
                <w:szCs w:val="21"/>
                <w:color w:val="auto"/>
              </w:rPr>
            </w:pPr>
          </w:p>
        </w:tc>
      </w:tr>
      <w:tr>
        <w:trPr>
          <w:trHeight w:val="243"/>
        </w:trPr>
        <w:tc>
          <w:tcPr>
            <w:tcW w:w="4720" w:type="dxa"/>
            <w:vAlign w:val="bottom"/>
          </w:tcPr>
          <w:p>
            <w:pPr>
              <w:spacing w:after="0"/>
              <w:rPr>
                <w:sz w:val="21"/>
                <w:szCs w:val="21"/>
                <w:color w:val="auto"/>
              </w:rPr>
            </w:pPr>
          </w:p>
        </w:tc>
        <w:tc>
          <w:tcPr>
            <w:tcW w:w="3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900" w:type="dxa"/>
            <w:vAlign w:val="bottom"/>
          </w:tcPr>
          <w:p>
            <w:pPr>
              <w:spacing w:after="0"/>
              <w:rPr>
                <w:sz w:val="21"/>
                <w:szCs w:val="21"/>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8"/>
                <w:szCs w:val="18"/>
                <w:color w:val="auto"/>
              </w:rPr>
              <w:t>Revenue</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$ 1,901,764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$ 858,198</w:t>
            </w:r>
          </w:p>
        </w:tc>
        <w:tc>
          <w:tcPr>
            <w:tcW w:w="2900" w:type="dxa"/>
            <w:vAlign w:val="bottom"/>
          </w:tcPr>
          <w:p>
            <w:pPr>
              <w:spacing w:after="0"/>
              <w:rPr>
                <w:sz w:val="24"/>
                <w:szCs w:val="24"/>
                <w:color w:val="auto"/>
              </w:rPr>
            </w:pPr>
          </w:p>
        </w:tc>
      </w:tr>
      <w:tr>
        <w:trPr>
          <w:trHeight w:val="486"/>
        </w:trPr>
        <w:tc>
          <w:tcPr>
            <w:tcW w:w="4720" w:type="dxa"/>
            <w:vAlign w:val="bottom"/>
          </w:tcPr>
          <w:p>
            <w:pPr>
              <w:spacing w:after="0"/>
              <w:rPr>
                <w:sz w:val="20"/>
                <w:szCs w:val="20"/>
                <w:color w:val="auto"/>
              </w:rPr>
            </w:pPr>
            <w:r>
              <w:rPr>
                <w:rFonts w:ascii="Arial" w:cs="Arial" w:eastAsia="Arial" w:hAnsi="Arial"/>
                <w:sz w:val="18"/>
                <w:szCs w:val="18"/>
                <w:color w:val="auto"/>
              </w:rPr>
              <w:t>Costs and expenses:</w:t>
            </w: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1,378,467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626,244</w:t>
            </w:r>
          </w:p>
        </w:tc>
        <w:tc>
          <w:tcPr>
            <w:tcW w:w="290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195,261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86,034</w:t>
            </w:r>
          </w:p>
        </w:tc>
        <w:tc>
          <w:tcPr>
            <w:tcW w:w="290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141,405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17,405</w:t>
            </w:r>
          </w:p>
        </w:tc>
        <w:tc>
          <w:tcPr>
            <w:tcW w:w="2900" w:type="dxa"/>
            <w:vAlign w:val="bottom"/>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Transaction and integration-related expenses</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12,085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12,501</w:t>
            </w:r>
          </w:p>
        </w:tc>
        <w:tc>
          <w:tcPr>
            <w:tcW w:w="2900" w:type="dxa"/>
            <w:vAlign w:val="bottom"/>
          </w:tcPr>
          <w:p>
            <w:pPr>
              <w:spacing w:after="0"/>
              <w:rPr>
                <w:sz w:val="21"/>
                <w:szCs w:val="21"/>
                <w:color w:val="auto"/>
              </w:rPr>
            </w:pPr>
          </w:p>
        </w:tc>
      </w:tr>
      <w:tr>
        <w:trPr>
          <w:trHeight w:val="250"/>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4,207</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21"/>
                <w:szCs w:val="21"/>
                <w:color w:val="auto"/>
              </w:rPr>
            </w:pPr>
          </w:p>
        </w:tc>
      </w:tr>
      <w:tr>
        <w:trPr>
          <w:trHeight w:val="479"/>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costs and expenses</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1,731,425</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742,184</w:t>
            </w:r>
          </w:p>
        </w:tc>
        <w:tc>
          <w:tcPr>
            <w:tcW w:w="2900" w:type="dxa"/>
            <w:vAlign w:val="bottom"/>
          </w:tcPr>
          <w:p>
            <w:pPr>
              <w:spacing w:after="0"/>
              <w:rPr>
                <w:sz w:val="24"/>
                <w:szCs w:val="24"/>
                <w:color w:val="auto"/>
              </w:rPr>
            </w:pPr>
          </w:p>
        </w:tc>
      </w:tr>
      <w:tr>
        <w:trPr>
          <w:trHeight w:val="473"/>
        </w:trPr>
        <w:tc>
          <w:tcPr>
            <w:tcW w:w="4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170,339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116,014</w:t>
            </w:r>
          </w:p>
        </w:tc>
        <w:tc>
          <w:tcPr>
            <w:tcW w:w="2900" w:type="dxa"/>
            <w:vAlign w:val="bottom"/>
          </w:tcPr>
          <w:p>
            <w:pPr>
              <w:spacing w:after="0"/>
              <w:rPr>
                <w:sz w:val="24"/>
                <w:szCs w:val="24"/>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Interest income</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127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2900" w:type="dxa"/>
            <w:vAlign w:val="bottom"/>
          </w:tcPr>
          <w:p>
            <w:pPr>
              <w:spacing w:after="0"/>
              <w:rPr>
                <w:sz w:val="21"/>
                <w:szCs w:val="21"/>
                <w:color w:val="auto"/>
              </w:rPr>
            </w:pPr>
          </w:p>
        </w:tc>
      </w:tr>
      <w:tr>
        <w:trPr>
          <w:trHeight w:val="250"/>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(44,425)</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(2,727)</w:t>
            </w:r>
          </w:p>
        </w:tc>
        <w:tc>
          <w:tcPr>
            <w:tcW w:w="2900" w:type="dxa"/>
            <w:vAlign w:val="bottom"/>
          </w:tcPr>
          <w:p>
            <w:pPr>
              <w:spacing w:after="0"/>
              <w:rPr>
                <w:sz w:val="21"/>
                <w:szCs w:val="21"/>
                <w:color w:val="auto"/>
              </w:rPr>
            </w:pPr>
          </w:p>
        </w:tc>
      </w:tr>
      <w:tr>
        <w:trPr>
          <w:trHeight w:val="473"/>
        </w:trPr>
        <w:tc>
          <w:tcPr>
            <w:tcW w:w="47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126,041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113,544</w:t>
            </w:r>
          </w:p>
        </w:tc>
        <w:tc>
          <w:tcPr>
            <w:tcW w:w="2900" w:type="dxa"/>
            <w:vAlign w:val="bottom"/>
          </w:tcPr>
          <w:p>
            <w:pPr>
              <w:spacing w:after="0"/>
              <w:rPr>
                <w:sz w:val="24"/>
                <w:szCs w:val="24"/>
                <w:color w:val="auto"/>
              </w:rPr>
            </w:pPr>
          </w:p>
        </w:tc>
      </w:tr>
      <w:tr>
        <w:trPr>
          <w:trHeight w:val="250"/>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(13,286)</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(16,148)</w:t>
            </w:r>
          </w:p>
        </w:tc>
        <w:tc>
          <w:tcPr>
            <w:tcW w:w="2900" w:type="dxa"/>
            <w:vAlign w:val="bottom"/>
          </w:tcPr>
          <w:p>
            <w:pPr>
              <w:spacing w:after="0"/>
              <w:rPr>
                <w:sz w:val="21"/>
                <w:szCs w:val="21"/>
                <w:color w:val="auto"/>
              </w:rPr>
            </w:pPr>
          </w:p>
        </w:tc>
      </w:tr>
      <w:tr>
        <w:trPr>
          <w:trHeight w:val="473"/>
        </w:trPr>
        <w:tc>
          <w:tcPr>
            <w:tcW w:w="4720" w:type="dxa"/>
            <w:vAlign w:val="bottom"/>
          </w:tcPr>
          <w:p>
            <w:pPr>
              <w:spacing w:after="0"/>
              <w:rPr>
                <w:sz w:val="20"/>
                <w:szCs w:val="20"/>
                <w:color w:val="auto"/>
              </w:rPr>
            </w:pPr>
            <w:r>
              <w:rPr>
                <w:rFonts w:ascii="Arial" w:cs="Arial" w:eastAsia="Arial" w:hAnsi="Arial"/>
                <w:sz w:val="18"/>
                <w:szCs w:val="18"/>
                <w:color w:val="auto"/>
                <w:w w:val="90"/>
              </w:rPr>
              <w:t>Income before share of earnings from equity method investments</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112,755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97,396</w:t>
            </w:r>
          </w:p>
        </w:tc>
        <w:tc>
          <w:tcPr>
            <w:tcW w:w="2900" w:type="dxa"/>
            <w:vAlign w:val="bottom"/>
          </w:tcPr>
          <w:p>
            <w:pPr>
              <w:spacing w:after="0"/>
              <w:rPr>
                <w:sz w:val="24"/>
                <w:szCs w:val="24"/>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(785)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2900" w:type="dxa"/>
            <w:vAlign w:val="bottom"/>
          </w:tcPr>
          <w:p>
            <w:pPr>
              <w:spacing w:after="0"/>
              <w:rPr>
                <w:sz w:val="21"/>
                <w:szCs w:val="21"/>
                <w:color w:val="auto"/>
              </w:rPr>
            </w:pPr>
          </w:p>
        </w:tc>
      </w:tr>
      <w:tr>
        <w:trPr>
          <w:trHeight w:val="256"/>
        </w:trPr>
        <w:tc>
          <w:tcPr>
            <w:tcW w:w="47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900" w:type="dxa"/>
            <w:vAlign w:val="bottom"/>
          </w:tcPr>
          <w:p>
            <w:pPr>
              <w:spacing w:after="0"/>
              <w:rPr>
                <w:sz w:val="22"/>
                <w:szCs w:val="22"/>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$ 111,970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$ 97,122</w:t>
            </w:r>
          </w:p>
        </w:tc>
        <w:tc>
          <w:tcPr>
            <w:tcW w:w="2900" w:type="dxa"/>
            <w:vAlign w:val="bottom"/>
          </w:tcPr>
          <w:p>
            <w:pPr>
              <w:spacing w:after="0"/>
              <w:rPr>
                <w:sz w:val="20"/>
                <w:szCs w:val="20"/>
                <w:color w:val="auto"/>
              </w:rPr>
            </w:pP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59"/>
        </w:trPr>
        <w:tc>
          <w:tcPr>
            <w:tcW w:w="472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93"/>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$ 1.37</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$ 1.84</w:t>
            </w:r>
          </w:p>
        </w:tc>
        <w:tc>
          <w:tcPr>
            <w:tcW w:w="2900" w:type="dxa"/>
            <w:vAlign w:val="bottom"/>
          </w:tcPr>
          <w:p>
            <w:pPr>
              <w:spacing w:after="0"/>
              <w:rPr>
                <w:sz w:val="24"/>
                <w:szCs w:val="24"/>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Diluted</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$ 1.36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$ 1.82</w:t>
            </w:r>
          </w:p>
        </w:tc>
        <w:tc>
          <w:tcPr>
            <w:tcW w:w="2900" w:type="dxa"/>
            <w:vAlign w:val="bottom"/>
          </w:tcPr>
          <w:p>
            <w:pPr>
              <w:spacing w:after="0"/>
              <w:rPr>
                <w:sz w:val="20"/>
                <w:szCs w:val="20"/>
                <w:color w:val="auto"/>
              </w:rPr>
            </w:pP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59"/>
        </w:trPr>
        <w:tc>
          <w:tcPr>
            <w:tcW w:w="4720" w:type="dxa"/>
            <w:vAlign w:val="bottom"/>
          </w:tcPr>
          <w:p>
            <w:pPr>
              <w:spacing w:after="0"/>
              <w:rPr>
                <w:sz w:val="20"/>
                <w:szCs w:val="20"/>
                <w:color w:val="auto"/>
              </w:rPr>
            </w:pPr>
            <w:r>
              <w:rPr>
                <w:rFonts w:ascii="Arial" w:cs="Arial" w:eastAsia="Arial" w:hAnsi="Arial"/>
                <w:sz w:val="18"/>
                <w:szCs w:val="18"/>
                <w:color w:val="auto"/>
                <w:w w:val="99"/>
              </w:rPr>
              <w:t>Weighted average number of Ordinary Shares outstanding:</w:t>
            </w: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93"/>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81,463,303</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52,811,460</w:t>
            </w:r>
          </w:p>
        </w:tc>
        <w:tc>
          <w:tcPr>
            <w:tcW w:w="2900" w:type="dxa"/>
            <w:vAlign w:val="bottom"/>
          </w:tcPr>
          <w:p>
            <w:pPr>
              <w:spacing w:after="0"/>
              <w:rPr>
                <w:sz w:val="24"/>
                <w:szCs w:val="24"/>
                <w:color w:val="auto"/>
              </w:rPr>
            </w:pPr>
          </w:p>
        </w:tc>
      </w:tr>
      <w:tr>
        <w:trPr>
          <w:trHeight w:val="20"/>
        </w:trPr>
        <w:tc>
          <w:tcPr>
            <w:tcW w:w="4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24"/>
        </w:trPr>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210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8"/>
                <w:szCs w:val="18"/>
                <w:color w:val="auto"/>
              </w:rPr>
              <w:t>82,613,098</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53,310,453</w:t>
            </w:r>
          </w:p>
        </w:tc>
        <w:tc>
          <w:tcPr>
            <w:tcW w:w="20" w:type="dxa"/>
            <w:vAlign w:val="bottom"/>
            <w:tcBorders>
              <w:bottom w:val="single" w:sz="8" w:color="auto"/>
            </w:tcBorders>
          </w:tcPr>
          <w:p>
            <w:pPr>
              <w:spacing w:after="0"/>
              <w:rPr>
                <w:sz w:val="19"/>
                <w:szCs w:val="19"/>
                <w:color w:val="auto"/>
              </w:rPr>
            </w:pPr>
          </w:p>
        </w:tc>
        <w:tc>
          <w:tcPr>
            <w:tcW w:w="2900" w:type="dxa"/>
            <w:vAlign w:val="bottom"/>
          </w:tcPr>
          <w:p>
            <w:pPr>
              <w:spacing w:after="0"/>
              <w:rPr>
                <w:sz w:val="19"/>
                <w:szCs w:val="19"/>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69"/>
        </w:trPr>
        <w:tc>
          <w:tcPr>
            <w:tcW w:w="47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780" w:type="dxa"/>
            <w:vAlign w:val="bottom"/>
          </w:tcPr>
          <w:p>
            <w:pPr>
              <w:spacing w:after="0"/>
              <w:rPr>
                <w:sz w:val="24"/>
                <w:szCs w:val="24"/>
                <w:color w:val="auto"/>
              </w:rPr>
            </w:pPr>
          </w:p>
        </w:tc>
        <w:tc>
          <w:tcPr>
            <w:tcW w:w="2580" w:type="dxa"/>
            <w:vAlign w:val="bottom"/>
          </w:tcPr>
          <w:p>
            <w:pPr>
              <w:jc w:val="center"/>
              <w:ind w:right="789"/>
              <w:spacing w:after="0"/>
              <w:rPr>
                <w:sz w:val="20"/>
                <w:szCs w:val="20"/>
                <w:color w:val="auto"/>
              </w:rPr>
            </w:pPr>
            <w:r>
              <w:rPr>
                <w:rFonts w:ascii="Arial" w:cs="Arial" w:eastAsia="Arial" w:hAnsi="Arial"/>
                <w:sz w:val="22"/>
                <w:szCs w:val="22"/>
                <w:b w:val="1"/>
                <w:bCs w:val="1"/>
                <w:color w:val="auto"/>
                <w:w w:val="96"/>
              </w:rPr>
              <w:t>ICON plc</w:t>
            </w: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59"/>
        </w:trPr>
        <w:tc>
          <w:tcPr>
            <w:tcW w:w="11240" w:type="dxa"/>
            <w:vAlign w:val="bottom"/>
            <w:gridSpan w:val="4"/>
          </w:tcPr>
          <w:p>
            <w:pPr>
              <w:jc w:val="center"/>
              <w:spacing w:after="0"/>
              <w:rPr>
                <w:sz w:val="20"/>
                <w:szCs w:val="20"/>
                <w:color w:val="auto"/>
              </w:rPr>
            </w:pPr>
            <w:r>
              <w:rPr>
                <w:rFonts w:ascii="Arial" w:cs="Arial" w:eastAsia="Arial" w:hAnsi="Arial"/>
                <w:sz w:val="22"/>
                <w:szCs w:val="22"/>
                <w:b w:val="1"/>
                <w:bCs w:val="1"/>
                <w:color w:val="auto"/>
                <w:w w:val="97"/>
              </w:rPr>
              <w:t>CONDENSED CONSOLIDATED BALANCE SHEETS</w:t>
            </w:r>
          </w:p>
        </w:tc>
      </w:tr>
      <w:tr>
        <w:trPr>
          <w:trHeight w:val="459"/>
        </w:trPr>
        <w:tc>
          <w:tcPr>
            <w:tcW w:w="11240" w:type="dxa"/>
            <w:vAlign w:val="bottom"/>
            <w:gridSpan w:val="4"/>
          </w:tcPr>
          <w:p>
            <w:pPr>
              <w:jc w:val="center"/>
              <w:spacing w:after="0"/>
              <w:rPr>
                <w:sz w:val="20"/>
                <w:szCs w:val="20"/>
                <w:color w:val="auto"/>
              </w:rPr>
            </w:pPr>
            <w:r>
              <w:rPr>
                <w:rFonts w:ascii="Arial" w:cs="Arial" w:eastAsia="Arial" w:hAnsi="Arial"/>
                <w:sz w:val="22"/>
                <w:szCs w:val="22"/>
                <w:b w:val="1"/>
                <w:bCs w:val="1"/>
                <w:color w:val="auto"/>
                <w:w w:val="94"/>
              </w:rPr>
              <w:t>AS AT 31 MARCH 31, 2022 AND DECEMBER 31, 2021</w:t>
            </w:r>
          </w:p>
        </w:tc>
      </w:tr>
      <w:tr>
        <w:trPr>
          <w:trHeight w:val="459"/>
        </w:trPr>
        <w:tc>
          <w:tcPr>
            <w:tcW w:w="4780" w:type="dxa"/>
            <w:vAlign w:val="bottom"/>
          </w:tcPr>
          <w:p>
            <w:pPr>
              <w:spacing w:after="0"/>
              <w:rPr>
                <w:sz w:val="24"/>
                <w:szCs w:val="24"/>
                <w:color w:val="auto"/>
              </w:rPr>
            </w:pPr>
          </w:p>
        </w:tc>
        <w:tc>
          <w:tcPr>
            <w:tcW w:w="2580" w:type="dxa"/>
            <w:vAlign w:val="bottom"/>
          </w:tcPr>
          <w:p>
            <w:pPr>
              <w:jc w:val="center"/>
              <w:ind w:right="809"/>
              <w:spacing w:after="0"/>
              <w:rPr>
                <w:sz w:val="20"/>
                <w:szCs w:val="20"/>
                <w:color w:val="auto"/>
              </w:rPr>
            </w:pPr>
            <w:r>
              <w:rPr>
                <w:rFonts w:ascii="Arial" w:cs="Arial" w:eastAsia="Arial" w:hAnsi="Arial"/>
                <w:sz w:val="22"/>
                <w:szCs w:val="22"/>
                <w:b w:val="1"/>
                <w:bCs w:val="1"/>
                <w:color w:val="auto"/>
                <w:w w:val="99"/>
              </w:rPr>
              <w:t>(UNAUDITED)</w:t>
            </w: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678"/>
        </w:trPr>
        <w:tc>
          <w:tcPr>
            <w:tcW w:w="4780" w:type="dxa"/>
            <w:vAlign w:val="bottom"/>
          </w:tcPr>
          <w:p>
            <w:pPr>
              <w:spacing w:after="0"/>
              <w:rPr>
                <w:sz w:val="24"/>
                <w:szCs w:val="24"/>
                <w:color w:val="auto"/>
              </w:rPr>
            </w:pPr>
          </w:p>
        </w:tc>
        <w:tc>
          <w:tcPr>
            <w:tcW w:w="6460" w:type="dxa"/>
            <w:vAlign w:val="bottom"/>
            <w:gridSpan w:val="3"/>
          </w:tcPr>
          <w:p>
            <w:pPr>
              <w:jc w:val="right"/>
              <w:ind w:right="2680"/>
              <w:spacing w:after="0"/>
              <w:rPr>
                <w:sz w:val="20"/>
                <w:szCs w:val="20"/>
                <w:color w:val="auto"/>
              </w:rPr>
            </w:pPr>
            <w:r>
              <w:rPr>
                <w:rFonts w:ascii="Arial" w:cs="Arial" w:eastAsia="Arial" w:hAnsi="Arial"/>
                <w:sz w:val="18"/>
                <w:szCs w:val="18"/>
                <w:b w:val="1"/>
                <w:bCs w:val="1"/>
                <w:color w:val="auto"/>
              </w:rPr>
              <w:t>March 31, 2022December 31, 2021</w:t>
            </w:r>
          </w:p>
        </w:tc>
      </w:tr>
      <w:tr>
        <w:trPr>
          <w:trHeight w:val="243"/>
        </w:trPr>
        <w:tc>
          <w:tcPr>
            <w:tcW w:w="47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460" w:type="dxa"/>
            <w:vAlign w:val="bottom"/>
            <w:gridSpan w:val="3"/>
          </w:tcPr>
          <w:p>
            <w:pPr>
              <w:jc w:val="right"/>
              <w:ind w:right="348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Current Assets:</w:t>
            </w:r>
          </w:p>
        </w:tc>
        <w:tc>
          <w:tcPr>
            <w:tcW w:w="2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$ 559,098</w:t>
            </w:r>
          </w:p>
        </w:tc>
        <w:tc>
          <w:tcPr>
            <w:tcW w:w="1200" w:type="dxa"/>
            <w:vAlign w:val="bottom"/>
          </w:tcPr>
          <w:p>
            <w:pPr>
              <w:jc w:val="right"/>
              <w:spacing w:after="0"/>
              <w:rPr>
                <w:sz w:val="20"/>
                <w:szCs w:val="20"/>
                <w:color w:val="auto"/>
              </w:rPr>
            </w:pPr>
            <w:r>
              <w:rPr>
                <w:rFonts w:ascii="Arial" w:cs="Arial" w:eastAsia="Arial" w:hAnsi="Arial"/>
                <w:sz w:val="18"/>
                <w:szCs w:val="18"/>
                <w:color w:val="auto"/>
              </w:rPr>
              <w:t>$ 752,213</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Available for sale investments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1,712</w:t>
            </w:r>
          </w:p>
        </w:tc>
        <w:tc>
          <w:tcPr>
            <w:tcW w:w="1200" w:type="dxa"/>
            <w:vAlign w:val="bottom"/>
          </w:tcPr>
          <w:p>
            <w:pPr>
              <w:jc w:val="right"/>
              <w:spacing w:after="0"/>
              <w:rPr>
                <w:sz w:val="20"/>
                <w:szCs w:val="20"/>
                <w:color w:val="auto"/>
              </w:rPr>
            </w:pPr>
            <w:r>
              <w:rPr>
                <w:rFonts w:ascii="Arial" w:cs="Arial" w:eastAsia="Arial" w:hAnsi="Arial"/>
                <w:sz w:val="18"/>
                <w:szCs w:val="18"/>
                <w:color w:val="auto"/>
              </w:rPr>
              <w:t>1,712</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Accounts receivable, net of allowance for credit losses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1,371,409</w:t>
            </w:r>
          </w:p>
        </w:tc>
        <w:tc>
          <w:tcPr>
            <w:tcW w:w="1200" w:type="dxa"/>
            <w:vAlign w:val="bottom"/>
          </w:tcPr>
          <w:p>
            <w:pPr>
              <w:jc w:val="right"/>
              <w:spacing w:after="0"/>
              <w:rPr>
                <w:sz w:val="20"/>
                <w:szCs w:val="20"/>
                <w:color w:val="auto"/>
              </w:rPr>
            </w:pPr>
            <w:r>
              <w:rPr>
                <w:rFonts w:ascii="Arial" w:cs="Arial" w:eastAsia="Arial" w:hAnsi="Arial"/>
                <w:sz w:val="18"/>
                <w:szCs w:val="18"/>
                <w:color w:val="auto"/>
              </w:rPr>
              <w:t>1,342,770</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Unbilled revenue</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674,509</w:t>
            </w:r>
          </w:p>
        </w:tc>
        <w:tc>
          <w:tcPr>
            <w:tcW w:w="1200" w:type="dxa"/>
            <w:vAlign w:val="bottom"/>
          </w:tcPr>
          <w:p>
            <w:pPr>
              <w:jc w:val="right"/>
              <w:spacing w:after="0"/>
              <w:rPr>
                <w:sz w:val="20"/>
                <w:szCs w:val="20"/>
                <w:color w:val="auto"/>
              </w:rPr>
            </w:pPr>
            <w:r>
              <w:rPr>
                <w:rFonts w:ascii="Arial" w:cs="Arial" w:eastAsia="Arial" w:hAnsi="Arial"/>
                <w:sz w:val="18"/>
                <w:szCs w:val="18"/>
                <w:color w:val="auto"/>
              </w:rPr>
              <w:t>623,121</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Other receivables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60,233</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56,760</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151,140</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114,323</w:t>
            </w: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52,245</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50,299</w:t>
            </w:r>
          </w:p>
        </w:tc>
      </w:tr>
      <w:tr>
        <w:trPr>
          <w:trHeight w:val="230"/>
        </w:trPr>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current assets</w:t>
            </w:r>
          </w:p>
        </w:tc>
        <w:tc>
          <w:tcPr>
            <w:tcW w:w="2580" w:type="dxa"/>
            <w:vAlign w:val="bottom"/>
            <w:tcBorders>
              <w:top w:val="single" w:sz="8" w:color="auto"/>
            </w:tcBorders>
          </w:tcPr>
          <w:p>
            <w:pPr>
              <w:jc w:val="right"/>
              <w:ind w:right="169"/>
              <w:spacing w:after="0"/>
              <w:rPr>
                <w:sz w:val="20"/>
                <w:szCs w:val="20"/>
                <w:color w:val="auto"/>
              </w:rPr>
            </w:pPr>
            <w:r>
              <w:rPr>
                <w:rFonts w:ascii="Arial" w:cs="Arial" w:eastAsia="Arial" w:hAnsi="Arial"/>
                <w:sz w:val="18"/>
                <w:szCs w:val="18"/>
                <w:color w:val="auto"/>
              </w:rPr>
              <w:t>2,870,346</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2,941,198</w:t>
            </w:r>
          </w:p>
        </w:tc>
        <w:tc>
          <w:tcPr>
            <w:tcW w:w="2680" w:type="dxa"/>
            <w:vAlign w:val="bottom"/>
          </w:tcPr>
          <w:p>
            <w:pPr>
              <w:spacing w:after="0"/>
              <w:rPr>
                <w:sz w:val="20"/>
                <w:szCs w:val="20"/>
                <w:color w:val="auto"/>
              </w:rPr>
            </w:pPr>
          </w:p>
        </w:tc>
      </w:tr>
      <w:tr>
        <w:trPr>
          <w:trHeight w:val="485"/>
        </w:trPr>
        <w:tc>
          <w:tcPr>
            <w:tcW w:w="4780" w:type="dxa"/>
            <w:vAlign w:val="bottom"/>
          </w:tcPr>
          <w:p>
            <w:pPr>
              <w:spacing w:after="0"/>
              <w:rPr>
                <w:sz w:val="20"/>
                <w:szCs w:val="20"/>
                <w:color w:val="auto"/>
              </w:rPr>
            </w:pPr>
            <w:r>
              <w:rPr>
                <w:rFonts w:ascii="Arial" w:cs="Arial" w:eastAsia="Arial" w:hAnsi="Arial"/>
                <w:sz w:val="18"/>
                <w:szCs w:val="18"/>
                <w:color w:val="auto"/>
              </w:rPr>
              <w:t>Non-current Assets:</w:t>
            </w:r>
          </w:p>
        </w:tc>
        <w:tc>
          <w:tcPr>
            <w:tcW w:w="2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322,546</w:t>
            </w:r>
          </w:p>
        </w:tc>
        <w:tc>
          <w:tcPr>
            <w:tcW w:w="1200" w:type="dxa"/>
            <w:vAlign w:val="bottom"/>
          </w:tcPr>
          <w:p>
            <w:pPr>
              <w:jc w:val="right"/>
              <w:spacing w:after="0"/>
              <w:rPr>
                <w:sz w:val="20"/>
                <w:szCs w:val="20"/>
                <w:color w:val="auto"/>
              </w:rPr>
            </w:pPr>
            <w:r>
              <w:rPr>
                <w:rFonts w:ascii="Arial" w:cs="Arial" w:eastAsia="Arial" w:hAnsi="Arial"/>
                <w:sz w:val="18"/>
                <w:szCs w:val="18"/>
                <w:color w:val="auto"/>
              </w:rPr>
              <w:t>336,444</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9,027,983</w:t>
            </w:r>
          </w:p>
        </w:tc>
        <w:tc>
          <w:tcPr>
            <w:tcW w:w="1200" w:type="dxa"/>
            <w:vAlign w:val="bottom"/>
          </w:tcPr>
          <w:p>
            <w:pPr>
              <w:jc w:val="right"/>
              <w:spacing w:after="0"/>
              <w:rPr>
                <w:sz w:val="20"/>
                <w:szCs w:val="20"/>
                <w:color w:val="auto"/>
              </w:rPr>
            </w:pPr>
            <w:r>
              <w:rPr>
                <w:rFonts w:ascii="Arial" w:cs="Arial" w:eastAsia="Arial" w:hAnsi="Arial"/>
                <w:sz w:val="18"/>
                <w:szCs w:val="18"/>
                <w:color w:val="auto"/>
              </w:rPr>
              <w:t>9,037,931</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Intangible assets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4,592,587</w:t>
            </w:r>
          </w:p>
        </w:tc>
        <w:tc>
          <w:tcPr>
            <w:tcW w:w="1200" w:type="dxa"/>
            <w:vAlign w:val="bottom"/>
          </w:tcPr>
          <w:p>
            <w:pPr>
              <w:jc w:val="right"/>
              <w:spacing w:after="0"/>
              <w:rPr>
                <w:sz w:val="20"/>
                <w:szCs w:val="20"/>
                <w:color w:val="auto"/>
              </w:rPr>
            </w:pPr>
            <w:r>
              <w:rPr>
                <w:rFonts w:ascii="Arial" w:cs="Arial" w:eastAsia="Arial" w:hAnsi="Arial"/>
                <w:sz w:val="18"/>
                <w:szCs w:val="18"/>
                <w:color w:val="auto"/>
              </w:rPr>
              <w:t>4,710,843</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187,295</w:t>
            </w:r>
          </w:p>
        </w:tc>
        <w:tc>
          <w:tcPr>
            <w:tcW w:w="1200" w:type="dxa"/>
            <w:vAlign w:val="bottom"/>
          </w:tcPr>
          <w:p>
            <w:pPr>
              <w:jc w:val="right"/>
              <w:spacing w:after="0"/>
              <w:rPr>
                <w:sz w:val="20"/>
                <w:szCs w:val="20"/>
                <w:color w:val="auto"/>
              </w:rPr>
            </w:pPr>
            <w:r>
              <w:rPr>
                <w:rFonts w:ascii="Arial" w:cs="Arial" w:eastAsia="Arial" w:hAnsi="Arial"/>
                <w:sz w:val="18"/>
                <w:szCs w:val="18"/>
                <w:color w:val="auto"/>
              </w:rPr>
              <w:t>198,123</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Other receivables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66,310</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70,557</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13,841</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18,637</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Deferred tax asset</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54,362</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48,392</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1,588</w:t>
            </w:r>
          </w:p>
        </w:tc>
        <w:tc>
          <w:tcPr>
            <w:tcW w:w="1200" w:type="dxa"/>
            <w:vAlign w:val="bottom"/>
          </w:tcPr>
          <w:p>
            <w:pPr>
              <w:jc w:val="right"/>
              <w:spacing w:after="0"/>
              <w:rPr>
                <w:sz w:val="20"/>
                <w:szCs w:val="20"/>
                <w:color w:val="auto"/>
              </w:rPr>
            </w:pPr>
            <w:r>
              <w:rPr>
                <w:rFonts w:ascii="Arial" w:cs="Arial" w:eastAsia="Arial" w:hAnsi="Arial"/>
                <w:sz w:val="18"/>
                <w:szCs w:val="18"/>
                <w:color w:val="auto"/>
              </w:rPr>
              <w:t>2,373</w:t>
            </w:r>
          </w:p>
        </w:tc>
        <w:tc>
          <w:tcPr>
            <w:tcW w:w="2680" w:type="dxa"/>
            <w:vAlign w:val="bottom"/>
          </w:tcPr>
          <w:p>
            <w:pPr>
              <w:spacing w:after="0"/>
              <w:rPr>
                <w:sz w:val="21"/>
                <w:szCs w:val="21"/>
                <w:color w:val="auto"/>
              </w:rPr>
            </w:pP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Investments in equity- long term</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25,996</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22,592</w:t>
            </w:r>
          </w:p>
        </w:tc>
      </w:tr>
      <w:tr>
        <w:trPr>
          <w:trHeight w:val="237"/>
        </w:trPr>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8"/>
                <w:szCs w:val="18"/>
                <w:color w:val="auto"/>
              </w:rPr>
              <w:t>$ 17,162,854</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$ 17,387,090</w:t>
            </w:r>
          </w:p>
        </w:tc>
        <w:tc>
          <w:tcPr>
            <w:tcW w:w="2680" w:type="dxa"/>
            <w:vAlign w:val="bottom"/>
          </w:tcPr>
          <w:p>
            <w:pPr>
              <w:spacing w:after="0"/>
              <w:rPr>
                <w:sz w:val="20"/>
                <w:szCs w:val="20"/>
                <w:color w:val="auto"/>
              </w:rPr>
            </w:pPr>
          </w:p>
        </w:tc>
      </w:t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38"/>
        </w:trPr>
        <w:tc>
          <w:tcPr>
            <w:tcW w:w="478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Accounts payable</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$ 63,508</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$ 90,764</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Unearned revenue</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1,300,980</w:t>
            </w:r>
          </w:p>
        </w:tc>
        <w:tc>
          <w:tcPr>
            <w:tcW w:w="1200" w:type="dxa"/>
            <w:vAlign w:val="bottom"/>
          </w:tcPr>
          <w:p>
            <w:pPr>
              <w:jc w:val="right"/>
              <w:spacing w:after="0"/>
              <w:rPr>
                <w:sz w:val="20"/>
                <w:szCs w:val="20"/>
                <w:color w:val="auto"/>
              </w:rPr>
            </w:pPr>
            <w:r>
              <w:rPr>
                <w:rFonts w:ascii="Arial" w:cs="Arial" w:eastAsia="Arial" w:hAnsi="Arial"/>
                <w:sz w:val="18"/>
                <w:szCs w:val="18"/>
                <w:color w:val="auto"/>
              </w:rPr>
              <w:t>1,323,961</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Other liabilities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1,081,150</w:t>
            </w:r>
          </w:p>
        </w:tc>
        <w:tc>
          <w:tcPr>
            <w:tcW w:w="1200" w:type="dxa"/>
            <w:vAlign w:val="bottom"/>
          </w:tcPr>
          <w:p>
            <w:pPr>
              <w:jc w:val="right"/>
              <w:spacing w:after="0"/>
              <w:rPr>
                <w:sz w:val="20"/>
                <w:szCs w:val="20"/>
                <w:color w:val="auto"/>
              </w:rPr>
            </w:pPr>
            <w:r>
              <w:rPr>
                <w:rFonts w:ascii="Arial" w:cs="Arial" w:eastAsia="Arial" w:hAnsi="Arial"/>
                <w:sz w:val="18"/>
                <w:szCs w:val="18"/>
                <w:color w:val="auto"/>
              </w:rPr>
              <w:t>949,629</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Income taxes payable</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40,644</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59,433</w:t>
            </w:r>
          </w:p>
        </w:tc>
      </w:tr>
      <w:tr>
        <w:trPr>
          <w:trHeight w:val="250"/>
        </w:trPr>
        <w:tc>
          <w:tcPr>
            <w:tcW w:w="4780" w:type="dxa"/>
            <w:vAlign w:val="bottom"/>
          </w:tcPr>
          <w:p>
            <w:pPr>
              <w:spacing w:after="0"/>
              <w:rPr>
                <w:sz w:val="20"/>
                <w:szCs w:val="20"/>
                <w:color w:val="auto"/>
              </w:rPr>
            </w:pPr>
            <w:r>
              <w:rPr>
                <w:rFonts w:ascii="Arial" w:cs="Arial" w:eastAsia="Arial" w:hAnsi="Arial"/>
                <w:sz w:val="18"/>
                <w:szCs w:val="18"/>
                <w:color w:val="auto"/>
              </w:rPr>
              <w:t>Current bank credit lines and loan facilities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55,150</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55,150</w:t>
            </w:r>
          </w:p>
        </w:tc>
      </w:tr>
      <w:tr>
        <w:trPr>
          <w:trHeight w:val="230"/>
        </w:trPr>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current liabilities</w:t>
            </w:r>
          </w:p>
        </w:tc>
        <w:tc>
          <w:tcPr>
            <w:tcW w:w="2580" w:type="dxa"/>
            <w:vAlign w:val="bottom"/>
            <w:tcBorders>
              <w:top w:val="single" w:sz="8" w:color="auto"/>
            </w:tcBorders>
          </w:tcPr>
          <w:p>
            <w:pPr>
              <w:jc w:val="right"/>
              <w:ind w:right="169"/>
              <w:spacing w:after="0"/>
              <w:rPr>
                <w:sz w:val="20"/>
                <w:szCs w:val="20"/>
                <w:color w:val="auto"/>
              </w:rPr>
            </w:pPr>
            <w:r>
              <w:rPr>
                <w:rFonts w:ascii="Arial" w:cs="Arial" w:eastAsia="Arial" w:hAnsi="Arial"/>
                <w:sz w:val="18"/>
                <w:szCs w:val="18"/>
                <w:color w:val="auto"/>
              </w:rPr>
              <w:t>2,541,432</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2,478,937</w:t>
            </w:r>
          </w:p>
        </w:tc>
        <w:tc>
          <w:tcPr>
            <w:tcW w:w="2680" w:type="dxa"/>
            <w:vAlign w:val="bottom"/>
          </w:tcPr>
          <w:p>
            <w:pPr>
              <w:spacing w:after="0"/>
              <w:rPr>
                <w:sz w:val="20"/>
                <w:szCs w:val="20"/>
                <w:color w:val="auto"/>
              </w:rPr>
            </w:pPr>
          </w:p>
        </w:tc>
      </w:tr>
      <w:tr>
        <w:trPr>
          <w:trHeight w:val="242"/>
        </w:trPr>
        <w:tc>
          <w:tcPr>
            <w:tcW w:w="4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Bank credit lines and loan facilities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5,086,943</w:t>
            </w:r>
          </w:p>
        </w:tc>
        <w:tc>
          <w:tcPr>
            <w:tcW w:w="1200" w:type="dxa"/>
            <w:vAlign w:val="bottom"/>
          </w:tcPr>
          <w:p>
            <w:pPr>
              <w:jc w:val="right"/>
              <w:spacing w:after="0"/>
              <w:rPr>
                <w:sz w:val="20"/>
                <w:szCs w:val="20"/>
                <w:color w:val="auto"/>
              </w:rPr>
            </w:pPr>
            <w:r>
              <w:rPr>
                <w:rFonts w:ascii="Arial" w:cs="Arial" w:eastAsia="Arial" w:hAnsi="Arial"/>
                <w:sz w:val="18"/>
                <w:szCs w:val="18"/>
                <w:color w:val="auto"/>
              </w:rPr>
              <w:t>5,381,162</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Lease liabilities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154,345</w:t>
            </w:r>
          </w:p>
        </w:tc>
        <w:tc>
          <w:tcPr>
            <w:tcW w:w="1200" w:type="dxa"/>
            <w:vAlign w:val="bottom"/>
          </w:tcPr>
          <w:p>
            <w:pPr>
              <w:jc w:val="right"/>
              <w:spacing w:after="0"/>
              <w:rPr>
                <w:sz w:val="20"/>
                <w:szCs w:val="20"/>
                <w:color w:val="auto"/>
              </w:rPr>
            </w:pPr>
            <w:r>
              <w:rPr>
                <w:rFonts w:ascii="Arial" w:cs="Arial" w:eastAsia="Arial" w:hAnsi="Arial"/>
                <w:sz w:val="18"/>
                <w:szCs w:val="18"/>
                <w:color w:val="auto"/>
              </w:rPr>
              <w:t>159,483</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Other liabilities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38,170</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42,596</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Income taxes payable</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214,748</w:t>
            </w:r>
          </w:p>
        </w:tc>
        <w:tc>
          <w:tcPr>
            <w:tcW w:w="1200" w:type="dxa"/>
            <w:vAlign w:val="bottom"/>
          </w:tcPr>
          <w:p>
            <w:pPr>
              <w:jc w:val="right"/>
              <w:spacing w:after="0"/>
              <w:rPr>
                <w:sz w:val="20"/>
                <w:szCs w:val="20"/>
                <w:color w:val="auto"/>
              </w:rPr>
            </w:pPr>
            <w:r>
              <w:rPr>
                <w:rFonts w:ascii="Arial" w:cs="Arial" w:eastAsia="Arial" w:hAnsi="Arial"/>
                <w:sz w:val="18"/>
                <w:szCs w:val="18"/>
                <w:color w:val="auto"/>
              </w:rPr>
              <w:t>172,109</w:t>
            </w:r>
          </w:p>
        </w:tc>
        <w:tc>
          <w:tcPr>
            <w:tcW w:w="2680" w:type="dxa"/>
            <w:vAlign w:val="bottom"/>
          </w:tcPr>
          <w:p>
            <w:pPr>
              <w:spacing w:after="0"/>
              <w:rPr>
                <w:sz w:val="21"/>
                <w:szCs w:val="21"/>
                <w:color w:val="auto"/>
              </w:rPr>
            </w:pPr>
          </w:p>
        </w:tc>
      </w:tr>
      <w:tr>
        <w:trPr>
          <w:trHeight w:val="25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liability</w:t>
            </w:r>
          </w:p>
        </w:tc>
        <w:tc>
          <w:tcPr>
            <w:tcW w:w="258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color w:val="auto"/>
              </w:rPr>
              <w:t>1,057,899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1,085,976</w:t>
            </w:r>
          </w:p>
        </w:tc>
        <w:tc>
          <w:tcPr>
            <w:tcW w:w="2680" w:type="dxa"/>
            <w:vAlign w:val="bottom"/>
          </w:tcPr>
          <w:p>
            <w:pPr>
              <w:spacing w:after="0"/>
              <w:rPr>
                <w:sz w:val="21"/>
                <w:szCs w:val="21"/>
                <w:color w:val="auto"/>
              </w:rPr>
            </w:pP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258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color w:val="auto"/>
              </w:rPr>
              <w:t>9,093,537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9,320,263</w:t>
            </w:r>
          </w:p>
        </w:tc>
        <w:tc>
          <w:tcPr>
            <w:tcW w:w="2680" w:type="dxa"/>
            <w:vAlign w:val="bottom"/>
          </w:tcPr>
          <w:p>
            <w:pPr>
              <w:spacing w:after="0"/>
              <w:rPr>
                <w:sz w:val="20"/>
                <w:szCs w:val="20"/>
                <w:color w:val="auto"/>
              </w:rPr>
            </w:pPr>
          </w:p>
        </w:tc>
      </w:tr>
      <w:tr>
        <w:trPr>
          <w:trHeight w:val="472"/>
        </w:trPr>
        <w:tc>
          <w:tcPr>
            <w:tcW w:w="4780" w:type="dxa"/>
            <w:vAlign w:val="bottom"/>
          </w:tcPr>
          <w:p>
            <w:pPr>
              <w:spacing w:after="0"/>
              <w:rPr>
                <w:sz w:val="20"/>
                <w:szCs w:val="20"/>
                <w:color w:val="auto"/>
              </w:rPr>
            </w:pPr>
            <w:r>
              <w:rPr>
                <w:rFonts w:ascii="Arial" w:cs="Arial" w:eastAsia="Arial" w:hAnsi="Arial"/>
                <w:sz w:val="18"/>
                <w:szCs w:val="18"/>
                <w:color w:val="auto"/>
              </w:rPr>
              <w:t>Shareholders' Equity:</w:t>
            </w:r>
          </w:p>
        </w:tc>
        <w:tc>
          <w:tcPr>
            <w:tcW w:w="2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3"/>
        </w:trPr>
        <w:tc>
          <w:tcPr>
            <w:tcW w:w="7360" w:type="dxa"/>
            <w:vAlign w:val="bottom"/>
            <w:gridSpan w:val="2"/>
          </w:tcPr>
          <w:p>
            <w:pPr>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20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w w:val="90"/>
              </w:rPr>
              <w:t>81,293,012 shares issued and outstanding at March 31, 2022 and</w:t>
            </w:r>
          </w:p>
        </w:tc>
        <w:tc>
          <w:tcPr>
            <w:tcW w:w="2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w w:val="91"/>
              </w:rPr>
              <w:t>81,554,683 shares issued and outstanding at December 31, 2021</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6,622</w:t>
            </w:r>
          </w:p>
        </w:tc>
        <w:tc>
          <w:tcPr>
            <w:tcW w:w="1200" w:type="dxa"/>
            <w:vAlign w:val="bottom"/>
          </w:tcPr>
          <w:p>
            <w:pPr>
              <w:jc w:val="right"/>
              <w:spacing w:after="0"/>
              <w:rPr>
                <w:sz w:val="20"/>
                <w:szCs w:val="20"/>
                <w:color w:val="auto"/>
              </w:rPr>
            </w:pPr>
            <w:r>
              <w:rPr>
                <w:rFonts w:ascii="Arial" w:cs="Arial" w:eastAsia="Arial" w:hAnsi="Arial"/>
                <w:sz w:val="18"/>
                <w:szCs w:val="18"/>
                <w:color w:val="auto"/>
              </w:rPr>
              <w:t>$ 6,640</w:t>
            </w:r>
          </w:p>
        </w:tc>
        <w:tc>
          <w:tcPr>
            <w:tcW w:w="2680" w:type="dxa"/>
            <w:vAlign w:val="bottom"/>
          </w:tcPr>
          <w:p>
            <w:pPr>
              <w:spacing w:after="0"/>
              <w:rPr>
                <w:sz w:val="21"/>
                <w:szCs w:val="21"/>
                <w:color w:val="auto"/>
              </w:rPr>
            </w:pPr>
          </w:p>
        </w:tc>
      </w:tr>
      <w:tr>
        <w:trPr>
          <w:trHeight w:val="243"/>
        </w:trPr>
        <w:tc>
          <w:tcPr>
            <w:tcW w:w="4780" w:type="dxa"/>
            <w:vAlign w:val="bottom"/>
          </w:tcPr>
          <w:p>
            <w:pPr>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6,760,238</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$ 6,733,910</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Other undenominated capital</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1,162</w:t>
            </w:r>
          </w:p>
        </w:tc>
        <w:tc>
          <w:tcPr>
            <w:tcW w:w="1200" w:type="dxa"/>
            <w:vAlign w:val="bottom"/>
          </w:tcPr>
          <w:p>
            <w:pPr>
              <w:jc w:val="right"/>
              <w:spacing w:after="0"/>
              <w:rPr>
                <w:sz w:val="20"/>
                <w:szCs w:val="20"/>
                <w:color w:val="auto"/>
              </w:rPr>
            </w:pPr>
            <w:r>
              <w:rPr>
                <w:rFonts w:ascii="Arial" w:cs="Arial" w:eastAsia="Arial" w:hAnsi="Arial"/>
                <w:sz w:val="18"/>
                <w:szCs w:val="18"/>
                <w:color w:val="auto"/>
              </w:rPr>
              <w:t>1,134</w:t>
            </w:r>
          </w:p>
        </w:tc>
        <w:tc>
          <w:tcPr>
            <w:tcW w:w="2680" w:type="dxa"/>
            <w:vAlign w:val="bottom"/>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(126,755)</w:t>
            </w:r>
          </w:p>
        </w:tc>
        <w:tc>
          <w:tcPr>
            <w:tcW w:w="3880" w:type="dxa"/>
            <w:vAlign w:val="bottom"/>
            <w:gridSpan w:val="2"/>
          </w:tcPr>
          <w:p>
            <w:pPr>
              <w:jc w:val="right"/>
              <w:ind w:right="2680"/>
              <w:spacing w:after="0"/>
              <w:rPr>
                <w:sz w:val="20"/>
                <w:szCs w:val="20"/>
                <w:color w:val="auto"/>
              </w:rPr>
            </w:pPr>
            <w:r>
              <w:rPr>
                <w:rFonts w:ascii="Arial" w:cs="Arial" w:eastAsia="Arial" w:hAnsi="Arial"/>
                <w:sz w:val="18"/>
                <w:szCs w:val="18"/>
                <w:color w:val="auto"/>
              </w:rPr>
              <w:t>(90,937)</w:t>
            </w:r>
          </w:p>
        </w:tc>
      </w:tr>
      <w:tr>
        <w:trPr>
          <w:trHeight w:val="243"/>
        </w:trPr>
        <w:tc>
          <w:tcPr>
            <w:tcW w:w="4780" w:type="dxa"/>
            <w:vAlign w:val="bottom"/>
          </w:tcPr>
          <w:p>
            <w:pPr>
              <w:spacing w:after="0"/>
              <w:rPr>
                <w:sz w:val="20"/>
                <w:szCs w:val="20"/>
                <w:color w:val="auto"/>
              </w:rPr>
            </w:pPr>
            <w:r>
              <w:rPr>
                <w:rFonts w:ascii="Arial" w:cs="Arial" w:eastAsia="Arial" w:hAnsi="Arial"/>
                <w:sz w:val="18"/>
                <w:szCs w:val="18"/>
                <w:color w:val="auto"/>
              </w:rPr>
              <w:t>Retained earnings</w:t>
            </w:r>
          </w:p>
        </w:tc>
        <w:tc>
          <w:tcPr>
            <w:tcW w:w="2580" w:type="dxa"/>
            <w:vAlign w:val="bottom"/>
          </w:tcPr>
          <w:p>
            <w:pPr>
              <w:jc w:val="right"/>
              <w:ind w:right="169"/>
              <w:spacing w:after="0"/>
              <w:rPr>
                <w:sz w:val="20"/>
                <w:szCs w:val="20"/>
                <w:color w:val="auto"/>
              </w:rPr>
            </w:pPr>
            <w:r>
              <w:rPr>
                <w:rFonts w:ascii="Arial" w:cs="Arial" w:eastAsia="Arial" w:hAnsi="Arial"/>
                <w:sz w:val="18"/>
                <w:szCs w:val="18"/>
                <w:color w:val="auto"/>
              </w:rPr>
              <w:t>1,428,050</w:t>
            </w:r>
          </w:p>
        </w:tc>
        <w:tc>
          <w:tcPr>
            <w:tcW w:w="1200" w:type="dxa"/>
            <w:vAlign w:val="bottom"/>
          </w:tcPr>
          <w:p>
            <w:pPr>
              <w:jc w:val="right"/>
              <w:spacing w:after="0"/>
              <w:rPr>
                <w:sz w:val="20"/>
                <w:szCs w:val="20"/>
                <w:color w:val="auto"/>
              </w:rPr>
            </w:pPr>
            <w:r>
              <w:rPr>
                <w:rFonts w:ascii="Arial" w:cs="Arial" w:eastAsia="Arial" w:hAnsi="Arial"/>
                <w:sz w:val="18"/>
                <w:szCs w:val="18"/>
                <w:color w:val="auto"/>
              </w:rPr>
              <w:t>1,416,080</w:t>
            </w:r>
          </w:p>
        </w:tc>
        <w:tc>
          <w:tcPr>
            <w:tcW w:w="2680" w:type="dxa"/>
            <w:vAlign w:val="bottom"/>
          </w:tcPr>
          <w:p>
            <w:pPr>
              <w:spacing w:after="0"/>
              <w:rPr>
                <w:sz w:val="21"/>
                <w:szCs w:val="21"/>
                <w:color w:val="auto"/>
              </w:rPr>
            </w:pPr>
          </w:p>
        </w:tc>
      </w:tr>
      <w:tr>
        <w:trPr>
          <w:trHeight w:val="25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58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color w:val="auto"/>
              </w:rPr>
              <w:t>8,069,317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8,066,827</w:t>
            </w:r>
          </w:p>
        </w:tc>
        <w:tc>
          <w:tcPr>
            <w:tcW w:w="2680" w:type="dxa"/>
            <w:vAlign w:val="bottom"/>
          </w:tcPr>
          <w:p>
            <w:pPr>
              <w:spacing w:after="0"/>
              <w:rPr>
                <w:sz w:val="21"/>
                <w:szCs w:val="21"/>
                <w:color w:val="auto"/>
              </w:rPr>
            </w:pP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Equity</w:t>
            </w:r>
          </w:p>
        </w:tc>
        <w:tc>
          <w:tcPr>
            <w:tcW w:w="258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color w:val="auto"/>
              </w:rPr>
              <w:t>$ 17,162,854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$ 17,387,090</w:t>
            </w:r>
          </w:p>
        </w:tc>
        <w:tc>
          <w:tcPr>
            <w:tcW w:w="2680" w:type="dxa"/>
            <w:vAlign w:val="bottom"/>
          </w:tcPr>
          <w:p>
            <w:pPr>
              <w:spacing w:after="0"/>
              <w:rPr>
                <w:sz w:val="20"/>
                <w:szCs w:val="20"/>
                <w:color w:val="auto"/>
              </w:rPr>
            </w:pPr>
          </w:p>
        </w:tc>
      </w:tr>
      <w:tr>
        <w:trPr>
          <w:trHeight w:val="182"/>
        </w:trPr>
        <w:tc>
          <w:tcPr>
            <w:tcW w:w="47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32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THREE MONTHS ENDED MARCH 31, 2022 AND MARCH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340" w:type="dxa"/>
            <w:vAlign w:val="bottom"/>
          </w:tcPr>
          <w:p>
            <w:pPr>
              <w:spacing w:after="0"/>
              <w:rPr>
                <w:sz w:val="24"/>
                <w:szCs w:val="24"/>
                <w:color w:val="auto"/>
              </w:rPr>
            </w:pPr>
          </w:p>
        </w:tc>
        <w:tc>
          <w:tcPr>
            <w:tcW w:w="2980" w:type="dxa"/>
            <w:vAlign w:val="bottom"/>
          </w:tcPr>
          <w:p>
            <w:pPr>
              <w:jc w:val="right"/>
              <w:ind w:right="889"/>
              <w:spacing w:after="0"/>
              <w:rPr>
                <w:sz w:val="20"/>
                <w:szCs w:val="20"/>
                <w:color w:val="auto"/>
              </w:rPr>
            </w:pPr>
            <w:r>
              <w:rPr>
                <w:rFonts w:ascii="Arial" w:cs="Arial" w:eastAsia="Arial" w:hAnsi="Arial"/>
                <w:sz w:val="22"/>
                <w:szCs w:val="22"/>
                <w:b w:val="1"/>
                <w:bCs w:val="1"/>
                <w:color w:val="auto"/>
              </w:rPr>
              <w:t>(UNAUDITED)</w:t>
            </w:r>
          </w:p>
        </w:tc>
        <w:tc>
          <w:tcPr>
            <w:tcW w:w="9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6"/>
        </w:trPr>
        <w:tc>
          <w:tcPr>
            <w:tcW w:w="4340" w:type="dxa"/>
            <w:vAlign w:val="bottom"/>
          </w:tcPr>
          <w:p>
            <w:pPr>
              <w:spacing w:after="0"/>
              <w:rPr>
                <w:sz w:val="24"/>
                <w:szCs w:val="24"/>
                <w:color w:val="auto"/>
              </w:rPr>
            </w:pPr>
          </w:p>
        </w:tc>
        <w:tc>
          <w:tcPr>
            <w:tcW w:w="690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2"/>
              </w:rPr>
              <w:t>Three Months Ended</w:t>
            </w:r>
          </w:p>
        </w:tc>
      </w:tr>
      <w:tr>
        <w:trPr>
          <w:trHeight w:val="243"/>
        </w:trPr>
        <w:tc>
          <w:tcPr>
            <w:tcW w:w="4340" w:type="dxa"/>
            <w:vAlign w:val="bottom"/>
          </w:tcPr>
          <w:p>
            <w:pPr>
              <w:spacing w:after="0"/>
              <w:rPr>
                <w:sz w:val="21"/>
                <w:szCs w:val="21"/>
                <w:color w:val="auto"/>
              </w:rPr>
            </w:pPr>
          </w:p>
        </w:tc>
        <w:tc>
          <w:tcPr>
            <w:tcW w:w="690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w w:val="94"/>
              </w:rPr>
              <w:t>March 31, 2022March 31, 2021</w:t>
            </w:r>
          </w:p>
        </w:tc>
      </w:tr>
      <w:tr>
        <w:trPr>
          <w:trHeight w:val="243"/>
        </w:trPr>
        <w:tc>
          <w:tcPr>
            <w:tcW w:w="4340" w:type="dxa"/>
            <w:vAlign w:val="bottom"/>
          </w:tcPr>
          <w:p>
            <w:pPr>
              <w:spacing w:after="0"/>
              <w:rPr>
                <w:sz w:val="21"/>
                <w:szCs w:val="21"/>
                <w:color w:val="auto"/>
              </w:rPr>
            </w:pPr>
          </w:p>
        </w:tc>
        <w:tc>
          <w:tcPr>
            <w:tcW w:w="690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87"/>
              </w:rPr>
              <w:t>(in thousands)</w:t>
            </w:r>
          </w:p>
        </w:tc>
      </w:tr>
      <w:tr>
        <w:trPr>
          <w:trHeight w:val="243"/>
        </w:trPr>
        <w:tc>
          <w:tcPr>
            <w:tcW w:w="43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$ 111,970</w:t>
            </w:r>
          </w:p>
        </w:tc>
        <w:tc>
          <w:tcPr>
            <w:tcW w:w="960" w:type="dxa"/>
            <w:vAlign w:val="bottom"/>
          </w:tcPr>
          <w:p>
            <w:pPr>
              <w:jc w:val="right"/>
              <w:spacing w:after="0"/>
              <w:rPr>
                <w:sz w:val="20"/>
                <w:szCs w:val="20"/>
                <w:color w:val="auto"/>
              </w:rPr>
            </w:pPr>
            <w:r>
              <w:rPr>
                <w:rFonts w:ascii="Arial" w:cs="Arial" w:eastAsia="Arial" w:hAnsi="Arial"/>
                <w:sz w:val="18"/>
                <w:szCs w:val="18"/>
                <w:color w:val="auto"/>
              </w:rPr>
              <w:t>$ 97,122</w:t>
            </w:r>
          </w:p>
        </w:tc>
        <w:tc>
          <w:tcPr>
            <w:tcW w:w="2960" w:type="dxa"/>
            <w:vAlign w:val="bottom"/>
          </w:tcPr>
          <w:p>
            <w:pPr>
              <w:spacing w:after="0"/>
              <w:rPr>
                <w:sz w:val="21"/>
                <w:szCs w:val="21"/>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141,405</w:t>
            </w:r>
          </w:p>
        </w:tc>
        <w:tc>
          <w:tcPr>
            <w:tcW w:w="960" w:type="dxa"/>
            <w:vAlign w:val="bottom"/>
          </w:tcPr>
          <w:p>
            <w:pPr>
              <w:jc w:val="right"/>
              <w:spacing w:after="0"/>
              <w:rPr>
                <w:sz w:val="20"/>
                <w:szCs w:val="20"/>
                <w:color w:val="auto"/>
              </w:rPr>
            </w:pPr>
            <w:r>
              <w:rPr>
                <w:rFonts w:ascii="Arial" w:cs="Arial" w:eastAsia="Arial" w:hAnsi="Arial"/>
                <w:sz w:val="18"/>
                <w:szCs w:val="18"/>
                <w:color w:val="auto"/>
              </w:rPr>
              <w:t>19,837</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Impairment of long lived assets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3,574</w:t>
            </w:r>
          </w:p>
        </w:tc>
        <w:tc>
          <w:tcPr>
            <w:tcW w:w="3920" w:type="dxa"/>
            <w:vAlign w:val="bottom"/>
            <w:gridSpan w:val="2"/>
          </w:tcPr>
          <w:p>
            <w:pPr>
              <w:jc w:val="right"/>
              <w:ind w:right="296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Reduction in carrying value of right-of-use assets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13,077</w:t>
            </w:r>
          </w:p>
        </w:tc>
        <w:tc>
          <w:tcPr>
            <w:tcW w:w="960" w:type="dxa"/>
            <w:vAlign w:val="bottom"/>
          </w:tcPr>
          <w:p>
            <w:pPr>
              <w:jc w:val="right"/>
              <w:spacing w:after="0"/>
              <w:rPr>
                <w:sz w:val="20"/>
                <w:szCs w:val="20"/>
                <w:color w:val="auto"/>
              </w:rPr>
            </w:pPr>
            <w:r>
              <w:rPr>
                <w:rFonts w:ascii="Arial" w:cs="Arial" w:eastAsia="Arial" w:hAnsi="Arial"/>
                <w:sz w:val="18"/>
                <w:szCs w:val="18"/>
                <w:color w:val="auto"/>
              </w:rPr>
              <w:t>4,683</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Loss on equity method investments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785</w:t>
            </w: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Charge on interest rate hedge</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Amortization of financing costs and debt discount</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5,781</w:t>
            </w: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18,903</w:t>
            </w:r>
          </w:p>
        </w:tc>
        <w:tc>
          <w:tcPr>
            <w:tcW w:w="960" w:type="dxa"/>
            <w:vAlign w:val="bottom"/>
          </w:tcPr>
          <w:p>
            <w:pPr>
              <w:jc w:val="right"/>
              <w:spacing w:after="0"/>
              <w:rPr>
                <w:sz w:val="20"/>
                <w:szCs w:val="20"/>
                <w:color w:val="auto"/>
              </w:rPr>
            </w:pPr>
            <w:r>
              <w:rPr>
                <w:rFonts w:ascii="Arial" w:cs="Arial" w:eastAsia="Arial" w:hAnsi="Arial"/>
                <w:sz w:val="18"/>
                <w:szCs w:val="18"/>
                <w:color w:val="auto"/>
              </w:rPr>
              <w:t>6,394</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Deferred tax benefit</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(34,702)</w:t>
            </w:r>
          </w:p>
        </w:tc>
        <w:tc>
          <w:tcPr>
            <w:tcW w:w="960" w:type="dxa"/>
            <w:vAlign w:val="bottom"/>
          </w:tcPr>
          <w:p>
            <w:pPr>
              <w:jc w:val="right"/>
              <w:spacing w:after="0"/>
              <w:rPr>
                <w:sz w:val="20"/>
                <w:szCs w:val="20"/>
                <w:color w:val="auto"/>
              </w:rPr>
            </w:pPr>
            <w:r>
              <w:rPr>
                <w:rFonts w:ascii="Arial" w:cs="Arial" w:eastAsia="Arial" w:hAnsi="Arial"/>
                <w:sz w:val="18"/>
                <w:szCs w:val="18"/>
                <w:color w:val="auto"/>
              </w:rPr>
              <w:t>(664)</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Unrealised foreign exchange gain</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(7,323)</w:t>
            </w:r>
          </w:p>
        </w:tc>
        <w:tc>
          <w:tcPr>
            <w:tcW w:w="960" w:type="dxa"/>
            <w:vAlign w:val="bottom"/>
          </w:tcPr>
          <w:p>
            <w:pPr>
              <w:jc w:val="right"/>
              <w:spacing w:after="0"/>
              <w:rPr>
                <w:sz w:val="20"/>
                <w:szCs w:val="20"/>
                <w:color w:val="auto"/>
              </w:rPr>
            </w:pPr>
            <w:r>
              <w:rPr>
                <w:rFonts w:ascii="Arial" w:cs="Arial" w:eastAsia="Arial" w:hAnsi="Arial"/>
                <w:sz w:val="18"/>
                <w:szCs w:val="18"/>
                <w:color w:val="auto"/>
              </w:rPr>
              <w:t>(1,060)</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Other non-cash items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(2,895)</w:t>
            </w: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Accounts receivable</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(35,461)</w:t>
            </w:r>
          </w:p>
        </w:tc>
        <w:tc>
          <w:tcPr>
            <w:tcW w:w="960" w:type="dxa"/>
            <w:vAlign w:val="bottom"/>
          </w:tcPr>
          <w:p>
            <w:pPr>
              <w:jc w:val="right"/>
              <w:spacing w:after="0"/>
              <w:rPr>
                <w:sz w:val="20"/>
                <w:szCs w:val="20"/>
                <w:color w:val="auto"/>
              </w:rPr>
            </w:pPr>
            <w:r>
              <w:rPr>
                <w:rFonts w:ascii="Arial" w:cs="Arial" w:eastAsia="Arial" w:hAnsi="Arial"/>
                <w:sz w:val="18"/>
                <w:szCs w:val="18"/>
                <w:color w:val="auto"/>
              </w:rPr>
              <w:t>52,015</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Unbilled revenue</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(55,427)</w:t>
            </w:r>
          </w:p>
        </w:tc>
        <w:tc>
          <w:tcPr>
            <w:tcW w:w="960" w:type="dxa"/>
            <w:vAlign w:val="bottom"/>
          </w:tcPr>
          <w:p>
            <w:pPr>
              <w:jc w:val="right"/>
              <w:spacing w:after="0"/>
              <w:rPr>
                <w:sz w:val="20"/>
                <w:szCs w:val="20"/>
                <w:color w:val="auto"/>
              </w:rPr>
            </w:pPr>
            <w:r>
              <w:rPr>
                <w:rFonts w:ascii="Arial" w:cs="Arial" w:eastAsia="Arial" w:hAnsi="Arial"/>
                <w:sz w:val="18"/>
                <w:szCs w:val="18"/>
                <w:color w:val="auto"/>
              </w:rPr>
              <w:t>11,796</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Unearned revenue</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(16,812)</w:t>
            </w:r>
          </w:p>
        </w:tc>
        <w:tc>
          <w:tcPr>
            <w:tcW w:w="960" w:type="dxa"/>
            <w:vAlign w:val="bottom"/>
          </w:tcPr>
          <w:p>
            <w:pPr>
              <w:jc w:val="right"/>
              <w:spacing w:after="0"/>
              <w:rPr>
                <w:sz w:val="20"/>
                <w:szCs w:val="20"/>
                <w:color w:val="auto"/>
              </w:rPr>
            </w:pPr>
            <w:r>
              <w:rPr>
                <w:rFonts w:ascii="Arial" w:cs="Arial" w:eastAsia="Arial" w:hAnsi="Arial"/>
                <w:sz w:val="18"/>
                <w:szCs w:val="18"/>
                <w:color w:val="auto"/>
              </w:rPr>
              <w:t>(50,079)</w:t>
            </w:r>
          </w:p>
        </w:tc>
        <w:tc>
          <w:tcPr>
            <w:tcW w:w="2960" w:type="dxa"/>
            <w:vAlign w:val="bottom"/>
          </w:tcPr>
          <w:p>
            <w:pPr>
              <w:spacing w:after="0"/>
              <w:rPr>
                <w:sz w:val="21"/>
                <w:szCs w:val="21"/>
                <w:color w:val="auto"/>
              </w:rPr>
            </w:pPr>
          </w:p>
        </w:tc>
      </w:tr>
      <w:tr>
        <w:trPr>
          <w:trHeight w:val="250"/>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 assets</w:t>
            </w:r>
          </w:p>
        </w:tc>
        <w:tc>
          <w:tcPr>
            <w:tcW w:w="298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color w:val="auto"/>
              </w:rPr>
              <w:t>84,041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(27,849)</w:t>
            </w:r>
          </w:p>
        </w:tc>
        <w:tc>
          <w:tcPr>
            <w:tcW w:w="2960" w:type="dxa"/>
            <w:vAlign w:val="bottom"/>
          </w:tcPr>
          <w:p>
            <w:pPr>
              <w:spacing w:after="0"/>
              <w:rPr>
                <w:sz w:val="21"/>
                <w:szCs w:val="2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226,916</w:t>
            </w:r>
          </w:p>
        </w:tc>
        <w:tc>
          <w:tcPr>
            <w:tcW w:w="960" w:type="dxa"/>
            <w:vAlign w:val="bottom"/>
          </w:tcPr>
          <w:p>
            <w:pPr>
              <w:jc w:val="right"/>
              <w:spacing w:after="0"/>
              <w:rPr>
                <w:sz w:val="20"/>
                <w:szCs w:val="20"/>
                <w:color w:val="auto"/>
              </w:rPr>
            </w:pPr>
            <w:r>
              <w:rPr>
                <w:rFonts w:ascii="Arial" w:cs="Arial" w:eastAsia="Arial" w:hAnsi="Arial"/>
                <w:sz w:val="18"/>
                <w:szCs w:val="18"/>
                <w:color w:val="auto"/>
              </w:rPr>
              <w:t>111,920</w:t>
            </w:r>
          </w:p>
        </w:tc>
        <w:tc>
          <w:tcPr>
            <w:tcW w:w="2960" w:type="dxa"/>
            <w:vAlign w:val="bottom"/>
          </w:tcPr>
          <w:p>
            <w:pPr>
              <w:spacing w:after="0"/>
              <w:rPr>
                <w:sz w:val="20"/>
                <w:szCs w:val="20"/>
                <w:color w:val="auto"/>
              </w:rPr>
            </w:pPr>
          </w:p>
        </w:tc>
      </w:tr>
      <w:tr>
        <w:trPr>
          <w:trHeight w:val="242"/>
        </w:trPr>
        <w:tc>
          <w:tcPr>
            <w:tcW w:w="43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(19,632)</w:t>
            </w:r>
          </w:p>
        </w:tc>
        <w:tc>
          <w:tcPr>
            <w:tcW w:w="960" w:type="dxa"/>
            <w:vAlign w:val="bottom"/>
          </w:tcPr>
          <w:p>
            <w:pPr>
              <w:jc w:val="right"/>
              <w:spacing w:after="0"/>
              <w:rPr>
                <w:sz w:val="20"/>
                <w:szCs w:val="20"/>
                <w:color w:val="auto"/>
              </w:rPr>
            </w:pPr>
            <w:r>
              <w:rPr>
                <w:rFonts w:ascii="Arial" w:cs="Arial" w:eastAsia="Arial" w:hAnsi="Arial"/>
                <w:sz w:val="18"/>
                <w:szCs w:val="18"/>
                <w:color w:val="auto"/>
              </w:rPr>
              <w:t>(8,704)</w:t>
            </w:r>
          </w:p>
        </w:tc>
        <w:tc>
          <w:tcPr>
            <w:tcW w:w="2960" w:type="dxa"/>
            <w:vAlign w:val="bottom"/>
          </w:tcPr>
          <w:p>
            <w:pPr>
              <w:spacing w:after="0"/>
              <w:rPr>
                <w:sz w:val="21"/>
                <w:szCs w:val="21"/>
                <w:color w:val="auto"/>
              </w:rPr>
            </w:pPr>
          </w:p>
        </w:tc>
      </w:tr>
      <w:tr>
        <w:trPr>
          <w:trHeight w:val="250"/>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 (purchase) of investments in equity - long term</w:t>
            </w:r>
          </w:p>
        </w:tc>
        <w:tc>
          <w:tcPr>
            <w:tcW w:w="298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color w:val="auto"/>
              </w:rPr>
              <w:t>96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960" w:type="dxa"/>
            <w:vAlign w:val="bottom"/>
          </w:tcPr>
          <w:p>
            <w:pPr>
              <w:spacing w:after="0"/>
              <w:rPr>
                <w:sz w:val="21"/>
                <w:szCs w:val="2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(19,536)</w:t>
            </w:r>
          </w:p>
        </w:tc>
        <w:tc>
          <w:tcPr>
            <w:tcW w:w="960" w:type="dxa"/>
            <w:vAlign w:val="bottom"/>
          </w:tcPr>
          <w:p>
            <w:pPr>
              <w:jc w:val="right"/>
              <w:spacing w:after="0"/>
              <w:rPr>
                <w:sz w:val="20"/>
                <w:szCs w:val="20"/>
                <w:color w:val="auto"/>
              </w:rPr>
            </w:pPr>
            <w:r>
              <w:rPr>
                <w:rFonts w:ascii="Arial" w:cs="Arial" w:eastAsia="Arial" w:hAnsi="Arial"/>
                <w:sz w:val="18"/>
                <w:szCs w:val="18"/>
                <w:color w:val="auto"/>
              </w:rPr>
              <w:t>(9,303)</w:t>
            </w:r>
          </w:p>
        </w:tc>
        <w:tc>
          <w:tcPr>
            <w:tcW w:w="2960" w:type="dxa"/>
            <w:vAlign w:val="bottom"/>
          </w:tcPr>
          <w:p>
            <w:pPr>
              <w:spacing w:after="0"/>
              <w:rPr>
                <w:sz w:val="20"/>
                <w:szCs w:val="20"/>
                <w:color w:val="auto"/>
              </w:rPr>
            </w:pPr>
          </w:p>
        </w:tc>
      </w:tr>
      <w:tr>
        <w:trPr>
          <w:trHeight w:val="242"/>
        </w:trPr>
        <w:tc>
          <w:tcPr>
            <w:tcW w:w="43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Proceeds from exercise of equity compensation</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7,491</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Share issue costs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960" w:type="dxa"/>
            <w:vAlign w:val="bottom"/>
          </w:tcPr>
          <w:p>
            <w:pPr>
              <w:spacing w:after="0"/>
              <w:rPr>
                <w:sz w:val="21"/>
                <w:szCs w:val="2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(99,983)</w:t>
            </w:r>
          </w:p>
        </w:tc>
        <w:tc>
          <w:tcPr>
            <w:tcW w:w="3920" w:type="dxa"/>
            <w:vAlign w:val="bottom"/>
            <w:gridSpan w:val="2"/>
          </w:tcPr>
          <w:p>
            <w:pPr>
              <w:jc w:val="right"/>
              <w:ind w:right="296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Share repurchase costs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(17)</w:t>
            </w:r>
          </w:p>
        </w:tc>
        <w:tc>
          <w:tcPr>
            <w:tcW w:w="3920" w:type="dxa"/>
            <w:vAlign w:val="bottom"/>
            <w:gridSpan w:val="2"/>
          </w:tcPr>
          <w:p>
            <w:pPr>
              <w:jc w:val="right"/>
              <w:ind w:right="2960"/>
              <w:spacing w:after="0"/>
              <w:rPr>
                <w:sz w:val="20"/>
                <w:szCs w:val="20"/>
                <w:color w:val="auto"/>
              </w:rPr>
            </w:pPr>
            <w:r>
              <w:rPr>
                <w:rFonts w:ascii="Arial" w:cs="Arial" w:eastAsia="Arial" w:hAnsi="Arial"/>
                <w:sz w:val="18"/>
                <w:szCs w:val="18"/>
                <w:color w:val="auto"/>
              </w:rPr>
              <w:t>—</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Repayment of bank credit lines and loan facilities</w:t>
            </w:r>
          </w:p>
        </w:tc>
        <w:tc>
          <w:tcPr>
            <w:tcW w:w="2980" w:type="dxa"/>
            <w:vAlign w:val="bottom"/>
          </w:tcPr>
          <w:p>
            <w:pPr>
              <w:jc w:val="right"/>
              <w:ind w:right="169"/>
              <w:spacing w:after="0"/>
              <w:rPr>
                <w:sz w:val="20"/>
                <w:szCs w:val="20"/>
                <w:color w:val="auto"/>
              </w:rPr>
            </w:pPr>
            <w:r>
              <w:rPr>
                <w:rFonts w:ascii="Arial" w:cs="Arial" w:eastAsia="Arial" w:hAnsi="Arial"/>
                <w:sz w:val="18"/>
                <w:szCs w:val="18"/>
                <w:color w:val="auto"/>
              </w:rPr>
              <w:t>(300,000)</w:t>
            </w:r>
          </w:p>
        </w:tc>
        <w:tc>
          <w:tcPr>
            <w:tcW w:w="3920" w:type="dxa"/>
            <w:vAlign w:val="bottom"/>
            <w:gridSpan w:val="2"/>
          </w:tcPr>
          <w:p>
            <w:pPr>
              <w:jc w:val="right"/>
              <w:ind w:right="2960"/>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cash used in by financing activities</w:t>
            </w:r>
          </w:p>
        </w:tc>
        <w:tc>
          <w:tcPr>
            <w:tcW w:w="2980" w:type="dxa"/>
            <w:vAlign w:val="bottom"/>
            <w:tcBorders>
              <w:top w:val="single" w:sz="8" w:color="auto"/>
            </w:tcBorders>
          </w:tcPr>
          <w:p>
            <w:pPr>
              <w:jc w:val="right"/>
              <w:ind w:right="169"/>
              <w:spacing w:after="0"/>
              <w:rPr>
                <w:sz w:val="20"/>
                <w:szCs w:val="20"/>
                <w:color w:val="auto"/>
              </w:rPr>
            </w:pPr>
            <w:r>
              <w:rPr>
                <w:rFonts w:ascii="Arial" w:cs="Arial" w:eastAsia="Arial" w:hAnsi="Arial"/>
                <w:sz w:val="18"/>
                <w:szCs w:val="18"/>
                <w:color w:val="auto"/>
              </w:rPr>
              <w:t>(392,512)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960" w:type="dxa"/>
            <w:vAlign w:val="bottom"/>
          </w:tcPr>
          <w:p>
            <w:pPr>
              <w:spacing w:after="0"/>
              <w:rPr>
                <w:sz w:val="20"/>
                <w:szCs w:val="20"/>
                <w:color w:val="auto"/>
              </w:rPr>
            </w:pPr>
          </w:p>
        </w:tc>
      </w:tr>
      <w:tr>
        <w:trPr>
          <w:trHeight w:val="249"/>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298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color w:val="auto"/>
              </w:rPr>
              <w:t>(7,983)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960" w:type="dxa"/>
            <w:vAlign w:val="bottom"/>
          </w:tcPr>
          <w:p>
            <w:pPr>
              <w:spacing w:after="0"/>
              <w:rPr>
                <w:sz w:val="21"/>
                <w:szCs w:val="21"/>
                <w:color w:val="auto"/>
              </w:rPr>
            </w:pPr>
          </w:p>
        </w:tc>
      </w:t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980" w:type="dxa"/>
            <w:vAlign w:val="bottom"/>
          </w:tcPr>
          <w:p>
            <w:pPr>
              <w:jc w:val="right"/>
              <w:ind w:right="169"/>
              <w:spacing w:after="0"/>
              <w:rPr>
                <w:sz w:val="20"/>
                <w:szCs w:val="20"/>
                <w:color w:val="auto"/>
              </w:rPr>
            </w:pPr>
            <w:r>
              <w:rPr>
                <w:rFonts w:ascii="Arial" w:cs="Arial" w:eastAsia="Arial" w:hAnsi="Arial"/>
                <w:sz w:val="18"/>
                <w:szCs w:val="18"/>
                <w:b w:val="1"/>
                <w:bCs w:val="1"/>
                <w:color w:val="auto"/>
              </w:rPr>
              <w:t>(193,115)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102,150</w:t>
            </w:r>
          </w:p>
        </w:tc>
        <w:tc>
          <w:tcPr>
            <w:tcW w:w="2960" w:type="dxa"/>
            <w:vAlign w:val="bottom"/>
          </w:tcPr>
          <w:p>
            <w:pPr>
              <w:spacing w:after="0"/>
              <w:rPr>
                <w:sz w:val="20"/>
                <w:szCs w:val="20"/>
                <w:color w:val="auto"/>
              </w:rPr>
            </w:pPr>
          </w:p>
        </w:tc>
      </w:tr>
      <w:tr>
        <w:trPr>
          <w:trHeight w:val="24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98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color w:val="auto"/>
              </w:rPr>
              <w:t>752,213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840,305</w:t>
            </w:r>
          </w:p>
        </w:tc>
        <w:tc>
          <w:tcPr>
            <w:tcW w:w="2960" w:type="dxa"/>
            <w:vAlign w:val="bottom"/>
          </w:tcPr>
          <w:p>
            <w:pPr>
              <w:spacing w:after="0"/>
              <w:rPr>
                <w:sz w:val="21"/>
                <w:szCs w:val="21"/>
                <w:color w:val="auto"/>
              </w:rPr>
            </w:pPr>
          </w:p>
        </w:tc>
      </w:tr>
      <w:tr>
        <w:trPr>
          <w:trHeight w:val="239"/>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98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b w:val="1"/>
                <w:bCs w:val="1"/>
                <w:color w:val="auto"/>
              </w:rPr>
              <w:t>$ 559,098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$ 942,455</w:t>
            </w:r>
          </w:p>
        </w:tc>
        <w:tc>
          <w:tcPr>
            <w:tcW w:w="2960" w:type="dxa"/>
            <w:vAlign w:val="bottom"/>
          </w:tcPr>
          <w:p>
            <w:pPr>
              <w:spacing w:after="0"/>
              <w:rPr>
                <w:sz w:val="20"/>
                <w:szCs w:val="20"/>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67"/>
        </w:trPr>
        <w:tc>
          <w:tcPr>
            <w:tcW w:w="43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8" w:right="339" w:bottom="1440" w:gutter="0" w:footer="0" w:header="0"/>
        </w:sectPr>
      </w:pPr>
    </w:p>
    <w:bookmarkStart w:id="8" w:name="page9"/>
    <w:bookmarkEnd w:id="8"/>
    <w:p>
      <w:pPr>
        <w:jc w:val="center"/>
        <w:spacing w:after="0" w:line="518" w:lineRule="auto"/>
        <w:rPr>
          <w:sz w:val="20"/>
          <w:szCs w:val="20"/>
          <w:color w:val="auto"/>
        </w:rPr>
      </w:pPr>
      <w:r>
        <w:rPr>
          <w:rFonts w:ascii="Arial" w:cs="Arial" w:eastAsia="Arial" w:hAnsi="Arial"/>
          <w:sz w:val="22"/>
          <w:szCs w:val="22"/>
          <w:b w:val="1"/>
          <w:bCs w:val="1"/>
          <w:color w:val="auto"/>
        </w:rPr>
        <w:t>RECONCILIATION OF NON-GAAP MEASURES FOR THE THREE MONTHS ENDED MARCH 31, 2022 AND MARCH 31, 2021 (UNAUDITED)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2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r>
      <w:tr>
        <w:trPr>
          <w:trHeight w:val="243"/>
        </w:trPr>
        <w:tc>
          <w:tcPr>
            <w:tcW w:w="8020" w:type="dxa"/>
            <w:vAlign w:val="bottom"/>
          </w:tcPr>
          <w:p>
            <w:pPr>
              <w:spacing w:after="0"/>
              <w:rPr>
                <w:sz w:val="21"/>
                <w:szCs w:val="21"/>
                <w:color w:val="auto"/>
              </w:rPr>
            </w:pPr>
          </w:p>
        </w:tc>
        <w:tc>
          <w:tcPr>
            <w:tcW w:w="1860" w:type="dxa"/>
            <w:vAlign w:val="bottom"/>
          </w:tcPr>
          <w:p>
            <w:pPr>
              <w:jc w:val="right"/>
              <w:ind w:right="90"/>
              <w:spacing w:after="0"/>
              <w:rPr>
                <w:sz w:val="20"/>
                <w:szCs w:val="20"/>
                <w:color w:val="auto"/>
              </w:rPr>
            </w:pPr>
            <w:r>
              <w:rPr>
                <w:rFonts w:ascii="Arial" w:cs="Arial" w:eastAsia="Arial" w:hAnsi="Arial"/>
                <w:sz w:val="18"/>
                <w:szCs w:val="18"/>
                <w:b w:val="1"/>
                <w:bCs w:val="1"/>
                <w:color w:val="auto"/>
              </w:rPr>
              <w:t>March 31, 2022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March 31, 2021</w:t>
            </w:r>
          </w:p>
        </w:tc>
      </w:tr>
      <w:tr>
        <w:trPr>
          <w:trHeight w:val="225"/>
        </w:trPr>
        <w:tc>
          <w:tcPr>
            <w:tcW w:w="8020" w:type="dxa"/>
            <w:vAlign w:val="bottom"/>
          </w:tcPr>
          <w:p>
            <w:pPr>
              <w:spacing w:after="0"/>
              <w:rPr>
                <w:sz w:val="19"/>
                <w:szCs w:val="19"/>
                <w:color w:val="auto"/>
              </w:rPr>
            </w:pPr>
          </w:p>
        </w:tc>
        <w:tc>
          <w:tcPr>
            <w:tcW w:w="32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7"/>
              </w:rPr>
              <w:t>(in thousands except share and per</w:t>
            </w:r>
          </w:p>
        </w:tc>
      </w:tr>
      <w:tr>
        <w:trPr>
          <w:trHeight w:val="234"/>
        </w:trPr>
        <w:tc>
          <w:tcPr>
            <w:tcW w:w="8020" w:type="dxa"/>
            <w:vAlign w:val="bottom"/>
          </w:tcPr>
          <w:p>
            <w:pPr>
              <w:spacing w:after="0"/>
              <w:rPr>
                <w:sz w:val="20"/>
                <w:szCs w:val="20"/>
                <w:color w:val="auto"/>
              </w:rPr>
            </w:pPr>
          </w:p>
        </w:tc>
        <w:tc>
          <w:tcPr>
            <w:tcW w:w="32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share data)</w:t>
            </w:r>
          </w:p>
        </w:tc>
      </w:tr>
      <w:tr>
        <w:trPr>
          <w:trHeight w:val="486"/>
        </w:trPr>
        <w:tc>
          <w:tcPr>
            <w:tcW w:w="80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802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$ 111,970</w:t>
            </w:r>
          </w:p>
        </w:tc>
        <w:tc>
          <w:tcPr>
            <w:tcW w:w="1360" w:type="dxa"/>
            <w:vAlign w:val="bottom"/>
          </w:tcPr>
          <w:p>
            <w:pPr>
              <w:jc w:val="right"/>
              <w:spacing w:after="0"/>
              <w:rPr>
                <w:sz w:val="20"/>
                <w:szCs w:val="20"/>
                <w:color w:val="auto"/>
              </w:rPr>
            </w:pPr>
            <w:r>
              <w:rPr>
                <w:rFonts w:ascii="Arial" w:cs="Arial" w:eastAsia="Arial" w:hAnsi="Arial"/>
                <w:sz w:val="18"/>
                <w:szCs w:val="18"/>
                <w:color w:val="auto"/>
              </w:rPr>
              <w:t>$ 97,122</w:t>
            </w:r>
          </w:p>
        </w:tc>
      </w:tr>
      <w:tr>
        <w:trPr>
          <w:trHeight w:val="243"/>
        </w:trPr>
        <w:tc>
          <w:tcPr>
            <w:tcW w:w="802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785</w:t>
            </w: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8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13,286</w:t>
            </w:r>
          </w:p>
        </w:tc>
        <w:tc>
          <w:tcPr>
            <w:tcW w:w="1360" w:type="dxa"/>
            <w:vAlign w:val="bottom"/>
          </w:tcPr>
          <w:p>
            <w:pPr>
              <w:jc w:val="right"/>
              <w:spacing w:after="0"/>
              <w:rPr>
                <w:sz w:val="20"/>
                <w:szCs w:val="20"/>
                <w:color w:val="auto"/>
              </w:rPr>
            </w:pPr>
            <w:r>
              <w:rPr>
                <w:rFonts w:ascii="Arial" w:cs="Arial" w:eastAsia="Arial" w:hAnsi="Arial"/>
                <w:sz w:val="18"/>
                <w:szCs w:val="18"/>
                <w:color w:val="auto"/>
              </w:rPr>
              <w:t>16,148</w:t>
            </w:r>
          </w:p>
        </w:tc>
      </w:tr>
      <w:tr>
        <w:trPr>
          <w:trHeight w:val="256"/>
        </w:trPr>
        <w:tc>
          <w:tcPr>
            <w:tcW w:w="8020" w:type="dxa"/>
            <w:vAlign w:val="bottom"/>
          </w:tcPr>
          <w:p>
            <w:pPr>
              <w:spacing w:after="0" w:line="255" w:lineRule="exact"/>
              <w:rPr>
                <w:sz w:val="20"/>
                <w:szCs w:val="20"/>
                <w:color w:val="auto"/>
              </w:rPr>
            </w:pPr>
            <w:r>
              <w:rPr>
                <w:rFonts w:ascii="Arial" w:cs="Arial" w:eastAsia="Arial" w:hAnsi="Arial"/>
                <w:sz w:val="18"/>
                <w:szCs w:val="18"/>
                <w:color w:val="auto"/>
              </w:rPr>
              <w:t xml:space="preserve">Net interest expense </w:t>
            </w:r>
            <w:r>
              <w:rPr>
                <w:rFonts w:ascii="Arial" w:cs="Arial" w:eastAsia="Arial" w:hAnsi="Arial"/>
                <w:sz w:val="29"/>
                <w:szCs w:val="29"/>
                <w:color w:val="auto"/>
                <w:vertAlign w:val="superscript"/>
              </w:rPr>
              <w:t>(a)</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44,298</w:t>
            </w:r>
          </w:p>
        </w:tc>
        <w:tc>
          <w:tcPr>
            <w:tcW w:w="1360" w:type="dxa"/>
            <w:vAlign w:val="bottom"/>
          </w:tcPr>
          <w:p>
            <w:pPr>
              <w:jc w:val="right"/>
              <w:spacing w:after="0"/>
              <w:rPr>
                <w:sz w:val="20"/>
                <w:szCs w:val="20"/>
                <w:color w:val="auto"/>
              </w:rPr>
            </w:pPr>
            <w:r>
              <w:rPr>
                <w:rFonts w:ascii="Arial" w:cs="Arial" w:eastAsia="Arial" w:hAnsi="Arial"/>
                <w:sz w:val="18"/>
                <w:szCs w:val="18"/>
                <w:color w:val="auto"/>
              </w:rPr>
              <w:t>2,470</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141,405</w:t>
            </w:r>
          </w:p>
        </w:tc>
        <w:tc>
          <w:tcPr>
            <w:tcW w:w="1360" w:type="dxa"/>
            <w:vAlign w:val="bottom"/>
          </w:tcPr>
          <w:p>
            <w:pPr>
              <w:jc w:val="right"/>
              <w:spacing w:after="0"/>
              <w:rPr>
                <w:sz w:val="20"/>
                <w:szCs w:val="20"/>
                <w:color w:val="auto"/>
              </w:rPr>
            </w:pPr>
            <w:r>
              <w:rPr>
                <w:rFonts w:ascii="Arial" w:cs="Arial" w:eastAsia="Arial" w:hAnsi="Arial"/>
                <w:sz w:val="18"/>
                <w:szCs w:val="18"/>
                <w:color w:val="auto"/>
              </w:rPr>
              <w:t>17,405</w:t>
            </w:r>
          </w:p>
        </w:tc>
      </w:tr>
      <w:tr>
        <w:trPr>
          <w:trHeight w:val="246"/>
        </w:trPr>
        <w:tc>
          <w:tcPr>
            <w:tcW w:w="802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(b)</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19,220</w:t>
            </w:r>
          </w:p>
        </w:tc>
        <w:tc>
          <w:tcPr>
            <w:tcW w:w="1360" w:type="dxa"/>
            <w:vAlign w:val="bottom"/>
          </w:tcPr>
          <w:p>
            <w:pPr>
              <w:jc w:val="right"/>
              <w:spacing w:after="0"/>
              <w:rPr>
                <w:sz w:val="20"/>
                <w:szCs w:val="20"/>
                <w:color w:val="auto"/>
              </w:rPr>
            </w:pPr>
            <w:r>
              <w:rPr>
                <w:rFonts w:ascii="Arial" w:cs="Arial" w:eastAsia="Arial" w:hAnsi="Arial"/>
                <w:sz w:val="18"/>
                <w:szCs w:val="18"/>
                <w:color w:val="auto"/>
              </w:rPr>
              <w:t>6,835</w:t>
            </w:r>
          </w:p>
        </w:tc>
      </w:tr>
      <w:tr>
        <w:trPr>
          <w:trHeight w:val="243"/>
        </w:trPr>
        <w:tc>
          <w:tcPr>
            <w:tcW w:w="802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(c)</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(6,646)</w:t>
            </w:r>
          </w:p>
        </w:tc>
        <w:tc>
          <w:tcPr>
            <w:tcW w:w="136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43"/>
        </w:trPr>
        <w:tc>
          <w:tcPr>
            <w:tcW w:w="802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(d)</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4,207</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802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Transaction-related / integration-related costs </w:t>
            </w:r>
            <w:r>
              <w:rPr>
                <w:rFonts w:ascii="Arial" w:cs="Arial" w:eastAsia="Arial" w:hAnsi="Arial"/>
                <w:sz w:val="29"/>
                <w:szCs w:val="29"/>
                <w:color w:val="auto"/>
                <w:vertAlign w:val="superscript"/>
              </w:rPr>
              <w:t>(e)</w:t>
            </w: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12,085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12,501</w:t>
            </w:r>
          </w:p>
        </w:tc>
      </w:tr>
      <w:tr>
        <w:trPr>
          <w:trHeight w:val="232"/>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$ 340,610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$ 151,695</w:t>
            </w: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39"/>
        </w:trPr>
        <w:tc>
          <w:tcPr>
            <w:tcW w:w="8020" w:type="dxa"/>
            <w:vAlign w:val="bottom"/>
          </w:tcPr>
          <w:p>
            <w:pPr>
              <w:spacing w:after="0"/>
              <w:rPr>
                <w:sz w:val="20"/>
                <w:szCs w:val="20"/>
                <w:color w:val="auto"/>
              </w:rPr>
            </w:pPr>
            <w:r>
              <w:rPr>
                <w:rFonts w:ascii="Arial" w:cs="Arial" w:eastAsia="Arial" w:hAnsi="Arial"/>
                <w:sz w:val="18"/>
                <w:szCs w:val="18"/>
                <w:b w:val="1"/>
                <w:bCs w:val="1"/>
                <w:color w:val="auto"/>
                <w:w w:val="95"/>
              </w:rPr>
              <w:t>Adjusted net income attributable to the Group and adjusted diluted net income per Ordinary Share</w:t>
            </w: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attributable to the Group</w:t>
            </w:r>
          </w:p>
        </w:tc>
        <w:tc>
          <w:tcPr>
            <w:tcW w:w="18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3"/>
        </w:trPr>
        <w:tc>
          <w:tcPr>
            <w:tcW w:w="802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$ 111,970</w:t>
            </w:r>
          </w:p>
        </w:tc>
        <w:tc>
          <w:tcPr>
            <w:tcW w:w="1360" w:type="dxa"/>
            <w:vAlign w:val="bottom"/>
          </w:tcPr>
          <w:p>
            <w:pPr>
              <w:jc w:val="right"/>
              <w:spacing w:after="0"/>
              <w:rPr>
                <w:sz w:val="20"/>
                <w:szCs w:val="20"/>
                <w:color w:val="auto"/>
              </w:rPr>
            </w:pPr>
            <w:r>
              <w:rPr>
                <w:rFonts w:ascii="Arial" w:cs="Arial" w:eastAsia="Arial" w:hAnsi="Arial"/>
                <w:sz w:val="18"/>
                <w:szCs w:val="18"/>
                <w:color w:val="auto"/>
              </w:rPr>
              <w:t>$ 97,122</w:t>
            </w:r>
          </w:p>
        </w:tc>
      </w:tr>
      <w:tr>
        <w:trPr>
          <w:trHeight w:val="243"/>
        </w:trPr>
        <w:tc>
          <w:tcPr>
            <w:tcW w:w="8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13,286</w:t>
            </w:r>
          </w:p>
        </w:tc>
        <w:tc>
          <w:tcPr>
            <w:tcW w:w="1360" w:type="dxa"/>
            <w:vAlign w:val="bottom"/>
          </w:tcPr>
          <w:p>
            <w:pPr>
              <w:jc w:val="right"/>
              <w:spacing w:after="0"/>
              <w:rPr>
                <w:sz w:val="20"/>
                <w:szCs w:val="20"/>
                <w:color w:val="auto"/>
              </w:rPr>
            </w:pPr>
            <w:r>
              <w:rPr>
                <w:rFonts w:ascii="Arial" w:cs="Arial" w:eastAsia="Arial" w:hAnsi="Arial"/>
                <w:sz w:val="18"/>
                <w:szCs w:val="18"/>
                <w:color w:val="auto"/>
              </w:rPr>
              <w:t>16,148</w:t>
            </w:r>
          </w:p>
        </w:tc>
      </w:tr>
      <w:tr>
        <w:trPr>
          <w:trHeight w:val="243"/>
        </w:trPr>
        <w:tc>
          <w:tcPr>
            <w:tcW w:w="8020" w:type="dxa"/>
            <w:vAlign w:val="bottom"/>
          </w:tcPr>
          <w:p>
            <w:pPr>
              <w:spacing w:after="0"/>
              <w:rPr>
                <w:sz w:val="20"/>
                <w:szCs w:val="20"/>
                <w:color w:val="auto"/>
              </w:rPr>
            </w:pPr>
            <w:r>
              <w:rPr>
                <w:rFonts w:ascii="Arial" w:cs="Arial" w:eastAsia="Arial" w:hAnsi="Arial"/>
                <w:sz w:val="18"/>
                <w:szCs w:val="18"/>
                <w:color w:val="auto"/>
              </w:rPr>
              <w:t>Amortisation</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114,802</w:t>
            </w:r>
          </w:p>
        </w:tc>
        <w:tc>
          <w:tcPr>
            <w:tcW w:w="1360" w:type="dxa"/>
            <w:vAlign w:val="bottom"/>
          </w:tcPr>
          <w:p>
            <w:pPr>
              <w:jc w:val="right"/>
              <w:spacing w:after="0"/>
              <w:rPr>
                <w:sz w:val="20"/>
                <w:szCs w:val="20"/>
                <w:color w:val="auto"/>
              </w:rPr>
            </w:pPr>
            <w:r>
              <w:rPr>
                <w:rFonts w:ascii="Arial" w:cs="Arial" w:eastAsia="Arial" w:hAnsi="Arial"/>
                <w:sz w:val="18"/>
                <w:szCs w:val="18"/>
                <w:color w:val="auto"/>
              </w:rPr>
              <w:t>4,683</w:t>
            </w:r>
          </w:p>
        </w:tc>
      </w:tr>
      <w:tr>
        <w:trPr>
          <w:trHeight w:val="246"/>
        </w:trPr>
        <w:tc>
          <w:tcPr>
            <w:tcW w:w="802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(b)</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19,220</w:t>
            </w:r>
          </w:p>
        </w:tc>
        <w:tc>
          <w:tcPr>
            <w:tcW w:w="1360" w:type="dxa"/>
            <w:vAlign w:val="bottom"/>
          </w:tcPr>
          <w:p>
            <w:pPr>
              <w:jc w:val="right"/>
              <w:spacing w:after="0"/>
              <w:rPr>
                <w:sz w:val="20"/>
                <w:szCs w:val="20"/>
                <w:color w:val="auto"/>
              </w:rPr>
            </w:pPr>
            <w:r>
              <w:rPr>
                <w:rFonts w:ascii="Arial" w:cs="Arial" w:eastAsia="Arial" w:hAnsi="Arial"/>
                <w:sz w:val="18"/>
                <w:szCs w:val="18"/>
                <w:color w:val="auto"/>
              </w:rPr>
              <w:t>6,835</w:t>
            </w:r>
          </w:p>
        </w:tc>
      </w:tr>
      <w:tr>
        <w:trPr>
          <w:trHeight w:val="243"/>
        </w:trPr>
        <w:tc>
          <w:tcPr>
            <w:tcW w:w="802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(c)</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(6,646)</w:t>
            </w:r>
          </w:p>
        </w:tc>
        <w:tc>
          <w:tcPr>
            <w:tcW w:w="136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43"/>
        </w:trPr>
        <w:tc>
          <w:tcPr>
            <w:tcW w:w="802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(d)</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4,207</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 integration-related costs </w:t>
            </w:r>
            <w:r>
              <w:rPr>
                <w:rFonts w:ascii="Arial" w:cs="Arial" w:eastAsia="Arial" w:hAnsi="Arial"/>
                <w:sz w:val="28"/>
                <w:szCs w:val="28"/>
                <w:color w:val="auto"/>
                <w:vertAlign w:val="superscript"/>
              </w:rPr>
              <w:t>(e)</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12,085</w:t>
            </w:r>
          </w:p>
        </w:tc>
        <w:tc>
          <w:tcPr>
            <w:tcW w:w="1360" w:type="dxa"/>
            <w:vAlign w:val="bottom"/>
          </w:tcPr>
          <w:p>
            <w:pPr>
              <w:jc w:val="right"/>
              <w:spacing w:after="0"/>
              <w:rPr>
                <w:sz w:val="20"/>
                <w:szCs w:val="20"/>
                <w:color w:val="auto"/>
              </w:rPr>
            </w:pPr>
            <w:r>
              <w:rPr>
                <w:rFonts w:ascii="Arial" w:cs="Arial" w:eastAsia="Arial" w:hAnsi="Arial"/>
                <w:sz w:val="18"/>
                <w:szCs w:val="18"/>
                <w:color w:val="auto"/>
              </w:rPr>
              <w:t>12,501</w:t>
            </w:r>
          </w:p>
        </w:tc>
      </w:tr>
      <w:tr>
        <w:trPr>
          <w:trHeight w:val="243"/>
        </w:trPr>
        <w:tc>
          <w:tcPr>
            <w:tcW w:w="802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financing costs </w:t>
            </w:r>
            <w:r>
              <w:rPr>
                <w:rFonts w:ascii="Arial" w:cs="Arial" w:eastAsia="Arial" w:hAnsi="Arial"/>
                <w:sz w:val="28"/>
                <w:szCs w:val="28"/>
                <w:color w:val="auto"/>
                <w:vertAlign w:val="superscript"/>
              </w:rPr>
              <w:t>(f)</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5,781</w:t>
            </w:r>
          </w:p>
        </w:tc>
        <w:tc>
          <w:tcPr>
            <w:tcW w:w="13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54"/>
        </w:trPr>
        <w:tc>
          <w:tcPr>
            <w:tcW w:w="802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Adjusted tax expense </w:t>
            </w:r>
            <w:r>
              <w:rPr>
                <w:rFonts w:ascii="Arial" w:cs="Arial" w:eastAsia="Arial" w:hAnsi="Arial"/>
                <w:sz w:val="29"/>
                <w:szCs w:val="29"/>
                <w:color w:val="auto"/>
                <w:vertAlign w:val="superscript"/>
              </w:rPr>
              <w:t>(g)</w:t>
            </w: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(46,744)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(20,872)</w:t>
            </w:r>
          </w:p>
        </w:tc>
      </w:tr>
      <w:tr>
        <w:trPr>
          <w:trHeight w:val="232"/>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net income attributable to the Group</w:t>
            </w: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$ 227,961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$ 115,711</w:t>
            </w: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57"/>
        </w:trPr>
        <w:tc>
          <w:tcPr>
            <w:tcW w:w="8020" w:type="dxa"/>
            <w:vAlign w:val="bottom"/>
          </w:tcPr>
          <w:p>
            <w:pPr>
              <w:spacing w:after="0"/>
              <w:rPr>
                <w:sz w:val="20"/>
                <w:szCs w:val="20"/>
                <w:color w:val="auto"/>
              </w:rPr>
            </w:pPr>
            <w:r>
              <w:rPr>
                <w:rFonts w:ascii="Arial" w:cs="Arial" w:eastAsia="Arial" w:hAnsi="Arial"/>
                <w:sz w:val="18"/>
                <w:szCs w:val="18"/>
                <w:color w:val="auto"/>
              </w:rPr>
              <w:t>Diluted weighted average number of Ordinary Shares outstanding</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82,613,098</w:t>
            </w:r>
          </w:p>
        </w:tc>
        <w:tc>
          <w:tcPr>
            <w:tcW w:w="1360" w:type="dxa"/>
            <w:vAlign w:val="bottom"/>
          </w:tcPr>
          <w:p>
            <w:pPr>
              <w:jc w:val="right"/>
              <w:spacing w:after="0"/>
              <w:rPr>
                <w:sz w:val="20"/>
                <w:szCs w:val="20"/>
                <w:color w:val="auto"/>
              </w:rPr>
            </w:pPr>
            <w:r>
              <w:rPr>
                <w:rFonts w:ascii="Arial" w:cs="Arial" w:eastAsia="Arial" w:hAnsi="Arial"/>
                <w:sz w:val="18"/>
                <w:szCs w:val="18"/>
                <w:color w:val="auto"/>
              </w:rPr>
              <w:t>53,310,453</w:t>
            </w:r>
          </w:p>
        </w:tc>
      </w:tr>
      <w:tr>
        <w:trPr>
          <w:trHeight w:val="257"/>
        </w:trPr>
        <w:tc>
          <w:tcPr>
            <w:tcW w:w="80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32"/>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diluted net income per Ordinary Share attributable to the Group</w:t>
            </w: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$ 2.76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$ 2.17</w:t>
            </w: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0"/>
        </w:trPr>
        <w:tc>
          <w:tcPr>
            <w:tcW w:w="8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120" w:type="dxa"/>
            <w:vAlign w:val="bottom"/>
          </w:tcPr>
          <w:p>
            <w:pPr>
              <w:spacing w:after="0"/>
              <w:rPr>
                <w:sz w:val="24"/>
                <w:szCs w:val="24"/>
                <w:color w:val="auto"/>
              </w:rPr>
            </w:pPr>
          </w:p>
        </w:tc>
        <w:tc>
          <w:tcPr>
            <w:tcW w:w="2100" w:type="dxa"/>
            <w:vAlign w:val="bottom"/>
          </w:tcPr>
          <w:p>
            <w:pPr>
              <w:jc w:val="center"/>
              <w:ind w:right="989"/>
              <w:spacing w:after="0"/>
              <w:rPr>
                <w:sz w:val="20"/>
                <w:szCs w:val="20"/>
                <w:color w:val="auto"/>
              </w:rPr>
            </w:pPr>
            <w:r>
              <w:rPr>
                <w:rFonts w:ascii="Arial" w:cs="Arial" w:eastAsia="Arial" w:hAnsi="Arial"/>
                <w:sz w:val="22"/>
                <w:szCs w:val="22"/>
                <w:b w:val="1"/>
                <w:bCs w:val="1"/>
                <w:color w:val="auto"/>
                <w:w w:val="96"/>
              </w:rPr>
              <w:t>ICON plc</w:t>
            </w: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59"/>
        </w:trPr>
        <w:tc>
          <w:tcPr>
            <w:tcW w:w="11240" w:type="dxa"/>
            <w:vAlign w:val="bottom"/>
            <w:gridSpan w:val="4"/>
          </w:tcPr>
          <w:p>
            <w:pPr>
              <w:jc w:val="center"/>
              <w:spacing w:after="0"/>
              <w:rPr>
                <w:sz w:val="20"/>
                <w:szCs w:val="20"/>
                <w:color w:val="auto"/>
              </w:rPr>
            </w:pPr>
            <w:r>
              <w:rPr>
                <w:rFonts w:ascii="Arial" w:cs="Arial" w:eastAsia="Arial" w:hAnsi="Arial"/>
                <w:sz w:val="22"/>
                <w:szCs w:val="22"/>
                <w:b w:val="1"/>
                <w:bCs w:val="1"/>
                <w:color w:val="auto"/>
                <w:w w:val="98"/>
              </w:rPr>
              <w:t>RECONCILIATION OF NON-GAAP MEASURES (COMBINED COMPANY)</w:t>
            </w:r>
          </w:p>
        </w:tc>
      </w:tr>
      <w:tr>
        <w:trPr>
          <w:trHeight w:val="459"/>
        </w:trPr>
        <w:tc>
          <w:tcPr>
            <w:tcW w:w="11240" w:type="dxa"/>
            <w:vAlign w:val="bottom"/>
            <w:gridSpan w:val="4"/>
          </w:tcPr>
          <w:p>
            <w:pPr>
              <w:jc w:val="center"/>
              <w:spacing w:after="0"/>
              <w:rPr>
                <w:sz w:val="20"/>
                <w:szCs w:val="20"/>
                <w:color w:val="auto"/>
              </w:rPr>
            </w:pPr>
            <w:r>
              <w:rPr>
                <w:rFonts w:ascii="Arial" w:cs="Arial" w:eastAsia="Arial" w:hAnsi="Arial"/>
                <w:sz w:val="22"/>
                <w:szCs w:val="22"/>
                <w:b w:val="1"/>
                <w:bCs w:val="1"/>
                <w:color w:val="auto"/>
                <w:w w:val="97"/>
              </w:rPr>
              <w:t>FOR THE THREE MONTHS ENDED MARCH 31, 2022 AND MARCH 31, 2021</w:t>
            </w:r>
          </w:p>
        </w:tc>
      </w:tr>
      <w:tr>
        <w:trPr>
          <w:trHeight w:val="459"/>
        </w:trPr>
        <w:tc>
          <w:tcPr>
            <w:tcW w:w="7220" w:type="dxa"/>
            <w:vAlign w:val="bottom"/>
            <w:gridSpan w:val="2"/>
          </w:tcPr>
          <w:p>
            <w:pPr>
              <w:jc w:val="center"/>
              <w:ind w:left="3928"/>
              <w:spacing w:after="0"/>
              <w:rPr>
                <w:sz w:val="20"/>
                <w:szCs w:val="20"/>
                <w:color w:val="auto"/>
              </w:rPr>
            </w:pPr>
            <w:r>
              <w:rPr>
                <w:rFonts w:ascii="Arial" w:cs="Arial" w:eastAsia="Arial" w:hAnsi="Arial"/>
                <w:sz w:val="22"/>
                <w:szCs w:val="22"/>
                <w:b w:val="1"/>
                <w:bCs w:val="1"/>
                <w:color w:val="auto"/>
                <w:w w:val="99"/>
              </w:rPr>
              <w:t>(UNAUDITED)</w:t>
            </w: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35"/>
        </w:trPr>
        <w:tc>
          <w:tcPr>
            <w:tcW w:w="5120" w:type="dxa"/>
            <w:vAlign w:val="bottom"/>
          </w:tcPr>
          <w:p>
            <w:pPr>
              <w:spacing w:after="0"/>
              <w:rPr>
                <w:sz w:val="24"/>
                <w:szCs w:val="24"/>
                <w:color w:val="auto"/>
              </w:rPr>
            </w:pPr>
          </w:p>
        </w:tc>
        <w:tc>
          <w:tcPr>
            <w:tcW w:w="6120" w:type="dxa"/>
            <w:vAlign w:val="bottom"/>
            <w:gridSpan w:val="3"/>
          </w:tcPr>
          <w:p>
            <w:pPr>
              <w:ind w:left="98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5120" w:type="dxa"/>
            <w:vAlign w:val="bottom"/>
          </w:tcPr>
          <w:p>
            <w:pPr>
              <w:spacing w:after="0"/>
              <w:rPr>
                <w:sz w:val="21"/>
                <w:szCs w:val="21"/>
                <w:color w:val="auto"/>
              </w:rPr>
            </w:pPr>
          </w:p>
        </w:tc>
        <w:tc>
          <w:tcPr>
            <w:tcW w:w="2100" w:type="dxa"/>
            <w:vAlign w:val="bottom"/>
          </w:tcPr>
          <w:p>
            <w:pPr>
              <w:jc w:val="right"/>
              <w:ind w:right="229"/>
              <w:spacing w:after="0"/>
              <w:rPr>
                <w:sz w:val="20"/>
                <w:szCs w:val="20"/>
                <w:color w:val="auto"/>
              </w:rPr>
            </w:pPr>
            <w:r>
              <w:rPr>
                <w:rFonts w:ascii="Arial" w:cs="Arial" w:eastAsia="Arial" w:hAnsi="Arial"/>
                <w:sz w:val="18"/>
                <w:szCs w:val="18"/>
                <w:b w:val="1"/>
                <w:bCs w:val="1"/>
                <w:color w:val="auto"/>
              </w:rPr>
              <w:t>March 31, 2022</w:t>
            </w:r>
          </w:p>
        </w:tc>
        <w:tc>
          <w:tcPr>
            <w:tcW w:w="4020" w:type="dxa"/>
            <w:vAlign w:val="bottom"/>
            <w:gridSpan w:val="2"/>
          </w:tcPr>
          <w:p>
            <w:pPr>
              <w:jc w:val="right"/>
              <w:ind w:right="2540"/>
              <w:spacing w:after="0"/>
              <w:rPr>
                <w:sz w:val="20"/>
                <w:szCs w:val="20"/>
                <w:color w:val="auto"/>
              </w:rPr>
            </w:pPr>
            <w:r>
              <w:rPr>
                <w:rFonts w:ascii="Arial" w:cs="Arial" w:eastAsia="Arial" w:hAnsi="Arial"/>
                <w:sz w:val="18"/>
                <w:szCs w:val="18"/>
                <w:b w:val="1"/>
                <w:bCs w:val="1"/>
                <w:color w:val="auto"/>
              </w:rPr>
              <w:t>March 31, 2021</w:t>
            </w:r>
          </w:p>
        </w:tc>
      </w:tr>
      <w:tr>
        <w:trPr>
          <w:trHeight w:val="243"/>
        </w:trPr>
        <w:tc>
          <w:tcPr>
            <w:tcW w:w="5120" w:type="dxa"/>
            <w:vAlign w:val="bottom"/>
          </w:tcPr>
          <w:p>
            <w:pPr>
              <w:spacing w:after="0"/>
              <w:rPr>
                <w:sz w:val="21"/>
                <w:szCs w:val="21"/>
                <w:color w:val="auto"/>
              </w:rPr>
            </w:pPr>
          </w:p>
        </w:tc>
        <w:tc>
          <w:tcPr>
            <w:tcW w:w="6120" w:type="dxa"/>
            <w:vAlign w:val="bottom"/>
            <w:gridSpan w:val="3"/>
          </w:tcPr>
          <w:p>
            <w:pPr>
              <w:jc w:val="right"/>
              <w:ind w:right="2540"/>
              <w:spacing w:after="0"/>
              <w:rPr>
                <w:sz w:val="20"/>
                <w:szCs w:val="20"/>
                <w:color w:val="auto"/>
              </w:rPr>
            </w:pPr>
            <w:r>
              <w:rPr>
                <w:rFonts w:ascii="Arial" w:cs="Arial" w:eastAsia="Arial" w:hAnsi="Arial"/>
                <w:sz w:val="18"/>
                <w:szCs w:val="18"/>
                <w:b w:val="1"/>
                <w:bCs w:val="1"/>
                <w:color w:val="auto"/>
                <w:w w:val="88"/>
              </w:rPr>
              <w:t>(in thousands except share and per share data)</w:t>
            </w:r>
          </w:p>
        </w:tc>
      </w:tr>
      <w:tr>
        <w:trPr>
          <w:trHeight w:val="486"/>
        </w:trPr>
        <w:tc>
          <w:tcPr>
            <w:tcW w:w="5120" w:type="dxa"/>
            <w:vAlign w:val="bottom"/>
          </w:tcPr>
          <w:p>
            <w:pPr>
              <w:spacing w:after="0"/>
              <w:rPr>
                <w:sz w:val="20"/>
                <w:szCs w:val="20"/>
                <w:color w:val="auto"/>
              </w:rPr>
            </w:pPr>
            <w:r>
              <w:rPr>
                <w:rFonts w:ascii="Arial" w:cs="Arial" w:eastAsia="Arial" w:hAnsi="Arial"/>
                <w:sz w:val="18"/>
                <w:szCs w:val="18"/>
                <w:b w:val="1"/>
                <w:bCs w:val="1"/>
                <w:color w:val="auto"/>
              </w:rPr>
              <w:t>Combined Company adjusted revenue</w:t>
            </w: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Revenue, as reported</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$ 1,901,764</w:t>
            </w:r>
          </w:p>
        </w:tc>
        <w:tc>
          <w:tcPr>
            <w:tcW w:w="1500" w:type="dxa"/>
            <w:vAlign w:val="bottom"/>
          </w:tcPr>
          <w:p>
            <w:pPr>
              <w:jc w:val="right"/>
              <w:spacing w:after="0"/>
              <w:rPr>
                <w:sz w:val="20"/>
                <w:szCs w:val="20"/>
                <w:color w:val="auto"/>
              </w:rPr>
            </w:pPr>
            <w:r>
              <w:rPr>
                <w:rFonts w:ascii="Arial" w:cs="Arial" w:eastAsia="Arial" w:hAnsi="Arial"/>
                <w:sz w:val="18"/>
                <w:szCs w:val="18"/>
                <w:color w:val="auto"/>
              </w:rPr>
              <w:t>$ 858,198</w:t>
            </w:r>
          </w:p>
        </w:tc>
        <w:tc>
          <w:tcPr>
            <w:tcW w:w="2520" w:type="dxa"/>
            <w:vAlign w:val="bottom"/>
          </w:tcPr>
          <w:p>
            <w:pPr>
              <w:spacing w:after="0"/>
              <w:rPr>
                <w:sz w:val="21"/>
                <w:szCs w:val="21"/>
                <w:color w:val="auto"/>
              </w:rPr>
            </w:pPr>
          </w:p>
        </w:tc>
      </w:tr>
      <w:tr>
        <w:trPr>
          <w:trHeight w:val="250"/>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Pre-merger PRA Health Sciences Revenue</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933,775</w:t>
            </w:r>
          </w:p>
        </w:tc>
        <w:tc>
          <w:tcPr>
            <w:tcW w:w="2520" w:type="dxa"/>
            <w:vAlign w:val="bottom"/>
          </w:tcPr>
          <w:p>
            <w:pPr>
              <w:spacing w:after="0"/>
              <w:rPr>
                <w:sz w:val="21"/>
                <w:szCs w:val="21"/>
                <w:color w:val="auto"/>
              </w:rPr>
            </w:pPr>
          </w:p>
        </w:tc>
      </w:tr>
      <w:tr>
        <w:trPr>
          <w:trHeight w:val="239"/>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Combined Company revenue</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$ 1,901,764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$ 1,791,973</w:t>
            </w:r>
          </w:p>
        </w:tc>
        <w:tc>
          <w:tcPr>
            <w:tcW w:w="2520" w:type="dxa"/>
            <w:vAlign w:val="bottom"/>
          </w:tcPr>
          <w:p>
            <w:pPr>
              <w:spacing w:after="0"/>
              <w:rPr>
                <w:sz w:val="20"/>
                <w:szCs w:val="20"/>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57"/>
        </w:trPr>
        <w:tc>
          <w:tcPr>
            <w:tcW w:w="5120" w:type="dxa"/>
            <w:vAlign w:val="bottom"/>
          </w:tcPr>
          <w:p>
            <w:pPr>
              <w:spacing w:after="0"/>
              <w:rPr>
                <w:sz w:val="20"/>
                <w:szCs w:val="20"/>
                <w:color w:val="auto"/>
              </w:rPr>
            </w:pPr>
            <w:r>
              <w:rPr>
                <w:rFonts w:ascii="Arial" w:cs="Arial" w:eastAsia="Arial" w:hAnsi="Arial"/>
                <w:sz w:val="18"/>
                <w:szCs w:val="18"/>
                <w:b w:val="1"/>
                <w:bCs w:val="1"/>
                <w:color w:val="auto"/>
              </w:rPr>
              <w:t>Combined Company adjusted EBITDA</w:t>
            </w:r>
          </w:p>
        </w:tc>
        <w:tc>
          <w:tcPr>
            <w:tcW w:w="2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$ 111,970</w:t>
            </w:r>
          </w:p>
        </w:tc>
        <w:tc>
          <w:tcPr>
            <w:tcW w:w="1500" w:type="dxa"/>
            <w:vAlign w:val="bottom"/>
          </w:tcPr>
          <w:p>
            <w:pPr>
              <w:jc w:val="right"/>
              <w:spacing w:after="0"/>
              <w:rPr>
                <w:sz w:val="20"/>
                <w:szCs w:val="20"/>
                <w:color w:val="auto"/>
              </w:rPr>
            </w:pPr>
            <w:r>
              <w:rPr>
                <w:rFonts w:ascii="Arial" w:cs="Arial" w:eastAsia="Arial" w:hAnsi="Arial"/>
                <w:sz w:val="18"/>
                <w:szCs w:val="18"/>
                <w:color w:val="auto"/>
              </w:rPr>
              <w:t>$ 97,122</w:t>
            </w:r>
          </w:p>
        </w:tc>
        <w:tc>
          <w:tcPr>
            <w:tcW w:w="2520" w:type="dxa"/>
            <w:vAlign w:val="bottom"/>
          </w:tcPr>
          <w:p>
            <w:pPr>
              <w:spacing w:after="0"/>
              <w:rPr>
                <w:sz w:val="21"/>
                <w:szCs w:val="21"/>
                <w:color w:val="auto"/>
              </w:rPr>
            </w:pPr>
          </w:p>
        </w:tc>
      </w:tr>
      <w:tr>
        <w:trPr>
          <w:trHeight w:val="250"/>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Pre-merger PRA Health Sciences Net income attributable to the Group</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56,940</w:t>
            </w:r>
          </w:p>
        </w:tc>
        <w:tc>
          <w:tcPr>
            <w:tcW w:w="2520" w:type="dxa"/>
            <w:vAlign w:val="bottom"/>
          </w:tcPr>
          <w:p>
            <w:pPr>
              <w:spacing w:after="0"/>
              <w:rPr>
                <w:sz w:val="21"/>
                <w:szCs w:val="2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Combined Company Net income attributable to the Group</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$ 111,970</w:t>
            </w:r>
          </w:p>
        </w:tc>
        <w:tc>
          <w:tcPr>
            <w:tcW w:w="1500" w:type="dxa"/>
            <w:vAlign w:val="bottom"/>
          </w:tcPr>
          <w:p>
            <w:pPr>
              <w:jc w:val="right"/>
              <w:spacing w:after="0"/>
              <w:rPr>
                <w:sz w:val="20"/>
                <w:szCs w:val="20"/>
                <w:color w:val="auto"/>
              </w:rPr>
            </w:pPr>
            <w:r>
              <w:rPr>
                <w:rFonts w:ascii="Arial" w:cs="Arial" w:eastAsia="Arial" w:hAnsi="Arial"/>
                <w:sz w:val="18"/>
                <w:szCs w:val="18"/>
                <w:color w:val="auto"/>
              </w:rPr>
              <w:t>$ 154,062</w:t>
            </w:r>
          </w:p>
        </w:tc>
        <w:tc>
          <w:tcPr>
            <w:tcW w:w="2520" w:type="dxa"/>
            <w:vAlign w:val="bottom"/>
          </w:tcPr>
          <w:p>
            <w:pPr>
              <w:spacing w:after="0"/>
              <w:rPr>
                <w:sz w:val="20"/>
                <w:szCs w:val="20"/>
                <w:color w:val="auto"/>
              </w:rPr>
            </w:pPr>
          </w:p>
        </w:tc>
      </w:tr>
      <w:tr>
        <w:trPr>
          <w:trHeight w:val="242"/>
        </w:trPr>
        <w:tc>
          <w:tcPr>
            <w:tcW w:w="512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785</w:t>
            </w:r>
          </w:p>
        </w:tc>
        <w:tc>
          <w:tcPr>
            <w:tcW w:w="1500" w:type="dxa"/>
            <w:vAlign w:val="bottom"/>
          </w:tcPr>
          <w:p>
            <w:pPr>
              <w:jc w:val="right"/>
              <w:spacing w:after="0"/>
              <w:rPr>
                <w:sz w:val="20"/>
                <w:szCs w:val="20"/>
                <w:color w:val="auto"/>
              </w:rPr>
            </w:pPr>
            <w:r>
              <w:rPr>
                <w:rFonts w:ascii="Arial" w:cs="Arial" w:eastAsia="Arial" w:hAnsi="Arial"/>
                <w:sz w:val="18"/>
                <w:szCs w:val="18"/>
                <w:color w:val="auto"/>
              </w:rPr>
              <w:t>274</w:t>
            </w:r>
          </w:p>
        </w:tc>
        <w:tc>
          <w:tcPr>
            <w:tcW w:w="2520" w:type="dxa"/>
            <w:vAlign w:val="bottom"/>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13,286</w:t>
            </w:r>
          </w:p>
        </w:tc>
        <w:tc>
          <w:tcPr>
            <w:tcW w:w="1500" w:type="dxa"/>
            <w:vAlign w:val="bottom"/>
          </w:tcPr>
          <w:p>
            <w:pPr>
              <w:jc w:val="right"/>
              <w:spacing w:after="0"/>
              <w:rPr>
                <w:sz w:val="20"/>
                <w:szCs w:val="20"/>
                <w:color w:val="auto"/>
              </w:rPr>
            </w:pPr>
            <w:r>
              <w:rPr>
                <w:rFonts w:ascii="Arial" w:cs="Arial" w:eastAsia="Arial" w:hAnsi="Arial"/>
                <w:sz w:val="18"/>
                <w:szCs w:val="18"/>
                <w:color w:val="auto"/>
              </w:rPr>
              <w:t>35,844</w:t>
            </w:r>
          </w:p>
        </w:tc>
        <w:tc>
          <w:tcPr>
            <w:tcW w:w="2520" w:type="dxa"/>
            <w:vAlign w:val="bottom"/>
          </w:tcPr>
          <w:p>
            <w:pPr>
              <w:spacing w:after="0"/>
              <w:rPr>
                <w:sz w:val="21"/>
                <w:szCs w:val="21"/>
                <w:color w:val="auto"/>
              </w:rPr>
            </w:pPr>
          </w:p>
        </w:tc>
      </w:tr>
      <w:tr>
        <w:trPr>
          <w:trHeight w:val="256"/>
        </w:trPr>
        <w:tc>
          <w:tcPr>
            <w:tcW w:w="5120" w:type="dxa"/>
            <w:vAlign w:val="bottom"/>
          </w:tcPr>
          <w:p>
            <w:pPr>
              <w:spacing w:after="0" w:line="255" w:lineRule="exact"/>
              <w:rPr>
                <w:sz w:val="20"/>
                <w:szCs w:val="20"/>
                <w:color w:val="auto"/>
              </w:rPr>
            </w:pPr>
            <w:r>
              <w:rPr>
                <w:rFonts w:ascii="Arial" w:cs="Arial" w:eastAsia="Arial" w:hAnsi="Arial"/>
                <w:sz w:val="18"/>
                <w:szCs w:val="18"/>
                <w:color w:val="auto"/>
              </w:rPr>
              <w:t xml:space="preserve">Net interest expense </w:t>
            </w:r>
            <w:r>
              <w:rPr>
                <w:rFonts w:ascii="Arial" w:cs="Arial" w:eastAsia="Arial" w:hAnsi="Arial"/>
                <w:sz w:val="29"/>
                <w:szCs w:val="29"/>
                <w:color w:val="auto"/>
                <w:vertAlign w:val="superscript"/>
              </w:rPr>
              <w:t>(a)</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44,298</w:t>
            </w:r>
          </w:p>
        </w:tc>
        <w:tc>
          <w:tcPr>
            <w:tcW w:w="1500" w:type="dxa"/>
            <w:vAlign w:val="bottom"/>
          </w:tcPr>
          <w:p>
            <w:pPr>
              <w:jc w:val="right"/>
              <w:spacing w:after="0"/>
              <w:rPr>
                <w:sz w:val="20"/>
                <w:szCs w:val="20"/>
                <w:color w:val="auto"/>
              </w:rPr>
            </w:pPr>
            <w:r>
              <w:rPr>
                <w:rFonts w:ascii="Arial" w:cs="Arial" w:eastAsia="Arial" w:hAnsi="Arial"/>
                <w:sz w:val="18"/>
                <w:szCs w:val="18"/>
                <w:color w:val="auto"/>
              </w:rPr>
              <w:t>7,682</w:t>
            </w:r>
          </w:p>
        </w:tc>
        <w:tc>
          <w:tcPr>
            <w:tcW w:w="2520" w:type="dxa"/>
            <w:vAlign w:val="bottom"/>
          </w:tcPr>
          <w:p>
            <w:pPr>
              <w:spacing w:after="0"/>
              <w:rPr>
                <w:sz w:val="22"/>
                <w:szCs w:val="22"/>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141,405</w:t>
            </w:r>
          </w:p>
        </w:tc>
        <w:tc>
          <w:tcPr>
            <w:tcW w:w="1500" w:type="dxa"/>
            <w:vAlign w:val="bottom"/>
          </w:tcPr>
          <w:p>
            <w:pPr>
              <w:jc w:val="right"/>
              <w:spacing w:after="0"/>
              <w:rPr>
                <w:sz w:val="20"/>
                <w:szCs w:val="20"/>
                <w:color w:val="auto"/>
              </w:rPr>
            </w:pPr>
            <w:r>
              <w:rPr>
                <w:rFonts w:ascii="Arial" w:cs="Arial" w:eastAsia="Arial" w:hAnsi="Arial"/>
                <w:sz w:val="18"/>
                <w:szCs w:val="18"/>
                <w:color w:val="auto"/>
              </w:rPr>
              <w:t>49,973</w:t>
            </w:r>
          </w:p>
        </w:tc>
        <w:tc>
          <w:tcPr>
            <w:tcW w:w="2520" w:type="dxa"/>
            <w:vAlign w:val="bottom"/>
          </w:tcPr>
          <w:p>
            <w:pPr>
              <w:spacing w:after="0"/>
              <w:rPr>
                <w:sz w:val="20"/>
                <w:szCs w:val="20"/>
                <w:color w:val="auto"/>
              </w:rPr>
            </w:pPr>
          </w:p>
        </w:tc>
      </w:tr>
      <w:tr>
        <w:trPr>
          <w:trHeight w:val="246"/>
        </w:trPr>
        <w:tc>
          <w:tcPr>
            <w:tcW w:w="512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(b)</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19,220</w:t>
            </w:r>
          </w:p>
        </w:tc>
        <w:tc>
          <w:tcPr>
            <w:tcW w:w="1500" w:type="dxa"/>
            <w:vAlign w:val="bottom"/>
          </w:tcPr>
          <w:p>
            <w:pPr>
              <w:jc w:val="right"/>
              <w:spacing w:after="0"/>
              <w:rPr>
                <w:sz w:val="20"/>
                <w:szCs w:val="20"/>
                <w:color w:val="auto"/>
              </w:rPr>
            </w:pPr>
            <w:r>
              <w:rPr>
                <w:rFonts w:ascii="Arial" w:cs="Arial" w:eastAsia="Arial" w:hAnsi="Arial"/>
                <w:sz w:val="18"/>
                <w:szCs w:val="18"/>
                <w:color w:val="auto"/>
              </w:rPr>
              <w:t>25,607</w:t>
            </w:r>
          </w:p>
        </w:tc>
        <w:tc>
          <w:tcPr>
            <w:tcW w:w="2520" w:type="dxa"/>
            <w:vAlign w:val="bottom"/>
          </w:tcPr>
          <w:p>
            <w:pPr>
              <w:spacing w:after="0"/>
              <w:rPr>
                <w:sz w:val="21"/>
                <w:szCs w:val="21"/>
                <w:color w:val="auto"/>
              </w:rPr>
            </w:pPr>
          </w:p>
        </w:tc>
      </w:tr>
      <w:tr>
        <w:trPr>
          <w:trHeight w:val="243"/>
        </w:trPr>
        <w:tc>
          <w:tcPr>
            <w:tcW w:w="512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(c)</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(6,646)</w:t>
            </w:r>
          </w:p>
        </w:tc>
        <w:tc>
          <w:tcPr>
            <w:tcW w:w="1500" w:type="dxa"/>
            <w:vAlign w:val="bottom"/>
          </w:tcPr>
          <w:p>
            <w:pPr>
              <w:jc w:val="right"/>
              <w:spacing w:after="0"/>
              <w:rPr>
                <w:sz w:val="20"/>
                <w:szCs w:val="20"/>
                <w:color w:val="auto"/>
              </w:rPr>
            </w:pPr>
            <w:r>
              <w:rPr>
                <w:rFonts w:ascii="Arial" w:cs="Arial" w:eastAsia="Arial" w:hAnsi="Arial"/>
                <w:sz w:val="18"/>
                <w:szCs w:val="18"/>
                <w:color w:val="auto"/>
              </w:rPr>
              <w:t>(13,448)</w:t>
            </w:r>
          </w:p>
        </w:tc>
        <w:tc>
          <w:tcPr>
            <w:tcW w:w="2520" w:type="dxa"/>
            <w:vAlign w:val="bottom"/>
          </w:tcPr>
          <w:p>
            <w:pPr>
              <w:spacing w:after="0"/>
              <w:rPr>
                <w:sz w:val="21"/>
                <w:szCs w:val="21"/>
                <w:color w:val="auto"/>
              </w:rPr>
            </w:pPr>
          </w:p>
        </w:tc>
      </w:tr>
      <w:tr>
        <w:trPr>
          <w:trHeight w:val="243"/>
        </w:trPr>
        <w:tc>
          <w:tcPr>
            <w:tcW w:w="512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(d)</w:t>
            </w:r>
          </w:p>
        </w:tc>
        <w:tc>
          <w:tcPr>
            <w:tcW w:w="2100" w:type="dxa"/>
            <w:vAlign w:val="bottom"/>
          </w:tcPr>
          <w:p>
            <w:pPr>
              <w:jc w:val="right"/>
              <w:ind w:right="209"/>
              <w:spacing w:after="0"/>
              <w:rPr>
                <w:sz w:val="20"/>
                <w:szCs w:val="20"/>
                <w:color w:val="auto"/>
              </w:rPr>
            </w:pPr>
            <w:r>
              <w:rPr>
                <w:rFonts w:ascii="Arial" w:cs="Arial" w:eastAsia="Arial" w:hAnsi="Arial"/>
                <w:sz w:val="18"/>
                <w:szCs w:val="18"/>
                <w:color w:val="auto"/>
              </w:rPr>
              <w:t>4,207</w:t>
            </w:r>
          </w:p>
        </w:tc>
        <w:tc>
          <w:tcPr>
            <w:tcW w:w="4020" w:type="dxa"/>
            <w:vAlign w:val="bottom"/>
            <w:gridSpan w:val="2"/>
          </w:tcPr>
          <w:p>
            <w:pPr>
              <w:jc w:val="right"/>
              <w:ind w:right="2520"/>
              <w:spacing w:after="0"/>
              <w:rPr>
                <w:sz w:val="20"/>
                <w:szCs w:val="20"/>
                <w:color w:val="auto"/>
              </w:rPr>
            </w:pPr>
            <w:r>
              <w:rPr>
                <w:rFonts w:ascii="Arial" w:cs="Arial" w:eastAsia="Arial" w:hAnsi="Arial"/>
                <w:sz w:val="18"/>
                <w:szCs w:val="18"/>
                <w:color w:val="auto"/>
              </w:rPr>
              <w:t>—</w:t>
            </w:r>
          </w:p>
        </w:tc>
      </w:tr>
      <w:tr>
        <w:trPr>
          <w:trHeight w:val="254"/>
        </w:trPr>
        <w:tc>
          <w:tcPr>
            <w:tcW w:w="512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Transaction-related / integration-related costs </w:t>
            </w:r>
            <w:r>
              <w:rPr>
                <w:rFonts w:ascii="Arial" w:cs="Arial" w:eastAsia="Arial" w:hAnsi="Arial"/>
                <w:sz w:val="29"/>
                <w:szCs w:val="29"/>
                <w:color w:val="auto"/>
                <w:vertAlign w:val="superscript"/>
              </w:rPr>
              <w:t>(e)</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12,085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25,937</w:t>
            </w:r>
          </w:p>
        </w:tc>
        <w:tc>
          <w:tcPr>
            <w:tcW w:w="2520" w:type="dxa"/>
            <w:vAlign w:val="bottom"/>
          </w:tcPr>
          <w:p>
            <w:pPr>
              <w:spacing w:after="0"/>
              <w:rPr>
                <w:sz w:val="22"/>
                <w:szCs w:val="22"/>
                <w:color w:val="auto"/>
              </w:rPr>
            </w:pPr>
          </w:p>
        </w:tc>
      </w:tr>
      <w:tr>
        <w:trPr>
          <w:trHeight w:val="232"/>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Combined Company adjusted EBITDA</w:t>
            </w:r>
          </w:p>
        </w:tc>
        <w:tc>
          <w:tcPr>
            <w:tcW w:w="2100" w:type="dxa"/>
            <w:vAlign w:val="bottom"/>
            <w:tcBorders>
              <w:bottom w:val="single" w:sz="8" w:color="auto"/>
            </w:tcBorders>
          </w:tcPr>
          <w:p>
            <w:pPr>
              <w:jc w:val="right"/>
              <w:ind w:right="209"/>
              <w:spacing w:after="0"/>
              <w:rPr>
                <w:sz w:val="20"/>
                <w:szCs w:val="20"/>
                <w:color w:val="auto"/>
              </w:rPr>
            </w:pPr>
            <w:r>
              <w:rPr>
                <w:rFonts w:ascii="Arial" w:cs="Arial" w:eastAsia="Arial" w:hAnsi="Arial"/>
                <w:sz w:val="18"/>
                <w:szCs w:val="18"/>
                <w:color w:val="auto"/>
              </w:rPr>
              <w:t>$ 340,610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$ 285,931</w:t>
            </w:r>
          </w:p>
        </w:tc>
        <w:tc>
          <w:tcPr>
            <w:tcW w:w="2520" w:type="dxa"/>
            <w:vAlign w:val="bottom"/>
          </w:tcPr>
          <w:p>
            <w:pPr>
              <w:spacing w:after="0"/>
              <w:rPr>
                <w:sz w:val="20"/>
                <w:szCs w:val="20"/>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67"/>
        </w:trPr>
        <w:tc>
          <w:tcPr>
            <w:tcW w:w="5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8" w:right="339" w:bottom="1440" w:gutter="0" w:footer="0" w:header="0"/>
        </w:sectPr>
      </w:pPr>
    </w:p>
    <w:bookmarkStart w:id="10" w:name="page11"/>
    <w:bookmarkEnd w:id="10"/>
    <w:p>
      <w:pPr>
        <w:ind w:left="300" w:hanging="292"/>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Net interest expense includes losses on modification or extinguishment of debt.</w:t>
      </w:r>
    </w:p>
    <w:p>
      <w:pPr>
        <w:spacing w:after="0" w:line="206" w:lineRule="exact"/>
        <w:rPr>
          <w:rFonts w:ascii="Arial" w:cs="Arial" w:eastAsia="Arial" w:hAnsi="Arial"/>
          <w:sz w:val="22"/>
          <w:szCs w:val="22"/>
          <w:color w:val="auto"/>
        </w:rPr>
      </w:pPr>
    </w:p>
    <w:p>
      <w:pPr>
        <w:ind w:right="360" w:firstLine="8"/>
        <w:spacing w:after="0" w:line="250" w:lineRule="auto"/>
        <w:tabs>
          <w:tab w:leader="none" w:pos="306" w:val="left"/>
        </w:tabs>
        <w:numPr>
          <w:ilvl w:val="0"/>
          <w:numId w:val="1"/>
        </w:numPr>
        <w:rPr>
          <w:rFonts w:ascii="Arial" w:cs="Arial" w:eastAsia="Arial" w:hAnsi="Arial"/>
          <w:sz w:val="22"/>
          <w:szCs w:val="22"/>
          <w:color w:val="auto"/>
        </w:rPr>
      </w:pPr>
      <w:r>
        <w:rPr>
          <w:rFonts w:ascii="Arial" w:cs="Arial" w:eastAsia="Arial" w:hAnsi="Arial"/>
          <w:sz w:val="22"/>
          <w:szCs w:val="22"/>
          <w:color w:val="auto"/>
        </w:rPr>
        <w:t>Stock-based compensation expense represents the amount of recurring non-cash expense related to the Company’s equity compensation programs (inclusive of employer related taxes).</w:t>
      </w:r>
    </w:p>
    <w:p>
      <w:pPr>
        <w:spacing w:after="0" w:line="174" w:lineRule="exact"/>
        <w:rPr>
          <w:rFonts w:ascii="Arial" w:cs="Arial" w:eastAsia="Arial" w:hAnsi="Arial"/>
          <w:sz w:val="22"/>
          <w:szCs w:val="22"/>
          <w:color w:val="auto"/>
        </w:rPr>
      </w:pPr>
    </w:p>
    <w:p>
      <w:pPr>
        <w:jc w:val="both"/>
        <w:ind w:right="220" w:firstLine="8"/>
        <w:spacing w:after="0" w:line="297" w:lineRule="auto"/>
        <w:tabs>
          <w:tab w:leader="none" w:pos="294" w:val="left"/>
        </w:tabs>
        <w:numPr>
          <w:ilvl w:val="0"/>
          <w:numId w:val="1"/>
        </w:numPr>
        <w:rPr>
          <w:rFonts w:ascii="Arial" w:cs="Arial" w:eastAsia="Arial" w:hAnsi="Arial"/>
          <w:sz w:val="19"/>
          <w:szCs w:val="19"/>
          <w:color w:val="auto"/>
        </w:rPr>
      </w:pPr>
      <w:r>
        <w:rPr>
          <w:rFonts w:ascii="Arial" w:cs="Arial" w:eastAsia="Arial" w:hAnsi="Arial"/>
          <w:sz w:val="19"/>
          <w:szCs w:val="19"/>
          <w:color w:val="auto"/>
        </w:rPr>
        <w:t>Foreign currency losses (gains),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spacing w:after="0" w:line="133" w:lineRule="exact"/>
        <w:rPr>
          <w:rFonts w:ascii="Arial" w:cs="Arial" w:eastAsia="Arial" w:hAnsi="Arial"/>
          <w:sz w:val="19"/>
          <w:szCs w:val="19"/>
          <w:color w:val="auto"/>
        </w:rPr>
      </w:pPr>
    </w:p>
    <w:p>
      <w:pPr>
        <w:ind w:right="100" w:firstLine="8"/>
        <w:spacing w:after="0" w:line="328"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Restructuring charges incurred relate to charges incurred in connection with the termination of leases at locations that are no longer being used and amounts incurred in connection with the elimination of redundant positions within the organisation.</w:t>
      </w:r>
    </w:p>
    <w:p>
      <w:pPr>
        <w:spacing w:after="0" w:line="104" w:lineRule="exact"/>
        <w:rPr>
          <w:rFonts w:ascii="Arial" w:cs="Arial" w:eastAsia="Arial" w:hAnsi="Arial"/>
          <w:sz w:val="19"/>
          <w:szCs w:val="19"/>
          <w:color w:val="auto"/>
        </w:rPr>
      </w:pPr>
    </w:p>
    <w:p>
      <w:pPr>
        <w:ind w:right="420" w:firstLine="8"/>
        <w:spacing w:after="0" w:line="238" w:lineRule="auto"/>
        <w:tabs>
          <w:tab w:leader="none" w:pos="294" w:val="left"/>
        </w:tabs>
        <w:numPr>
          <w:ilvl w:val="0"/>
          <w:numId w:val="1"/>
        </w:numPr>
        <w:rPr>
          <w:rFonts w:ascii="Arial" w:cs="Arial" w:eastAsia="Arial" w:hAnsi="Arial"/>
          <w:sz w:val="22"/>
          <w:szCs w:val="22"/>
          <w:color w:val="auto"/>
        </w:rPr>
      </w:pPr>
      <w:r>
        <w:rPr>
          <w:rFonts w:ascii="Arial" w:cs="Arial" w:eastAsia="Arial" w:hAnsi="Arial"/>
          <w:sz w:val="22"/>
          <w:szCs w:val="22"/>
          <w:color w:val="auto"/>
        </w:rPr>
        <w:t>Transaction-related / integration-related costs include expenses/credits associated with our acquisitions, share-based compensation expense related to the acceleration of share-based compensation awards and replacement share-based awards, contingent consideration valuation adjustments, and any other costs incurred directly related to the integration of these acquisitions.</w:t>
      </w:r>
    </w:p>
    <w:p>
      <w:pPr>
        <w:spacing w:after="0" w:line="184" w:lineRule="exact"/>
        <w:rPr>
          <w:rFonts w:ascii="Arial" w:cs="Arial" w:eastAsia="Arial" w:hAnsi="Arial"/>
          <w:sz w:val="22"/>
          <w:szCs w:val="22"/>
          <w:color w:val="auto"/>
        </w:rPr>
      </w:pPr>
    </w:p>
    <w:p>
      <w:pPr>
        <w:ind w:firstLine="8"/>
        <w:spacing w:after="0"/>
        <w:tabs>
          <w:tab w:leader="none" w:pos="270" w:val="left"/>
        </w:tabs>
        <w:numPr>
          <w:ilvl w:val="0"/>
          <w:numId w:val="1"/>
        </w:numPr>
        <w:rPr>
          <w:rFonts w:ascii="Arial" w:cs="Arial" w:eastAsia="Arial" w:hAnsi="Arial"/>
          <w:sz w:val="22"/>
          <w:szCs w:val="22"/>
          <w:color w:val="auto"/>
        </w:rPr>
      </w:pPr>
      <w:r>
        <w:rPr>
          <w:rFonts w:ascii="Arial" w:cs="Arial" w:eastAsia="Arial" w:hAnsi="Arial"/>
          <w:sz w:val="22"/>
          <w:szCs w:val="22"/>
          <w:color w:val="auto"/>
        </w:rPr>
        <w:t>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186" w:lineRule="exact"/>
        <w:rPr>
          <w:rFonts w:ascii="Arial" w:cs="Arial" w:eastAsia="Arial" w:hAnsi="Arial"/>
          <w:sz w:val="22"/>
          <w:szCs w:val="22"/>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the tax effect of adjusted pre-tax income at our estimated effective tax rate.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http://www.iconplc.com</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+1888 381 7923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+353 1 291 2000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Kate Haven</w:t>
      </w:r>
    </w:p>
    <w:p>
      <w:pPr>
        <w:spacing w:after="0" w:line="238" w:lineRule="auto"/>
        <w:rPr>
          <w:sz w:val="20"/>
          <w:szCs w:val="20"/>
          <w:color w:val="auto"/>
        </w:rPr>
      </w:pPr>
      <w:r>
        <w:rPr>
          <w:rFonts w:ascii="Arial" w:cs="Arial" w:eastAsia="Arial" w:hAnsi="Arial"/>
          <w:sz w:val="22"/>
          <w:szCs w:val="22"/>
          <w:color w:val="auto"/>
        </w:rPr>
        <w:t>Vice President</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+1888 381 7923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sectPr>
      <w:pgSz w:w="11900" w:h="16838" w:orient="portrait"/>
      <w:cols w:equalWidth="0" w:num="1">
        <w:col w:w="11160"/>
      </w:cols>
      <w:pgMar w:left="320" w:top="33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2022-04-27T16:13:00Z</dcterms:created>
  <dcterms:modified xsi:type="dcterms:W3CDTF">2022-04-27T16:13:00Z</dcterms:modified>
</cp:coreProperties>
</file>