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January 9, 2009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4600"/>
        <w:spacing w:after="0" w:line="438" w:lineRule="auto"/>
        <w:rPr>
          <w:sz w:val="20"/>
          <w:szCs w:val="20"/>
          <w:color w:val="auto"/>
        </w:rPr>
      </w:pPr>
      <w:r>
        <w:rPr>
          <w:rFonts w:ascii="Arial" w:cs="Arial" w:eastAsia="Arial" w:hAnsi="Arial"/>
          <w:sz w:val="22"/>
          <w:szCs w:val="22"/>
          <w:b w:val="1"/>
          <w:bCs w:val="1"/>
          <w:color w:val="auto"/>
        </w:rPr>
        <w:t>ICON Issues Financial Guidance for 2009 and Updates Guidance for 2008 (NASDAQ:ICLR) (ISIN:IE0005711209)</w:t>
      </w:r>
    </w:p>
    <w:p>
      <w:pPr>
        <w:spacing w:after="0" w:line="1"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Dublin, Ireland--(BUSINESS WIRE)--January 9, 2009--ICON (NASDAQ: ICLR), a global provider of outsourced development services to the pharmaceutical, biotechnology and medical device industries, today announced financial guidance for 2009.</w:t>
      </w:r>
    </w:p>
    <w:p>
      <w:pPr>
        <w:spacing w:after="0" w:line="105"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2009 net revenue is expected to be in the range of $930 - $980 million. This compares to an expected outcome of $862 - $865 million for the year ended December 31, 2008, a reduction on previous guidance due to currency factors.</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2009 net income per diluted share is expected to be in the range of $1.40 - $1.52. This compares to $1.27 - $1.29 for the year ended December 31, 2008, an increase on previous guidance.</w:t>
      </w:r>
    </w:p>
    <w:p>
      <w:pPr>
        <w:spacing w:after="0" w:line="180" w:lineRule="exact"/>
        <w:rPr>
          <w:sz w:val="20"/>
          <w:szCs w:val="20"/>
          <w:color w:val="auto"/>
        </w:rPr>
      </w:pPr>
    </w:p>
    <w:p>
      <w:pPr>
        <w:ind w:right="320"/>
        <w:spacing w:after="0" w:line="203" w:lineRule="auto"/>
        <w:rPr>
          <w:sz w:val="20"/>
          <w:szCs w:val="20"/>
          <w:color w:val="auto"/>
        </w:rPr>
      </w:pPr>
      <w:r>
        <w:rPr>
          <w:rFonts w:ascii="Arial" w:cs="Arial" w:eastAsia="Arial" w:hAnsi="Arial"/>
          <w:sz w:val="22"/>
          <w:szCs w:val="22"/>
          <w:color w:val="auto"/>
        </w:rPr>
        <w:t>The company will hold a conference call today, January 9</w:t>
      </w:r>
      <w:r>
        <w:rPr>
          <w:rFonts w:ascii="Arial" w:cs="Arial" w:eastAsia="Arial" w:hAnsi="Arial"/>
          <w:sz w:val="36"/>
          <w:szCs w:val="36"/>
          <w:color w:val="auto"/>
          <w:vertAlign w:val="superscript"/>
        </w:rPr>
        <w:t>th</w:t>
      </w:r>
      <w:r>
        <w:rPr>
          <w:rFonts w:ascii="Arial" w:cs="Arial" w:eastAsia="Arial" w:hAnsi="Arial"/>
          <w:sz w:val="22"/>
          <w:szCs w:val="22"/>
          <w:color w:val="auto"/>
        </w:rPr>
        <w:t>, at 09:00 EST [14:00 Ireland &amp; UK]. A question and answer session will follow.</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ICON plc</w:t>
      </w:r>
    </w:p>
    <w:p>
      <w:pPr>
        <w:spacing w:after="0" w:line="206"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5,500 development projects and consultancy engagements across all major therapeutic areas. ICON currently has over 6,800 employees, operating from 71 locations in 38 countries.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 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 + 353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2019-12-10T16:07:12Z</dcterms:created>
  <dcterms:modified xsi:type="dcterms:W3CDTF">2019-12-10T16:07:12Z</dcterms:modified>
</cp:coreProperties>
</file>