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ended July, 2011</w:t>
      </w:r>
    </w:p>
    <w:p>
      <w:pPr>
        <w:spacing w:after="0" w:line="234"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Ciaran Murray,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Ciaran.Murray@iconplc.com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84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8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8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8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capability and expertise to conduct clinical trials in most major therapeutic areas on a global basis. At June 30, 2011 we had approximately 7,800 employees, in 77 locations in 39 countries, providing Phase I - IV Clinical Trial Management, Drug Development Support Services, Data Management and Biostatistical, Central Laboratory, Imaging and Contract Staffing services. We have the operational flexibility to provide development services on a stand-alone basis or as part of an integrated “full service” solution.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 ICON plc’s principal executive office is located at: South County Business Park, Leopardstown, Dublin 18, Republic of Ireland. The contact telephone number of this office is 353 (1) 291 2000. For the three months ended June 30, 2011 we derived approximately 40.3%, 47.2% and 12.5% of our net revenue in the United States, Europe and Rest of World,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July 13, 2011 the Company acquired Firecrest Clinical, a market leading provider of technology solutions that boost investigator site performance and study management. Headquartered in Limerick, Ireland, Firecrest Clinical provides a comprehensive site performance management system that is used to improve compliance consistency and executivion of activities at investigative sites.</w:t>
      </w:r>
    </w:p>
    <w:p>
      <w:pPr>
        <w:spacing w:after="0" w:line="21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January 14, 2011 the Company acquired Oxford Outcomes, a leading international health outcomes consultancy, headquartered in Oxford, UK, and with offices in the USA and Canada. Oxford Outcomes provides specialist services in the areas of patient reported outcomes (PRO), health economics, epidemiology and translation and linguistic validation.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JUNE 30, 2011 AND DECEMBER 31, 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(Unaudited)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20"/>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6"/>
          </w:tcPr>
          <w:p>
            <w:pPr>
              <w:ind w:left="56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175,564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60"/>
              <w:spacing w:after="0"/>
              <w:rPr>
                <w:sz w:val="20"/>
                <w:szCs w:val="20"/>
                <w:color w:val="auto"/>
              </w:rPr>
            </w:pPr>
            <w:r>
              <w:rPr>
                <w:rFonts w:ascii="Arial" w:cs="Arial" w:eastAsia="Arial" w:hAnsi="Arial"/>
                <w:sz w:val="18"/>
                <w:szCs w:val="18"/>
                <w:color w:val="auto"/>
              </w:rPr>
              <w:t>Short term investments - available for sale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60"/>
              <w:spacing w:after="0"/>
              <w:rPr>
                <w:sz w:val="20"/>
                <w:szCs w:val="20"/>
                <w:color w:val="auto"/>
              </w:rPr>
            </w:pPr>
            <w:r>
              <w:rPr>
                <w:rFonts w:ascii="Arial" w:cs="Arial" w:eastAsia="Arial" w:hAnsi="Arial"/>
                <w:sz w:val="18"/>
                <w:szCs w:val="18"/>
                <w:color w:val="auto"/>
              </w:rPr>
              <w:t>Unbilled revenue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143,323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receivables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60"/>
              <w:spacing w:after="0"/>
              <w:rPr>
                <w:sz w:val="20"/>
                <w:szCs w:val="20"/>
                <w:color w:val="auto"/>
              </w:rPr>
            </w:pPr>
            <w:r>
              <w:rPr>
                <w:rFonts w:ascii="Arial" w:cs="Arial" w:eastAsia="Arial" w:hAnsi="Arial"/>
                <w:sz w:val="18"/>
                <w:szCs w:val="18"/>
                <w:color w:val="auto"/>
              </w:rPr>
              <w:t>Deferred tax asset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Prepayments and other current assets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80"/>
              <w:spacing w:after="0"/>
              <w:rPr>
                <w:sz w:val="20"/>
                <w:szCs w:val="20"/>
                <w:color w:val="auto"/>
              </w:rPr>
            </w:pPr>
            <w:r>
              <w:rPr>
                <w:rFonts w:ascii="Arial" w:cs="Arial" w:eastAsia="Arial" w:hAnsi="Arial"/>
                <w:sz w:val="18"/>
                <w:szCs w:val="18"/>
                <w:color w:val="auto"/>
              </w:rPr>
              <w:t>Income taxes receivable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17,969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595,786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Assets: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plant and equipment, net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175,132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219,611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Non-current other assets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60"/>
              <w:spacing w:after="0"/>
              <w:rPr>
                <w:sz w:val="20"/>
                <w:szCs w:val="20"/>
                <w:color w:val="auto"/>
              </w:rPr>
            </w:pPr>
            <w:r>
              <w:rPr>
                <w:rFonts w:ascii="Arial" w:cs="Arial" w:eastAsia="Arial" w:hAnsi="Arial"/>
                <w:sz w:val="18"/>
                <w:szCs w:val="18"/>
                <w:color w:val="auto"/>
              </w:rPr>
              <w:t>Non-current income taxes receivable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Non-current deferred tax asset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1,014,249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4,291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Payments on account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60"/>
              <w:spacing w:after="0"/>
              <w:rPr>
                <w:sz w:val="20"/>
                <w:szCs w:val="20"/>
                <w:color w:val="auto"/>
              </w:rPr>
            </w:pPr>
            <w:r>
              <w:rPr>
                <w:rFonts w:ascii="Arial" w:cs="Arial" w:eastAsia="Arial" w:hAnsi="Arial"/>
                <w:sz w:val="18"/>
                <w:szCs w:val="18"/>
                <w:color w:val="auto"/>
              </w:rPr>
              <w:t>Other liabilities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122,007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tax liability</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Liabilities: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Non-current other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60"/>
              <w:spacing w:after="0"/>
              <w:rPr>
                <w:sz w:val="20"/>
                <w:szCs w:val="20"/>
                <w:color w:val="auto"/>
              </w:rPr>
            </w:pPr>
            <w:r>
              <w:rPr>
                <w:rFonts w:ascii="Arial" w:cs="Arial" w:eastAsia="Arial" w:hAnsi="Arial"/>
                <w:sz w:val="18"/>
                <w:szCs w:val="18"/>
                <w:color w:val="auto"/>
              </w:rPr>
              <w:t>Non-current government grants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Non-current income taxes payable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60"/>
              <w:spacing w:after="0"/>
              <w:rPr>
                <w:sz w:val="20"/>
                <w:szCs w:val="20"/>
                <w:color w:val="auto"/>
              </w:rPr>
            </w:pPr>
            <w:r>
              <w:rPr>
                <w:rFonts w:ascii="Arial" w:cs="Arial" w:eastAsia="Arial" w:hAnsi="Arial"/>
                <w:sz w:val="18"/>
                <w:szCs w:val="18"/>
                <w:color w:val="auto"/>
              </w:rPr>
              <w:t>Non-current deferred tax liability</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ind w:left="120"/>
              <w:spacing w:after="0" w:line="201" w:lineRule="exact"/>
              <w:rPr>
                <w:sz w:val="20"/>
                <w:szCs w:val="20"/>
                <w:color w:val="auto"/>
              </w:rPr>
            </w:pPr>
            <w:r>
              <w:rPr>
                <w:rFonts w:ascii="Arial" w:cs="Arial" w:eastAsia="Arial" w:hAnsi="Arial"/>
                <w:sz w:val="18"/>
                <w:szCs w:val="18"/>
                <w:color w:val="auto"/>
              </w:rPr>
              <w:t>Ordinary shares, par value 6 euro cents per share; 100,000,000 shares authorized,</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20"/>
              <w:spacing w:after="0"/>
              <w:rPr>
                <w:sz w:val="20"/>
                <w:szCs w:val="20"/>
                <w:color w:val="auto"/>
              </w:rPr>
            </w:pPr>
            <w:r>
              <w:rPr>
                <w:rFonts w:ascii="Arial" w:cs="Arial" w:eastAsia="Arial" w:hAnsi="Arial"/>
                <w:sz w:val="18"/>
                <w:szCs w:val="18"/>
                <w:color w:val="auto"/>
              </w:rPr>
              <w:t>60,436,120 shares issued and outstanding at June 30, 2011 and</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120"/>
              <w:spacing w:after="0"/>
              <w:rPr>
                <w:sz w:val="20"/>
                <w:szCs w:val="20"/>
                <w:color w:val="auto"/>
              </w:rPr>
            </w:pPr>
            <w:r>
              <w:rPr>
                <w:rFonts w:ascii="Arial" w:cs="Arial" w:eastAsia="Arial" w:hAnsi="Arial"/>
                <w:sz w:val="18"/>
                <w:szCs w:val="18"/>
                <w:color w:val="auto"/>
              </w:rPr>
              <w:t>60,247,092 shares issued and outstanding at December 31, 2010</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467,580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711,800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669,999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1,014,249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2011 AND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10"/>
          </w:tcPr>
          <w:p>
            <w:pPr>
              <w:jc w:val="right"/>
              <w:ind w:right="42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10"/>
          </w:tcPr>
          <w:p>
            <w:pPr>
              <w:jc w:val="right"/>
              <w:ind w:right="320"/>
              <w:spacing w:after="0"/>
              <w:rPr>
                <w:sz w:val="20"/>
                <w:szCs w:val="20"/>
                <w:color w:val="auto"/>
              </w:rPr>
            </w:pPr>
            <w:r>
              <w:rPr>
                <w:rFonts w:ascii="Arial" w:cs="Arial" w:eastAsia="Arial" w:hAnsi="Arial"/>
                <w:sz w:val="18"/>
                <w:szCs w:val="18"/>
                <w:b w:val="1"/>
                <w:bCs w:val="1"/>
                <w:color w:val="auto"/>
                <w:w w:val="93"/>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5"/>
              </w:rPr>
              <w:t>June 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17"/>
          </w:tcPr>
          <w:p>
            <w:pPr>
              <w:jc w:val="right"/>
              <w:ind w:right="2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revenue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317,696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313,087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623,243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622,638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Reimbursable expenses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8"/>
                <w:szCs w:val="18"/>
                <w:color w:val="auto"/>
              </w:rPr>
              <w:t>(84,651)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(89,336)</w:t>
            </w:r>
          </w:p>
        </w:tc>
        <w:tc>
          <w:tcPr>
            <w:tcW w:w="220" w:type="dxa"/>
            <w:vAlign w:val="bottom"/>
          </w:tcPr>
          <w:p>
            <w:pPr>
              <w:spacing w:after="0"/>
              <w:rPr>
                <w:sz w:val="19"/>
                <w:szCs w:val="19"/>
                <w:color w:val="auto"/>
              </w:rPr>
            </w:pPr>
          </w:p>
        </w:tc>
        <w:tc>
          <w:tcPr>
            <w:tcW w:w="1060" w:type="dxa"/>
            <w:vAlign w:val="bottom"/>
            <w:gridSpan w:val="5"/>
          </w:tcPr>
          <w:p>
            <w:pPr>
              <w:jc w:val="right"/>
              <w:ind w:right="80"/>
              <w:spacing w:after="0"/>
              <w:rPr>
                <w:sz w:val="20"/>
                <w:szCs w:val="20"/>
                <w:color w:val="auto"/>
              </w:rPr>
            </w:pPr>
            <w:r>
              <w:rPr>
                <w:rFonts w:ascii="Arial" w:cs="Arial" w:eastAsia="Arial" w:hAnsi="Arial"/>
                <w:sz w:val="18"/>
                <w:szCs w:val="18"/>
                <w:color w:val="auto"/>
              </w:rPr>
              <w:t>(160,901)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(179,775)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233,045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223,751</w:t>
            </w:r>
          </w:p>
        </w:tc>
        <w:tc>
          <w:tcPr>
            <w:tcW w:w="22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462,342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442,863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Costs and expenses: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 costs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150,866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130,869</w:t>
            </w:r>
          </w:p>
        </w:tc>
        <w:tc>
          <w:tcPr>
            <w:tcW w:w="2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295,336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262,187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57,344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58,923</w:t>
            </w:r>
          </w:p>
        </w:tc>
        <w:tc>
          <w:tcPr>
            <w:tcW w:w="22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117,227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111,217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8,281</w:t>
            </w:r>
          </w:p>
        </w:tc>
        <w:tc>
          <w:tcPr>
            <w:tcW w:w="2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18,302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17,003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5,002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217,539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198,073</w:t>
            </w:r>
          </w:p>
        </w:tc>
        <w:tc>
          <w:tcPr>
            <w:tcW w:w="220" w:type="dxa"/>
            <w:vAlign w:val="bottom"/>
          </w:tcPr>
          <w:p>
            <w:pPr>
              <w:spacing w:after="0"/>
              <w:rPr>
                <w:sz w:val="19"/>
                <w:szCs w:val="19"/>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435,867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390,407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15,506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25,678</w:t>
            </w:r>
          </w:p>
        </w:tc>
        <w:tc>
          <w:tcPr>
            <w:tcW w:w="22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26,475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52,456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19"/>
                <w:szCs w:val="19"/>
                <w:color w:val="auto"/>
              </w:rPr>
            </w:pPr>
          </w:p>
        </w:tc>
        <w:tc>
          <w:tcPr>
            <w:tcW w:w="1060" w:type="dxa"/>
            <w:vAlign w:val="bottom"/>
            <w:gridSpan w:val="5"/>
          </w:tcPr>
          <w:p>
            <w:pPr>
              <w:jc w:val="right"/>
              <w:ind w:right="8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15,612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25,739</w:t>
            </w:r>
          </w:p>
        </w:tc>
        <w:tc>
          <w:tcPr>
            <w:tcW w:w="22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26,647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52,325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(2,866)</w:t>
            </w:r>
          </w:p>
        </w:tc>
        <w:tc>
          <w:tcPr>
            <w:tcW w:w="220" w:type="dxa"/>
            <w:vAlign w:val="bottom"/>
            <w:shd w:val="clear" w:color="auto" w:fill="CCEEFF"/>
          </w:tcPr>
          <w:p>
            <w:pPr>
              <w:spacing w:after="0"/>
              <w:rPr>
                <w:sz w:val="19"/>
                <w:szCs w:val="19"/>
                <w:color w:val="auto"/>
              </w:rPr>
            </w:pP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(5,217)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(7,253)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13,082</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22,873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21,430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45,072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 per Ordinary Share:</w:t>
            </w: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0.36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Diluted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0.38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0.35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Basic</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60,390,788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59,667,635</w:t>
            </w:r>
          </w:p>
        </w:tc>
        <w:tc>
          <w:tcPr>
            <w:tcW w:w="22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w w:val="99"/>
              </w:rPr>
              <w:t>60,336,933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w w:val="88"/>
              </w:rPr>
              <w:t>59,395,142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Diluted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61,114,996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60,768,374</w:t>
            </w:r>
          </w:p>
        </w:tc>
        <w:tc>
          <w:tcPr>
            <w:tcW w:w="22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w w:val="99"/>
              </w:rPr>
              <w:t>61,056,232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w w:val="88"/>
              </w:rPr>
              <w:t>60,557,687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2011 AND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8"/>
              </w:rPr>
              <w:t>(in thousands)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21,430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18,302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grants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Share compensation expense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4,137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accounts receivable</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(Increase)/decrease in unbilled revenue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(42,576)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receivables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 in prepayments and other current assets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(1,188)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non current assets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Decrease in payments on account</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Increase/(decrease) in other current liabilities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(Decrease)/increase in other non current liabilities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(Increase)/decrease in income taxes receivable</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Decrease in accounts payable</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(9,699)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cash (used in)/provided by operating activities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(11,659)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51,820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Purchase of subsidiary undertakings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(33,227)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acquired with subsidiary undertakings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short term investments</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investing activities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(79,989)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Proceeds from exercise of share options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2,358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Tax benefit from the exercise of share options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Repayment of other liabilities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2,577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movements on cash</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(80,142)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75,961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255,706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175,564</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960" w:type="dxa"/>
            <w:vAlign w:val="bottom"/>
            <w:gridSpan w:val="2"/>
          </w:tcPr>
          <w:p>
            <w:pPr>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960" w:type="dxa"/>
            <w:vAlign w:val="bottom"/>
            <w:gridSpan w:val="2"/>
          </w:tcPr>
          <w:p>
            <w:pPr>
              <w:jc w:val="right"/>
              <w:ind w:right="2110"/>
              <w:spacing w:after="0"/>
              <w:rPr>
                <w:sz w:val="20"/>
                <w:szCs w:val="20"/>
                <w:color w:val="auto"/>
              </w:rPr>
            </w:pPr>
            <w:r>
              <w:rPr>
                <w:rFonts w:ascii="Arial" w:cs="Arial" w:eastAsia="Arial" w:hAnsi="Arial"/>
                <w:sz w:val="18"/>
                <w:szCs w:val="18"/>
                <w:color w:val="auto"/>
              </w:rPr>
              <w:t>5</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1"/>
              </w:rPr>
              <w:t>Accumulated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Paid-in</w:t>
            </w:r>
          </w:p>
        </w:tc>
        <w:tc>
          <w:tcPr>
            <w:tcW w:w="1400" w:type="dxa"/>
            <w:vAlign w:val="bottom"/>
            <w:gridSpan w:val="7"/>
          </w:tcPr>
          <w:p>
            <w:pPr>
              <w:ind w:left="80"/>
              <w:spacing w:after="0" w:line="196" w:lineRule="exact"/>
              <w:rPr>
                <w:sz w:val="20"/>
                <w:szCs w:val="20"/>
                <w:color w:val="auto"/>
              </w:rPr>
            </w:pPr>
            <w:r>
              <w:rPr>
                <w:rFonts w:ascii="Arial" w:cs="Arial" w:eastAsia="Arial" w:hAnsi="Arial"/>
                <w:sz w:val="18"/>
                <w:szCs w:val="18"/>
                <w:b w:val="1"/>
                <w:bCs w:val="1"/>
                <w:color w:val="auto"/>
                <w:w w:val="96"/>
              </w:rPr>
              <w:t>Comprehensive</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6"/>
              </w:rPr>
              <w:t>Retained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Capital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88"/>
              </w:rPr>
              <w:t>Income</w:t>
            </w:r>
          </w:p>
        </w:tc>
        <w:tc>
          <w:tcPr>
            <w:tcW w:w="340" w:type="dxa"/>
            <w:vAlign w:val="bottom"/>
          </w:tcPr>
          <w:p>
            <w:pPr>
              <w:spacing w:after="0"/>
              <w:rPr>
                <w:sz w:val="17"/>
                <w:szCs w:val="17"/>
                <w:color w:val="auto"/>
              </w:rPr>
            </w:pPr>
          </w:p>
        </w:tc>
        <w:tc>
          <w:tcPr>
            <w:tcW w:w="98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gridSpan w:val="15"/>
          </w:tcPr>
          <w:p>
            <w:pPr>
              <w:jc w:val="right"/>
              <w:ind w:right="130"/>
              <w:spacing w:after="0"/>
              <w:rPr>
                <w:sz w:val="20"/>
                <w:szCs w:val="20"/>
                <w:color w:val="auto"/>
              </w:rPr>
            </w:pPr>
            <w:r>
              <w:rPr>
                <w:rFonts w:ascii="Arial" w:cs="Arial" w:eastAsia="Arial" w:hAnsi="Arial"/>
                <w:sz w:val="18"/>
                <w:szCs w:val="18"/>
                <w:b w:val="1"/>
                <w:bCs w:val="1"/>
                <w:color w:val="auto"/>
              </w:rPr>
              <w:t>(dollars in thousands, except share data)</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60,247,092</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196,960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467,580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669,999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21,430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15,824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Currency impact of long term funding</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(1,921)</w:t>
            </w:r>
          </w:p>
        </w:tc>
        <w:tc>
          <w:tcPr>
            <w:tcW w:w="3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on currency impact of long term</w:t>
            </w: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funding</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3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comprehensive income</w:t>
            </w: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35,087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185,260</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Issue of ordinary shares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3,768</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4,137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Tax benefit on exercise of options</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2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2011</w:t>
            </w:r>
          </w:p>
        </w:tc>
        <w:tc>
          <w:tcPr>
            <w:tcW w:w="13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60,436,120</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203,658</w:t>
            </w: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14,053</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489,010</w:t>
            </w:r>
          </w:p>
        </w:tc>
        <w:tc>
          <w:tcPr>
            <w:tcW w:w="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711,800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JUNE 30, 2011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2010. Operating results for the six months ended June 30, 2011 are not necessarily indicative of the results that may be expected for the fiscal period ending December 31,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11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7"/>
              </w:rPr>
              <w:t>December</w:t>
            </w:r>
          </w:p>
        </w:tc>
      </w:tr>
      <w:tr>
        <w:trPr>
          <w:trHeight w:val="196"/>
        </w:trPr>
        <w:tc>
          <w:tcPr>
            <w:tcW w:w="11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8"/>
              </w:rPr>
              <w:t>June 30,</w:t>
            </w:r>
          </w:p>
        </w:tc>
        <w:tc>
          <w:tcPr>
            <w:tcW w:w="420" w:type="dxa"/>
            <w:vAlign w:val="bottom"/>
          </w:tcPr>
          <w:p>
            <w:pPr>
              <w:spacing w:after="0"/>
              <w:rPr>
                <w:sz w:val="17"/>
                <w:szCs w:val="17"/>
                <w:color w:val="auto"/>
              </w:rPr>
            </w:pPr>
          </w:p>
        </w:tc>
        <w:tc>
          <w:tcPr>
            <w:tcW w:w="560" w:type="dxa"/>
            <w:vAlign w:val="bottom"/>
            <w:tcBorders>
              <w:top w:val="single" w:sz="8" w:color="auto"/>
            </w:tcBorders>
            <w:gridSpan w:val="2"/>
          </w:tcPr>
          <w:p>
            <w:pPr>
              <w:spacing w:after="0"/>
              <w:rPr>
                <w:sz w:val="17"/>
                <w:szCs w:val="17"/>
                <w:color w:val="auto"/>
              </w:rPr>
            </w:pP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31,</w:t>
            </w:r>
          </w:p>
        </w:tc>
        <w:tc>
          <w:tcPr>
            <w:tcW w:w="100" w:type="dxa"/>
            <w:vAlign w:val="bottom"/>
          </w:tcPr>
          <w:p>
            <w:pPr>
              <w:spacing w:after="0"/>
              <w:rPr>
                <w:sz w:val="17"/>
                <w:szCs w:val="17"/>
                <w:color w:val="auto"/>
              </w:rPr>
            </w:pPr>
          </w:p>
        </w:tc>
      </w:tr>
      <w:tr>
        <w:trPr>
          <w:trHeight w:val="223"/>
        </w:trPr>
        <w:tc>
          <w:tcPr>
            <w:tcW w:w="116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2011</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Pr>
          <w:p>
            <w:pPr>
              <w:spacing w:after="0"/>
              <w:rPr>
                <w:sz w:val="19"/>
                <w:szCs w:val="19"/>
                <w:color w:val="auto"/>
              </w:rPr>
            </w:pPr>
          </w:p>
        </w:tc>
      </w:tr>
      <w:tr>
        <w:trPr>
          <w:trHeight w:val="237"/>
        </w:trPr>
        <w:tc>
          <w:tcPr>
            <w:tcW w:w="11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11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2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175,860</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173,568</w:t>
            </w: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39,718</w:t>
            </w:r>
          </w:p>
        </w:tc>
        <w:tc>
          <w:tcPr>
            <w:tcW w:w="4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w:t>
            </w:r>
          </w:p>
        </w:tc>
        <w:tc>
          <w:tcPr>
            <w:tcW w:w="2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0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4,033</w:t>
            </w:r>
          </w:p>
        </w:tc>
        <w:tc>
          <w:tcPr>
            <w:tcW w:w="420" w:type="dxa"/>
            <w:vAlign w:val="bottom"/>
          </w:tcPr>
          <w:p>
            <w:pPr>
              <w:spacing w:after="0"/>
              <w:rPr>
                <w:sz w:val="19"/>
                <w:szCs w:val="19"/>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(3,752)</w:t>
            </w:r>
          </w:p>
        </w:tc>
      </w:tr>
      <w:tr>
        <w:trPr>
          <w:trHeight w:val="243"/>
        </w:trPr>
        <w:tc>
          <w:tcPr>
            <w:tcW w:w="1160" w:type="dxa"/>
            <w:vAlign w:val="bottom"/>
          </w:tcPr>
          <w:p>
            <w:pPr>
              <w:spacing w:after="0"/>
              <w:rPr>
                <w:sz w:val="21"/>
                <w:szCs w:val="21"/>
                <w:color w:val="auto"/>
              </w:rPr>
            </w:pPr>
          </w:p>
        </w:tc>
        <w:tc>
          <w:tcPr>
            <w:tcW w:w="59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3"/>
        </w:trPr>
        <w:tc>
          <w:tcPr>
            <w:tcW w:w="116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Closing balance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219,611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175,860</w:t>
            </w:r>
          </w:p>
        </w:tc>
        <w:tc>
          <w:tcPr>
            <w:tcW w:w="100" w:type="dxa"/>
            <w:vAlign w:val="bottom"/>
          </w:tcPr>
          <w:p>
            <w:pPr>
              <w:spacing w:after="0"/>
              <w:rPr>
                <w:sz w:val="19"/>
                <w:szCs w:val="19"/>
                <w:color w:val="auto"/>
              </w:rPr>
            </w:pPr>
          </w:p>
        </w:tc>
      </w:tr>
      <w:tr>
        <w:trPr>
          <w:trHeight w:val="459"/>
        </w:trPr>
        <w:tc>
          <w:tcPr>
            <w:tcW w:w="7060" w:type="dxa"/>
            <w:vAlign w:val="bottom"/>
            <w:gridSpan w:val="2"/>
          </w:tcPr>
          <w:p>
            <w:pPr>
              <w:spacing w:after="0"/>
              <w:rPr>
                <w:sz w:val="20"/>
                <w:szCs w:val="20"/>
                <w:color w:val="auto"/>
              </w:rPr>
            </w:pPr>
            <w:r>
              <w:rPr>
                <w:rFonts w:ascii="Arial" w:cs="Arial" w:eastAsia="Arial" w:hAnsi="Arial"/>
                <w:sz w:val="18"/>
                <w:szCs w:val="18"/>
                <w:color w:val="auto"/>
              </w:rPr>
              <w:t>The goodwill balance relates entirely to the clinical research segment.</w:t>
            </w:r>
          </w:p>
        </w:tc>
        <w:tc>
          <w:tcPr>
            <w:tcW w:w="20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Oxford Outcomes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14, 2011 the Company acquired approximately 80% of the common stock of Oxford Outcomes Limited, a leading international health outcomes consultancy business, headquartered in Oxford, United Kingdom, and with offices in the USA and Canada, for an initial cash consideration of £17.8 million ($27.7 million). Oxford Outcomes provides specialist services in the areas of patient reported outcomes (PRO), health economics, epidemiology and translation and linguistic validation. Further consideration of up to £6.5 million ($10.4 million) may become payable during the period to March 31, 2012 if certain performance milestones are achieved. The Company has accrued £6.5 million ($10.4 million) in respect of these milestones at June 30, 2011. In addition, the acquisition agreement also provided for certain working capital targets to be achieved by Oxford Outcomes Limited on completion. In May 2011 the Company paid an additional £3.3 million ($5.5 million) on completion of this review.</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also holds an option to acquire the remaining common stock of Oxford Outcomes Limited during the year ended December 31, 2011 for cash consideration of £3.8 million ($6.1 million). Further consideration of up to £1.5 million ($2.4 million) relating to this remaining common stock of Oxford Outcomes may become payable during the period to March 31, 2012 if certain performance milestones are achieved. £3.8 million ($6.1 million) has been accrued at June 30, 2011 in respect of additional consideration payable in respect of this option and a further £1.5 million ($2.4 million) has been accrued at June 30, 2011 relating to the potential additional consideration payable in respect of the performance milestones.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 xml:space="preserve">The acquisition of Oxford Outcomes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fair values of the assets acquired and the liabilities assumed:</w:t>
      </w:r>
    </w:p>
    <w:p>
      <w:pPr>
        <w:spacing w:after="0" w:line="193"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January 14</w:t>
            </w:r>
          </w:p>
        </w:tc>
      </w:tr>
      <w:tr>
        <w:trPr>
          <w:trHeight w:val="216"/>
        </w:trPr>
        <w:tc>
          <w:tcPr>
            <w:tcW w:w="5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(in</w:t>
            </w:r>
          </w:p>
        </w:tc>
      </w:tr>
      <w:tr>
        <w:trPr>
          <w:trHeight w:val="234"/>
        </w:trPr>
        <w:tc>
          <w:tcPr>
            <w:tcW w:w="56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thousands)</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Goodwill</w:t>
            </w:r>
          </w:p>
        </w:tc>
        <w:tc>
          <w:tcPr>
            <w:tcW w:w="3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39,718</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current assets</w:t>
            </w:r>
          </w:p>
        </w:tc>
        <w:tc>
          <w:tcPr>
            <w:tcW w:w="3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8"/>
                <w:szCs w:val="18"/>
                <w:color w:val="auto"/>
              </w:rPr>
            </w:pPr>
          </w:p>
        </w:tc>
      </w:tr>
      <w:tr>
        <w:trPr>
          <w:trHeight w:val="22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(1,995)</w:t>
            </w:r>
          </w:p>
        </w:tc>
      </w:tr>
      <w:tr>
        <w:trPr>
          <w:trHeight w:val="216"/>
        </w:trPr>
        <w:tc>
          <w:tcPr>
            <w:tcW w:w="5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3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51,227</w:t>
            </w:r>
          </w:p>
        </w:tc>
        <w:tc>
          <w:tcPr>
            <w:tcW w:w="100" w:type="dxa"/>
            <w:vAlign w:val="bottom"/>
            <w:tcBorders>
              <w:top w:val="single" w:sz="8" w:color="CCEEFF"/>
            </w:tcBorders>
          </w:tcPr>
          <w:p>
            <w:pPr>
              <w:spacing w:after="0"/>
              <w:rPr>
                <w:sz w:val="18"/>
                <w:szCs w:val="18"/>
                <w:color w:val="auto"/>
              </w:rPr>
            </w:pPr>
          </w:p>
        </w:tc>
      </w:tr>
      <w:tr>
        <w:trPr>
          <w:trHeight w:val="21"/>
        </w:trPr>
        <w:tc>
          <w:tcPr>
            <w:tcW w:w="56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areas of patient reported outcomes (PRO), health economics, epidemiology and translation and linguistic validation.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Acquisition of Timaq Medical Imaging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17, 2010 the Company acquired Timaq Medical Imaging (“Timaq”), a European provider of advanced imaging services to the pharmaceutical and biotechnology industry, located in Zurich, Switzerland for an initial cash consideration of CHF 1.3 million ($1.2 million). Certain performance milestones were built into the acquisition agreement requiring potential additional consideration of up to CHF 2.9 million ($3.1 million) if these milestones are achieved during the years ended December 31, 2010 to December 31, 2013. On December 31, 2010 CHF 0.3 million ($0.3 million) was paid to the former shareholders in respect of certain milestones for the year ended December 31, 2010. CHF 2.6 million ($2.9 million) has been accrued in relation to the remaining milestones at June 30, 2011.</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Timaq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fair values of the assets acquired and the liabilities assumed:</w:t>
      </w:r>
    </w:p>
    <w:p>
      <w:pPr>
        <w:spacing w:after="0" w:line="193"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May 17</w:t>
            </w:r>
          </w:p>
        </w:tc>
      </w:tr>
      <w:tr>
        <w:trPr>
          <w:trHeight w:val="216"/>
        </w:trPr>
        <w:tc>
          <w:tcPr>
            <w:tcW w:w="56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(in</w:t>
            </w:r>
          </w:p>
        </w:tc>
      </w:tr>
      <w:tr>
        <w:trPr>
          <w:trHeight w:val="234"/>
        </w:trPr>
        <w:tc>
          <w:tcPr>
            <w:tcW w:w="56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thousands)</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Goodwill</w:t>
            </w:r>
          </w:p>
        </w:tc>
        <w:tc>
          <w:tcPr>
            <w:tcW w:w="3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current assets</w:t>
            </w:r>
          </w:p>
        </w:tc>
        <w:tc>
          <w:tcPr>
            <w:tcW w:w="3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2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w:t>
            </w:r>
          </w:p>
        </w:tc>
      </w:tr>
      <w:tr>
        <w:trPr>
          <w:trHeight w:val="216"/>
        </w:trPr>
        <w:tc>
          <w:tcPr>
            <w:tcW w:w="5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3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Borders>
              <w:top w:val="single" w:sz="8" w:color="CCEEFF"/>
            </w:tcBorders>
          </w:tcPr>
          <w:p>
            <w:pPr>
              <w:spacing w:after="0"/>
              <w:rPr>
                <w:sz w:val="18"/>
                <w:szCs w:val="18"/>
                <w:color w:val="auto"/>
              </w:rPr>
            </w:pPr>
          </w:p>
        </w:tc>
      </w:tr>
      <w:tr>
        <w:trPr>
          <w:trHeight w:val="21"/>
        </w:trPr>
        <w:tc>
          <w:tcPr>
            <w:tcW w:w="566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advanced imaging services to pharmaceutical and biotechnology customers in the European market.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Restructuring charges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recognized during the six months ended June 30, 2011 comprise:</w:t>
      </w:r>
    </w:p>
    <w:p>
      <w:pPr>
        <w:spacing w:after="0" w:line="275" w:lineRule="exact"/>
        <w:rPr>
          <w:sz w:val="20"/>
          <w:szCs w:val="20"/>
          <w:color w:val="auto"/>
        </w:rPr>
      </w:pPr>
    </w:p>
    <w:p>
      <w:pPr>
        <w:ind w:left="9340"/>
        <w:spacing w:after="0"/>
        <w:rPr>
          <w:sz w:val="20"/>
          <w:szCs w:val="20"/>
          <w:color w:val="auto"/>
        </w:rPr>
      </w:pPr>
      <w:r>
        <w:rPr>
          <w:rFonts w:ascii="Arial" w:cs="Arial" w:eastAsia="Arial" w:hAnsi="Arial"/>
          <w:sz w:val="18"/>
          <w:szCs w:val="18"/>
          <w:b w:val="1"/>
          <w:bCs w:val="1"/>
          <w:u w:val="single" w:color="auto"/>
          <w:color w:val="auto"/>
        </w:rPr>
        <w:t>Six Months Ended</w:t>
      </w:r>
    </w:p>
    <w:p>
      <w:pPr>
        <w:spacing w:after="0" w:line="27"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b w:val="1"/>
          <w:bCs w:val="1"/>
          <w:u w:val="single" w:color="auto"/>
          <w:color w:val="auto"/>
        </w:rPr>
        <w:t>June 30,</w:t>
      </w:r>
      <w:r>
        <w:rPr>
          <w:sz w:val="20"/>
          <w:szCs w:val="20"/>
          <w:color w:val="auto"/>
        </w:rPr>
        <w:tab/>
      </w:r>
      <w:r>
        <w:rPr>
          <w:rFonts w:ascii="Arial" w:cs="Arial" w:eastAsia="Arial" w:hAnsi="Arial"/>
          <w:sz w:val="15"/>
          <w:szCs w:val="15"/>
          <w:b w:val="1"/>
          <w:bCs w:val="1"/>
          <w:u w:val="single" w:color="auto"/>
          <w:color w:val="auto"/>
        </w:rPr>
        <w:t>June 30,</w:t>
      </w:r>
    </w:p>
    <w:p>
      <w:pPr>
        <w:spacing w:after="0" w:line="18" w:lineRule="exact"/>
        <w:rPr>
          <w:sz w:val="20"/>
          <w:szCs w:val="20"/>
          <w:color w:val="auto"/>
        </w:rPr>
      </w:pPr>
    </w:p>
    <w:p>
      <w:pPr>
        <w:jc w:val="both"/>
        <w:ind w:left="9580"/>
        <w:spacing w:after="0"/>
        <w:tabs>
          <w:tab w:leader="none" w:pos="11040" w:val="left"/>
        </w:tabs>
        <w:rPr>
          <w:sz w:val="20"/>
          <w:szCs w:val="20"/>
          <w:color w:val="auto"/>
        </w:rPr>
      </w:pPr>
      <w:r>
        <w:rPr>
          <w:rFonts w:ascii="Arial" w:cs="Arial" w:eastAsia="Arial" w:hAnsi="Arial"/>
          <w:sz w:val="18"/>
          <w:szCs w:val="18"/>
          <w:b w:val="1"/>
          <w:bCs w:val="1"/>
          <w:u w:val="single" w:color="auto"/>
          <w:color w:val="auto"/>
        </w:rPr>
        <w:t>2011</w:t>
      </w:r>
      <w:r>
        <w:rPr>
          <w:sz w:val="20"/>
          <w:szCs w:val="20"/>
          <w:color w:val="auto"/>
        </w:rPr>
        <w:tab/>
      </w:r>
      <w:r>
        <w:rPr>
          <w:rFonts w:ascii="Arial" w:cs="Arial" w:eastAsia="Arial" w:hAnsi="Arial"/>
          <w:sz w:val="18"/>
          <w:szCs w:val="18"/>
          <w:b w:val="1"/>
          <w:bCs w:val="1"/>
          <w:u w:val="single" w:color="auto"/>
          <w:color w:val="auto"/>
        </w:rPr>
        <w:t>2010</w:t>
      </w:r>
    </w:p>
    <w:p>
      <w:pPr>
        <w:spacing w:after="0" w:line="36"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spacing w:after="0"/>
        <w:tabs>
          <w:tab w:leader="none" w:pos="8560" w:val="left"/>
          <w:tab w:leader="none" w:pos="9500" w:val="left"/>
          <w:tab w:leader="none" w:pos="10060" w:val="left"/>
          <w:tab w:leader="none" w:pos="11300" w:val="left"/>
        </w:tabs>
        <w:rPr>
          <w:sz w:val="20"/>
          <w:szCs w:val="20"/>
          <w:color w:val="auto"/>
        </w:rPr>
      </w:pPr>
      <w:r>
        <w:rPr>
          <w:rFonts w:ascii="Arial" w:cs="Arial" w:eastAsia="Arial" w:hAnsi="Arial"/>
          <w:sz w:val="18"/>
          <w:szCs w:val="18"/>
          <w:color w:val="auto"/>
        </w:rPr>
        <w:t>Restructuring charges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5,002</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six months ended June 30, 2011 the Company commenced a review of its operations to improve resource utilization within the business and better align resources to current and future growth opportunities of the business. This review resulted in the adoption of a restructuring plan, the closure of the Company’s facility in Edinburgh, United Kingdom and resource rationalizations in certain of the more mature markets in which it operates. A restructuring charge of $5.0 million was recognized during the six months ended June 30, 2011, $1.0 million in respect of lease termination and exit costs associated with the closure of the Edinburgh facility and $4.0 million in respect of workforce reductions.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movement in restructuring provisions recognised during the six months ended June 30, 2011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2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Office</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Reductions</w:t>
            </w:r>
          </w:p>
        </w:tc>
        <w:tc>
          <w:tcPr>
            <w:tcW w:w="2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Consolidations</w:t>
            </w:r>
          </w:p>
        </w:tc>
        <w:tc>
          <w:tcPr>
            <w:tcW w:w="5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(in thousands)</w:t>
            </w: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recognised</w:t>
            </w:r>
          </w:p>
        </w:tc>
        <w:tc>
          <w:tcPr>
            <w:tcW w:w="2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1,046</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P,P&amp;E write-off</w:t>
            </w:r>
          </w:p>
        </w:tc>
        <w:tc>
          <w:tcPr>
            <w:tcW w:w="26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4400" w:type="dxa"/>
            <w:vAlign w:val="bottom"/>
            <w:tcBorders>
              <w:top w:val="single" w:sz="8" w:color="auto"/>
            </w:tcBorders>
          </w:tcPr>
          <w:p>
            <w:pPr>
              <w:spacing w:after="0"/>
              <w:rPr>
                <w:sz w:val="23"/>
                <w:szCs w:val="23"/>
                <w:color w:val="auto"/>
              </w:rPr>
            </w:pPr>
          </w:p>
        </w:tc>
        <w:tc>
          <w:tcPr>
            <w:tcW w:w="26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provision</w:t>
            </w:r>
          </w:p>
        </w:tc>
        <w:tc>
          <w:tcPr>
            <w:tcW w:w="2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914</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4. Income Taxes</w:t>
            </w:r>
          </w:p>
        </w:tc>
        <w:tc>
          <w:tcPr>
            <w:tcW w:w="2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at June 30, 2011 the Company maintains a $10.3 million liability (December 31, 2010: $9.7 million) for unrecognized tax benefit, which is comprised of $8.5 million (December 31, 2010: $8.1 million) related to items generating unrecognized tax benefits and $1.8 million (December 31, 2010: $1.8 million) for interest and related penalties to such items. The Company recognizes interest accrued on unrecognized tax benefits as an additional income tax expense.</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2006 through 2010 tax years. The Company does not believe that the outcome of any examination will have a material impact on its financial statements.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7"/>
          </w:tcPr>
          <w:p>
            <w:pPr>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8"/>
          </w:tcPr>
          <w:p>
            <w:pPr>
              <w:ind w:left="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w w:val="85"/>
              </w:rPr>
              <w:t>June 30,</w:t>
            </w:r>
          </w:p>
        </w:tc>
        <w:tc>
          <w:tcPr>
            <w:tcW w:w="280" w:type="dxa"/>
            <w:vAlign w:val="bottom"/>
          </w:tcPr>
          <w:p>
            <w:pPr>
              <w:spacing w:after="0"/>
              <w:rPr>
                <w:sz w:val="19"/>
                <w:szCs w:val="19"/>
                <w:color w:val="auto"/>
              </w:rPr>
            </w:pPr>
          </w:p>
        </w:tc>
        <w:tc>
          <w:tcPr>
            <w:tcW w:w="1360" w:type="dxa"/>
            <w:vAlign w:val="bottom"/>
            <w:gridSpan w:val="4"/>
          </w:tcPr>
          <w:p>
            <w:pPr>
              <w:ind w:left="460"/>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9"/>
                <w:szCs w:val="19"/>
                <w:color w:val="auto"/>
              </w:rPr>
            </w:pPr>
          </w:p>
        </w:tc>
        <w:tc>
          <w:tcPr>
            <w:tcW w:w="9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85"/>
              </w:rPr>
              <w:t>June 30,</w:t>
            </w:r>
          </w:p>
        </w:tc>
        <w:tc>
          <w:tcPr>
            <w:tcW w:w="1180" w:type="dxa"/>
            <w:vAlign w:val="bottom"/>
            <w:gridSpan w:val="5"/>
          </w:tcPr>
          <w:p>
            <w:pPr>
              <w:ind w:left="440"/>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2011</w:t>
            </w:r>
          </w:p>
        </w:tc>
        <w:tc>
          <w:tcPr>
            <w:tcW w:w="118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number of ordinary shares outstanding for basic net income per</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60,390,788</w:t>
            </w:r>
          </w:p>
        </w:tc>
        <w:tc>
          <w:tcPr>
            <w:tcW w:w="280" w:type="dxa"/>
            <w:vAlign w:val="bottom"/>
            <w:shd w:val="clear" w:color="auto" w:fill="CCEEFF"/>
          </w:tcPr>
          <w:p>
            <w:pPr>
              <w:spacing w:after="0"/>
              <w:rPr>
                <w:sz w:val="20"/>
                <w:szCs w:val="20"/>
                <w:color w:val="auto"/>
              </w:rPr>
            </w:pPr>
          </w:p>
        </w:tc>
        <w:tc>
          <w:tcPr>
            <w:tcW w:w="13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59,667,635</w:t>
            </w:r>
          </w:p>
        </w:tc>
        <w:tc>
          <w:tcPr>
            <w:tcW w:w="13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60,336,933</w:t>
            </w: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59,395,142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Effect of dilutive share options outstanding</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724,208</w:t>
            </w:r>
          </w:p>
        </w:tc>
        <w:tc>
          <w:tcPr>
            <w:tcW w:w="28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1,100,739</w:t>
            </w:r>
          </w:p>
        </w:tc>
        <w:tc>
          <w:tcPr>
            <w:tcW w:w="260" w:type="dxa"/>
            <w:vAlign w:val="bottom"/>
          </w:tcPr>
          <w:p>
            <w:pPr>
              <w:spacing w:after="0"/>
              <w:rPr>
                <w:sz w:val="19"/>
                <w:szCs w:val="19"/>
                <w:color w:val="auto"/>
              </w:rPr>
            </w:pPr>
          </w:p>
        </w:tc>
        <w:tc>
          <w:tcPr>
            <w:tcW w:w="1360" w:type="dxa"/>
            <w:vAlign w:val="bottom"/>
            <w:gridSpan w:val="5"/>
          </w:tcPr>
          <w:p>
            <w:pPr>
              <w:jc w:val="right"/>
              <w:ind w:right="280"/>
              <w:spacing w:after="0"/>
              <w:rPr>
                <w:sz w:val="20"/>
                <w:szCs w:val="20"/>
                <w:color w:val="auto"/>
              </w:rPr>
            </w:pPr>
            <w:r>
              <w:rPr>
                <w:rFonts w:ascii="Arial" w:cs="Arial" w:eastAsia="Arial" w:hAnsi="Arial"/>
                <w:sz w:val="18"/>
                <w:szCs w:val="18"/>
                <w:color w:val="auto"/>
              </w:rPr>
              <w:t>719,299</w:t>
            </w:r>
          </w:p>
        </w:tc>
        <w:tc>
          <w:tcPr>
            <w:tcW w:w="1180" w:type="dxa"/>
            <w:vAlign w:val="bottom"/>
            <w:gridSpan w:val="5"/>
          </w:tcPr>
          <w:p>
            <w:pPr>
              <w:jc w:val="right"/>
              <w:ind w:right="100"/>
              <w:spacing w:after="0"/>
              <w:rPr>
                <w:sz w:val="20"/>
                <w:szCs w:val="20"/>
                <w:color w:val="auto"/>
              </w:rPr>
            </w:pPr>
            <w:r>
              <w:rPr>
                <w:rFonts w:ascii="Arial" w:cs="Arial" w:eastAsia="Arial" w:hAnsi="Arial"/>
                <w:sz w:val="18"/>
                <w:szCs w:val="18"/>
                <w:color w:val="auto"/>
              </w:rPr>
              <w:t>1,162,545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number of ordinary shares for diluted net income per ordinary</w:t>
            </w: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w:t>
            </w:r>
          </w:p>
        </w:tc>
        <w:tc>
          <w:tcPr>
            <w:tcW w:w="1440" w:type="dxa"/>
            <w:vAlign w:val="bottom"/>
            <w:tcBorders>
              <w:bottom w:val="single" w:sz="8" w:color="auto"/>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61,114,996</w:t>
            </w:r>
          </w:p>
        </w:tc>
        <w:tc>
          <w:tcPr>
            <w:tcW w:w="136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60,768,374</w:t>
            </w:r>
          </w:p>
        </w:tc>
        <w:tc>
          <w:tcPr>
            <w:tcW w:w="1360" w:type="dxa"/>
            <w:vAlign w:val="bottom"/>
            <w:tcBorders>
              <w:bottom w:val="single" w:sz="8" w:color="auto"/>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61,056,232</w:t>
            </w: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60,557,687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01"/>
        </w:trPr>
        <w:tc>
          <w:tcPr>
            <w:tcW w:w="6080" w:type="dxa"/>
            <w:vAlign w:val="bottom"/>
            <w:gridSpan w:val="2"/>
          </w:tcPr>
          <w:p>
            <w:pPr>
              <w:jc w:val="right"/>
              <w:ind w:right="19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Stock Options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option granted under the 2008 Employees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July 21,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January 17, 2003 the Company adopted the Share Option Plan 2003 (the “2003 Plan”) pursuant to which the Compensation and Organization Committee of the Board may grant options to officers and other employees of the Company or its subsidiaries for the purchase of ordinary shares. Each grant of an option under the 2003 Plan will be evidenced by a Stock Option Agreement between the employee and the Company. The exercise price will be specified in each Stock Option Agreement.</w:t>
      </w:r>
    </w:p>
    <w:p>
      <w:pPr>
        <w:spacing w:after="0" w:line="21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unless the Board expressly determines otherwise. Further, the maximum number of ordinary shares with respect to which options may be granted under the 2003 Plan during any calendar year to any employee shall be 400,000 ordinary shares. No options can be granted after January 17, 2013.</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June 30, 2011 is eight years.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summarizes option activity for the six months ended June 30,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4,798,677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8.47</w:t>
            </w: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799,449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(185,260)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5.46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(254,900)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10.05</w:t>
            </w: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2011</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5,157,966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2011</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2,642,124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19.48</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7.77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has granted options with fair values ranging from $3.68 to $13.93 per option or a weighted average fair value of $7.15 per option. The Company issues ordinary shares for all options exercised. The total amount of fully vested share options which remained outstanding at June 30, 2011 was 2,642,124. Fully vested share options at June 30, 2011 have an average remaining contractual term of 3.51 years, an average exercise price of $19.48 and a total intrinsic value of $17.1 million. The total intrinsic value of options exercised during the six months ended June 30, 2011 was $2.0 million (June 30, 2010: $14.9 million).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40" w:type="dxa"/>
            <w:vAlign w:val="bottom"/>
            <w:gridSpan w:val="4"/>
          </w:tcPr>
          <w:p>
            <w:pPr>
              <w:spacing w:after="0"/>
              <w:rPr>
                <w:sz w:val="20"/>
                <w:szCs w:val="20"/>
                <w:color w:val="auto"/>
              </w:rPr>
            </w:pPr>
            <w:r>
              <w:rPr>
                <w:rFonts w:ascii="Arial" w:cs="Arial" w:eastAsia="Arial" w:hAnsi="Arial"/>
                <w:sz w:val="18"/>
                <w:szCs w:val="18"/>
                <w:color w:val="auto"/>
                <w:w w:val="94"/>
              </w:rPr>
              <w:t>The following table summarizes the movement in non-vested share options for the six months ended June 30, 2011:</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Exercise Price</w:t>
            </w:r>
          </w:p>
        </w:tc>
        <w:tc>
          <w:tcPr>
            <w:tcW w:w="3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 vested outstanding at December 31, 2010</w:t>
            </w:r>
          </w:p>
        </w:tc>
        <w:tc>
          <w:tcPr>
            <w:tcW w:w="4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2,673,674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4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799,449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Vested</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(718,445)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(238,836)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 vested outstanding at June 30, 2011</w:t>
            </w:r>
          </w:p>
        </w:tc>
        <w:tc>
          <w:tcPr>
            <w:tcW w:w="4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2,515,842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460" w:type="dxa"/>
            <w:vAlign w:val="bottom"/>
            <w:tcBorders>
              <w:top w:val="single" w:sz="8" w:color="CCEEFF"/>
            </w:tcBorders>
          </w:tcPr>
          <w:p>
            <w:pPr>
              <w:spacing w:after="0"/>
              <w:rPr>
                <w:sz w:val="24"/>
                <w:szCs w:val="24"/>
                <w:color w:val="auto"/>
              </w:rPr>
            </w:pPr>
          </w:p>
        </w:tc>
        <w:tc>
          <w:tcPr>
            <w:tcW w:w="2960" w:type="dxa"/>
            <w:vAlign w:val="bottom"/>
            <w:tcBorders>
              <w:top w:val="single" w:sz="8" w:color="CCEEFF"/>
            </w:tcBorders>
          </w:tcPr>
          <w:p>
            <w:pPr>
              <w:jc w:val="right"/>
              <w:ind w:right="1550"/>
              <w:spacing w:after="0"/>
              <w:rPr>
                <w:sz w:val="20"/>
                <w:szCs w:val="20"/>
                <w:color w:val="auto"/>
              </w:rPr>
            </w:pPr>
            <w:r>
              <w:rPr>
                <w:rFonts w:ascii="Arial" w:cs="Arial" w:eastAsia="Arial" w:hAnsi="Arial"/>
                <w:sz w:val="18"/>
                <w:szCs w:val="18"/>
                <w:color w:val="auto"/>
              </w:rPr>
              <w:t>12</w:t>
            </w:r>
          </w:p>
        </w:tc>
        <w:tc>
          <w:tcPr>
            <w:tcW w:w="1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fair value of options granted during the period ended June 30, 2011 and June 30, 2010 was calculated using the Black-Scholes option pricing model. The weighted average fair values and assumptions used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9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85"/>
              </w:rPr>
              <w:t>June 30,</w:t>
            </w:r>
          </w:p>
        </w:tc>
        <w:tc>
          <w:tcPr>
            <w:tcW w:w="116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9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2011</w:t>
            </w:r>
          </w:p>
        </w:tc>
        <w:tc>
          <w:tcPr>
            <w:tcW w:w="106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00" w:type="dxa"/>
            <w:vAlign w:val="bottom"/>
            <w:gridSpan w:val="2"/>
          </w:tcPr>
          <w:p>
            <w:pPr>
              <w:spacing w:after="0" w:line="176" w:lineRule="exact"/>
              <w:rPr>
                <w:sz w:val="20"/>
                <w:szCs w:val="20"/>
                <w:color w:val="auto"/>
              </w:rPr>
            </w:pPr>
            <w:r>
              <w:rPr>
                <w:rFonts w:ascii="Arial" w:cs="Arial" w:eastAsia="Arial" w:hAnsi="Arial"/>
                <w:sz w:val="18"/>
                <w:szCs w:val="18"/>
                <w:color w:val="auto"/>
              </w:rPr>
              <w:t>Assumptions: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9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life</w:t>
            </w:r>
          </w:p>
        </w:tc>
        <w:tc>
          <w:tcPr>
            <w:tcW w:w="9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color w:val="auto"/>
              </w:rPr>
              <w:t>5 years</w:t>
            </w: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4.05 years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52"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On February 10, 2011 the Company awarded 100,000 restricted share units (“RSU’s”) to certain key employees of the Group. These RSU’s will vest on the fifth anniversary of date of award. The market price of the Company’s ordinary shares on date of award was $22.11. On March 3, 2011 the Company also awarded 120,000 RSU’s to other key employees of the Group. These RSU’s will vest on the third anniversary of date of grant. The market price of the Company’s ordinary shares on date of award was $20.28. On June 7, 2011 the Company awarded a further 10,000 RSU’s to a key employee of the Group. These RSU’s will vest on the third anniversary of date of grant. The market price of the Company’s ordinary shares on date of award was $24.60.</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August 7, 2008 the Company awarded 6,280 RSU’s to certain key employees. These RSU’s vested over periods ranging from February 26, 2009 to February 26, 2011. The market value of the Company’s ordinary shares on date of award was $41.95. On August 16, 2010 2,512 ordinary shares were issued by the Company relating to certain of the RSU awards. On May 20, 2011 3,768 ordinary shares were issued by the Company relating to the remaining RSU awards.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gridSpan w:val="3"/>
          </w:tcPr>
          <w:p>
            <w:pPr>
              <w:spacing w:after="0"/>
              <w:rPr>
                <w:sz w:val="20"/>
                <w:szCs w:val="20"/>
                <w:color w:val="auto"/>
              </w:rPr>
            </w:pPr>
            <w:r>
              <w:rPr>
                <w:rFonts w:ascii="Arial" w:cs="Arial" w:eastAsia="Arial" w:hAnsi="Arial"/>
                <w:sz w:val="18"/>
                <w:szCs w:val="18"/>
                <w:color w:val="auto"/>
                <w:w w:val="91"/>
              </w:rPr>
              <w:t>The following table summarizes the movement in non-vested restricted share units for the six months ended June 30, 2011:</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Units</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vested outstanding at December 31, 2010</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230,000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100" w:type="dxa"/>
            <w:vAlign w:val="bottom"/>
          </w:tcPr>
          <w:p>
            <w:pPr>
              <w:jc w:val="right"/>
              <w:spacing w:after="0"/>
              <w:rPr>
                <w:sz w:val="20"/>
                <w:szCs w:val="20"/>
                <w:color w:val="auto"/>
              </w:rPr>
            </w:pPr>
            <w:r>
              <w:rPr>
                <w:rFonts w:ascii="Arial" w:cs="Arial" w:eastAsia="Arial" w:hAnsi="Arial"/>
                <w:sz w:val="18"/>
                <w:szCs w:val="18"/>
                <w:color w:val="auto"/>
              </w:rPr>
              <w:t>(1,256)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 vested outstanding at June 30, 2011</w:t>
            </w: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230,000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9000" w:type="dxa"/>
            <w:vAlign w:val="bottom"/>
            <w:gridSpan w:val="3"/>
          </w:tcPr>
          <w:p>
            <w:pPr>
              <w:spacing w:after="0"/>
              <w:rPr>
                <w:sz w:val="20"/>
                <w:szCs w:val="20"/>
                <w:color w:val="auto"/>
              </w:rPr>
            </w:pPr>
            <w:r>
              <w:rPr>
                <w:rFonts w:ascii="Arial" w:cs="Arial" w:eastAsia="Arial" w:hAnsi="Arial"/>
                <w:sz w:val="18"/>
                <w:szCs w:val="18"/>
                <w:color w:val="auto"/>
                <w:w w:val="95"/>
              </w:rPr>
              <w:t>The fair value of stock awards vested for the six months ended June 30, 2011 totaled $0.1 million (2010: $0.1 million).</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820" w:type="dxa"/>
            <w:vAlign w:val="bottom"/>
            <w:gridSpan w:val="2"/>
          </w:tcPr>
          <w:p>
            <w:pPr>
              <w:jc w:val="right"/>
              <w:ind w:right="293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Non-cash stock compensation expense for the six months ended June 30, 2011 has been allocated to direct costs and selling, general and administrative expenses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7"/>
                <w:szCs w:val="17"/>
                <w:color w:val="auto"/>
              </w:rPr>
            </w:pPr>
          </w:p>
        </w:tc>
        <w:tc>
          <w:tcPr>
            <w:tcW w:w="2100" w:type="dxa"/>
            <w:vAlign w:val="bottom"/>
            <w:gridSpan w:val="8"/>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20"/>
        </w:trPr>
        <w:tc>
          <w:tcPr>
            <w:tcW w:w="4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223"/>
        </w:trPr>
        <w:tc>
          <w:tcPr>
            <w:tcW w:w="4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w w:val="85"/>
              </w:rPr>
              <w:t>June 30,</w:t>
            </w:r>
          </w:p>
        </w:tc>
        <w:tc>
          <w:tcPr>
            <w:tcW w:w="700" w:type="dxa"/>
            <w:vAlign w:val="bottom"/>
          </w:tcPr>
          <w:p>
            <w:pPr>
              <w:spacing w:after="0"/>
              <w:rPr>
                <w:sz w:val="19"/>
                <w:szCs w:val="19"/>
                <w:color w:val="auto"/>
              </w:rPr>
            </w:pPr>
          </w:p>
        </w:tc>
        <w:tc>
          <w:tcPr>
            <w:tcW w:w="78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9"/>
                <w:szCs w:val="19"/>
                <w:color w:val="auto"/>
              </w:rPr>
            </w:pPr>
          </w:p>
        </w:tc>
        <w:tc>
          <w:tcPr>
            <w:tcW w:w="78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June 30,</w:t>
            </w:r>
          </w:p>
        </w:tc>
      </w:tr>
      <w:tr>
        <w:trPr>
          <w:trHeight w:val="20"/>
        </w:trPr>
        <w:tc>
          <w:tcPr>
            <w:tcW w:w="4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2011</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2010</w:t>
            </w:r>
          </w:p>
        </w:tc>
      </w:tr>
      <w:tr>
        <w:trPr>
          <w:trHeight w:val="20"/>
        </w:trPr>
        <w:tc>
          <w:tcPr>
            <w:tcW w:w="4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2,280</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888</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1,857</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1,696</w:t>
            </w:r>
          </w:p>
        </w:tc>
      </w:tr>
      <w:tr>
        <w:trPr>
          <w:trHeight w:val="216"/>
        </w:trPr>
        <w:tc>
          <w:tcPr>
            <w:tcW w:w="4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2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2,194</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1,905</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4,137</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3,703</w:t>
            </w:r>
          </w:p>
        </w:tc>
      </w:tr>
      <w:tr>
        <w:trPr>
          <w:trHeight w:val="21"/>
        </w:trPr>
        <w:tc>
          <w:tcPr>
            <w:tcW w:w="4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non-cash stock compensation expense not yet recognized at June 30, 2011 amounted to $17.2 million. The weighted average period over which this is expected to be recognized is 3.2 years. Total tax benefit recognized in additional paid in capital related to the non-cash compensation expense amounted to $0.3 million for the six months ended June 31, 2011 (2010: $1.0 million).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Segment Information</w:t>
      </w:r>
    </w:p>
    <w:p>
      <w:pPr>
        <w:spacing w:after="0" w:line="25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Enterprises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operates predominantly in the contract clinical research industry providing a broad range of clinical research and integrated product development services on a global basis for the pharmaceutical and biotechnology industries. Historically, the Company organized, operated and assessed its business in two segments, the clinical research segment and the central laboratory segment, which includes the Company’s central laboratories located in Dublin, New York, India, Singapore and China. During the year ended December 31, 2009 management determined that its clinical research and central laboratory businesses operate in the same clinical research market, have a similar customer profile, are subject to the same regulatory environment, support the development of new clinical therapies and are so economically similar, reporting their results on an aggregated basis would be more useful to users of the Company’s financial statements. In addition, the central laboratory division did not reach the thresholds of net revenue, income from operations and total assets as a requirement for being reported as a separate segment. Accordingly, the Company consolidated and reclassified the results of the former central laboratory segment into the clinical research segment for the three and six months ended June 30, 2010.</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the year ended December 31, 2010 the Company incurred losses in its central laboratory business, which in accordance with FASB ASC 280-10 </w:t>
      </w:r>
      <w:r>
        <w:rPr>
          <w:rFonts w:ascii="Arial" w:cs="Arial" w:eastAsia="Arial" w:hAnsi="Arial"/>
          <w:sz w:val="18"/>
          <w:szCs w:val="18"/>
          <w:i w:val="1"/>
          <w:iCs w:val="1"/>
          <w:color w:val="auto"/>
        </w:rPr>
        <w:t xml:space="preserve">Disclosures about Segments of an Enterprises and Related Information </w:t>
      </w:r>
      <w:r>
        <w:rPr>
          <w:rFonts w:ascii="Arial" w:cs="Arial" w:eastAsia="Arial" w:hAnsi="Arial"/>
          <w:sz w:val="18"/>
          <w:szCs w:val="18"/>
          <w:color w:val="auto"/>
        </w:rPr>
        <w:t>requires it to be reported as a separate segment. Accordingly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disclosed two reportable segments for the three and six months ended June 30, 2011. The Company has reclassified the results of the central laboratory segment from the clinical research segment for three and six months ended June 30, 2011.</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areas of operation outside of Ireland principally include the United States, United Kingdom, France, Germany, Italy, Spain, The Netherlands, Sweden, Finland, Switzerland, Poland, Czech Republic, Lithuania, Latvia, Russia, Ukraine, Hungary, Israel, Romania, Canada, Mexico, Brazil, Colombia, Argentina, Chile, Peru, India, China, Hong Kong, South Korea, Japan, Thailand, Taiwan, Singapore, The Philippines, Australia, New Zealand, and South Africa. Segment information as at June 30, 2011 and December 31, 2010 and for the three and six months ended June 30, 2011 and June 30, 2010 is as follows:</w:t>
      </w:r>
    </w:p>
    <w:p>
      <w:pPr>
        <w:spacing w:after="0" w:line="215" w:lineRule="exact"/>
        <w:rPr>
          <w:sz w:val="20"/>
          <w:szCs w:val="20"/>
          <w:color w:val="auto"/>
        </w:rPr>
      </w:pPr>
    </w:p>
    <w:p>
      <w:pPr>
        <w:ind w:left="860" w:hanging="352"/>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distribution of net revenue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7"/>
          </w:tcPr>
          <w:p>
            <w:pPr>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9"/>
          </w:tcPr>
          <w:p>
            <w:pPr>
              <w:spacing w:after="0"/>
              <w:rPr>
                <w:sz w:val="20"/>
                <w:szCs w:val="20"/>
                <w:color w:val="auto"/>
              </w:rPr>
            </w:pPr>
            <w:r>
              <w:rPr>
                <w:rFonts w:ascii="Arial" w:cs="Arial" w:eastAsia="Arial" w:hAnsi="Arial"/>
                <w:sz w:val="18"/>
                <w:szCs w:val="18"/>
                <w:b w:val="1"/>
                <w:bCs w:val="1"/>
                <w:color w:val="auto"/>
              </w:rPr>
              <w:t>Six Months Ended</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6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9"/>
              </w:rPr>
              <w:t>June 30,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6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0" w:type="dxa"/>
            <w:vAlign w:val="bottom"/>
            <w:gridSpan w:val="11"/>
          </w:tcPr>
          <w:p>
            <w:pPr>
              <w:ind w:left="18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33,906</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53,433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62,878</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Rest of Europe</w:t>
            </w:r>
          </w:p>
        </w:tc>
        <w:tc>
          <w:tcPr>
            <w:tcW w:w="17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85,868</w:t>
            </w:r>
          </w:p>
        </w:tc>
        <w:tc>
          <w:tcPr>
            <w:tcW w:w="6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70,112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166,945</w:t>
            </w:r>
          </w:p>
        </w:tc>
        <w:tc>
          <w:tcPr>
            <w:tcW w:w="36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140,850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7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93,826</w:t>
            </w:r>
          </w:p>
        </w:tc>
        <w:tc>
          <w:tcPr>
            <w:tcW w:w="6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96,876</w:t>
            </w:r>
          </w:p>
        </w:tc>
        <w:tc>
          <w:tcPr>
            <w:tcW w:w="5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186,390</w:t>
            </w:r>
          </w:p>
        </w:tc>
        <w:tc>
          <w:tcPr>
            <w:tcW w:w="3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194,331</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29,271</w:t>
            </w:r>
          </w:p>
        </w:tc>
        <w:tc>
          <w:tcPr>
            <w:tcW w:w="6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22,857</w:t>
            </w: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55,574</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44,804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233,045</w:t>
            </w: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5"/>
              </w:rPr>
              <w:t>223,751</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5"/>
              </w:rPr>
              <w:t>462,342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442,863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 All sales shown for Ireland are export sales.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3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760" w:type="dxa"/>
            <w:vAlign w:val="bottom"/>
          </w:tcPr>
          <w:p>
            <w:pPr>
              <w:jc w:val="right"/>
              <w:ind w:right="59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60" w:type="dxa"/>
            <w:vAlign w:val="bottom"/>
            <w:tcBorders>
              <w:bottom w:val="single" w:sz="8" w:color="808080"/>
            </w:tcBorders>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w w:val="99"/>
              </w:rPr>
              <w:t>b) The distribution of net revenue by business segment was as follows: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24"/>
                <w:szCs w:val="24"/>
                <w:color w:val="auto"/>
              </w:rPr>
            </w:pPr>
          </w:p>
        </w:tc>
        <w:tc>
          <w:tcPr>
            <w:tcW w:w="2100" w:type="dxa"/>
            <w:vAlign w:val="bottom"/>
            <w:gridSpan w:val="8"/>
          </w:tcPr>
          <w:p>
            <w:pPr>
              <w:ind w:left="2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68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4"/>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216,163</w:t>
            </w:r>
          </w:p>
        </w:tc>
        <w:tc>
          <w:tcPr>
            <w:tcW w:w="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208,114</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429,007</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411,010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16,882</w:t>
            </w: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15,637</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33,335</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233,045</w:t>
            </w: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223,751</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5"/>
              </w:rPr>
              <w:t>462,342</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442,863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 The distribution of income from operations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34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June 30,</w:t>
            </w:r>
          </w:p>
        </w:tc>
        <w:tc>
          <w:tcPr>
            <w:tcW w:w="360" w:type="dxa"/>
            <w:vAlign w:val="bottom"/>
          </w:tcPr>
          <w:p>
            <w:pPr>
              <w:spacing w:after="0"/>
              <w:rPr>
                <w:sz w:val="17"/>
                <w:szCs w:val="17"/>
                <w:color w:val="auto"/>
              </w:rPr>
            </w:pPr>
          </w:p>
        </w:tc>
        <w:tc>
          <w:tcPr>
            <w:tcW w:w="98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June 30,</w:t>
            </w:r>
          </w:p>
        </w:tc>
        <w:tc>
          <w:tcPr>
            <w:tcW w:w="360" w:type="dxa"/>
            <w:vAlign w:val="bottom"/>
          </w:tcPr>
          <w:p>
            <w:pPr>
              <w:spacing w:after="0"/>
              <w:rPr>
                <w:sz w:val="17"/>
                <w:szCs w:val="17"/>
                <w:color w:val="auto"/>
              </w:rPr>
            </w:pPr>
          </w:p>
        </w:tc>
        <w:tc>
          <w:tcPr>
            <w:tcW w:w="960" w:type="dxa"/>
            <w:vAlign w:val="bottom"/>
            <w:gridSpan w:val="4"/>
          </w:tcPr>
          <w:p>
            <w:pPr>
              <w:ind w:left="22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17"/>
                <w:szCs w:val="17"/>
                <w:color w:val="auto"/>
              </w:rPr>
            </w:pPr>
          </w:p>
        </w:tc>
        <w:tc>
          <w:tcPr>
            <w:tcW w:w="98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7"/>
                <w:szCs w:val="17"/>
                <w:color w:val="auto"/>
              </w:rPr>
            </w:pPr>
          </w:p>
        </w:tc>
        <w:tc>
          <w:tcPr>
            <w:tcW w:w="104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Excluding</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Including</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Restructuring</w:t>
            </w:r>
          </w:p>
        </w:tc>
        <w:tc>
          <w:tcPr>
            <w:tcW w:w="134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Restructuring</w:t>
            </w:r>
          </w:p>
        </w:tc>
        <w:tc>
          <w:tcPr>
            <w:tcW w:w="13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Restructuring</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6"/>
              </w:rPr>
              <w:t>Charges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6"/>
              </w:rPr>
              <w:t>Charges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6"/>
              </w:rPr>
              <w:t>Charges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8"/>
          </w:tcPr>
          <w:p>
            <w:pPr>
              <w:jc w:val="right"/>
              <w:ind w:right="500"/>
              <w:spacing w:after="0"/>
              <w:rPr>
                <w:sz w:val="20"/>
                <w:szCs w:val="20"/>
                <w:color w:val="auto"/>
              </w:rPr>
            </w:pPr>
            <w:r>
              <w:rPr>
                <w:rFonts w:ascii="Arial" w:cs="Arial" w:eastAsia="Arial" w:hAnsi="Arial"/>
                <w:sz w:val="18"/>
                <w:szCs w:val="18"/>
                <w:b w:val="1"/>
                <w:bCs w:val="1"/>
                <w:color w:val="auto"/>
                <w:w w:val="99"/>
              </w:rPr>
              <w:t>(in thousands)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(4,386)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13,526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(1,797)</w:t>
            </w:r>
          </w:p>
        </w:tc>
        <w:tc>
          <w:tcPr>
            <w:tcW w:w="3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(1,882)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Rest of Europe</w:t>
            </w:r>
          </w:p>
        </w:tc>
        <w:tc>
          <w:tcPr>
            <w:tcW w:w="16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11,368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5"/>
          </w:tcPr>
          <w:p>
            <w:pPr>
              <w:jc w:val="right"/>
              <w:ind w:right="120"/>
              <w:spacing w:after="0"/>
              <w:rPr>
                <w:sz w:val="20"/>
                <w:szCs w:val="20"/>
                <w:color w:val="auto"/>
              </w:rPr>
            </w:pPr>
            <w:r>
              <w:rPr>
                <w:rFonts w:ascii="Arial" w:cs="Arial" w:eastAsia="Arial" w:hAnsi="Arial"/>
                <w:sz w:val="18"/>
                <w:szCs w:val="18"/>
                <w:color w:val="auto"/>
              </w:rPr>
              <w:t>5,072</w:t>
            </w:r>
          </w:p>
        </w:tc>
        <w:tc>
          <w:tcPr>
            <w:tcW w:w="320" w:type="dxa"/>
            <w:vAlign w:val="bottom"/>
          </w:tcPr>
          <w:p>
            <w:pPr>
              <w:spacing w:after="0"/>
              <w:rPr>
                <w:sz w:val="18"/>
                <w:szCs w:val="18"/>
                <w:color w:val="auto"/>
              </w:rPr>
            </w:pPr>
          </w:p>
        </w:tc>
        <w:tc>
          <w:tcPr>
            <w:tcW w:w="1060" w:type="dxa"/>
            <w:vAlign w:val="bottom"/>
            <w:gridSpan w:val="4"/>
          </w:tcPr>
          <w:p>
            <w:pPr>
              <w:jc w:val="right"/>
              <w:ind w:right="140"/>
              <w:spacing w:after="0"/>
              <w:rPr>
                <w:sz w:val="20"/>
                <w:szCs w:val="20"/>
                <w:color w:val="auto"/>
              </w:rPr>
            </w:pPr>
            <w:r>
              <w:rPr>
                <w:rFonts w:ascii="Arial" w:cs="Arial" w:eastAsia="Arial" w:hAnsi="Arial"/>
                <w:sz w:val="18"/>
                <w:szCs w:val="18"/>
                <w:color w:val="auto"/>
              </w:rPr>
              <w:t>16,841</w:t>
            </w:r>
          </w:p>
        </w:tc>
        <w:tc>
          <w:tcPr>
            <w:tcW w:w="36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Arial" w:cs="Arial" w:eastAsia="Arial" w:hAnsi="Arial"/>
                <w:sz w:val="18"/>
                <w:szCs w:val="18"/>
                <w:color w:val="auto"/>
              </w:rPr>
              <w:t>(1,803)</w:t>
            </w:r>
          </w:p>
        </w:tc>
        <w:tc>
          <w:tcPr>
            <w:tcW w:w="320" w:type="dxa"/>
            <w:vAlign w:val="bottom"/>
          </w:tcPr>
          <w:p>
            <w:pPr>
              <w:spacing w:after="0"/>
              <w:rPr>
                <w:sz w:val="18"/>
                <w:szCs w:val="18"/>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8"/>
                <w:szCs w:val="18"/>
                <w:color w:val="auto"/>
              </w:rPr>
              <w:t>15,038</w:t>
            </w:r>
          </w:p>
        </w:tc>
        <w:tc>
          <w:tcPr>
            <w:tcW w:w="3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6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5,763</w:t>
            </w:r>
          </w:p>
        </w:tc>
        <w:tc>
          <w:tcPr>
            <w:tcW w:w="3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12,891</w:t>
            </w:r>
          </w:p>
        </w:tc>
        <w:tc>
          <w:tcPr>
            <w:tcW w:w="3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(3,114)</w:t>
            </w:r>
          </w:p>
        </w:tc>
        <w:tc>
          <w:tcPr>
            <w:tcW w:w="3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9,777</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1,924</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1,317</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3,542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3,542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15,506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25,678</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31,477</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(5,002)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26,475</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The distribution of income from operations by business segment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3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June 30,</w:t>
            </w:r>
          </w:p>
        </w:tc>
        <w:tc>
          <w:tcPr>
            <w:tcW w:w="360" w:type="dxa"/>
            <w:vAlign w:val="bottom"/>
          </w:tcPr>
          <w:p>
            <w:pPr>
              <w:spacing w:after="0"/>
              <w:rPr>
                <w:sz w:val="17"/>
                <w:szCs w:val="17"/>
                <w:color w:val="auto"/>
              </w:rPr>
            </w:pPr>
          </w:p>
        </w:tc>
        <w:tc>
          <w:tcPr>
            <w:tcW w:w="98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June 30,</w:t>
            </w:r>
          </w:p>
        </w:tc>
        <w:tc>
          <w:tcPr>
            <w:tcW w:w="360" w:type="dxa"/>
            <w:vAlign w:val="bottom"/>
          </w:tcPr>
          <w:p>
            <w:pPr>
              <w:spacing w:after="0"/>
              <w:rPr>
                <w:sz w:val="17"/>
                <w:szCs w:val="17"/>
                <w:color w:val="auto"/>
              </w:rPr>
            </w:pPr>
          </w:p>
        </w:tc>
        <w:tc>
          <w:tcPr>
            <w:tcW w:w="9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7"/>
                <w:szCs w:val="17"/>
                <w:color w:val="auto"/>
              </w:rPr>
            </w:pPr>
          </w:p>
        </w:tc>
        <w:tc>
          <w:tcPr>
            <w:tcW w:w="106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17"/>
                <w:szCs w:val="17"/>
                <w:color w:val="auto"/>
              </w:rPr>
            </w:pPr>
          </w:p>
        </w:tc>
        <w:tc>
          <w:tcPr>
            <w:tcW w:w="98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7"/>
                <w:szCs w:val="17"/>
                <w:color w:val="auto"/>
              </w:rPr>
            </w:pPr>
          </w:p>
        </w:tc>
        <w:tc>
          <w:tcPr>
            <w:tcW w:w="104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Excluding</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Including</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Restructuring</w:t>
            </w:r>
          </w:p>
        </w:tc>
        <w:tc>
          <w:tcPr>
            <w:tcW w:w="134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Restructuring</w:t>
            </w:r>
          </w:p>
        </w:tc>
        <w:tc>
          <w:tcPr>
            <w:tcW w:w="13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Restructuring</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6"/>
              </w:rPr>
              <w:t>Charges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6"/>
              </w:rPr>
              <w:t>Charges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6"/>
              </w:rPr>
              <w:t>Charges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8"/>
          </w:tcPr>
          <w:p>
            <w:pPr>
              <w:jc w:val="right"/>
              <w:ind w:right="640"/>
              <w:spacing w:after="0"/>
              <w:rPr>
                <w:sz w:val="20"/>
                <w:szCs w:val="20"/>
                <w:color w:val="auto"/>
              </w:rPr>
            </w:pPr>
            <w:r>
              <w:rPr>
                <w:rFonts w:ascii="Arial" w:cs="Arial" w:eastAsia="Arial" w:hAnsi="Arial"/>
                <w:sz w:val="18"/>
                <w:szCs w:val="18"/>
                <w:b w:val="1"/>
                <w:bCs w:val="1"/>
                <w:color w:val="auto"/>
                <w:w w:val="99"/>
              </w:rPr>
              <w:t>(in thousands)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8"/>
          </w:tcPr>
          <w:p>
            <w:pPr>
              <w:jc w:val="right"/>
              <w:ind w:right="500"/>
              <w:spacing w:after="0"/>
              <w:rPr>
                <w:sz w:val="20"/>
                <w:szCs w:val="20"/>
                <w:color w:val="auto"/>
              </w:rPr>
            </w:pPr>
            <w:r>
              <w:rPr>
                <w:rFonts w:ascii="Arial" w:cs="Arial" w:eastAsia="Arial" w:hAnsi="Arial"/>
                <w:sz w:val="18"/>
                <w:szCs w:val="18"/>
                <w:b w:val="1"/>
                <w:bCs w:val="1"/>
                <w:color w:val="auto"/>
                <w:w w:val="99"/>
              </w:rPr>
              <w:t>(in thousands)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14,939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26,811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33,616</w:t>
            </w:r>
          </w:p>
        </w:tc>
        <w:tc>
          <w:tcPr>
            <w:tcW w:w="3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(3,457)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30,159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Central laboratory</w:t>
            </w:r>
          </w:p>
        </w:tc>
        <w:tc>
          <w:tcPr>
            <w:tcW w:w="15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5"/>
          </w:tcPr>
          <w:p>
            <w:pPr>
              <w:jc w:val="right"/>
              <w:ind w:right="80"/>
              <w:spacing w:after="0"/>
              <w:rPr>
                <w:sz w:val="20"/>
                <w:szCs w:val="20"/>
                <w:color w:val="auto"/>
              </w:rPr>
            </w:pPr>
            <w:r>
              <w:rPr>
                <w:rFonts w:ascii="Arial" w:cs="Arial" w:eastAsia="Arial" w:hAnsi="Arial"/>
                <w:sz w:val="18"/>
                <w:szCs w:val="18"/>
                <w:color w:val="auto"/>
              </w:rPr>
              <w:t>(1,133)</w:t>
            </w:r>
          </w:p>
        </w:tc>
        <w:tc>
          <w:tcPr>
            <w:tcW w:w="300" w:type="dxa"/>
            <w:vAlign w:val="bottom"/>
          </w:tcPr>
          <w:p>
            <w:pPr>
              <w:spacing w:after="0"/>
              <w:rPr>
                <w:sz w:val="19"/>
                <w:szCs w:val="19"/>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(2,139)</w:t>
            </w:r>
          </w:p>
        </w:tc>
        <w:tc>
          <w:tcPr>
            <w:tcW w:w="360" w:type="dxa"/>
            <w:vAlign w:val="bottom"/>
          </w:tcPr>
          <w:p>
            <w:pPr>
              <w:spacing w:after="0"/>
              <w:rPr>
                <w:sz w:val="19"/>
                <w:szCs w:val="19"/>
                <w:color w:val="auto"/>
              </w:rPr>
            </w:pPr>
          </w:p>
        </w:tc>
        <w:tc>
          <w:tcPr>
            <w:tcW w:w="980" w:type="dxa"/>
            <w:vAlign w:val="bottom"/>
            <w:gridSpan w:val="5"/>
          </w:tcPr>
          <w:p>
            <w:pPr>
              <w:jc w:val="right"/>
              <w:ind w:right="60"/>
              <w:spacing w:after="0"/>
              <w:rPr>
                <w:sz w:val="20"/>
                <w:szCs w:val="20"/>
                <w:color w:val="auto"/>
              </w:rPr>
            </w:pPr>
            <w:r>
              <w:rPr>
                <w:rFonts w:ascii="Arial" w:cs="Arial" w:eastAsia="Arial" w:hAnsi="Arial"/>
                <w:sz w:val="18"/>
                <w:szCs w:val="18"/>
                <w:color w:val="auto"/>
              </w:rPr>
              <w:t>(1,545)</w:t>
            </w:r>
          </w:p>
        </w:tc>
        <w:tc>
          <w:tcPr>
            <w:tcW w:w="320" w:type="dxa"/>
            <w:vAlign w:val="bottom"/>
          </w:tcPr>
          <w:p>
            <w:pPr>
              <w:spacing w:after="0"/>
              <w:rPr>
                <w:sz w:val="19"/>
                <w:szCs w:val="19"/>
                <w:color w:val="auto"/>
              </w:rPr>
            </w:pPr>
          </w:p>
        </w:tc>
        <w:tc>
          <w:tcPr>
            <w:tcW w:w="1040" w:type="dxa"/>
            <w:vAlign w:val="bottom"/>
            <w:gridSpan w:val="5"/>
          </w:tcPr>
          <w:p>
            <w:pPr>
              <w:jc w:val="right"/>
              <w:ind w:right="80"/>
              <w:spacing w:after="0"/>
              <w:rPr>
                <w:sz w:val="20"/>
                <w:szCs w:val="20"/>
                <w:color w:val="auto"/>
              </w:rPr>
            </w:pPr>
            <w:r>
              <w:rPr>
                <w:rFonts w:ascii="Arial" w:cs="Arial" w:eastAsia="Arial" w:hAnsi="Arial"/>
                <w:sz w:val="18"/>
                <w:szCs w:val="18"/>
                <w:color w:val="auto"/>
              </w:rPr>
              <w:t>(3,684)</w:t>
            </w:r>
          </w:p>
        </w:tc>
        <w:tc>
          <w:tcPr>
            <w:tcW w:w="360" w:type="dxa"/>
            <w:vAlign w:val="bottom"/>
          </w:tcPr>
          <w:p>
            <w:pPr>
              <w:spacing w:after="0"/>
              <w:rPr>
                <w:sz w:val="19"/>
                <w:szCs w:val="19"/>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15,506</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25,678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31,477</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(5,002)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26,475</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 The distribution of property, plant and equipment, net,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June 30,</w:t>
            </w:r>
          </w:p>
        </w:tc>
        <w:tc>
          <w:tcPr>
            <w:tcW w:w="300" w:type="dxa"/>
            <w:vAlign w:val="bottom"/>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5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115,118</w:t>
            </w:r>
          </w:p>
        </w:tc>
        <w:tc>
          <w:tcPr>
            <w:tcW w:w="7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109,919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Rest of Europe</w:t>
            </w:r>
          </w:p>
        </w:tc>
        <w:tc>
          <w:tcPr>
            <w:tcW w:w="5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18,664</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16,675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32,328</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Other</w:t>
            </w:r>
          </w:p>
        </w:tc>
        <w:tc>
          <w:tcPr>
            <w:tcW w:w="59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9,022</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18"/>
                <w:szCs w:val="18"/>
                <w:color w:val="auto"/>
              </w:rPr>
            </w:pPr>
          </w:p>
        </w:tc>
        <w:tc>
          <w:tcPr>
            <w:tcW w:w="5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59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175,132</w:t>
            </w:r>
          </w:p>
        </w:tc>
        <w:tc>
          <w:tcPr>
            <w:tcW w:w="7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170,861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5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960" w:type="dxa"/>
            <w:vAlign w:val="bottom"/>
          </w:tcPr>
          <w:p>
            <w:pPr>
              <w:jc w:val="right"/>
              <w:ind w:right="343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f) The distribution of property, plant and equipment, net, by business segment was as follows:</w:t>
      </w:r>
    </w:p>
    <w:p>
      <w:pPr>
        <w:spacing w:after="0" w:line="248" w:lineRule="exact"/>
        <w:rPr>
          <w:sz w:val="20"/>
          <w:szCs w:val="20"/>
          <w:color w:val="auto"/>
        </w:rPr>
      </w:pPr>
    </w:p>
    <w:p>
      <w:pPr>
        <w:ind w:left="9320"/>
        <w:spacing w:after="0"/>
        <w:tabs>
          <w:tab w:leader="none" w:pos="10240" w:val="left"/>
        </w:tabs>
        <w:rPr>
          <w:sz w:val="20"/>
          <w:szCs w:val="20"/>
          <w:color w:val="auto"/>
        </w:rPr>
      </w:pPr>
      <w:r>
        <w:rPr>
          <w:rFonts w:ascii="Arial" w:cs="Arial" w:eastAsia="Arial" w:hAnsi="Arial"/>
          <w:sz w:val="18"/>
          <w:szCs w:val="18"/>
          <w:b w:val="1"/>
          <w:bCs w:val="1"/>
          <w:u w:val="single" w:color="auto"/>
          <w:color w:val="auto"/>
        </w:rPr>
        <w:t>June 30,</w:t>
      </w:r>
      <w:r>
        <w:rPr>
          <w:sz w:val="20"/>
          <w:szCs w:val="20"/>
          <w:color w:val="auto"/>
        </w:rPr>
        <w:tab/>
      </w:r>
      <w:r>
        <w:rPr>
          <w:rFonts w:ascii="Arial" w:cs="Arial" w:eastAsia="Arial" w:hAnsi="Arial"/>
          <w:sz w:val="16"/>
          <w:szCs w:val="16"/>
          <w:b w:val="1"/>
          <w:bCs w:val="1"/>
          <w:u w:val="single" w:color="auto"/>
          <w:color w:val="auto"/>
        </w:rPr>
        <w:t>December 31,</w:t>
      </w:r>
    </w:p>
    <w:p>
      <w:pPr>
        <w:spacing w:after="0" w:line="27" w:lineRule="exact"/>
        <w:rPr>
          <w:sz w:val="20"/>
          <w:szCs w:val="20"/>
          <w:color w:val="auto"/>
        </w:rPr>
      </w:pPr>
    </w:p>
    <w:p>
      <w:pPr>
        <w:ind w:left="9620"/>
        <w:spacing w:after="0"/>
        <w:tabs>
          <w:tab w:leader="none" w:pos="10940" w:val="left"/>
        </w:tabs>
        <w:rPr>
          <w:sz w:val="20"/>
          <w:szCs w:val="20"/>
          <w:color w:val="auto"/>
        </w:rPr>
      </w:pPr>
      <w:r>
        <w:rPr>
          <w:rFonts w:ascii="Arial" w:cs="Arial" w:eastAsia="Arial" w:hAnsi="Arial"/>
          <w:sz w:val="18"/>
          <w:szCs w:val="18"/>
          <w:b w:val="1"/>
          <w:bCs w:val="1"/>
          <w:u w:val="single" w:color="auto"/>
          <w:color w:val="auto"/>
        </w:rPr>
        <w:t>2011</w:t>
      </w:r>
      <w:r>
        <w:rPr>
          <w:sz w:val="20"/>
          <w:szCs w:val="20"/>
          <w:color w:val="auto"/>
        </w:rPr>
        <w:tab/>
      </w:r>
      <w:r>
        <w:rPr>
          <w:rFonts w:ascii="Arial" w:cs="Arial" w:eastAsia="Arial" w:hAnsi="Arial"/>
          <w:sz w:val="18"/>
          <w:szCs w:val="18"/>
          <w:b w:val="1"/>
          <w:bCs w:val="1"/>
          <w:u w:val="single" w:color="auto"/>
          <w:color w:val="auto"/>
        </w:rPr>
        <w:t>2010</w:t>
      </w:r>
    </w:p>
    <w:p>
      <w:pPr>
        <w:spacing w:after="0" w:line="9"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154,252</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149,755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2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20,880</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21,106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5"/>
              </w:rPr>
              <w:t>175,132</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170,861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600" w:type="dxa"/>
            <w:vAlign w:val="bottom"/>
            <w:gridSpan w:val="3"/>
          </w:tcPr>
          <w:p>
            <w:pPr>
              <w:spacing w:after="0"/>
              <w:rPr>
                <w:sz w:val="20"/>
                <w:szCs w:val="20"/>
                <w:color w:val="auto"/>
              </w:rPr>
            </w:pPr>
            <w:r>
              <w:rPr>
                <w:rFonts w:ascii="Arial" w:cs="Arial" w:eastAsia="Arial" w:hAnsi="Arial"/>
                <w:sz w:val="18"/>
                <w:szCs w:val="18"/>
                <w:color w:val="auto"/>
                <w:w w:val="93"/>
              </w:rPr>
              <w:t>g) The distribution of depreciation and amortization by geographical area was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9"/>
          </w:tcPr>
          <w:p>
            <w:pPr>
              <w:ind w:left="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68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17"/>
                <w:szCs w:val="17"/>
                <w:color w:val="auto"/>
              </w:rPr>
            </w:pPr>
          </w:p>
        </w:tc>
        <w:tc>
          <w:tcPr>
            <w:tcW w:w="6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9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2,347</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6,182</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Rest of Europe</w:t>
            </w:r>
          </w:p>
        </w:tc>
        <w:tc>
          <w:tcPr>
            <w:tcW w:w="29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1,854</w:t>
            </w:r>
          </w:p>
        </w:tc>
        <w:tc>
          <w:tcPr>
            <w:tcW w:w="68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1,283</w:t>
            </w: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3,436</w:t>
            </w:r>
          </w:p>
        </w:tc>
        <w:tc>
          <w:tcPr>
            <w:tcW w:w="5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9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68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3,647</w:t>
            </w: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6,468</w:t>
            </w:r>
          </w:p>
        </w:tc>
        <w:tc>
          <w:tcPr>
            <w:tcW w:w="5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1,114</w:t>
            </w: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1,004</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2,216</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9,329</w:t>
            </w: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8,281</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18,302</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 The distribution of depreciation and amortization by business segment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10"/>
          </w:tcPr>
          <w:p>
            <w:pPr>
              <w:ind w:left="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68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w w:val="85"/>
              </w:rPr>
              <w:t>June 30,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6"/>
          </w:tcPr>
          <w:p>
            <w:pPr>
              <w:jc w:val="right"/>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7,045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15,697</w:t>
            </w:r>
          </w:p>
        </w:tc>
        <w:tc>
          <w:tcPr>
            <w:tcW w:w="6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Central laboratory</w:t>
            </w:r>
          </w:p>
        </w:tc>
        <w:tc>
          <w:tcPr>
            <w:tcW w:w="12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1,367</w:t>
            </w:r>
          </w:p>
        </w:tc>
        <w:tc>
          <w:tcPr>
            <w:tcW w:w="680" w:type="dxa"/>
            <w:vAlign w:val="bottom"/>
          </w:tcPr>
          <w:p>
            <w:pPr>
              <w:spacing w:after="0"/>
              <w:rPr>
                <w:sz w:val="19"/>
                <w:szCs w:val="19"/>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1,236</w:t>
            </w:r>
          </w:p>
        </w:tc>
        <w:tc>
          <w:tcPr>
            <w:tcW w:w="36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2,605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9,329</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8,281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18,302</w:t>
            </w:r>
          </w:p>
        </w:tc>
        <w:tc>
          <w:tcPr>
            <w:tcW w:w="6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17,003</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340" w:type="dxa"/>
            <w:vAlign w:val="bottom"/>
            <w:gridSpan w:val="2"/>
          </w:tcPr>
          <w:p>
            <w:pPr>
              <w:spacing w:after="0"/>
              <w:rPr>
                <w:sz w:val="20"/>
                <w:szCs w:val="20"/>
                <w:color w:val="auto"/>
              </w:rPr>
            </w:pPr>
            <w:r>
              <w:rPr>
                <w:rFonts w:ascii="Arial" w:cs="Arial" w:eastAsia="Arial" w:hAnsi="Arial"/>
                <w:sz w:val="18"/>
                <w:szCs w:val="18"/>
                <w:color w:val="auto"/>
                <w:w w:val="96"/>
              </w:rPr>
              <w:t>i) The distribution of total assets by geographical area was as follows:</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85"/>
              </w:rPr>
              <w:t>June 30,</w:t>
            </w:r>
          </w:p>
        </w:tc>
        <w:tc>
          <w:tcPr>
            <w:tcW w:w="280" w:type="dxa"/>
            <w:vAlign w:val="bottom"/>
          </w:tcPr>
          <w:p>
            <w:pPr>
              <w:spacing w:after="0"/>
              <w:rPr>
                <w:sz w:val="24"/>
                <w:szCs w:val="24"/>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5"/>
          </w:tcPr>
          <w:p>
            <w:pPr>
              <w:jc w:val="right"/>
              <w:ind w:right="20"/>
              <w:spacing w:after="0" w:line="196" w:lineRule="exact"/>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6"/>
          </w:tcPr>
          <w:p>
            <w:pPr>
              <w:jc w:val="right"/>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402,130</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418,098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 of Europe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240,854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173,668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338,662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329,971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32,603</w:t>
            </w: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27,801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1,014,249</w:t>
            </w:r>
          </w:p>
        </w:tc>
        <w:tc>
          <w:tcPr>
            <w:tcW w:w="20" w:type="dxa"/>
            <w:vAlign w:val="bottom"/>
          </w:tcPr>
          <w:p>
            <w:pPr>
              <w:spacing w:after="0"/>
              <w:rPr>
                <w:sz w:val="18"/>
                <w:szCs w:val="18"/>
                <w:color w:val="auto"/>
              </w:rPr>
            </w:pPr>
          </w:p>
        </w:tc>
        <w:tc>
          <w:tcPr>
            <w:tcW w:w="6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949,538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60" w:type="dxa"/>
            <w:vAlign w:val="bottom"/>
          </w:tcPr>
          <w:p>
            <w:pPr>
              <w:jc w:val="right"/>
              <w:ind w:right="71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w w:val="95"/>
              </w:rPr>
              <w:t>j) The distribution of total assets by business segment was as follows:</w:t>
            </w: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June 30,</w:t>
            </w:r>
          </w:p>
        </w:tc>
        <w:tc>
          <w:tcPr>
            <w:tcW w:w="300" w:type="dxa"/>
            <w:vAlign w:val="bottom"/>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8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3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952,179</w:t>
            </w:r>
          </w:p>
        </w:tc>
        <w:tc>
          <w:tcPr>
            <w:tcW w:w="7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889,534</w:t>
            </w:r>
          </w:p>
        </w:tc>
      </w:tr>
      <w:tr>
        <w:trPr>
          <w:trHeight w:val="223"/>
        </w:trPr>
        <w:tc>
          <w:tcPr>
            <w:tcW w:w="20" w:type="dxa"/>
            <w:vAlign w:val="bottom"/>
          </w:tcPr>
          <w:p>
            <w:pPr>
              <w:spacing w:after="0"/>
              <w:rPr>
                <w:sz w:val="19"/>
                <w:szCs w:val="19"/>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37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62,070</w:t>
            </w: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60,004</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1,014,249</w:t>
            </w:r>
          </w:p>
        </w:tc>
        <w:tc>
          <w:tcPr>
            <w:tcW w:w="7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949,538</w:t>
            </w:r>
          </w:p>
        </w:tc>
      </w:tr>
      <w:tr>
        <w:trPr>
          <w:trHeight w:val="601"/>
        </w:trPr>
        <w:tc>
          <w:tcPr>
            <w:tcW w:w="20" w:type="dxa"/>
            <w:vAlign w:val="bottom"/>
          </w:tcPr>
          <w:p>
            <w:pPr>
              <w:spacing w:after="0"/>
              <w:rPr>
                <w:sz w:val="24"/>
                <w:szCs w:val="24"/>
                <w:color w:val="auto"/>
              </w:rPr>
            </w:pPr>
          </w:p>
        </w:tc>
        <w:tc>
          <w:tcPr>
            <w:tcW w:w="5300" w:type="dxa"/>
            <w:vAlign w:val="bottom"/>
            <w:tcBorders>
              <w:top w:val="single" w:sz="8" w:color="auto"/>
            </w:tcBorders>
          </w:tcPr>
          <w:p>
            <w:pPr>
              <w:spacing w:after="0"/>
              <w:rPr>
                <w:sz w:val="24"/>
                <w:szCs w:val="24"/>
                <w:color w:val="auto"/>
              </w:rPr>
            </w:pPr>
          </w:p>
        </w:tc>
        <w:tc>
          <w:tcPr>
            <w:tcW w:w="3760" w:type="dxa"/>
            <w:vAlign w:val="bottom"/>
            <w:tcBorders>
              <w:top w:val="single" w:sz="8" w:color="auto"/>
            </w:tcBorders>
          </w:tcPr>
          <w:p>
            <w:pPr>
              <w:jc w:val="right"/>
              <w:ind w:right="3190"/>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2010.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preferred approach is to use dedicated teams to achieve optimum results, but we can implement a range of resourcing models to suit client requirements, and increasingly our teams are flexibly applied to minimize costs for our clients.</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 highly fragmented industry, we are one of a small number of companies with the capability and expertise to conduct clinical trials in all major therapeutic areas on a global basis. Currently, we have approximately 7,800 employees, in 77 locations in 39 countries, providing Phase I - IV Clinical Trial Management, Drug Development Support Services, Data Management, Biostatistics, Central Laboratory, Imaging and Contract Staffing services.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for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June 30, 2011 we had a backlog of approximately $2.1 billion, compared with approximately $1.9 billion at December 31, 2010.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2011 compared with Three Months Ended June 30, 2010</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90"/>
              </w:rPr>
              <w:t>Three Months Ended</w:t>
            </w:r>
          </w:p>
        </w:tc>
        <w:tc>
          <w:tcPr>
            <w:tcW w:w="12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00" w:type="dxa"/>
            <w:vAlign w:val="bottom"/>
            <w:gridSpan w:val="5"/>
          </w:tcPr>
          <w:p>
            <w:pPr>
              <w:jc w:val="right"/>
              <w:ind w:right="460"/>
              <w:spacing w:after="0" w:line="196" w:lineRule="exact"/>
              <w:rPr>
                <w:sz w:val="20"/>
                <w:szCs w:val="20"/>
                <w:color w:val="auto"/>
              </w:rPr>
            </w:pPr>
            <w:r>
              <w:rPr>
                <w:rFonts w:ascii="Arial" w:cs="Arial" w:eastAsia="Arial" w:hAnsi="Arial"/>
                <w:sz w:val="18"/>
                <w:szCs w:val="18"/>
                <w:b w:val="1"/>
                <w:bCs w:val="1"/>
                <w:color w:val="auto"/>
                <w:w w:val="85"/>
              </w:rPr>
              <w:t>June 30,</w:t>
            </w:r>
          </w:p>
        </w:tc>
        <w:tc>
          <w:tcPr>
            <w:tcW w:w="1960" w:type="dxa"/>
            <w:vAlign w:val="bottom"/>
            <w:gridSpan w:val="6"/>
          </w:tcPr>
          <w:p>
            <w:pPr>
              <w:jc w:val="right"/>
              <w:ind w:right="1100"/>
              <w:spacing w:after="0" w:line="196" w:lineRule="exact"/>
              <w:rPr>
                <w:sz w:val="20"/>
                <w:szCs w:val="20"/>
                <w:color w:val="auto"/>
              </w:rPr>
            </w:pPr>
            <w:r>
              <w:rPr>
                <w:rFonts w:ascii="Arial" w:cs="Arial" w:eastAsia="Arial" w:hAnsi="Arial"/>
                <w:sz w:val="18"/>
                <w:szCs w:val="18"/>
                <w:b w:val="1"/>
                <w:bCs w:val="1"/>
                <w:color w:val="auto"/>
              </w:rPr>
              <w:t>June 30,</w:t>
            </w:r>
          </w:p>
        </w:tc>
        <w:tc>
          <w:tcPr>
            <w:tcW w:w="8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00" w:type="dxa"/>
            <w:vAlign w:val="bottom"/>
            <w:gridSpan w:val="5"/>
          </w:tcPr>
          <w:p>
            <w:pPr>
              <w:jc w:val="right"/>
              <w:ind w:right="460"/>
              <w:spacing w:after="0" w:line="196" w:lineRule="exact"/>
              <w:rPr>
                <w:sz w:val="20"/>
                <w:szCs w:val="20"/>
                <w:color w:val="auto"/>
              </w:rPr>
            </w:pPr>
            <w:r>
              <w:rPr>
                <w:rFonts w:ascii="Arial" w:cs="Arial" w:eastAsia="Arial" w:hAnsi="Arial"/>
                <w:sz w:val="18"/>
                <w:szCs w:val="18"/>
                <w:b w:val="1"/>
                <w:bCs w:val="1"/>
                <w:color w:val="auto"/>
              </w:rPr>
              <w:t>2011</w:t>
            </w:r>
          </w:p>
        </w:tc>
        <w:tc>
          <w:tcPr>
            <w:tcW w:w="1960" w:type="dxa"/>
            <w:vAlign w:val="bottom"/>
            <w:gridSpan w:val="6"/>
          </w:tcPr>
          <w:p>
            <w:pPr>
              <w:jc w:val="right"/>
              <w:ind w:right="1100"/>
              <w:spacing w:after="0" w:line="196" w:lineRule="exact"/>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3"/>
              </w:rPr>
              <w:t>to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86"/>
              </w:rPr>
              <w:t>Percentage of Net</w:t>
            </w:r>
          </w:p>
        </w:tc>
        <w:tc>
          <w:tcPr>
            <w:tcW w:w="128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97"/>
              </w:rPr>
              <w:t>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Revenue</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w w:val="93"/>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24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960" w:type="dxa"/>
            <w:vAlign w:val="bottom"/>
            <w:gridSpan w:val="6"/>
            <w:shd w:val="clear" w:color="auto" w:fill="CCEEFF"/>
          </w:tcPr>
          <w:p>
            <w:pPr>
              <w:jc w:val="right"/>
              <w:ind w:right="960"/>
              <w:spacing w:after="0"/>
              <w:rPr>
                <w:sz w:val="20"/>
                <w:szCs w:val="20"/>
                <w:color w:val="auto"/>
              </w:rPr>
            </w:pPr>
            <w:r>
              <w:rPr>
                <w:rFonts w:ascii="Arial" w:cs="Arial" w:eastAsia="Arial" w:hAnsi="Arial"/>
                <w:sz w:val="18"/>
                <w:szCs w:val="18"/>
                <w:color w:val="auto"/>
              </w:rPr>
              <w:t>100.0%</w:t>
            </w: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Costs and expenses: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324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64.7%</w:t>
            </w:r>
          </w:p>
        </w:tc>
        <w:tc>
          <w:tcPr>
            <w:tcW w:w="1960" w:type="dxa"/>
            <w:vAlign w:val="bottom"/>
            <w:gridSpan w:val="6"/>
            <w:shd w:val="clear" w:color="auto" w:fill="CCEEFF"/>
          </w:tcPr>
          <w:p>
            <w:pPr>
              <w:jc w:val="right"/>
              <w:ind w:right="960"/>
              <w:spacing w:after="0"/>
              <w:rPr>
                <w:sz w:val="20"/>
                <w:szCs w:val="20"/>
                <w:color w:val="auto"/>
              </w:rPr>
            </w:pPr>
            <w:r>
              <w:rPr>
                <w:rFonts w:ascii="Arial" w:cs="Arial" w:eastAsia="Arial" w:hAnsi="Arial"/>
                <w:sz w:val="18"/>
                <w:szCs w:val="18"/>
                <w:color w:val="auto"/>
              </w:rPr>
              <w:t>58.5%</w:t>
            </w: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240" w:type="dxa"/>
            <w:vAlign w:val="bottom"/>
            <w:gridSpan w:val="6"/>
          </w:tcPr>
          <w:p>
            <w:pPr>
              <w:jc w:val="right"/>
              <w:ind w:right="300"/>
              <w:spacing w:after="0"/>
              <w:rPr>
                <w:sz w:val="20"/>
                <w:szCs w:val="20"/>
                <w:color w:val="auto"/>
              </w:rPr>
            </w:pPr>
            <w:r>
              <w:rPr>
                <w:rFonts w:ascii="Arial" w:cs="Arial" w:eastAsia="Arial" w:hAnsi="Arial"/>
                <w:sz w:val="18"/>
                <w:szCs w:val="18"/>
                <w:color w:val="auto"/>
              </w:rPr>
              <w:t>24.6%</w:t>
            </w:r>
          </w:p>
        </w:tc>
        <w:tc>
          <w:tcPr>
            <w:tcW w:w="1960" w:type="dxa"/>
            <w:vAlign w:val="bottom"/>
            <w:gridSpan w:val="6"/>
          </w:tcPr>
          <w:p>
            <w:pPr>
              <w:jc w:val="right"/>
              <w:ind w:right="960"/>
              <w:spacing w:after="0"/>
              <w:rPr>
                <w:sz w:val="20"/>
                <w:szCs w:val="20"/>
                <w:color w:val="auto"/>
              </w:rPr>
            </w:pPr>
            <w:r>
              <w:rPr>
                <w:rFonts w:ascii="Arial" w:cs="Arial" w:eastAsia="Arial" w:hAnsi="Arial"/>
                <w:sz w:val="18"/>
                <w:szCs w:val="18"/>
                <w:color w:val="auto"/>
              </w:rPr>
              <w:t>26.3%</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4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1960" w:type="dxa"/>
            <w:vAlign w:val="bottom"/>
            <w:gridSpan w:val="6"/>
            <w:shd w:val="clear" w:color="auto" w:fill="CCEEFF"/>
          </w:tcPr>
          <w:p>
            <w:pPr>
              <w:jc w:val="right"/>
              <w:ind w:right="960"/>
              <w:spacing w:after="0"/>
              <w:rPr>
                <w:sz w:val="20"/>
                <w:szCs w:val="20"/>
                <w:color w:val="auto"/>
              </w:rPr>
            </w:pPr>
            <w:r>
              <w:rPr>
                <w:rFonts w:ascii="Arial" w:cs="Arial" w:eastAsia="Arial" w:hAnsi="Arial"/>
                <w:sz w:val="18"/>
                <w:szCs w:val="18"/>
                <w:color w:val="auto"/>
              </w:rPr>
              <w:t>3.7%</w:t>
            </w: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240" w:type="dxa"/>
            <w:vAlign w:val="bottom"/>
            <w:gridSpan w:val="6"/>
          </w:tcPr>
          <w:p>
            <w:pPr>
              <w:jc w:val="right"/>
              <w:ind w:right="300"/>
              <w:spacing w:after="0"/>
              <w:rPr>
                <w:sz w:val="20"/>
                <w:szCs w:val="20"/>
                <w:color w:val="auto"/>
              </w:rPr>
            </w:pPr>
            <w:r>
              <w:rPr>
                <w:rFonts w:ascii="Arial" w:cs="Arial" w:eastAsia="Arial" w:hAnsi="Arial"/>
                <w:sz w:val="18"/>
                <w:szCs w:val="18"/>
                <w:color w:val="auto"/>
              </w:rPr>
              <w:t>6.7%</w:t>
            </w:r>
          </w:p>
        </w:tc>
        <w:tc>
          <w:tcPr>
            <w:tcW w:w="1960" w:type="dxa"/>
            <w:vAlign w:val="bottom"/>
            <w:gridSpan w:val="6"/>
          </w:tcPr>
          <w:p>
            <w:pPr>
              <w:jc w:val="right"/>
              <w:ind w:right="960"/>
              <w:spacing w:after="0"/>
              <w:rPr>
                <w:sz w:val="20"/>
                <w:szCs w:val="20"/>
                <w:color w:val="auto"/>
              </w:rPr>
            </w:pPr>
            <w:r>
              <w:rPr>
                <w:rFonts w:ascii="Arial" w:cs="Arial" w:eastAsia="Arial" w:hAnsi="Arial"/>
                <w:sz w:val="18"/>
                <w:szCs w:val="18"/>
                <w:color w:val="auto"/>
              </w:rPr>
              <w:t>11.5%</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revenue for the period increased by $9.2 million, or 4.2%, from $223.8 million for the three months ended June 30, 2010 to $233.0 million for the three months ended June 30, 2011. Net revenue in our clinical research segment increased by $8.1 million, or 3.9%, from $208.1 million for the three months ended June 30, 2010 to $216.2 million for the three months ended June 30, 2011. In our central laboratory business, net revenue increased by $1.1 million, or 8.0%, from $15.7 million for the three months ended June 30, 2010 to $16.8 million for the three months ended June 30, 2011. For the three months ended June 30, 2011 we derived approximately 40.3%, 47.2% and 12.5% of our net revenue in the United States, Europe and Rest of World, respectively.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ind w:right="40"/>
        <w:spacing w:after="0" w:line="270" w:lineRule="auto"/>
        <w:rPr>
          <w:sz w:val="20"/>
          <w:szCs w:val="20"/>
          <w:color w:val="auto"/>
        </w:rPr>
      </w:pPr>
      <w:r>
        <w:rPr>
          <w:rFonts w:ascii="Arial" w:cs="Arial" w:eastAsia="Arial" w:hAnsi="Arial"/>
          <w:sz w:val="17"/>
          <w:szCs w:val="17"/>
          <w:color w:val="auto"/>
        </w:rPr>
        <w:t>Direct costs for the period increased by $20.0 million, or 15.3%, from $130.9 million for the three months ended June 30, 2010 to $150.9 million for the three months ended June 30, 2011. Direct costs consist primarily of compensation, associated fringe benefits and share based compensation expense for project-related employees and other direct project driven costs. Direct costs in our clinical research segment increased by $17.3 million, or 14.2%, from $121.4 million for the three months ended June 30, 2010 to $138.7 million for the three months ended June 30, 2011. The Company has entered a number of strategic relationships with sponsors in recent months and further expanded operations in certain territories. This necessitated the Company’s continued investment in personnel in advance of anticipated revenue flows from this business. In our central laboratory business, direct costs increased by $2.7 million, or 28.5%, from $9.5 million for the three months ended June 30, 2010 to $12.2 million for the three months ended June 30, 2011. Increased business wins in this business over the previous twelve months has also necessitated significant upfront investment in personnel and related costs to serve this new business. Direct costs as a percentage of net revenue increased to 64.7% for the three months ended June 30, 2011 from 58.5% for the three months ended June 30, 2010.</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Selling, general and administrative expenses for the period decreased by $1.6 million, or 2.7%, from $58.9 million for the three months ended June 30, 2010 to $57.3 million for the three months ended June 30, 2011. Selling, general and administrative expenses comprise compensation, related fringe benefits and share based compensation expense for selling and administrative employees, professional service costs, advertising costs and all costs related to facilities and information systems. The decrease in selling, general and administrative expense for the period arose primarily from an increase in facilities and information costs of $3.5 million, an increase in compensation and related fringe benefit costs for non project-related employees of $1.5 million offset by a decrease in other general overhead costs of $6.6 million. This decrease in other general overhead costs resulted principally from the release of certain non-recurring tax related provisions in both our clinical research and central laboratory businesses arising from the receipt of additional information in relation to these items. As a percentage of net revenue, selling, general and administrative expenses, decreased from 26.3% for the three months ended June 30, 2010 to 24.6% for the three months ended June 30, 2011.</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for the period increased by $1.0 million, or 12.6%, from $8.3 million for the period ended June 30, 2010 to $9.3 million for the three months ended June 30, 2011. As a percentage of net revenue, depreciation and amortization expense increased from 3.7% of net revenues for the three months ended June 30, 2010 to 4.0% for the three months ended June 30, 2011.</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above, income from operations for the period decreased by $10.2 million, from $25.7 million for the three months ended June 30, 2010 to $15.5 million for the three months ended June 30, 2011. As a percentage of net revenue, income from operations decreased from 11.5% for the three months ended June 30, 2010 to 6.7% for the three months ended June 30, 2011. In our clinical research segment, income from operations as a percentage of net revenue decreased from 11.5% for the year ended June 30, 2011 to 6.4% for the three months ended June 30, 2011, a result of our continued investment in personnel in this business. In our central laboratory business, income/(loss) from operations increased from (0.5)% for the three months ended June 30, 2010 to a 0.2% for the three months ended June 30, 2011. The decrease in losses in our central laboratory business during the three months ended June 30, 2011 has resulted principally from the release of certain non-recurring tax related provisions during the period.</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period decreased from $0.4 million for the three months ended June 30, 2011 to $0.3 million for the three months ended June 30, 2011. This decrease arose from reduced commitment fees payable on negotiated facilities, arising from the reduction in amounts available to draw under such facilities over the period since June 30, 2010. Interest income for the three months ended June 30, 2011 decreased from $0.3 million for the three months ended June 30, 2010 to $0.2 million for the three months ended June 30, 2011.</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Provision for income taxes for the period decreased from $2.9 million for the three months ended June 30, 2010 to $2.5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2011. The effective tax rate for the three months ended June 30, 2011 was 16.2% compared with 11.1% for the three months ended June 30, 2010.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is principally a function of the distribution of pre-tax profits amongst the territories in which it operates.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Six Months Ended June 30, 2011 compared with Six Months Ended June 30, 2010</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39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13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6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660" w:type="dxa"/>
            <w:vAlign w:val="bottom"/>
            <w:gridSpan w:val="2"/>
          </w:tcPr>
          <w:p>
            <w:pPr>
              <w:spacing w:after="0"/>
              <w:rPr>
                <w:sz w:val="17"/>
                <w:szCs w:val="17"/>
                <w:color w:val="auto"/>
              </w:rPr>
            </w:pPr>
          </w:p>
        </w:tc>
        <w:tc>
          <w:tcPr>
            <w:tcW w:w="1600" w:type="dxa"/>
            <w:vAlign w:val="bottom"/>
            <w:gridSpan w:val="4"/>
          </w:tcPr>
          <w:p>
            <w:pPr>
              <w:jc w:val="right"/>
              <w:ind w:right="960"/>
              <w:spacing w:after="0" w:line="196" w:lineRule="exact"/>
              <w:rPr>
                <w:sz w:val="20"/>
                <w:szCs w:val="20"/>
                <w:color w:val="auto"/>
              </w:rPr>
            </w:pPr>
            <w:r>
              <w:rPr>
                <w:rFonts w:ascii="Arial" w:cs="Arial" w:eastAsia="Arial" w:hAnsi="Arial"/>
                <w:sz w:val="18"/>
                <w:szCs w:val="18"/>
                <w:b w:val="1"/>
                <w:bCs w:val="1"/>
                <w:color w:val="auto"/>
                <w:w w:val="85"/>
              </w:rPr>
              <w:t>June 30,</w:t>
            </w:r>
          </w:p>
        </w:tc>
        <w:tc>
          <w:tcPr>
            <w:tcW w:w="84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8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1300" w:type="dxa"/>
            <w:vAlign w:val="bottom"/>
            <w:gridSpan w:val="2"/>
          </w:tcPr>
          <w:p>
            <w:pPr>
              <w:jc w:val="right"/>
              <w:ind w:right="960"/>
              <w:spacing w:after="0" w:line="196" w:lineRule="exact"/>
              <w:rPr>
                <w:sz w:val="20"/>
                <w:szCs w:val="20"/>
                <w:color w:val="auto"/>
              </w:rPr>
            </w:pPr>
            <w:r>
              <w:rPr>
                <w:rFonts w:ascii="Arial" w:cs="Arial" w:eastAsia="Arial" w:hAnsi="Arial"/>
                <w:sz w:val="18"/>
                <w:szCs w:val="18"/>
                <w:b w:val="1"/>
                <w:bCs w:val="1"/>
                <w:color w:val="auto"/>
                <w:w w:val="79"/>
              </w:rPr>
              <w:t>2010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3"/>
              </w:rPr>
              <w:t>to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8"/>
          </w:tcPr>
          <w:p>
            <w:pPr>
              <w:spacing w:after="0" w:line="196" w:lineRule="exact"/>
              <w:rPr>
                <w:sz w:val="20"/>
                <w:szCs w:val="20"/>
                <w:color w:val="auto"/>
              </w:rPr>
            </w:pPr>
            <w:r>
              <w:rPr>
                <w:rFonts w:ascii="Arial" w:cs="Arial" w:eastAsia="Arial" w:hAnsi="Arial"/>
                <w:sz w:val="18"/>
                <w:szCs w:val="18"/>
                <w:b w:val="1"/>
                <w:bCs w:val="1"/>
                <w:color w:val="auto"/>
              </w:rPr>
              <w:t>Percentage of Net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9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25.1%</w:t>
            </w:r>
          </w:p>
        </w:tc>
        <w:tc>
          <w:tcPr>
            <w:tcW w:w="960" w:type="dxa"/>
            <w:vAlign w:val="bottom"/>
          </w:tcPr>
          <w:p>
            <w:pPr>
              <w:spacing w:after="0"/>
              <w:rPr>
                <w:sz w:val="18"/>
                <w:szCs w:val="18"/>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9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One-time net charges</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960" w:type="dxa"/>
            <w:vAlign w:val="bottom"/>
          </w:tcPr>
          <w:p>
            <w:pPr>
              <w:spacing w:after="0"/>
              <w:rPr>
                <w:sz w:val="18"/>
                <w:szCs w:val="18"/>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9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revenue for the period increased by $19.5 million, or 4.4%, from $442.9 million for the six months ended June 30, 2010 to $462.3 million for the six months ended June 30, 2010. Net revenue in our clinical research segment increased by $18.0 million, or 4.4%, from $411.0 million for the six months ended June 30, 2010 to $429.0 million for the six months ended June, 2011. In our central laboratory business, net revenue increased by $1.4 million, or 4.7%, from $31.9 million for the six months ended June 30, 2010 to $33.3 million for the six months ended June 30, 2011. For the six months ended June 30, 2011 we derived approximately 40.3%, 47.7% and 12.0% of our net revenue in the United States, Europe and Rest of World, respectively.</w:t>
      </w:r>
    </w:p>
    <w:p>
      <w:pPr>
        <w:spacing w:after="0" w:line="20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Direct costs for the period increased by $33.1 million, or 12.6%, from $262.2 million for the six months ended June 30, 2010 to $295.3 million for the six months ended June 30, 2011. Direct costs consist primarily of compensation, associated fringe benefits and share based compensation expense for project-related employees and other direct project driven costs. Direct costs in our clinical research segment increased by $27.9 million, or 11.5%, from $243.1 million for the six months ended June 30, 2010 to $271.0 million for the six months ended June 30, 2011. The Company has entered a number of strategic relationships with sponsors in recent months and further expanded operations in certain territories. This has necessitated the Company’s continued investment in personnel in advance of anticipated revenue flows from this business. In our central laboratory business, direct costs increased by $5.2 million, or 27.4%, from $19.1 million for the six months ended June 30, 2010 to $24.3 million for the six months ended June 30, 2011. Increased business wins in this business over the previous twelve months has also necessitated significant upfront investment in personnel and related costs to serve this new business. Direct costs as a percentage of net revenue increased from 59.2% for the six months ended June 30, 2010 to 63.9% for the six months ended June 30, 2011.</w:t>
      </w:r>
    </w:p>
    <w:p>
      <w:pPr>
        <w:spacing w:after="0" w:line="1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Selling, general and administrative expenses for the period increased by $6.0 million, or 5.4%, from $111.2 million for the six months ended June 30, 2010 to $117.2 million for the six months ended June 30, 2011. Selling, general and administrative expenses consist of compensation, related fringe benefits and share based compensation expense for selling and administrative employees, professional service costs, advertising costs and all costs related to facilities and information systems. The increase in selling, general and administrative expense for the period arose primarily from an increase in facilities and information costs of $5.8 million, an increase in foreign exchange losses on the retranslation of monetary assets and liabilities of $1.0 million, offset by a reduction in general overhead costs of $0.7 million. As a percentage of net revenue, selling, general and administrative expenses, increased from 25.1% for the six months ended June 30, 2010 to 25.3% for the six months ended June 30, 2011.</w:t>
      </w:r>
    </w:p>
    <w:p>
      <w:pPr>
        <w:spacing w:after="0" w:line="20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Depreciation and amortization expense for the period increased by $1.3 million, or 7.6%, from $17.0 million for the six months ended June 30, 2010 to $18.3 million for the six months ended June 30, 2011. As a percentage of net revenue, depreciation and amortization expense increased from 3.9% of net revenues for the six months ended June 30, 2010 to 4.0% for the six months ended June 30, 2011.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spacing w:after="0" w:line="276" w:lineRule="auto"/>
        <w:rPr>
          <w:sz w:val="20"/>
          <w:szCs w:val="20"/>
          <w:color w:val="auto"/>
        </w:rPr>
      </w:pPr>
      <w:r>
        <w:rPr>
          <w:rFonts w:ascii="Arial" w:cs="Arial" w:eastAsia="Arial" w:hAnsi="Arial"/>
          <w:sz w:val="17"/>
          <w:szCs w:val="17"/>
          <w:color w:val="auto"/>
        </w:rPr>
        <w:t>During the six months ended June 30, 2011 the Company commenced a review of its operations to improve resource utilization within the business and better align resources to current and future growth opportunities of the business. This review resulted in the adoption of a restructuring plan, the closure of the Company’s facility in Edinburgh, United Kingdom and resource rationalizations in certain of the more mature markets in which it operates. A restructuring charge of $5.0 million was recognized during the six months ended June 30, 2011 $1.0 million in respect of lease termination and exit costs associated with the closure of the Edinburgh facility and $4.0 million in respect of workforce reductions.</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result of the above, income from operations for the period decreased by $26.0 million, from $52.5 million for the six months ended June 30, 2010 to $26.5 million for the six months ended June 30, 2011. As a percentage of net revenue, income from operations decreased from 11.8% for the six months ended June 30, 2010 to 5.7% for the six months ended June 31, 2011. In our clinical research segment, income from operations as a percentage of net revenue decreased from 13.0% for the six months ended June 30, 2010 to 7.0% for the six months ended June 30, 2011. In our central laboratory business, income/(loss) from operations increased from (3.4)% for the six months ended June 30, 2010 to (11.1)% for the six months ended June 30, 2011.</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Excluding the impact of restructuring charges recognized during the six months ended June 30, 2011 income from operations decreased by $21.0 million, from $52.5 million for the six months ended June 30, 2010 to $31.5 million for the six months ended June 30, 2011. As a percentage of net revenue, income from operations excluding restructuring costs decreased from 11.8% for the six months ended June 30, 2010 to 6.8% for the six months ended June 30, 2011. In our clinical research segment, income from operations excluding restructuring costs, as a percentage of net revenue decreased from 13.0% for the six months ended June 30, 2010 to 7.8% for the six months ended June 30, 2011, a result of our continued investment in personnel in this business. In our central laboratory business, income/(loss) from operations excluding restructuring charges decreased from (3.4)% for the six months ended June 30, 2010 to (6.4)% for the six months ended June 30, 2011.</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period decreased from $0.8 million for the six months ended June 30, 2010 to $0.4 million for the six months ended June 30, 2011. This decrease arose from reduced commitment fees payable on negotiated facilities, arising from the reduction in amounts available to draw under such facilities over the period since June 30, 2010. Interest income for the period decreased from $0.6 million for the six months ended June 30, 2010 to $0.5 million for the six months ended June 30, 2011.</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Provision for income taxes for the period decreased from $7.3 million for the six months ended June 30, 2010 to $5.2 million for the six months ended June 30, 2011. The effective tax rate for the six months ended June 30, 2011 was 19.6% compared with 13.9% for the six months ended June 30, 2010. The Company’s effective tax rate is principally a function of the distribution of pre-tax profits amongst the territories in which it operates.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information systems enhancements, the purchase of short term investments and acquisitions.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cash balances at June 30, 2011 amounted to $215.6 million compared with cash balances of $255.7 million at December 31, 2010. The Company’s cash balances at June 30, 2011 comprised cash and cash equivalents $175.6 million and short-term investments $40.0 million. The Company’s cash balances at December 31, 2010 comprised cash and cash equivalents $255.7 million. Additional amounts available to the Group under negotiated facilities amounted to $51.1 million at June 30, 2011 compared with additional amounts of $55.9 million at December 31, 2010.</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spacing w:after="0" w:line="293" w:lineRule="auto"/>
        <w:rPr>
          <w:sz w:val="20"/>
          <w:szCs w:val="20"/>
          <w:color w:val="auto"/>
        </w:rPr>
      </w:pPr>
      <w:r>
        <w:rPr>
          <w:rFonts w:ascii="Arial" w:cs="Arial" w:eastAsia="Arial" w:hAnsi="Arial"/>
          <w:sz w:val="16"/>
          <w:szCs w:val="16"/>
          <w:color w:val="auto"/>
        </w:rPr>
        <w:t>Net cash used in operating activities was $11.7 million for the six months ended June 30, 2011 compared with cash provided by operating activities of $51.8 million for the six months ended June 30, 2010.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decrease in cash flow from operating activities during the six months ended June 30, 2011 arose primarily from a decrease in net income together with an increase in the number of days revenue outstanding during the period. The number of days revenue outstanding at June 30, 2011 was 49 days compared to 37 days at December 31, 2010.</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$80.0 million for the six months ended June 30, 2011 compared to net cash provided by investing activities of $31.1 million for the six months ended June 30, 2010. Net cash used in the six months ended June 30, 2011 arose primarily from cash paid for acquisitions, capital expenditures and the purchase of short-term investments.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six months ended June 30, 2011 the Company completed the acquisition of Oxford Outcomes Limited for an initial cash consideration of $27.7 million. Further consideration $5.5 million was also paid in respect of certain working capital targets on completion. These amounts were offset by cash received on the acquisition of $6.3 million. Capital expenditure for the six months ended June 30, 2011 amounted to $13.1 million, and comprised mainly of expenditure on global infrastructure and information technology systems to support the Company’s growth. During the six months ended June 30, 2011 the Company invested $40.0 million in short-term investments. Net cash provided by investing activities in the six months ended June 30, 2010 arose principally from the sale of short term investments. During the six months ended June 30, 2010 the Company realized a net $49.2 million from the sale of its short term investments. Amounts realized from the sale of short term investments during the six months ended June 30, 2010 were reinvested in cash equivalents. Capital expenditure for the six months ended June 30, 2010 amounted to $17.0 million.</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six months ended June 30, 2011 amounted to $2.6 million compared with net cash provided by financing activities of $11.0 million for the six months ended June 30, 2010. Net cash provided by financing activities in both periods arose primarily from the exercise of stock options.</w:t>
      </w:r>
    </w:p>
    <w:p>
      <w:pPr>
        <w:spacing w:after="0" w:line="20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a result of these cash flows, cash and cash equivalents decreased by $80.1 million for the six months ended June 30, 2011 compared to an increase of $76.0 million for the six months ended June 30, 2010.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9, 2007 the Company entered into a five year committed multi-currency facility agreement for €35 million ($49.7 million) with Bank of Ireland. The facility bears interest at an annual rate equal to EURIBOR plus a margin and is secured by certain composite guarantees, indemnities and pledges in favor of the bank. Amounts available to be drawn reduce over the life of this facility in accordance with agreed payment terms. At June 30, 2011 €13.1 million ($18.6 million) was available to be drawn under this facility.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2008 a committed three year US dollar credit facility was negotiated with Allied Irish Bank plc for $50 million. On April 21, 2010 the Company reduced this facility to $25 million. On December 9, 2010 the Company further reduced this facility to $12.5 million. The facility bears interest at LIBOR plus a margin and is secured by certain composite guarantees and pledges in favor of the bank. At June 30, 2011 $12.5 million was available to be drawn under this facility.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29, 2009 a three year committed credit facility was negotiated with Citibank Europe for $10 million. The facility bears interest at LIBOR plus a margin and is secured by certain composite guarantees and pledges in favor of the bank. At June 30, 2011 $10.0 million was available to be drawn under the facility.</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29, 2009 a committed 364 day credit facility of $30 million was negotiated with JP Morgan for $30 million. On September 3, 2010 a committed 364 day credit facility was negotiated with J.P. Morgan for $10 million, partially replacing the 2009 facility. The facility bears interest at LIBOR plus a margin and is secured by certain composite guarantees and pledges in favor of the bank. At June 30, 2011 $10.0 million was available to be drawn under the facility.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On May 17, 2010 the Company acquired Timaq Medical Imaging, a European provider of advanced imaging services to the pharmaceutical and biotechnology industry, located in Zurich, Switzerland for an initial cash consideration of CHF 1.3 million ($1.2 million). Certain performance milestones were built into the acquisition agreement requiring potential additional consideration of up to CHF 2.9 million ($3.1 million) if these milestones are achieved during the years ended December 31, 2010 to December 31, 2013. On December 31, 2010 CHF 0.3 million ($0.3 million) was paid to the former shareholders in respect of certain milestones for the year ended December 31, 2010. CHF 2.6 million ($3.1 million) has been accrued in relation to the remaining milestones at June 30, 2011.</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14, 2011 the Company acquired approximately 80% of the common stock of Oxford Outcomes Limited, a leading international health outcomes consultancy business, headquartered in Oxford, United Kingdom, and with offices in the USA and Canada, for an initial cash consideration of £17.8 million ($27.7 million). Oxford Outcomes provides specialist services in the areas of patient reported outcomes (PRO), health economics, epidemiology and translation and linguistic validation. Further consideration of up to £6.5 million ($10.4 million) may become payable during the period to March 31, 2012 if certain performance milestones are achieved. In addition, the acquisition agreement also provided for certain working capital targets to be achieved by Oxford Outcomes Limited on completion. In May 2011 the Company paid an additional £3.3 million ($5.5 million) on completion of this review.</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also holds an option to acquire the remaining common stock of Oxford Outcomes Limited during the year ended December 31, 2011 for cash consideration of £3.8 million ($6.1 million). Further consideration of up to £1.5 million ($2.4 million) relating to this remaining common stock of Oxford Outcomes may become payable during the period to March 31, 2012 if certain performance milestones are achieved. £3.8 million ($6.1 million) has been accrued at June 30, 2011 in respect of additional consideration payable in respect of this option and a further £1.5 million ($2.4 million) has been accrued at June 30, 2011 relating to the potential additional consideration payable in respect of the performance milestones.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Ciaran Murray</w:t>
            </w:r>
          </w:p>
        </w:tc>
      </w:tr>
      <w:tr>
        <w:trPr>
          <w:trHeight w:val="202"/>
        </w:trPr>
        <w:tc>
          <w:tcPr>
            <w:tcW w:w="7900" w:type="dxa"/>
            <w:vAlign w:val="bottom"/>
          </w:tcPr>
          <w:p>
            <w:pPr>
              <w:spacing w:after="0" w:line="201" w:lineRule="exact"/>
              <w:rPr>
                <w:sz w:val="20"/>
                <w:szCs w:val="20"/>
                <w:color w:val="auto"/>
              </w:rPr>
            </w:pPr>
            <w:r>
              <w:rPr>
                <w:rFonts w:ascii="Arial" w:cs="Arial" w:eastAsia="Arial" w:hAnsi="Arial"/>
                <w:sz w:val="18"/>
                <w:szCs w:val="18"/>
                <w:color w:val="auto"/>
              </w:rPr>
              <w:t>Date: July 22, 2011</w:t>
            </w: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Ciaran Murray</w:t>
            </w:r>
          </w:p>
        </w:tc>
      </w:tr>
      <w:tr>
        <w:trPr>
          <w:trHeight w:val="230"/>
        </w:trPr>
        <w:tc>
          <w:tcPr>
            <w:tcW w:w="790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2019-12-10T17:15:40Z</dcterms:created>
  <dcterms:modified xsi:type="dcterms:W3CDTF">2019-12-10T17:15:40Z</dcterms:modified>
</cp:coreProperties>
</file>