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October, 2013</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October 24,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October 24, 2013</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right="780"/>
        <w:spacing w:after="0" w:line="256" w:lineRule="auto"/>
        <w:rPr>
          <w:sz w:val="20"/>
          <w:szCs w:val="20"/>
          <w:color w:val="auto"/>
        </w:rPr>
      </w:pPr>
      <w:r>
        <w:rPr>
          <w:rFonts w:ascii="Arial" w:cs="Arial" w:eastAsia="Arial" w:hAnsi="Arial"/>
          <w:sz w:val="22"/>
          <w:szCs w:val="22"/>
          <w:b w:val="1"/>
          <w:bCs w:val="1"/>
          <w:color w:val="auto"/>
        </w:rPr>
        <w:t>ICON Reports Third Quarter 2013 Revenue of $340 Million, up 19% Year on Year, EPS of 45C and Raises FY 2013 Guidance.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Third Quarter Fiscal 2013.</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Quarter 3 net revenue increased 19% year on year to $340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Income from operations was $33.2 million or 9.8%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Earnings per share was 45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280"/>
        <w:spacing w:after="0" w:line="256" w:lineRule="auto"/>
        <w:rPr>
          <w:sz w:val="20"/>
          <w:szCs w:val="20"/>
          <w:color w:val="auto"/>
        </w:rPr>
      </w:pPr>
      <w:r>
        <w:rPr>
          <w:rFonts w:ascii="Arial" w:cs="Arial" w:eastAsia="Arial" w:hAnsi="Arial"/>
          <w:sz w:val="22"/>
          <w:szCs w:val="22"/>
          <w:b w:val="1"/>
          <w:bCs w:val="1"/>
          <w:color w:val="auto"/>
        </w:rPr>
        <w:t>Gross business wins were $471 million, representing a gross book to bill of 1.4. Net business wins were $415 million, representing a net book to bill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300"/>
        <w:spacing w:after="0" w:line="256" w:lineRule="auto"/>
        <w:rPr>
          <w:sz w:val="20"/>
          <w:szCs w:val="20"/>
          <w:color w:val="auto"/>
        </w:rPr>
      </w:pPr>
      <w:r>
        <w:rPr>
          <w:rFonts w:ascii="Arial" w:cs="Arial" w:eastAsia="Arial" w:hAnsi="Arial"/>
          <w:sz w:val="22"/>
          <w:szCs w:val="22"/>
          <w:b w:val="1"/>
          <w:bCs w:val="1"/>
          <w:color w:val="auto"/>
        </w:rPr>
        <w:t>FY 2013 Guidance updated: Revenue in the range of $1,325 million - $1,330 million and EPS in the range of $1.67 - $1.70.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right="40"/>
        <w:spacing w:after="0" w:line="243" w:lineRule="auto"/>
        <w:rPr>
          <w:sz w:val="20"/>
          <w:szCs w:val="20"/>
          <w:color w:val="auto"/>
        </w:rPr>
      </w:pPr>
      <w:r>
        <w:rPr>
          <w:rFonts w:ascii="Arial" w:cs="Arial" w:eastAsia="Arial" w:hAnsi="Arial"/>
          <w:sz w:val="22"/>
          <w:szCs w:val="22"/>
          <w:color w:val="auto"/>
        </w:rPr>
        <w:t>DUBLIN--(BUSINESS WIRE)--October 24, 2013--</w:t>
      </w:r>
      <w:r>
        <w:rPr>
          <w:rFonts w:ascii="Arial" w:cs="Arial" w:eastAsia="Arial" w:hAnsi="Arial"/>
          <w:sz w:val="22"/>
          <w:szCs w:val="22"/>
          <w:b w:val="1"/>
          <w:bCs w:val="1"/>
          <w:color w:val="auto"/>
        </w:rPr>
        <w:t>ICON plc</w:t>
      </w:r>
      <w:r>
        <w:rPr>
          <w:rFonts w:ascii="Arial" w:cs="Arial" w:eastAsia="Arial" w:hAnsi="Arial"/>
          <w:sz w:val="22"/>
          <w:szCs w:val="22"/>
          <w:color w:val="auto"/>
        </w:rPr>
        <w:t xml:space="preserve">, </w:t>
      </w:r>
      <w:r>
        <w:rPr>
          <w:rFonts w:ascii="Arial" w:cs="Arial" w:eastAsia="Arial" w:hAnsi="Arial"/>
          <w:sz w:val="22"/>
          <w:szCs w:val="22"/>
          <w:b w:val="1"/>
          <w:bCs w:val="1"/>
          <w:color w:val="auto"/>
        </w:rPr>
        <w:t>(NASDAQ: ICLR),</w:t>
      </w:r>
      <w:r>
        <w:rPr>
          <w:rFonts w:ascii="Arial" w:cs="Arial" w:eastAsia="Arial" w:hAnsi="Arial"/>
          <w:sz w:val="22"/>
          <w:szCs w:val="22"/>
          <w:color w:val="auto"/>
        </w:rPr>
        <w:t xml:space="preserve"> a global provider of outsourced development services to the pharmaceutical, biotechnology and medical device industries, today reported its financial results for the third quarter ended September 30, 2013.</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Net revenues grew 19% year on year to $339.8 million from $285.5 million in Q3 2012.</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Income from operations was $33.2 million or 9.8% of revenue, compared to $20.9 million or 7.3% for the same quarter last year.</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Net income was $27.8 million or 45 cents per share on a diluted basis, compared with $17.7 million or 29 cents per share last year.</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Year to date net revenues for 2013 increased 22% to $991 million from $815 million in 2012.</w:t>
      </w:r>
    </w:p>
    <w:p>
      <w:pPr>
        <w:spacing w:after="0" w:line="206"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Year to date income from operations, excluding restructuring charges, was $91.5 million or 9.2% of revenue, compared with $49.3m or 6.0% of revenue in the previous year.</w:t>
      </w:r>
    </w:p>
    <w:p>
      <w:pPr>
        <w:spacing w:after="0" w:line="173"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Year to date net income, excluding restructuring charges, was $76.5 million or $1.23 per share on a diluted basis, compared with $39.6 million or 66 cents per diluted share last year.</w:t>
      </w:r>
    </w:p>
    <w:p>
      <w:pPr>
        <w:spacing w:after="0" w:line="17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Year to date income from operations on a GAAP basis was $82.5 million, and year to date net income on a GAAP basis was $69.3 million or $1.12 per share.</w:t>
      </w:r>
    </w:p>
    <w:p>
      <w:pPr>
        <w:spacing w:after="0" w:line="17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Guidance for the full year 2013 has been updated with revenue expected to be in the range of $1.325 billion - $1.33 billion and EPS guidance in the range of $1.67 - $1.70.</w:t>
      </w:r>
    </w:p>
    <w:p>
      <w:pPr>
        <w:spacing w:after="0" w:line="173"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40 days at September 30, 2013, compared with 40 days at the end of December 2012.</w:t>
      </w:r>
    </w:p>
    <w:p>
      <w:pPr>
        <w:spacing w:after="0" w:line="173" w:lineRule="exact"/>
        <w:rPr>
          <w:sz w:val="20"/>
          <w:szCs w:val="20"/>
          <w:color w:val="auto"/>
        </w:rPr>
      </w:pPr>
    </w:p>
    <w:p>
      <w:pPr>
        <w:jc w:val="both"/>
        <w:ind w:right="220"/>
        <w:spacing w:after="0" w:line="258" w:lineRule="auto"/>
        <w:rPr>
          <w:sz w:val="20"/>
          <w:szCs w:val="20"/>
          <w:color w:val="auto"/>
        </w:rPr>
      </w:pPr>
      <w:r>
        <w:rPr>
          <w:rFonts w:ascii="Arial" w:cs="Arial" w:eastAsia="Arial" w:hAnsi="Arial"/>
          <w:sz w:val="21"/>
          <w:szCs w:val="21"/>
          <w:color w:val="auto"/>
        </w:rPr>
        <w:t>For the quarter ended September 30, 2013, cash generated from operating activities was $43.6 million, after expenditure of $15.1 million on prior period acquisition earn outs and capital expenditure of $6.2 million. The company’s net cash amounted to $218.6 million at September 30, 2013, compared to net cash of $190 million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20"/>
        <w:spacing w:after="0" w:line="238" w:lineRule="auto"/>
        <w:rPr>
          <w:sz w:val="20"/>
          <w:szCs w:val="20"/>
          <w:color w:val="auto"/>
        </w:rPr>
      </w:pPr>
      <w:r>
        <w:rPr>
          <w:rFonts w:ascii="Arial" w:cs="Arial" w:eastAsia="Arial" w:hAnsi="Arial"/>
          <w:sz w:val="22"/>
          <w:szCs w:val="22"/>
          <w:color w:val="auto"/>
        </w:rPr>
        <w:t xml:space="preserve">CEO Ciaran Murray commented, </w:t>
      </w:r>
      <w:r>
        <w:rPr>
          <w:rFonts w:ascii="Arial" w:cs="Arial" w:eastAsia="Arial" w:hAnsi="Arial"/>
          <w:sz w:val="22"/>
          <w:szCs w:val="22"/>
          <w:i w:val="1"/>
          <w:iCs w:val="1"/>
          <w:color w:val="auto"/>
        </w:rPr>
        <w:t>“For the quarter we are reporting revenue growth of 19% year on year and operating margins of</w:t>
      </w:r>
      <w:r>
        <w:rPr>
          <w:rFonts w:ascii="Arial" w:cs="Arial" w:eastAsia="Arial" w:hAnsi="Arial"/>
          <w:sz w:val="22"/>
          <w:szCs w:val="22"/>
          <w:color w:val="auto"/>
        </w:rPr>
        <w:t xml:space="preserve"> </w:t>
      </w:r>
      <w:r>
        <w:rPr>
          <w:rFonts w:ascii="Arial" w:cs="Arial" w:eastAsia="Arial" w:hAnsi="Arial"/>
          <w:sz w:val="22"/>
          <w:szCs w:val="22"/>
          <w:i w:val="1"/>
          <w:iCs w:val="1"/>
          <w:color w:val="auto"/>
        </w:rPr>
        <w:t>9.8%. We booked $415 million of net new business wins or a book to bill of 1.2, leaving us with a closing backlog of $2.97 billion. Consequently we are raising our revenue guidance to the range of $1.325 -$1.330 billion and our earnings per share guidance to the range of $1.67-$1.70 for the financial year 2013.”</w:t>
      </w:r>
    </w:p>
    <w:p>
      <w:pPr>
        <w:spacing w:after="0" w:line="186" w:lineRule="exact"/>
        <w:rPr>
          <w:sz w:val="20"/>
          <w:szCs w:val="20"/>
          <w:color w:val="auto"/>
        </w:rPr>
      </w:pPr>
    </w:p>
    <w:p>
      <w:pPr>
        <w:jc w:val="both"/>
        <w:ind w:right="32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 xml:space="preserve">ICON will hold its third quarter conference call today, October 24, 2013 at 9:00 EST [14:00 Ireland &amp; UK]. This call and linked slide presentation can be accessed live from our website at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reports filed with the US Securities and Exchange Commission by ICON, including its Form 20-F, F-1, S-8 and F-3, may affect the actual results achieved by ICON. ICON disclaims any intent or obligation to update these forward-looking statements.</w:t>
      </w:r>
    </w:p>
    <w:p>
      <w:pPr>
        <w:spacing w:after="0" w:line="177" w:lineRule="exact"/>
        <w:rPr>
          <w:sz w:val="20"/>
          <w:szCs w:val="20"/>
          <w:color w:val="auto"/>
        </w:rPr>
      </w:pPr>
    </w:p>
    <w:p>
      <w:pPr>
        <w:ind w:right="52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77 locations in 38 countries and has approximately 10,300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ICON plc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Income Statements (Unaudited)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(Before restructuring and other items)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and Nine Months ended September 30, 2013 and September 30, 2012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240" w:type="dxa"/>
            <w:vAlign w:val="bottom"/>
            <w:gridSpan w:val="3"/>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60" w:type="dxa"/>
            <w:vAlign w:val="bottom"/>
            <w:gridSpan w:val="3"/>
          </w:tcPr>
          <w:p>
            <w:pPr>
              <w:ind w:left="10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4700" w:type="dxa"/>
            <w:vAlign w:val="bottom"/>
          </w:tcPr>
          <w:p>
            <w:pPr>
              <w:spacing w:after="0"/>
              <w:rPr>
                <w:sz w:val="24"/>
                <w:szCs w:val="24"/>
                <w:color w:val="auto"/>
              </w:rPr>
            </w:pPr>
          </w:p>
        </w:tc>
        <w:tc>
          <w:tcPr>
            <w:tcW w:w="1560" w:type="dxa"/>
            <w:vAlign w:val="bottom"/>
          </w:tcPr>
          <w:p>
            <w:pPr>
              <w:ind w:left="3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6"/>
              </w:rPr>
              <w:t>2012</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6"/>
              </w:rPr>
              <w:t>2013</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4700" w:type="dxa"/>
            <w:vAlign w:val="bottom"/>
          </w:tcPr>
          <w:p>
            <w:pPr>
              <w:ind w:left="120"/>
              <w:spacing w:after="0"/>
              <w:rPr>
                <w:sz w:val="20"/>
                <w:szCs w:val="20"/>
                <w:color w:val="auto"/>
              </w:rPr>
            </w:pPr>
            <w:r>
              <w:rPr>
                <w:rFonts w:ascii="Arial" w:cs="Arial" w:eastAsia="Arial" w:hAnsi="Arial"/>
                <w:sz w:val="14"/>
                <w:szCs w:val="14"/>
                <w:color w:val="auto"/>
              </w:rPr>
              <w:t>Gross Revenue</w:t>
            </w: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445,598</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374,965</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1,334,283</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1,097,640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00" w:type="dxa"/>
            <w:vAlign w:val="bottom"/>
          </w:tcPr>
          <w:p>
            <w:pPr>
              <w:ind w:left="120"/>
              <w:spacing w:after="0"/>
              <w:rPr>
                <w:sz w:val="20"/>
                <w:szCs w:val="20"/>
                <w:color w:val="auto"/>
              </w:rPr>
            </w:pPr>
            <w:r>
              <w:rPr>
                <w:rFonts w:ascii="Arial" w:cs="Arial" w:eastAsia="Arial" w:hAnsi="Arial"/>
                <w:sz w:val="14"/>
                <w:szCs w:val="14"/>
                <w:color w:val="auto"/>
              </w:rPr>
              <w:t>Reimbursable expenses</w:t>
            </w: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105,788</w:t>
            </w:r>
          </w:p>
        </w:tc>
        <w:tc>
          <w:tcPr>
            <w:tcW w:w="16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89,463</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343,465</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282,798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Net Revenue</w:t>
            </w: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339,810</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0"/>
              </w:rPr>
              <w:t>285,502</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0"/>
              </w:rPr>
              <w:t>990,818</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0"/>
              </w:rPr>
              <w:t>814,842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700" w:type="dxa"/>
            <w:vAlign w:val="bottom"/>
          </w:tcPr>
          <w:p>
            <w:pPr>
              <w:ind w:left="120"/>
              <w:spacing w:after="0"/>
              <w:rPr>
                <w:sz w:val="20"/>
                <w:szCs w:val="20"/>
                <w:color w:val="auto"/>
              </w:rPr>
            </w:pPr>
            <w:r>
              <w:rPr>
                <w:rFonts w:ascii="Arial" w:cs="Arial" w:eastAsia="Arial" w:hAnsi="Arial"/>
                <w:sz w:val="14"/>
                <w:szCs w:val="14"/>
                <w:b w:val="1"/>
                <w:bCs w:val="1"/>
                <w:color w:val="auto"/>
              </w:rPr>
              <w:t>Costs and expenses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120"/>
              <w:spacing w:after="0"/>
              <w:rPr>
                <w:sz w:val="20"/>
                <w:szCs w:val="20"/>
                <w:color w:val="auto"/>
              </w:rPr>
            </w:pPr>
            <w:r>
              <w:rPr>
                <w:rFonts w:ascii="Arial" w:cs="Arial" w:eastAsia="Arial" w:hAnsi="Arial"/>
                <w:sz w:val="14"/>
                <w:szCs w:val="14"/>
                <w:color w:val="auto"/>
              </w:rPr>
              <w:t>Direct costs</w:t>
            </w:r>
          </w:p>
        </w:tc>
        <w:tc>
          <w:tcPr>
            <w:tcW w:w="1560" w:type="dxa"/>
            <w:vAlign w:val="bottom"/>
          </w:tcPr>
          <w:p>
            <w:pPr>
              <w:jc w:val="center"/>
              <w:spacing w:after="0"/>
              <w:rPr>
                <w:sz w:val="20"/>
                <w:szCs w:val="20"/>
                <w:color w:val="auto"/>
              </w:rPr>
            </w:pPr>
            <w:r>
              <w:rPr>
                <w:rFonts w:ascii="Arial" w:cs="Arial" w:eastAsia="Arial" w:hAnsi="Arial"/>
                <w:sz w:val="14"/>
                <w:szCs w:val="14"/>
                <w:color w:val="auto"/>
                <w:w w:val="90"/>
              </w:rPr>
              <w:t>213,666</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183,332</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630,258</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525,743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81,408</w:t>
            </w:r>
          </w:p>
        </w:tc>
        <w:tc>
          <w:tcPr>
            <w:tcW w:w="16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70,690</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234,520</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207,615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11,575</w:t>
            </w:r>
          </w:p>
        </w:tc>
        <w:tc>
          <w:tcPr>
            <w:tcW w:w="16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10,601</w:t>
            </w:r>
          </w:p>
        </w:tc>
        <w:tc>
          <w:tcPr>
            <w:tcW w:w="1680" w:type="dxa"/>
            <w:vAlign w:val="bottom"/>
            <w:gridSpan w:val="2"/>
          </w:tcPr>
          <w:p>
            <w:pPr>
              <w:jc w:val="center"/>
              <w:ind w:left="8"/>
              <w:spacing w:after="0"/>
              <w:rPr>
                <w:sz w:val="20"/>
                <w:szCs w:val="20"/>
                <w:color w:val="auto"/>
              </w:rPr>
            </w:pPr>
            <w:r>
              <w:rPr>
                <w:rFonts w:ascii="Arial" w:cs="Arial" w:eastAsia="Arial" w:hAnsi="Arial"/>
                <w:sz w:val="14"/>
                <w:szCs w:val="14"/>
                <w:color w:val="auto"/>
                <w:w w:val="93"/>
              </w:rPr>
              <w:t>34,551</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88"/>
              </w:rPr>
              <w:t>32,233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 costs and expenses</w:t>
            </w:r>
          </w:p>
        </w:tc>
        <w:tc>
          <w:tcPr>
            <w:tcW w:w="1560" w:type="dxa"/>
            <w:vAlign w:val="bottom"/>
          </w:tcPr>
          <w:p>
            <w:pPr>
              <w:spacing w:after="0"/>
              <w:rPr>
                <w:sz w:val="15"/>
                <w:szCs w:val="15"/>
                <w:color w:val="auto"/>
              </w:rPr>
            </w:pPr>
          </w:p>
        </w:tc>
        <w:tc>
          <w:tcPr>
            <w:tcW w:w="1680" w:type="dxa"/>
            <w:vAlign w:val="bottom"/>
            <w:gridSpan w:val="2"/>
          </w:tcPr>
          <w:p>
            <w:pPr>
              <w:spacing w:after="0"/>
              <w:rPr>
                <w:sz w:val="15"/>
                <w:szCs w:val="15"/>
                <w:color w:val="auto"/>
              </w:rPr>
            </w:pPr>
          </w:p>
        </w:tc>
        <w:tc>
          <w:tcPr>
            <w:tcW w:w="1680" w:type="dxa"/>
            <w:vAlign w:val="bottom"/>
            <w:gridSpan w:val="2"/>
          </w:tcPr>
          <w:p>
            <w:pPr>
              <w:spacing w:after="0"/>
              <w:rPr>
                <w:sz w:val="15"/>
                <w:szCs w:val="15"/>
                <w:color w:val="auto"/>
              </w:rPr>
            </w:pPr>
          </w:p>
        </w:tc>
        <w:tc>
          <w:tcPr>
            <w:tcW w:w="16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306,649</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264,623</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899,329</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765,591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700" w:type="dxa"/>
            <w:vAlign w:val="bottom"/>
          </w:tcPr>
          <w:p>
            <w:pPr>
              <w:ind w:left="120"/>
              <w:spacing w:after="0"/>
              <w:rPr>
                <w:sz w:val="20"/>
                <w:szCs w:val="20"/>
                <w:color w:val="auto"/>
              </w:rPr>
            </w:pPr>
            <w:r>
              <w:rPr>
                <w:rFonts w:ascii="Arial" w:cs="Arial" w:eastAsia="Arial" w:hAnsi="Arial"/>
                <w:sz w:val="14"/>
                <w:szCs w:val="14"/>
                <w:b w:val="1"/>
                <w:bCs w:val="1"/>
                <w:color w:val="auto"/>
              </w:rPr>
              <w:t>Income from operations</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33,161</w:t>
            </w:r>
          </w:p>
        </w:tc>
        <w:tc>
          <w:tcPr>
            <w:tcW w:w="16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20,879</w:t>
            </w:r>
          </w:p>
        </w:tc>
        <w:tc>
          <w:tcPr>
            <w:tcW w:w="1680" w:type="dxa"/>
            <w:vAlign w:val="bottom"/>
            <w:gridSpan w:val="2"/>
          </w:tcPr>
          <w:p>
            <w:pPr>
              <w:jc w:val="center"/>
              <w:ind w:left="8"/>
              <w:spacing w:after="0"/>
              <w:rPr>
                <w:sz w:val="20"/>
                <w:szCs w:val="20"/>
                <w:color w:val="auto"/>
              </w:rPr>
            </w:pPr>
            <w:r>
              <w:rPr>
                <w:rFonts w:ascii="Arial" w:cs="Arial" w:eastAsia="Arial" w:hAnsi="Arial"/>
                <w:sz w:val="14"/>
                <w:szCs w:val="14"/>
                <w:color w:val="auto"/>
                <w:w w:val="93"/>
              </w:rPr>
              <w:t>91,489</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88"/>
              </w:rPr>
              <w:t>49,251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00" w:type="dxa"/>
            <w:vAlign w:val="bottom"/>
          </w:tcPr>
          <w:p>
            <w:pPr>
              <w:ind w:left="120"/>
              <w:spacing w:after="0"/>
              <w:rPr>
                <w:sz w:val="20"/>
                <w:szCs w:val="20"/>
                <w:color w:val="auto"/>
              </w:rPr>
            </w:pPr>
            <w:r>
              <w:rPr>
                <w:rFonts w:ascii="Arial" w:cs="Arial" w:eastAsia="Arial" w:hAnsi="Arial"/>
                <w:sz w:val="14"/>
                <w:szCs w:val="14"/>
                <w:color w:val="auto"/>
              </w:rPr>
              <w:t>Net interest expense</w:t>
            </w:r>
          </w:p>
        </w:tc>
        <w:tc>
          <w:tcPr>
            <w:tcW w:w="1560" w:type="dxa"/>
            <w:vAlign w:val="bottom"/>
          </w:tcPr>
          <w:p>
            <w:pPr>
              <w:jc w:val="center"/>
              <w:spacing w:after="0"/>
              <w:rPr>
                <w:sz w:val="20"/>
                <w:szCs w:val="20"/>
                <w:color w:val="auto"/>
              </w:rPr>
            </w:pPr>
            <w:r>
              <w:rPr>
                <w:rFonts w:ascii="Arial" w:cs="Arial" w:eastAsia="Arial" w:hAnsi="Arial"/>
                <w:sz w:val="14"/>
                <w:szCs w:val="14"/>
                <w:color w:val="auto"/>
                <w:w w:val="96"/>
              </w:rPr>
              <w:t>(56)</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(252)</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(341)</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(518)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Income before provision for income taxes</w:t>
            </w:r>
          </w:p>
        </w:tc>
        <w:tc>
          <w:tcPr>
            <w:tcW w:w="1560" w:type="dxa"/>
            <w:vAlign w:val="bottom"/>
          </w:tcPr>
          <w:p>
            <w:pPr>
              <w:spacing w:after="0"/>
              <w:rPr>
                <w:sz w:val="15"/>
                <w:szCs w:val="15"/>
                <w:color w:val="auto"/>
              </w:rPr>
            </w:pPr>
          </w:p>
        </w:tc>
        <w:tc>
          <w:tcPr>
            <w:tcW w:w="1680" w:type="dxa"/>
            <w:vAlign w:val="bottom"/>
            <w:gridSpan w:val="2"/>
          </w:tcPr>
          <w:p>
            <w:pPr>
              <w:spacing w:after="0"/>
              <w:rPr>
                <w:sz w:val="15"/>
                <w:szCs w:val="15"/>
                <w:color w:val="auto"/>
              </w:rPr>
            </w:pPr>
          </w:p>
        </w:tc>
        <w:tc>
          <w:tcPr>
            <w:tcW w:w="1680" w:type="dxa"/>
            <w:vAlign w:val="bottom"/>
            <w:gridSpan w:val="2"/>
          </w:tcPr>
          <w:p>
            <w:pPr>
              <w:spacing w:after="0"/>
              <w:rPr>
                <w:sz w:val="15"/>
                <w:szCs w:val="15"/>
                <w:color w:val="auto"/>
              </w:rPr>
            </w:pPr>
          </w:p>
        </w:tc>
        <w:tc>
          <w:tcPr>
            <w:tcW w:w="16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33,105</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20,627</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91,148</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48,733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70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5,297</w:t>
            </w:r>
          </w:p>
        </w:tc>
        <w:tc>
          <w:tcPr>
            <w:tcW w:w="16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2,889</w:t>
            </w:r>
          </w:p>
        </w:tc>
        <w:tc>
          <w:tcPr>
            <w:tcW w:w="1680" w:type="dxa"/>
            <w:vAlign w:val="bottom"/>
            <w:gridSpan w:val="2"/>
          </w:tcPr>
          <w:p>
            <w:pPr>
              <w:jc w:val="center"/>
              <w:ind w:left="8"/>
              <w:spacing w:after="0"/>
              <w:rPr>
                <w:sz w:val="20"/>
                <w:szCs w:val="20"/>
                <w:color w:val="auto"/>
              </w:rPr>
            </w:pPr>
            <w:r>
              <w:rPr>
                <w:rFonts w:ascii="Arial" w:cs="Arial" w:eastAsia="Arial" w:hAnsi="Arial"/>
                <w:sz w:val="14"/>
                <w:szCs w:val="14"/>
                <w:color w:val="auto"/>
                <w:w w:val="93"/>
              </w:rPr>
              <w:t>14,633</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9,129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Net income</w:t>
            </w: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700" w:type="dxa"/>
            <w:vAlign w:val="bottom"/>
            <w:vMerge w:val="continue"/>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27,808</w:t>
            </w:r>
          </w:p>
        </w:tc>
        <w:tc>
          <w:tcPr>
            <w:tcW w:w="16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17,738</w:t>
            </w:r>
          </w:p>
        </w:tc>
        <w:tc>
          <w:tcPr>
            <w:tcW w:w="1680" w:type="dxa"/>
            <w:vAlign w:val="bottom"/>
            <w:gridSpan w:val="2"/>
          </w:tcPr>
          <w:p>
            <w:pPr>
              <w:jc w:val="center"/>
              <w:ind w:left="8"/>
              <w:spacing w:after="0"/>
              <w:rPr>
                <w:sz w:val="20"/>
                <w:szCs w:val="20"/>
                <w:color w:val="auto"/>
              </w:rPr>
            </w:pPr>
            <w:r>
              <w:rPr>
                <w:rFonts w:ascii="Arial" w:cs="Arial" w:eastAsia="Arial" w:hAnsi="Arial"/>
                <w:sz w:val="14"/>
                <w:szCs w:val="14"/>
                <w:color w:val="auto"/>
                <w:w w:val="93"/>
              </w:rPr>
              <w:t>76,515</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88"/>
              </w:rPr>
              <w:t>39,604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120"/>
              <w:spacing w:after="0"/>
              <w:rPr>
                <w:sz w:val="20"/>
                <w:szCs w:val="20"/>
                <w:color w:val="auto"/>
              </w:rPr>
            </w:pPr>
            <w:r>
              <w:rPr>
                <w:rFonts w:ascii="Arial" w:cs="Arial" w:eastAsia="Arial" w:hAnsi="Arial"/>
                <w:sz w:val="14"/>
                <w:szCs w:val="14"/>
                <w:color w:val="auto"/>
              </w:rPr>
              <w:t>Net income per ordinary share</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7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700" w:type="dxa"/>
            <w:vAlign w:val="bottom"/>
          </w:tcPr>
          <w:p>
            <w:pPr>
              <w:ind w:left="120"/>
              <w:spacing w:after="0"/>
              <w:rPr>
                <w:sz w:val="20"/>
                <w:szCs w:val="20"/>
                <w:color w:val="auto"/>
              </w:rPr>
            </w:pPr>
            <w:r>
              <w:rPr>
                <w:rFonts w:ascii="Arial" w:cs="Arial" w:eastAsia="Arial" w:hAnsi="Arial"/>
                <w:sz w:val="14"/>
                <w:szCs w:val="14"/>
                <w:color w:val="auto"/>
              </w:rPr>
              <w:t>Basic</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$0.46</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$0.30</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$1.26</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$0.66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700" w:type="dxa"/>
            <w:vAlign w:val="bottom"/>
          </w:tcPr>
          <w:p>
            <w:pPr>
              <w:ind w:left="120"/>
              <w:spacing w:after="0"/>
              <w:rPr>
                <w:sz w:val="20"/>
                <w:szCs w:val="20"/>
                <w:color w:val="auto"/>
              </w:rPr>
            </w:pPr>
            <w:r>
              <w:rPr>
                <w:rFonts w:ascii="Arial" w:cs="Arial" w:eastAsia="Arial" w:hAnsi="Arial"/>
                <w:sz w:val="14"/>
                <w:szCs w:val="14"/>
                <w:color w:val="auto"/>
              </w:rPr>
              <w:t>Diluted</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$0.45</w:t>
            </w:r>
          </w:p>
        </w:tc>
        <w:tc>
          <w:tcPr>
            <w:tcW w:w="16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$0.29</w:t>
            </w:r>
          </w:p>
        </w:tc>
        <w:tc>
          <w:tcPr>
            <w:tcW w:w="1680" w:type="dxa"/>
            <w:vAlign w:val="bottom"/>
            <w:gridSpan w:val="2"/>
          </w:tcPr>
          <w:p>
            <w:pPr>
              <w:jc w:val="center"/>
              <w:ind w:left="8"/>
              <w:spacing w:after="0"/>
              <w:rPr>
                <w:sz w:val="20"/>
                <w:szCs w:val="20"/>
                <w:color w:val="auto"/>
              </w:rPr>
            </w:pPr>
            <w:r>
              <w:rPr>
                <w:rFonts w:ascii="Arial" w:cs="Arial" w:eastAsia="Arial" w:hAnsi="Arial"/>
                <w:sz w:val="14"/>
                <w:szCs w:val="14"/>
                <w:color w:val="auto"/>
                <w:w w:val="91"/>
              </w:rPr>
              <w:t>$1.23</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$0.66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700" w:type="dxa"/>
            <w:vAlign w:val="bottom"/>
          </w:tcPr>
          <w:p>
            <w:pPr>
              <w:ind w:left="120"/>
              <w:spacing w:after="0"/>
              <w:rPr>
                <w:sz w:val="20"/>
                <w:szCs w:val="20"/>
                <w:color w:val="auto"/>
              </w:rPr>
            </w:pPr>
            <w:r>
              <w:rPr>
                <w:rFonts w:ascii="Arial" w:cs="Arial" w:eastAsia="Arial" w:hAnsi="Arial"/>
                <w:sz w:val="14"/>
                <w:szCs w:val="14"/>
                <w:color w:val="auto"/>
              </w:rPr>
              <w:t>Weighted average number of ordinary shares</w:t>
            </w:r>
          </w:p>
        </w:tc>
        <w:tc>
          <w:tcPr>
            <w:tcW w:w="1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120"/>
              <w:spacing w:after="0"/>
              <w:rPr>
                <w:sz w:val="20"/>
                <w:szCs w:val="20"/>
                <w:color w:val="auto"/>
              </w:rPr>
            </w:pPr>
            <w:r>
              <w:rPr>
                <w:rFonts w:ascii="Arial" w:cs="Arial" w:eastAsia="Arial" w:hAnsi="Arial"/>
                <w:sz w:val="14"/>
                <w:szCs w:val="14"/>
                <w:color w:val="auto"/>
              </w:rPr>
              <w:t>Basic</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61,069,260</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59,754,010</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60,732,605</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59,939,570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4700" w:type="dxa"/>
            <w:vAlign w:val="bottom"/>
          </w:tcPr>
          <w:p>
            <w:pPr>
              <w:ind w:left="120"/>
              <w:spacing w:after="0"/>
              <w:rPr>
                <w:sz w:val="20"/>
                <w:szCs w:val="20"/>
                <w:color w:val="auto"/>
              </w:rPr>
            </w:pPr>
            <w:r>
              <w:rPr>
                <w:rFonts w:ascii="Arial" w:cs="Arial" w:eastAsia="Arial" w:hAnsi="Arial"/>
                <w:sz w:val="14"/>
                <w:szCs w:val="14"/>
                <w:color w:val="auto"/>
              </w:rPr>
              <w:t>Diluted</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62,473,645</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60,366,137</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61,977,026</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60,391,199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70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70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ICON plc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Income Statements (Unaudited)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GAAP)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and Nine Months ended September 30, 2013 and September 30, 2012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3260" w:type="dxa"/>
            <w:vAlign w:val="bottom"/>
            <w:gridSpan w:val="3"/>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300" w:type="dxa"/>
            <w:vAlign w:val="bottom"/>
            <w:gridSpan w:val="3"/>
          </w:tcPr>
          <w:p>
            <w:pPr>
              <w:ind w:left="10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4640" w:type="dxa"/>
            <w:vAlign w:val="bottom"/>
          </w:tcPr>
          <w:p>
            <w:pPr>
              <w:spacing w:after="0"/>
              <w:rPr>
                <w:sz w:val="24"/>
                <w:szCs w:val="24"/>
                <w:color w:val="auto"/>
              </w:rPr>
            </w:pPr>
          </w:p>
        </w:tc>
        <w:tc>
          <w:tcPr>
            <w:tcW w:w="1560" w:type="dxa"/>
            <w:vAlign w:val="bottom"/>
          </w:tcPr>
          <w:p>
            <w:pPr>
              <w:ind w:left="3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580" w:type="dxa"/>
            <w:vAlign w:val="bottom"/>
          </w:tcPr>
          <w:p>
            <w:pPr>
              <w:ind w:left="3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89"/>
              </w:rPr>
              <w:t>2012</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6"/>
              </w:rPr>
              <w:t>2013</w:t>
            </w:r>
          </w:p>
        </w:tc>
        <w:tc>
          <w:tcPr>
            <w:tcW w:w="172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4640" w:type="dxa"/>
            <w:vAlign w:val="bottom"/>
          </w:tcPr>
          <w:p>
            <w:pPr>
              <w:spacing w:after="0"/>
              <w:rPr>
                <w:sz w:val="20"/>
                <w:szCs w:val="20"/>
                <w:color w:val="auto"/>
              </w:rPr>
            </w:pPr>
            <w:r>
              <w:rPr>
                <w:rFonts w:ascii="Arial" w:cs="Arial" w:eastAsia="Arial" w:hAnsi="Arial"/>
                <w:sz w:val="14"/>
                <w:szCs w:val="14"/>
                <w:color w:val="auto"/>
              </w:rPr>
              <w:t>Gross Revenue</w:t>
            </w: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445,598</w:t>
            </w:r>
          </w:p>
        </w:tc>
        <w:tc>
          <w:tcPr>
            <w:tcW w:w="170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374,965</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1,334,283</w:t>
            </w:r>
          </w:p>
        </w:tc>
        <w:tc>
          <w:tcPr>
            <w:tcW w:w="172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1,097,640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640" w:type="dxa"/>
            <w:vAlign w:val="bottom"/>
          </w:tcPr>
          <w:p>
            <w:pPr>
              <w:spacing w:after="0"/>
              <w:rPr>
                <w:sz w:val="20"/>
                <w:szCs w:val="20"/>
                <w:color w:val="auto"/>
              </w:rPr>
            </w:pPr>
            <w:r>
              <w:rPr>
                <w:rFonts w:ascii="Arial" w:cs="Arial" w:eastAsia="Arial" w:hAnsi="Arial"/>
                <w:sz w:val="14"/>
                <w:szCs w:val="14"/>
                <w:color w:val="auto"/>
              </w:rPr>
              <w:t>Reimbursable expenses</w:t>
            </w: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105,788</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89,463</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343,465</w:t>
            </w:r>
          </w:p>
        </w:tc>
        <w:tc>
          <w:tcPr>
            <w:tcW w:w="172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282,798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339,810</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0"/>
              </w:rPr>
              <w:t>285,502</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0"/>
              </w:rPr>
              <w:t>990,818</w:t>
            </w: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0"/>
              </w:rPr>
              <w:t>814,842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6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640" w:type="dxa"/>
            <w:vAlign w:val="bottom"/>
          </w:tcPr>
          <w:p>
            <w:pPr>
              <w:spacing w:after="0"/>
              <w:rPr>
                <w:sz w:val="20"/>
                <w:szCs w:val="20"/>
                <w:color w:val="auto"/>
              </w:rPr>
            </w:pPr>
            <w:r>
              <w:rPr>
                <w:rFonts w:ascii="Arial" w:cs="Arial" w:eastAsia="Arial" w:hAnsi="Arial"/>
                <w:sz w:val="14"/>
                <w:szCs w:val="14"/>
                <w:color w:val="auto"/>
              </w:rPr>
              <w:t>Direct costs</w:t>
            </w: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213,666</w:t>
            </w:r>
          </w:p>
        </w:tc>
        <w:tc>
          <w:tcPr>
            <w:tcW w:w="170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183,332</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630,258</w:t>
            </w:r>
          </w:p>
        </w:tc>
        <w:tc>
          <w:tcPr>
            <w:tcW w:w="172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525,743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81,408</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70,690</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234,520</w:t>
            </w:r>
          </w:p>
        </w:tc>
        <w:tc>
          <w:tcPr>
            <w:tcW w:w="172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207,615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11,575</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10,601</w:t>
            </w:r>
          </w:p>
        </w:tc>
        <w:tc>
          <w:tcPr>
            <w:tcW w:w="16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34,551</w:t>
            </w:r>
          </w:p>
        </w:tc>
        <w:tc>
          <w:tcPr>
            <w:tcW w:w="17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32,233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40" w:type="dxa"/>
            <w:vAlign w:val="bottom"/>
          </w:tcPr>
          <w:p>
            <w:pPr>
              <w:spacing w:after="0"/>
              <w:rPr>
                <w:sz w:val="20"/>
                <w:szCs w:val="20"/>
                <w:color w:val="auto"/>
              </w:rPr>
            </w:pPr>
            <w:r>
              <w:rPr>
                <w:rFonts w:ascii="Arial" w:cs="Arial" w:eastAsia="Arial" w:hAnsi="Arial"/>
                <w:sz w:val="14"/>
                <w:szCs w:val="14"/>
                <w:color w:val="auto"/>
              </w:rPr>
              <w:t>Restructuring and other items</w:t>
            </w:r>
          </w:p>
        </w:tc>
        <w:tc>
          <w:tcPr>
            <w:tcW w:w="15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84"/>
              </w:rPr>
              <w:t>-</w:t>
            </w:r>
          </w:p>
        </w:tc>
        <w:tc>
          <w:tcPr>
            <w:tcW w:w="16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9,033</w:t>
            </w:r>
          </w:p>
        </w:tc>
        <w:tc>
          <w:tcPr>
            <w:tcW w:w="172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5,636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1560" w:type="dxa"/>
            <w:vAlign w:val="bottom"/>
          </w:tcPr>
          <w:p>
            <w:pPr>
              <w:spacing w:after="0"/>
              <w:rPr>
                <w:sz w:val="15"/>
                <w:szCs w:val="15"/>
                <w:color w:val="auto"/>
              </w:rPr>
            </w:pPr>
          </w:p>
        </w:tc>
        <w:tc>
          <w:tcPr>
            <w:tcW w:w="1700" w:type="dxa"/>
            <w:vAlign w:val="bottom"/>
            <w:gridSpan w:val="2"/>
          </w:tcPr>
          <w:p>
            <w:pPr>
              <w:spacing w:after="0"/>
              <w:rPr>
                <w:sz w:val="15"/>
                <w:szCs w:val="15"/>
                <w:color w:val="auto"/>
              </w:rPr>
            </w:pPr>
          </w:p>
        </w:tc>
        <w:tc>
          <w:tcPr>
            <w:tcW w:w="1680" w:type="dxa"/>
            <w:vAlign w:val="bottom"/>
            <w:gridSpan w:val="2"/>
          </w:tcPr>
          <w:p>
            <w:pPr>
              <w:spacing w:after="0"/>
              <w:rPr>
                <w:sz w:val="15"/>
                <w:szCs w:val="15"/>
                <w:color w:val="auto"/>
              </w:rPr>
            </w:pPr>
          </w:p>
        </w:tc>
        <w:tc>
          <w:tcPr>
            <w:tcW w:w="17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vMerge w:val="continue"/>
          </w:tcPr>
          <w:p>
            <w:pPr>
              <w:spacing w:after="0"/>
              <w:rPr>
                <w:sz w:val="15"/>
                <w:szCs w:val="15"/>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306,649</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264,623</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908,362</w:t>
            </w:r>
          </w:p>
        </w:tc>
        <w:tc>
          <w:tcPr>
            <w:tcW w:w="120" w:type="dxa"/>
            <w:vAlign w:val="bottom"/>
          </w:tcPr>
          <w:p>
            <w:pPr>
              <w:spacing w:after="0"/>
              <w:rPr>
                <w:sz w:val="15"/>
                <w:szCs w:val="15"/>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771,227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64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33,161</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20,879</w:t>
            </w:r>
          </w:p>
        </w:tc>
        <w:tc>
          <w:tcPr>
            <w:tcW w:w="16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82,456</w:t>
            </w:r>
          </w:p>
        </w:tc>
        <w:tc>
          <w:tcPr>
            <w:tcW w:w="17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43,615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640" w:type="dxa"/>
            <w:vAlign w:val="bottom"/>
          </w:tcPr>
          <w:p>
            <w:pPr>
              <w:spacing w:after="0"/>
              <w:rPr>
                <w:sz w:val="20"/>
                <w:szCs w:val="20"/>
                <w:color w:val="auto"/>
              </w:rPr>
            </w:pPr>
            <w:r>
              <w:rPr>
                <w:rFonts w:ascii="Arial" w:cs="Arial" w:eastAsia="Arial" w:hAnsi="Arial"/>
                <w:sz w:val="14"/>
                <w:szCs w:val="14"/>
                <w:color w:val="auto"/>
              </w:rPr>
              <w:t>Net interest expense</w:t>
            </w:r>
          </w:p>
        </w:tc>
        <w:tc>
          <w:tcPr>
            <w:tcW w:w="1560" w:type="dxa"/>
            <w:vAlign w:val="bottom"/>
          </w:tcPr>
          <w:p>
            <w:pPr>
              <w:jc w:val="center"/>
              <w:spacing w:after="0"/>
              <w:rPr>
                <w:sz w:val="20"/>
                <w:szCs w:val="20"/>
                <w:color w:val="auto"/>
              </w:rPr>
            </w:pPr>
            <w:r>
              <w:rPr>
                <w:rFonts w:ascii="Arial" w:cs="Arial" w:eastAsia="Arial" w:hAnsi="Arial"/>
                <w:sz w:val="14"/>
                <w:szCs w:val="14"/>
                <w:color w:val="auto"/>
                <w:w w:val="96"/>
              </w:rPr>
              <w:t>(56)</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7"/>
              </w:rPr>
              <w:t>(252)</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(341)</w:t>
            </w:r>
          </w:p>
        </w:tc>
        <w:tc>
          <w:tcPr>
            <w:tcW w:w="1720" w:type="dxa"/>
            <w:vAlign w:val="bottom"/>
            <w:gridSpan w:val="2"/>
          </w:tcPr>
          <w:p>
            <w:pPr>
              <w:jc w:val="center"/>
              <w:ind w:left="48"/>
              <w:spacing w:after="0"/>
              <w:rPr>
                <w:sz w:val="20"/>
                <w:szCs w:val="20"/>
                <w:color w:val="auto"/>
              </w:rPr>
            </w:pPr>
            <w:r>
              <w:rPr>
                <w:rFonts w:ascii="Arial" w:cs="Arial" w:eastAsia="Arial" w:hAnsi="Arial"/>
                <w:sz w:val="14"/>
                <w:szCs w:val="14"/>
                <w:color w:val="auto"/>
                <w:w w:val="97"/>
              </w:rPr>
              <w:t>(518)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560" w:type="dxa"/>
            <w:vAlign w:val="bottom"/>
          </w:tcPr>
          <w:p>
            <w:pPr>
              <w:spacing w:after="0"/>
              <w:rPr>
                <w:sz w:val="15"/>
                <w:szCs w:val="15"/>
                <w:color w:val="auto"/>
              </w:rPr>
            </w:pPr>
          </w:p>
        </w:tc>
        <w:tc>
          <w:tcPr>
            <w:tcW w:w="1700" w:type="dxa"/>
            <w:vAlign w:val="bottom"/>
            <w:gridSpan w:val="2"/>
          </w:tcPr>
          <w:p>
            <w:pPr>
              <w:spacing w:after="0"/>
              <w:rPr>
                <w:sz w:val="15"/>
                <w:szCs w:val="15"/>
                <w:color w:val="auto"/>
              </w:rPr>
            </w:pPr>
          </w:p>
        </w:tc>
        <w:tc>
          <w:tcPr>
            <w:tcW w:w="1680" w:type="dxa"/>
            <w:vAlign w:val="bottom"/>
            <w:gridSpan w:val="2"/>
          </w:tcPr>
          <w:p>
            <w:pPr>
              <w:spacing w:after="0"/>
              <w:rPr>
                <w:sz w:val="15"/>
                <w:szCs w:val="15"/>
                <w:color w:val="auto"/>
              </w:rPr>
            </w:pPr>
          </w:p>
        </w:tc>
        <w:tc>
          <w:tcPr>
            <w:tcW w:w="17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vMerge w:val="continue"/>
          </w:tcPr>
          <w:p>
            <w:pPr>
              <w:spacing w:after="0"/>
              <w:rPr>
                <w:sz w:val="15"/>
                <w:szCs w:val="15"/>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33,105</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20,627</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82,115</w:t>
            </w:r>
          </w:p>
        </w:tc>
        <w:tc>
          <w:tcPr>
            <w:tcW w:w="120" w:type="dxa"/>
            <w:vAlign w:val="bottom"/>
          </w:tcPr>
          <w:p>
            <w:pPr>
              <w:spacing w:after="0"/>
              <w:rPr>
                <w:sz w:val="15"/>
                <w:szCs w:val="15"/>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43,097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64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5,297</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2,889</w:t>
            </w:r>
          </w:p>
        </w:tc>
        <w:tc>
          <w:tcPr>
            <w:tcW w:w="16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12,783</w:t>
            </w:r>
          </w:p>
        </w:tc>
        <w:tc>
          <w:tcPr>
            <w:tcW w:w="172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8,424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640" w:type="dxa"/>
            <w:vAlign w:val="bottom"/>
            <w:vMerge w:val="continue"/>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27,808</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17,738</w:t>
            </w:r>
          </w:p>
        </w:tc>
        <w:tc>
          <w:tcPr>
            <w:tcW w:w="16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69,332</w:t>
            </w:r>
          </w:p>
        </w:tc>
        <w:tc>
          <w:tcPr>
            <w:tcW w:w="17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34,673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6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640" w:type="dxa"/>
            <w:vAlign w:val="bottom"/>
          </w:tcPr>
          <w:p>
            <w:pPr>
              <w:spacing w:after="0"/>
              <w:rPr>
                <w:sz w:val="20"/>
                <w:szCs w:val="20"/>
                <w:color w:val="auto"/>
              </w:rPr>
            </w:pPr>
            <w:r>
              <w:rPr>
                <w:rFonts w:ascii="Arial" w:cs="Arial" w:eastAsia="Arial" w:hAnsi="Arial"/>
                <w:sz w:val="14"/>
                <w:szCs w:val="14"/>
                <w:color w:val="auto"/>
              </w:rPr>
              <w:t>Basic</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$0.46</w:t>
            </w: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$0.30</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$1.14</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$0.58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640" w:type="dxa"/>
            <w:vAlign w:val="bottom"/>
          </w:tcPr>
          <w:p>
            <w:pPr>
              <w:spacing w:after="0"/>
              <w:rPr>
                <w:sz w:val="20"/>
                <w:szCs w:val="20"/>
                <w:color w:val="auto"/>
              </w:rPr>
            </w:pPr>
            <w:r>
              <w:rPr>
                <w:rFonts w:ascii="Arial" w:cs="Arial" w:eastAsia="Arial" w:hAnsi="Arial"/>
                <w:sz w:val="14"/>
                <w:szCs w:val="14"/>
                <w:color w:val="auto"/>
              </w:rPr>
              <w:t>Diluted</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$0.45</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$0.29</w:t>
            </w:r>
          </w:p>
        </w:tc>
        <w:tc>
          <w:tcPr>
            <w:tcW w:w="16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$1.12</w:t>
            </w:r>
          </w:p>
        </w:tc>
        <w:tc>
          <w:tcPr>
            <w:tcW w:w="172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$0.57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64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640" w:type="dxa"/>
            <w:vAlign w:val="bottom"/>
          </w:tcPr>
          <w:p>
            <w:pPr>
              <w:spacing w:after="0"/>
              <w:rPr>
                <w:sz w:val="20"/>
                <w:szCs w:val="20"/>
                <w:color w:val="auto"/>
              </w:rPr>
            </w:pPr>
            <w:r>
              <w:rPr>
                <w:rFonts w:ascii="Arial" w:cs="Arial" w:eastAsia="Arial" w:hAnsi="Arial"/>
                <w:sz w:val="14"/>
                <w:szCs w:val="14"/>
                <w:color w:val="auto"/>
              </w:rPr>
              <w:t>Basic</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61,069,260</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59,754,010</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60,732,605</w:t>
            </w:r>
          </w:p>
        </w:tc>
        <w:tc>
          <w:tcPr>
            <w:tcW w:w="172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59,939,570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4640" w:type="dxa"/>
            <w:vAlign w:val="bottom"/>
          </w:tcPr>
          <w:p>
            <w:pPr>
              <w:spacing w:after="0"/>
              <w:rPr>
                <w:sz w:val="20"/>
                <w:szCs w:val="20"/>
                <w:color w:val="auto"/>
              </w:rPr>
            </w:pPr>
            <w:r>
              <w:rPr>
                <w:rFonts w:ascii="Arial" w:cs="Arial" w:eastAsia="Arial" w:hAnsi="Arial"/>
                <w:sz w:val="14"/>
                <w:szCs w:val="14"/>
                <w:color w:val="auto"/>
              </w:rPr>
              <w:t>Diluted</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62,473,645</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60,366,137</w:t>
            </w:r>
          </w:p>
        </w:tc>
        <w:tc>
          <w:tcPr>
            <w:tcW w:w="16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61,977,026</w:t>
            </w:r>
          </w:p>
        </w:tc>
        <w:tc>
          <w:tcPr>
            <w:tcW w:w="172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60,391,199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4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64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5320" w:type="dxa"/>
            <w:vAlign w:val="bottom"/>
          </w:tcPr>
          <w:p>
            <w:pPr>
              <w:jc w:val="center"/>
              <w:ind w:left="288"/>
              <w:spacing w:after="0"/>
              <w:rPr>
                <w:sz w:val="20"/>
                <w:szCs w:val="20"/>
                <w:color w:val="auto"/>
              </w:rPr>
            </w:pPr>
            <w:r>
              <w:rPr>
                <w:rFonts w:ascii="Arial" w:cs="Arial" w:eastAsia="Arial" w:hAnsi="Arial"/>
                <w:sz w:val="14"/>
                <w:szCs w:val="14"/>
                <w:b w:val="1"/>
                <w:bCs w:val="1"/>
                <w:color w:val="auto"/>
              </w:rPr>
              <w:t>ICON plc</w:t>
            </w:r>
          </w:p>
        </w:tc>
        <w:tc>
          <w:tcPr>
            <w:tcW w:w="1980" w:type="dxa"/>
            <w:vAlign w:val="bottom"/>
          </w:tcPr>
          <w:p>
            <w:pPr>
              <w:spacing w:after="0"/>
              <w:rPr>
                <w:sz w:val="16"/>
                <w:szCs w:val="16"/>
                <w:color w:val="auto"/>
              </w:rPr>
            </w:pPr>
          </w:p>
        </w:tc>
      </w:tr>
      <w:tr>
        <w:trPr>
          <w:trHeight w:val="297"/>
        </w:trPr>
        <w:tc>
          <w:tcPr>
            <w:tcW w:w="2740" w:type="dxa"/>
            <w:vAlign w:val="bottom"/>
          </w:tcPr>
          <w:p>
            <w:pPr>
              <w:spacing w:after="0"/>
              <w:rPr>
                <w:sz w:val="24"/>
                <w:szCs w:val="24"/>
                <w:color w:val="auto"/>
              </w:rPr>
            </w:pPr>
          </w:p>
        </w:tc>
        <w:tc>
          <w:tcPr>
            <w:tcW w:w="532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Summary Balance Sheet Data</w:t>
            </w:r>
          </w:p>
        </w:tc>
        <w:tc>
          <w:tcPr>
            <w:tcW w:w="1980" w:type="dxa"/>
            <w:vAlign w:val="bottom"/>
          </w:tcPr>
          <w:p>
            <w:pPr>
              <w:spacing w:after="0"/>
              <w:rPr>
                <w:sz w:val="24"/>
                <w:szCs w:val="24"/>
                <w:color w:val="auto"/>
              </w:rPr>
            </w:pPr>
          </w:p>
        </w:tc>
      </w:tr>
      <w:tr>
        <w:trPr>
          <w:trHeight w:val="297"/>
        </w:trPr>
        <w:tc>
          <w:tcPr>
            <w:tcW w:w="2740" w:type="dxa"/>
            <w:vAlign w:val="bottom"/>
          </w:tcPr>
          <w:p>
            <w:pPr>
              <w:spacing w:after="0"/>
              <w:rPr>
                <w:sz w:val="24"/>
                <w:szCs w:val="24"/>
                <w:color w:val="auto"/>
              </w:rPr>
            </w:pPr>
          </w:p>
        </w:tc>
        <w:tc>
          <w:tcPr>
            <w:tcW w:w="532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September 30, 2013 and December 31, 2012</w:t>
            </w:r>
          </w:p>
        </w:tc>
        <w:tc>
          <w:tcPr>
            <w:tcW w:w="1980" w:type="dxa"/>
            <w:vAlign w:val="bottom"/>
          </w:tcPr>
          <w:p>
            <w:pPr>
              <w:spacing w:after="0"/>
              <w:rPr>
                <w:sz w:val="24"/>
                <w:szCs w:val="24"/>
                <w:color w:val="auto"/>
              </w:rPr>
            </w:pPr>
          </w:p>
        </w:tc>
      </w:tr>
      <w:tr>
        <w:trPr>
          <w:trHeight w:val="297"/>
        </w:trPr>
        <w:tc>
          <w:tcPr>
            <w:tcW w:w="2740" w:type="dxa"/>
            <w:vAlign w:val="bottom"/>
          </w:tcPr>
          <w:p>
            <w:pPr>
              <w:spacing w:after="0"/>
              <w:rPr>
                <w:sz w:val="24"/>
                <w:szCs w:val="24"/>
                <w:color w:val="auto"/>
              </w:rPr>
            </w:pPr>
          </w:p>
        </w:tc>
        <w:tc>
          <w:tcPr>
            <w:tcW w:w="5320" w:type="dxa"/>
            <w:vAlign w:val="bottom"/>
          </w:tcPr>
          <w:p>
            <w:pPr>
              <w:jc w:val="center"/>
              <w:ind w:left="288"/>
              <w:spacing w:after="0"/>
              <w:rPr>
                <w:sz w:val="20"/>
                <w:szCs w:val="20"/>
                <w:color w:val="auto"/>
              </w:rPr>
            </w:pPr>
            <w:r>
              <w:rPr>
                <w:rFonts w:ascii="Arial" w:cs="Arial" w:eastAsia="Arial" w:hAnsi="Arial"/>
                <w:sz w:val="14"/>
                <w:szCs w:val="14"/>
                <w:b w:val="1"/>
                <w:bCs w:val="1"/>
                <w:color w:val="auto"/>
                <w:w w:val="92"/>
              </w:rPr>
              <w:t>(Dollars, in thousands)</w:t>
            </w:r>
          </w:p>
        </w:tc>
        <w:tc>
          <w:tcPr>
            <w:tcW w:w="1980" w:type="dxa"/>
            <w:vAlign w:val="bottom"/>
          </w:tcPr>
          <w:p>
            <w:pPr>
              <w:spacing w:after="0"/>
              <w:rPr>
                <w:sz w:val="24"/>
                <w:szCs w:val="24"/>
                <w:color w:val="auto"/>
              </w:rPr>
            </w:pPr>
          </w:p>
        </w:tc>
      </w:tr>
      <w:tr>
        <w:trPr>
          <w:trHeight w:val="340"/>
        </w:trPr>
        <w:tc>
          <w:tcPr>
            <w:tcW w:w="2740" w:type="dxa"/>
            <w:vAlign w:val="bottom"/>
          </w:tcPr>
          <w:p>
            <w:pPr>
              <w:spacing w:after="0"/>
              <w:rPr>
                <w:sz w:val="24"/>
                <w:szCs w:val="24"/>
                <w:color w:val="auto"/>
              </w:rPr>
            </w:pPr>
          </w:p>
        </w:tc>
        <w:tc>
          <w:tcPr>
            <w:tcW w:w="5320" w:type="dxa"/>
            <w:vAlign w:val="bottom"/>
          </w:tcPr>
          <w:p>
            <w:pPr>
              <w:jc w:val="center"/>
              <w:ind w:left="1608"/>
              <w:spacing w:after="0"/>
              <w:rPr>
                <w:sz w:val="20"/>
                <w:szCs w:val="20"/>
                <w:color w:val="auto"/>
              </w:rPr>
            </w:pPr>
            <w:r>
              <w:rPr>
                <w:rFonts w:ascii="Arial" w:cs="Arial" w:eastAsia="Arial" w:hAnsi="Arial"/>
                <w:sz w:val="14"/>
                <w:szCs w:val="14"/>
                <w:b w:val="1"/>
                <w:bCs w:val="1"/>
                <w:color w:val="auto"/>
                <w:w w:val="91"/>
              </w:rPr>
              <w:t>September 30,</w:t>
            </w:r>
          </w:p>
        </w:tc>
        <w:tc>
          <w:tcPr>
            <w:tcW w:w="1980" w:type="dxa"/>
            <w:vAlign w:val="bottom"/>
          </w:tcPr>
          <w:p>
            <w:pPr>
              <w:jc w:val="center"/>
              <w:ind w:left="1068"/>
              <w:spacing w:after="0"/>
              <w:rPr>
                <w:sz w:val="20"/>
                <w:szCs w:val="20"/>
                <w:color w:val="auto"/>
              </w:rPr>
            </w:pPr>
            <w:r>
              <w:rPr>
                <w:rFonts w:ascii="Arial" w:cs="Arial" w:eastAsia="Arial" w:hAnsi="Arial"/>
                <w:sz w:val="14"/>
                <w:szCs w:val="14"/>
                <w:b w:val="1"/>
                <w:bCs w:val="1"/>
                <w:color w:val="auto"/>
                <w:w w:val="92"/>
              </w:rPr>
              <w:t>December 31,</w:t>
            </w:r>
          </w:p>
        </w:tc>
      </w:tr>
      <w:tr>
        <w:trPr>
          <w:trHeight w:val="176"/>
        </w:trPr>
        <w:tc>
          <w:tcPr>
            <w:tcW w:w="2740" w:type="dxa"/>
            <w:vAlign w:val="bottom"/>
          </w:tcPr>
          <w:p>
            <w:pPr>
              <w:spacing w:after="0"/>
              <w:rPr>
                <w:sz w:val="15"/>
                <w:szCs w:val="15"/>
                <w:color w:val="auto"/>
              </w:rPr>
            </w:pPr>
          </w:p>
        </w:tc>
        <w:tc>
          <w:tcPr>
            <w:tcW w:w="5320" w:type="dxa"/>
            <w:vAlign w:val="bottom"/>
          </w:tcPr>
          <w:p>
            <w:pPr>
              <w:jc w:val="center"/>
              <w:ind w:left="1628"/>
              <w:spacing w:after="0"/>
              <w:rPr>
                <w:sz w:val="20"/>
                <w:szCs w:val="20"/>
                <w:color w:val="auto"/>
              </w:rPr>
            </w:pPr>
            <w:r>
              <w:rPr>
                <w:rFonts w:ascii="Arial" w:cs="Arial" w:eastAsia="Arial" w:hAnsi="Arial"/>
                <w:sz w:val="14"/>
                <w:szCs w:val="14"/>
                <w:b w:val="1"/>
                <w:bCs w:val="1"/>
                <w:color w:val="auto"/>
                <w:w w:val="96"/>
              </w:rPr>
              <w:t>2013</w:t>
            </w:r>
          </w:p>
        </w:tc>
        <w:tc>
          <w:tcPr>
            <w:tcW w:w="1980" w:type="dxa"/>
            <w:vAlign w:val="bottom"/>
          </w:tcPr>
          <w:p>
            <w:pPr>
              <w:jc w:val="center"/>
              <w:ind w:left="1088"/>
              <w:spacing w:after="0"/>
              <w:rPr>
                <w:sz w:val="20"/>
                <w:szCs w:val="20"/>
                <w:color w:val="auto"/>
              </w:rPr>
            </w:pPr>
            <w:r>
              <w:rPr>
                <w:rFonts w:ascii="Arial" w:cs="Arial" w:eastAsia="Arial" w:hAnsi="Arial"/>
                <w:sz w:val="14"/>
                <w:szCs w:val="14"/>
                <w:b w:val="1"/>
                <w:bCs w:val="1"/>
                <w:color w:val="auto"/>
                <w:w w:val="96"/>
              </w:rPr>
              <w:t>2012</w:t>
            </w:r>
          </w:p>
        </w:tc>
      </w:tr>
      <w:tr>
        <w:trPr>
          <w:trHeight w:val="186"/>
        </w:trPr>
        <w:tc>
          <w:tcPr>
            <w:tcW w:w="2740" w:type="dxa"/>
            <w:vAlign w:val="bottom"/>
          </w:tcPr>
          <w:p>
            <w:pPr>
              <w:spacing w:after="0"/>
              <w:rPr>
                <w:sz w:val="16"/>
                <w:szCs w:val="16"/>
                <w:color w:val="auto"/>
              </w:rPr>
            </w:pPr>
          </w:p>
        </w:tc>
        <w:tc>
          <w:tcPr>
            <w:tcW w:w="5320" w:type="dxa"/>
            <w:vAlign w:val="bottom"/>
          </w:tcPr>
          <w:p>
            <w:pPr>
              <w:jc w:val="center"/>
              <w:ind w:left="1608"/>
              <w:spacing w:after="0"/>
              <w:rPr>
                <w:sz w:val="20"/>
                <w:szCs w:val="20"/>
                <w:color w:val="auto"/>
              </w:rPr>
            </w:pPr>
            <w:r>
              <w:rPr>
                <w:rFonts w:ascii="Arial" w:cs="Arial" w:eastAsia="Arial" w:hAnsi="Arial"/>
                <w:sz w:val="14"/>
                <w:szCs w:val="14"/>
                <w:b w:val="1"/>
                <w:bCs w:val="1"/>
                <w:color w:val="auto"/>
                <w:w w:val="97"/>
              </w:rPr>
              <w:t>(Unaudited)</w:t>
            </w:r>
          </w:p>
        </w:tc>
        <w:tc>
          <w:tcPr>
            <w:tcW w:w="1980" w:type="dxa"/>
            <w:vAlign w:val="bottom"/>
          </w:tcPr>
          <w:p>
            <w:pPr>
              <w:jc w:val="center"/>
              <w:ind w:left="1068"/>
              <w:spacing w:after="0"/>
              <w:rPr>
                <w:sz w:val="20"/>
                <w:szCs w:val="20"/>
                <w:color w:val="auto"/>
              </w:rPr>
            </w:pPr>
            <w:r>
              <w:rPr>
                <w:rFonts w:ascii="Arial" w:cs="Arial" w:eastAsia="Arial" w:hAnsi="Arial"/>
                <w:sz w:val="14"/>
                <w:szCs w:val="14"/>
                <w:b w:val="1"/>
                <w:bCs w:val="1"/>
                <w:color w:val="auto"/>
                <w:w w:val="97"/>
              </w:rPr>
              <w:t>(Audited)</w:t>
            </w:r>
          </w:p>
        </w:tc>
      </w:tr>
      <w:tr>
        <w:trPr>
          <w:trHeight w:val="527"/>
        </w:trPr>
        <w:tc>
          <w:tcPr>
            <w:tcW w:w="2740" w:type="dxa"/>
            <w:vAlign w:val="bottom"/>
          </w:tcPr>
          <w:p>
            <w:pPr>
              <w:spacing w:after="0"/>
              <w:rPr>
                <w:sz w:val="20"/>
                <w:szCs w:val="20"/>
                <w:color w:val="auto"/>
              </w:rPr>
            </w:pPr>
            <w:r>
              <w:rPr>
                <w:rFonts w:ascii="Arial" w:cs="Arial" w:eastAsia="Arial" w:hAnsi="Arial"/>
                <w:sz w:val="14"/>
                <w:szCs w:val="14"/>
                <w:color w:val="auto"/>
              </w:rPr>
              <w:t>Net cash</w:t>
            </w:r>
          </w:p>
        </w:tc>
        <w:tc>
          <w:tcPr>
            <w:tcW w:w="5320" w:type="dxa"/>
            <w:vAlign w:val="bottom"/>
          </w:tcPr>
          <w:p>
            <w:pPr>
              <w:jc w:val="center"/>
              <w:ind w:left="1628"/>
              <w:spacing w:after="0"/>
              <w:rPr>
                <w:sz w:val="20"/>
                <w:szCs w:val="20"/>
                <w:color w:val="auto"/>
              </w:rPr>
            </w:pPr>
            <w:r>
              <w:rPr>
                <w:rFonts w:ascii="Arial" w:cs="Arial" w:eastAsia="Arial" w:hAnsi="Arial"/>
                <w:sz w:val="14"/>
                <w:szCs w:val="14"/>
                <w:color w:val="auto"/>
                <w:w w:val="90"/>
              </w:rPr>
              <w:t>218,598</w:t>
            </w:r>
          </w:p>
        </w:tc>
        <w:tc>
          <w:tcPr>
            <w:tcW w:w="1980" w:type="dxa"/>
            <w:vAlign w:val="bottom"/>
          </w:tcPr>
          <w:p>
            <w:pPr>
              <w:jc w:val="center"/>
              <w:ind w:left="1088"/>
              <w:spacing w:after="0"/>
              <w:rPr>
                <w:sz w:val="20"/>
                <w:szCs w:val="20"/>
                <w:color w:val="auto"/>
              </w:rPr>
            </w:pPr>
            <w:r>
              <w:rPr>
                <w:rFonts w:ascii="Arial" w:cs="Arial" w:eastAsia="Arial" w:hAnsi="Arial"/>
                <w:sz w:val="14"/>
                <w:szCs w:val="14"/>
                <w:color w:val="auto"/>
                <w:w w:val="90"/>
              </w:rPr>
              <w:t>190,230</w:t>
            </w:r>
          </w:p>
        </w:tc>
      </w:tr>
      <w:tr>
        <w:trPr>
          <w:trHeight w:val="344"/>
        </w:trPr>
        <w:tc>
          <w:tcPr>
            <w:tcW w:w="2740" w:type="dxa"/>
            <w:vAlign w:val="bottom"/>
          </w:tcPr>
          <w:p>
            <w:pPr>
              <w:spacing w:after="0"/>
              <w:rPr>
                <w:sz w:val="20"/>
                <w:szCs w:val="20"/>
                <w:color w:val="auto"/>
              </w:rPr>
            </w:pPr>
            <w:r>
              <w:rPr>
                <w:rFonts w:ascii="Arial" w:cs="Arial" w:eastAsia="Arial" w:hAnsi="Arial"/>
                <w:sz w:val="14"/>
                <w:szCs w:val="14"/>
                <w:color w:val="auto"/>
              </w:rPr>
              <w:t>Accounts receivable</w:t>
            </w:r>
          </w:p>
        </w:tc>
        <w:tc>
          <w:tcPr>
            <w:tcW w:w="5320" w:type="dxa"/>
            <w:vAlign w:val="bottom"/>
          </w:tcPr>
          <w:p>
            <w:pPr>
              <w:jc w:val="center"/>
              <w:ind w:left="1628"/>
              <w:spacing w:after="0"/>
              <w:rPr>
                <w:sz w:val="20"/>
                <w:szCs w:val="20"/>
                <w:color w:val="auto"/>
              </w:rPr>
            </w:pPr>
            <w:r>
              <w:rPr>
                <w:rFonts w:ascii="Arial" w:cs="Arial" w:eastAsia="Arial" w:hAnsi="Arial"/>
                <w:sz w:val="14"/>
                <w:szCs w:val="14"/>
                <w:color w:val="auto"/>
                <w:w w:val="90"/>
              </w:rPr>
              <w:t>360,129</w:t>
            </w:r>
          </w:p>
        </w:tc>
        <w:tc>
          <w:tcPr>
            <w:tcW w:w="1980" w:type="dxa"/>
            <w:vAlign w:val="bottom"/>
          </w:tcPr>
          <w:p>
            <w:pPr>
              <w:jc w:val="center"/>
              <w:ind w:left="1088"/>
              <w:spacing w:after="0"/>
              <w:rPr>
                <w:sz w:val="20"/>
                <w:szCs w:val="20"/>
                <w:color w:val="auto"/>
              </w:rPr>
            </w:pPr>
            <w:r>
              <w:rPr>
                <w:rFonts w:ascii="Arial" w:cs="Arial" w:eastAsia="Arial" w:hAnsi="Arial"/>
                <w:sz w:val="14"/>
                <w:szCs w:val="14"/>
                <w:color w:val="auto"/>
                <w:w w:val="90"/>
              </w:rPr>
              <w:t>285,419</w:t>
            </w:r>
          </w:p>
        </w:tc>
      </w:tr>
      <w:tr>
        <w:trPr>
          <w:trHeight w:val="176"/>
        </w:trPr>
        <w:tc>
          <w:tcPr>
            <w:tcW w:w="2740" w:type="dxa"/>
            <w:vAlign w:val="bottom"/>
          </w:tcPr>
          <w:p>
            <w:pPr>
              <w:spacing w:after="0"/>
              <w:rPr>
                <w:sz w:val="20"/>
                <w:szCs w:val="20"/>
                <w:color w:val="auto"/>
              </w:rPr>
            </w:pPr>
            <w:r>
              <w:rPr>
                <w:rFonts w:ascii="Arial" w:cs="Arial" w:eastAsia="Arial" w:hAnsi="Arial"/>
                <w:sz w:val="14"/>
                <w:szCs w:val="14"/>
                <w:color w:val="auto"/>
              </w:rPr>
              <w:t>Unbilled revenue</w:t>
            </w:r>
          </w:p>
        </w:tc>
        <w:tc>
          <w:tcPr>
            <w:tcW w:w="5320" w:type="dxa"/>
            <w:vAlign w:val="bottom"/>
          </w:tcPr>
          <w:p>
            <w:pPr>
              <w:jc w:val="center"/>
              <w:ind w:left="1628"/>
              <w:spacing w:after="0"/>
              <w:rPr>
                <w:sz w:val="20"/>
                <w:szCs w:val="20"/>
                <w:color w:val="auto"/>
              </w:rPr>
            </w:pPr>
            <w:r>
              <w:rPr>
                <w:rFonts w:ascii="Arial" w:cs="Arial" w:eastAsia="Arial" w:hAnsi="Arial"/>
                <w:sz w:val="14"/>
                <w:szCs w:val="14"/>
                <w:color w:val="auto"/>
                <w:w w:val="90"/>
              </w:rPr>
              <w:t>119,766</w:t>
            </w:r>
          </w:p>
        </w:tc>
        <w:tc>
          <w:tcPr>
            <w:tcW w:w="1980" w:type="dxa"/>
            <w:vAlign w:val="bottom"/>
          </w:tcPr>
          <w:p>
            <w:pPr>
              <w:jc w:val="center"/>
              <w:ind w:left="1088"/>
              <w:spacing w:after="0"/>
              <w:rPr>
                <w:sz w:val="20"/>
                <w:szCs w:val="20"/>
                <w:color w:val="auto"/>
              </w:rPr>
            </w:pPr>
            <w:r>
              <w:rPr>
                <w:rFonts w:ascii="Arial" w:cs="Arial" w:eastAsia="Arial" w:hAnsi="Arial"/>
                <w:sz w:val="14"/>
                <w:szCs w:val="14"/>
                <w:color w:val="auto"/>
                <w:w w:val="90"/>
              </w:rPr>
              <w:t>112,483</w:t>
            </w:r>
          </w:p>
        </w:tc>
      </w:tr>
      <w:tr>
        <w:trPr>
          <w:trHeight w:val="176"/>
        </w:trPr>
        <w:tc>
          <w:tcPr>
            <w:tcW w:w="2740" w:type="dxa"/>
            <w:vAlign w:val="bottom"/>
          </w:tcPr>
          <w:p>
            <w:pPr>
              <w:spacing w:after="0"/>
              <w:rPr>
                <w:sz w:val="20"/>
                <w:szCs w:val="20"/>
                <w:color w:val="auto"/>
              </w:rPr>
            </w:pPr>
            <w:r>
              <w:rPr>
                <w:rFonts w:ascii="Arial" w:cs="Arial" w:eastAsia="Arial" w:hAnsi="Arial"/>
                <w:sz w:val="14"/>
                <w:szCs w:val="14"/>
                <w:color w:val="auto"/>
              </w:rPr>
              <w:t>Payments on account</w:t>
            </w:r>
          </w:p>
        </w:tc>
        <w:tc>
          <w:tcPr>
            <w:tcW w:w="5320" w:type="dxa"/>
            <w:vAlign w:val="bottom"/>
          </w:tcPr>
          <w:p>
            <w:pPr>
              <w:jc w:val="center"/>
              <w:ind w:left="1608"/>
              <w:spacing w:after="0"/>
              <w:rPr>
                <w:sz w:val="20"/>
                <w:szCs w:val="20"/>
                <w:color w:val="auto"/>
              </w:rPr>
            </w:pPr>
            <w:r>
              <w:rPr>
                <w:rFonts w:ascii="Arial" w:cs="Arial" w:eastAsia="Arial" w:hAnsi="Arial"/>
                <w:sz w:val="14"/>
                <w:szCs w:val="14"/>
                <w:color w:val="auto"/>
                <w:w w:val="93"/>
              </w:rPr>
              <w:t>(282,549)</w:t>
            </w:r>
          </w:p>
        </w:tc>
        <w:tc>
          <w:tcPr>
            <w:tcW w:w="1980" w:type="dxa"/>
            <w:vAlign w:val="bottom"/>
          </w:tcPr>
          <w:p>
            <w:pPr>
              <w:jc w:val="center"/>
              <w:ind w:left="1088"/>
              <w:spacing w:after="0"/>
              <w:rPr>
                <w:sz w:val="20"/>
                <w:szCs w:val="20"/>
                <w:color w:val="auto"/>
              </w:rPr>
            </w:pPr>
            <w:r>
              <w:rPr>
                <w:rFonts w:ascii="Arial" w:cs="Arial" w:eastAsia="Arial" w:hAnsi="Arial"/>
                <w:sz w:val="14"/>
                <w:szCs w:val="14"/>
                <w:color w:val="auto"/>
                <w:w w:val="96"/>
              </w:rPr>
              <w:t>(219,467)</w:t>
            </w:r>
          </w:p>
        </w:tc>
      </w:tr>
      <w:tr>
        <w:trPr>
          <w:trHeight w:val="182"/>
        </w:trPr>
        <w:tc>
          <w:tcPr>
            <w:tcW w:w="2740" w:type="dxa"/>
            <w:vAlign w:val="bottom"/>
          </w:tcPr>
          <w:p>
            <w:pPr>
              <w:spacing w:after="0"/>
              <w:rPr>
                <w:sz w:val="20"/>
                <w:szCs w:val="20"/>
                <w:color w:val="auto"/>
              </w:rPr>
            </w:pPr>
            <w:r>
              <w:rPr>
                <w:rFonts w:ascii="Arial" w:cs="Arial" w:eastAsia="Arial" w:hAnsi="Arial"/>
                <w:sz w:val="14"/>
                <w:szCs w:val="14"/>
                <w:color w:val="auto"/>
              </w:rPr>
              <w:t>Total</w:t>
            </w:r>
          </w:p>
        </w:tc>
        <w:tc>
          <w:tcPr>
            <w:tcW w:w="5320" w:type="dxa"/>
            <w:vAlign w:val="bottom"/>
          </w:tcPr>
          <w:p>
            <w:pPr>
              <w:jc w:val="center"/>
              <w:ind w:left="1628"/>
              <w:spacing w:after="0"/>
              <w:rPr>
                <w:sz w:val="20"/>
                <w:szCs w:val="20"/>
                <w:color w:val="auto"/>
              </w:rPr>
            </w:pPr>
            <w:r>
              <w:rPr>
                <w:rFonts w:ascii="Arial" w:cs="Arial" w:eastAsia="Arial" w:hAnsi="Arial"/>
                <w:sz w:val="14"/>
                <w:szCs w:val="14"/>
                <w:color w:val="auto"/>
                <w:w w:val="90"/>
              </w:rPr>
              <w:t>197,346</w:t>
            </w:r>
          </w:p>
        </w:tc>
        <w:tc>
          <w:tcPr>
            <w:tcW w:w="1980" w:type="dxa"/>
            <w:vAlign w:val="bottom"/>
          </w:tcPr>
          <w:p>
            <w:pPr>
              <w:jc w:val="center"/>
              <w:ind w:left="1088"/>
              <w:spacing w:after="0"/>
              <w:rPr>
                <w:sz w:val="20"/>
                <w:szCs w:val="20"/>
                <w:color w:val="auto"/>
              </w:rPr>
            </w:pPr>
            <w:r>
              <w:rPr>
                <w:rFonts w:ascii="Arial" w:cs="Arial" w:eastAsia="Arial" w:hAnsi="Arial"/>
                <w:sz w:val="14"/>
                <w:szCs w:val="14"/>
                <w:color w:val="auto"/>
                <w:w w:val="90"/>
              </w:rPr>
              <w:t>178,435</w:t>
            </w:r>
          </w:p>
        </w:tc>
      </w:tr>
      <w:tr>
        <w:trPr>
          <w:trHeight w:val="351"/>
        </w:trPr>
        <w:tc>
          <w:tcPr>
            <w:tcW w:w="2740" w:type="dxa"/>
            <w:vAlign w:val="bottom"/>
          </w:tcPr>
          <w:p>
            <w:pPr>
              <w:spacing w:after="0"/>
              <w:rPr>
                <w:sz w:val="20"/>
                <w:szCs w:val="20"/>
                <w:color w:val="auto"/>
              </w:rPr>
            </w:pPr>
            <w:r>
              <w:rPr>
                <w:rFonts w:ascii="Arial" w:cs="Arial" w:eastAsia="Arial" w:hAnsi="Arial"/>
                <w:sz w:val="14"/>
                <w:szCs w:val="14"/>
                <w:color w:val="auto"/>
              </w:rPr>
              <w:t>Working Capital</w:t>
            </w:r>
          </w:p>
        </w:tc>
        <w:tc>
          <w:tcPr>
            <w:tcW w:w="5320" w:type="dxa"/>
            <w:vAlign w:val="bottom"/>
          </w:tcPr>
          <w:p>
            <w:pPr>
              <w:jc w:val="center"/>
              <w:ind w:left="1628"/>
              <w:spacing w:after="0"/>
              <w:rPr>
                <w:sz w:val="20"/>
                <w:szCs w:val="20"/>
                <w:color w:val="auto"/>
              </w:rPr>
            </w:pPr>
            <w:r>
              <w:rPr>
                <w:rFonts w:ascii="Arial" w:cs="Arial" w:eastAsia="Arial" w:hAnsi="Arial"/>
                <w:sz w:val="14"/>
                <w:szCs w:val="14"/>
                <w:color w:val="auto"/>
                <w:w w:val="90"/>
              </w:rPr>
              <w:t>299,709</w:t>
            </w:r>
          </w:p>
        </w:tc>
        <w:tc>
          <w:tcPr>
            <w:tcW w:w="1980" w:type="dxa"/>
            <w:vAlign w:val="bottom"/>
          </w:tcPr>
          <w:p>
            <w:pPr>
              <w:jc w:val="center"/>
              <w:ind w:left="1088"/>
              <w:spacing w:after="0"/>
              <w:rPr>
                <w:sz w:val="20"/>
                <w:szCs w:val="20"/>
                <w:color w:val="auto"/>
              </w:rPr>
            </w:pPr>
            <w:r>
              <w:rPr>
                <w:rFonts w:ascii="Arial" w:cs="Arial" w:eastAsia="Arial" w:hAnsi="Arial"/>
                <w:sz w:val="14"/>
                <w:szCs w:val="14"/>
                <w:color w:val="auto"/>
                <w:w w:val="90"/>
              </w:rPr>
              <w:t>250,326</w:t>
            </w:r>
          </w:p>
        </w:tc>
      </w:tr>
      <w:tr>
        <w:trPr>
          <w:trHeight w:val="351"/>
        </w:trPr>
        <w:tc>
          <w:tcPr>
            <w:tcW w:w="2740" w:type="dxa"/>
            <w:vAlign w:val="bottom"/>
          </w:tcPr>
          <w:p>
            <w:pPr>
              <w:spacing w:after="0"/>
              <w:rPr>
                <w:sz w:val="20"/>
                <w:szCs w:val="20"/>
                <w:color w:val="auto"/>
              </w:rPr>
            </w:pPr>
            <w:r>
              <w:rPr>
                <w:rFonts w:ascii="Arial" w:cs="Arial" w:eastAsia="Arial" w:hAnsi="Arial"/>
                <w:sz w:val="14"/>
                <w:szCs w:val="14"/>
                <w:color w:val="auto"/>
              </w:rPr>
              <w:t>Total Assets</w:t>
            </w:r>
          </w:p>
        </w:tc>
        <w:tc>
          <w:tcPr>
            <w:tcW w:w="5320" w:type="dxa"/>
            <w:vAlign w:val="bottom"/>
          </w:tcPr>
          <w:p>
            <w:pPr>
              <w:jc w:val="center"/>
              <w:ind w:left="1628"/>
              <w:spacing w:after="0"/>
              <w:rPr>
                <w:sz w:val="20"/>
                <w:szCs w:val="20"/>
                <w:color w:val="auto"/>
              </w:rPr>
            </w:pPr>
            <w:r>
              <w:rPr>
                <w:rFonts w:ascii="Arial" w:cs="Arial" w:eastAsia="Arial" w:hAnsi="Arial"/>
                <w:sz w:val="14"/>
                <w:szCs w:val="14"/>
                <w:color w:val="auto"/>
                <w:w w:val="93"/>
              </w:rPr>
              <w:t>1,362,068</w:t>
            </w:r>
          </w:p>
        </w:tc>
        <w:tc>
          <w:tcPr>
            <w:tcW w:w="1980" w:type="dxa"/>
            <w:vAlign w:val="bottom"/>
          </w:tcPr>
          <w:p>
            <w:pPr>
              <w:jc w:val="center"/>
              <w:ind w:left="1088"/>
              <w:spacing w:after="0"/>
              <w:rPr>
                <w:sz w:val="20"/>
                <w:szCs w:val="20"/>
                <w:color w:val="auto"/>
              </w:rPr>
            </w:pPr>
            <w:r>
              <w:rPr>
                <w:rFonts w:ascii="Arial" w:cs="Arial" w:eastAsia="Arial" w:hAnsi="Arial"/>
                <w:sz w:val="14"/>
                <w:szCs w:val="14"/>
                <w:color w:val="auto"/>
                <w:w w:val="93"/>
              </w:rPr>
              <w:t>1,202,108</w:t>
            </w:r>
          </w:p>
        </w:tc>
      </w:tr>
      <w:tr>
        <w:trPr>
          <w:trHeight w:val="351"/>
        </w:trPr>
        <w:tc>
          <w:tcPr>
            <w:tcW w:w="2740" w:type="dxa"/>
            <w:vAlign w:val="bottom"/>
          </w:tcPr>
          <w:p>
            <w:pPr>
              <w:spacing w:after="0"/>
              <w:rPr>
                <w:sz w:val="20"/>
                <w:szCs w:val="20"/>
                <w:color w:val="auto"/>
              </w:rPr>
            </w:pPr>
            <w:r>
              <w:rPr>
                <w:rFonts w:ascii="Arial" w:cs="Arial" w:eastAsia="Arial" w:hAnsi="Arial"/>
                <w:sz w:val="14"/>
                <w:szCs w:val="14"/>
                <w:color w:val="auto"/>
              </w:rPr>
              <w:t>Shareholder's Equity</w:t>
            </w:r>
          </w:p>
        </w:tc>
        <w:tc>
          <w:tcPr>
            <w:tcW w:w="5320" w:type="dxa"/>
            <w:vAlign w:val="bottom"/>
          </w:tcPr>
          <w:p>
            <w:pPr>
              <w:jc w:val="center"/>
              <w:ind w:left="1628"/>
              <w:spacing w:after="0"/>
              <w:rPr>
                <w:sz w:val="20"/>
                <w:szCs w:val="20"/>
                <w:color w:val="auto"/>
              </w:rPr>
            </w:pPr>
            <w:r>
              <w:rPr>
                <w:rFonts w:ascii="Arial" w:cs="Arial" w:eastAsia="Arial" w:hAnsi="Arial"/>
                <w:sz w:val="14"/>
                <w:szCs w:val="14"/>
                <w:color w:val="auto"/>
                <w:w w:val="90"/>
              </w:rPr>
              <w:t>854,519</w:t>
            </w:r>
          </w:p>
        </w:tc>
        <w:tc>
          <w:tcPr>
            <w:tcW w:w="1980" w:type="dxa"/>
            <w:vAlign w:val="bottom"/>
          </w:tcPr>
          <w:p>
            <w:pPr>
              <w:jc w:val="center"/>
              <w:ind w:left="1088"/>
              <w:spacing w:after="0"/>
              <w:rPr>
                <w:sz w:val="20"/>
                <w:szCs w:val="20"/>
                <w:color w:val="auto"/>
              </w:rPr>
            </w:pPr>
            <w:r>
              <w:rPr>
                <w:rFonts w:ascii="Arial" w:cs="Arial" w:eastAsia="Arial" w:hAnsi="Arial"/>
                <w:sz w:val="14"/>
                <w:szCs w:val="14"/>
                <w:color w:val="auto"/>
                <w:w w:val="90"/>
              </w:rPr>
              <w:t>754,575</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 CFO</w:t>
      </w:r>
    </w:p>
    <w:p>
      <w:pPr>
        <w:spacing w:after="0" w:line="1" w:lineRule="exact"/>
        <w:rPr>
          <w:sz w:val="20"/>
          <w:szCs w:val="20"/>
          <w:color w:val="auto"/>
        </w:rPr>
      </w:pPr>
    </w:p>
    <w:p>
      <w:pPr>
        <w:ind w:right="8679"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1 291 2000 or</w:t>
      </w:r>
    </w:p>
    <w:p>
      <w:pPr>
        <w:spacing w:after="0" w:line="1" w:lineRule="exact"/>
        <w:rPr>
          <w:rFonts w:ascii="Arial" w:cs="Arial" w:eastAsia="Arial" w:hAnsi="Arial"/>
          <w:sz w:val="22"/>
          <w:szCs w:val="22"/>
          <w:color w:val="auto"/>
        </w:rPr>
      </w:pPr>
    </w:p>
    <w:p>
      <w:pPr>
        <w:ind w:right="5779"/>
        <w:spacing w:after="0" w:line="230" w:lineRule="auto"/>
        <w:rPr>
          <w:rFonts w:ascii="Arial" w:cs="Arial" w:eastAsia="Arial" w:hAnsi="Arial"/>
          <w:sz w:val="22"/>
          <w:szCs w:val="22"/>
          <w:color w:val="auto"/>
        </w:rPr>
      </w:pPr>
      <w:r>
        <w:rPr>
          <w:rFonts w:ascii="Arial" w:cs="Arial" w:eastAsia="Arial" w:hAnsi="Arial"/>
          <w:sz w:val="22"/>
          <w:szCs w:val="22"/>
          <w:color w:val="auto"/>
        </w:rPr>
        <w:t>Simon Holmes, EVP IR &amp; Corporate Development +3531 291 2000</w:t>
      </w:r>
    </w:p>
    <w:p>
      <w:pPr>
        <w:spacing w:after="0" w:line="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u w:val="single" w:color="auto"/>
          <w:color w:val="auto"/>
        </w:rPr>
        <w:t>http://www.iconplc.com</w:t>
      </w:r>
    </w:p>
    <w:sectPr>
      <w:pgSz w:w="11900" w:h="16838" w:orient="portrait"/>
      <w:cols w:equalWidth="0" w:num="1">
        <w:col w:w="10219"/>
      </w:cols>
      <w:pgMar w:left="240" w:top="3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2019-12-06T20:41:05Z</dcterms:created>
  <dcterms:modified xsi:type="dcterms:W3CDTF">2019-12-06T20:41:05Z</dcterms:modified>
</cp:coreProperties>
</file>