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5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under</w:t>
      </w:r>
    </w:p>
    <w:p>
      <w:pPr>
        <w:jc w:val="center"/>
        <w:ind w:right="-79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80"/>
        <w:spacing w:after="0"/>
        <w:rPr>
          <w:sz w:val="20"/>
          <w:szCs w:val="20"/>
          <w:color w:val="auto"/>
        </w:rPr>
      </w:pPr>
      <w:r>
        <w:rPr>
          <w:rFonts w:ascii="Arial" w:cs="Arial" w:eastAsia="Arial" w:hAnsi="Arial"/>
          <w:sz w:val="22"/>
          <w:szCs w:val="22"/>
          <w:color w:val="auto"/>
        </w:rPr>
        <w:t>For the month ended October, 2019</w:t>
      </w:r>
    </w:p>
    <w:p>
      <w:pPr>
        <w:spacing w:after="0" w:line="200" w:lineRule="exact"/>
        <w:rPr>
          <w:sz w:val="24"/>
          <w:szCs w:val="24"/>
          <w:color w:val="auto"/>
        </w:rPr>
      </w:pPr>
    </w:p>
    <w:p>
      <w:pPr>
        <w:spacing w:after="0" w:line="266"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8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799"/>
        <w:spacing w:after="0"/>
        <w:rPr>
          <w:sz w:val="20"/>
          <w:szCs w:val="20"/>
          <w:color w:val="auto"/>
        </w:rPr>
      </w:pPr>
      <w:r>
        <w:rPr>
          <w:rFonts w:ascii="Arial" w:cs="Arial" w:eastAsia="Arial" w:hAnsi="Arial"/>
          <w:sz w:val="22"/>
          <w:szCs w:val="22"/>
          <w:color w:val="auto"/>
        </w:rPr>
        <w:t>Brendan Brennan, CFO</w:t>
      </w:r>
    </w:p>
    <w:p>
      <w:pPr>
        <w:jc w:val="center"/>
        <w:ind w:right="-79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799"/>
        <w:spacing w:after="0" w:line="230" w:lineRule="auto"/>
        <w:rPr>
          <w:sz w:val="20"/>
          <w:szCs w:val="20"/>
          <w:color w:val="auto"/>
        </w:rPr>
      </w:pPr>
      <w:r>
        <w:rPr>
          <w:rFonts w:ascii="Arial" w:cs="Arial" w:eastAsia="Arial" w:hAnsi="Arial"/>
          <w:sz w:val="22"/>
          <w:szCs w:val="22"/>
          <w:color w:val="auto"/>
        </w:rPr>
        <w:t>Brendan.Brennan@iconplc.com</w:t>
      </w:r>
    </w:p>
    <w:p>
      <w:pPr>
        <w:jc w:val="center"/>
        <w:ind w:right="-799"/>
        <w:spacing w:after="0" w:line="231" w:lineRule="auto"/>
        <w:rPr>
          <w:sz w:val="20"/>
          <w:szCs w:val="20"/>
          <w:color w:val="auto"/>
        </w:rPr>
      </w:pPr>
      <w:r>
        <w:rPr>
          <w:rFonts w:ascii="Arial" w:cs="Arial" w:eastAsia="Arial" w:hAnsi="Arial"/>
          <w:sz w:val="22"/>
          <w:szCs w:val="22"/>
          <w:color w:val="auto"/>
        </w:rPr>
        <w:t>+353-1-291-2000</w:t>
      </w:r>
    </w:p>
    <w:p>
      <w:pPr>
        <w:spacing w:after="0" w:line="1" w:lineRule="exact"/>
        <w:rPr>
          <w:sz w:val="24"/>
          <w:szCs w:val="24"/>
          <w:color w:val="auto"/>
        </w:rPr>
      </w:pPr>
    </w:p>
    <w:p>
      <w:pPr>
        <w:jc w:val="center"/>
        <w:ind w:right="-85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80"/>
        <w:spacing w:after="0"/>
        <w:tabs>
          <w:tab w:leader="none" w:pos="65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620"/>
          </w:cols>
          <w:pgMar w:left="240" w:top="215" w:right="1039" w:bottom="1440" w:gutter="0" w:footer="0" w:header="0"/>
        </w:sectPr>
      </w:pPr>
    </w:p>
    <w:bookmarkStart w:id="1" w:name="page2"/>
    <w:bookmarkEnd w:id="1"/>
    <w:p>
      <w:pPr>
        <w:ind w:left="4980"/>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October 23, 2019 - ICON Reports Third Quarter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6860" w:right="2700" w:hanging="6846"/>
        <w:spacing w:after="0" w:line="290" w:lineRule="auto"/>
        <w:tabs>
          <w:tab w:leader="none" w:pos="6840" w:val="left"/>
        </w:tabs>
        <w:rPr>
          <w:sz w:val="20"/>
          <w:szCs w:val="20"/>
          <w:color w:val="auto"/>
        </w:rPr>
      </w:pPr>
      <w:r>
        <w:rPr>
          <w:rFonts w:ascii="Arial" w:cs="Arial" w:eastAsia="Arial" w:hAnsi="Arial"/>
          <w:sz w:val="18"/>
          <w:szCs w:val="18"/>
          <w:color w:val="auto"/>
        </w:rPr>
        <w:t>Date: October 23, 2019</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240" w:top="11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Reports Third Quarter 2019 Results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Record net business wins in the quarter of $931 million; a book to bill of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640"/>
        <w:spacing w:after="0" w:line="230" w:lineRule="auto"/>
        <w:rPr>
          <w:sz w:val="20"/>
          <w:szCs w:val="20"/>
          <w:color w:val="auto"/>
        </w:rPr>
      </w:pPr>
      <w:r>
        <w:rPr>
          <w:rFonts w:ascii="Arial" w:cs="Arial" w:eastAsia="Arial" w:hAnsi="Arial"/>
          <w:sz w:val="22"/>
          <w:szCs w:val="22"/>
          <w:b w:val="1"/>
          <w:bCs w:val="1"/>
          <w:color w:val="auto"/>
        </w:rPr>
        <w:t>Quarter 3 reported revenue of $710.4 million. This represents strong year on year growth of 8.5% or 9.5%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40"/>
        <w:spacing w:after="0" w:line="241" w:lineRule="auto"/>
        <w:rPr>
          <w:sz w:val="20"/>
          <w:szCs w:val="20"/>
          <w:color w:val="auto"/>
        </w:rPr>
      </w:pPr>
      <w:r>
        <w:rPr>
          <w:rFonts w:ascii="Arial" w:cs="Arial" w:eastAsia="Arial" w:hAnsi="Arial"/>
          <w:sz w:val="21"/>
          <w:szCs w:val="21"/>
          <w:b w:val="1"/>
          <w:bCs w:val="1"/>
          <w:color w:val="auto"/>
        </w:rPr>
        <w:t>Adjusted earnings per share attributable to the Group of $1.74, a robust increase of 12.9% over Q3 2018. Year to date adjusted earnings per share attributable to the Group of $5.06, a 13.0% increase over prior year*. Non-GAAP days sales outstanding reduced to 56 days in Q3 from 61 days in previous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-411480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80"/>
        <w:spacing w:after="0" w:line="230" w:lineRule="auto"/>
        <w:rPr>
          <w:sz w:val="20"/>
          <w:szCs w:val="20"/>
          <w:color w:val="auto"/>
        </w:rPr>
      </w:pPr>
      <w:r>
        <w:rPr>
          <w:rFonts w:ascii="Arial" w:cs="Arial" w:eastAsia="Arial" w:hAnsi="Arial"/>
          <w:sz w:val="22"/>
          <w:szCs w:val="22"/>
          <w:b w:val="1"/>
          <w:bCs w:val="1"/>
          <w:color w:val="auto"/>
        </w:rPr>
        <w:t>Symphony Clinical Research, a provider of site and patient clinical trial support services, was acquired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7" w:lineRule="auto"/>
        <w:rPr>
          <w:sz w:val="20"/>
          <w:szCs w:val="20"/>
          <w:color w:val="auto"/>
        </w:rPr>
      </w:pPr>
      <w:r>
        <w:rPr>
          <w:rFonts w:ascii="Arial" w:cs="Arial" w:eastAsia="Arial" w:hAnsi="Arial"/>
          <w:sz w:val="22"/>
          <w:szCs w:val="22"/>
          <w:b w:val="1"/>
          <w:bCs w:val="1"/>
          <w:color w:val="auto"/>
        </w:rPr>
        <w:t>Revenue guidance increased from a range of $2,760 - $2,840 million to a range of $2,790 - $2,830 million. Earnings per share guidance increased from a range of $6.75 - $6.95 to a range of $6.81 – $6.95.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9"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DUBLIN--(BUSINESS WIRE)--October 23, 2019--</w:t>
      </w:r>
      <w:r>
        <w:rPr>
          <w:rFonts w:ascii="Arial" w:cs="Arial" w:eastAsia="Arial" w:hAnsi="Arial"/>
          <w:sz w:val="22"/>
          <w:szCs w:val="22"/>
          <w:b w:val="1"/>
          <w:bCs w:val="1"/>
          <w:color w:val="auto"/>
        </w:rPr>
        <w:t>ICONplc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third quarter ended September 30, 2019.</w:t>
      </w:r>
    </w:p>
    <w:p>
      <w:pPr>
        <w:spacing w:after="0" w:line="183" w:lineRule="exact"/>
        <w:rPr>
          <w:sz w:val="20"/>
          <w:szCs w:val="20"/>
          <w:color w:val="auto"/>
        </w:rPr>
      </w:pPr>
    </w:p>
    <w:p>
      <w:pPr>
        <w:ind w:right="20"/>
        <w:spacing w:after="0" w:line="277"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“ICON’s quarter 3 results show continuing growth and represent a strong endorsement of our</w:t>
      </w:r>
      <w:r>
        <w:rPr>
          <w:rFonts w:ascii="Arial" w:cs="Arial" w:eastAsia="Arial" w:hAnsi="Arial"/>
          <w:sz w:val="19"/>
          <w:szCs w:val="19"/>
          <w:color w:val="auto"/>
        </w:rPr>
        <w:t xml:space="preserve"> </w:t>
      </w:r>
      <w:r>
        <w:rPr>
          <w:rFonts w:ascii="Arial" w:cs="Arial" w:eastAsia="Arial" w:hAnsi="Arial"/>
          <w:sz w:val="19"/>
          <w:szCs w:val="19"/>
          <w:i w:val="1"/>
          <w:iCs w:val="1"/>
          <w:color w:val="auto"/>
        </w:rPr>
        <w:t>overall strategy. During quarter 3, ICON’s net business wins were a record $931 million, representing a strong book to bill of 1.31. We grew our backlog 12% year over year to $8.4 billion, constant currency revenue grew 9.5% to $710 million and earnings per share increased 13% year over year to $1.74. In addition, we further strengthened our differentiated Patient, Site and Data strategy through the acquisition of Symphony Clinical Research, a leading provider of at home trial and support services. Given our strong progress this year we are increasing our 2019 revenue guidance from a range of $2,760 - $2,840 million to a range of $2,790 - $2,830 million and we are increasing earnings guidance from a range of $6.75 - $6.95 to $6.81 - $6.95.”</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2019 Results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22"/>
          <w:szCs w:val="22"/>
          <w:color w:val="auto"/>
        </w:rPr>
        <w:t>Gross business wins in the third quarter were $1.1 billion and cancellations were $148 million. This resulted in net business wins of $931 million and a book to bill of 1.31.</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Reported revenue for quarter 3 was $710.4 million. This represents a year on year increase of 8.5% or 9.5% on a constant currency basis.</w:t>
      </w:r>
    </w:p>
    <w:p>
      <w:pPr>
        <w:spacing w:after="0" w:line="173" w:lineRule="exact"/>
        <w:rPr>
          <w:sz w:val="20"/>
          <w:szCs w:val="20"/>
          <w:color w:val="auto"/>
        </w:rPr>
      </w:pPr>
    </w:p>
    <w:p>
      <w:pPr>
        <w:ind w:right="500"/>
        <w:spacing w:after="0" w:line="251" w:lineRule="auto"/>
        <w:rPr>
          <w:sz w:val="20"/>
          <w:szCs w:val="20"/>
          <w:color w:val="auto"/>
        </w:rPr>
      </w:pPr>
      <w:r>
        <w:rPr>
          <w:rFonts w:ascii="Arial" w:cs="Arial" w:eastAsia="Arial" w:hAnsi="Arial"/>
          <w:sz w:val="22"/>
          <w:szCs w:val="22"/>
          <w:color w:val="auto"/>
        </w:rPr>
        <w:t>Reported income from operations in the quarter was $110 million or 15.5% of revenue compared to $97.9 million or 15.0% of revenue for Q3 2018. This represents a year on year increase of 12.4%.</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Reported net income attributable to the Group for the quarter was $94.8 million or 13.3% of revenue compared with $84.5 million or 12.9% of revenue in Q3 2018. This represents year on year growth of 12.2%.</w:t>
      </w:r>
    </w:p>
    <w:p>
      <w:pPr>
        <w:spacing w:after="0" w:line="173" w:lineRule="exact"/>
        <w:rPr>
          <w:sz w:val="20"/>
          <w:szCs w:val="20"/>
          <w:color w:val="auto"/>
        </w:rPr>
      </w:pPr>
    </w:p>
    <w:p>
      <w:pPr>
        <w:ind w:right="360"/>
        <w:spacing w:after="0" w:line="251" w:lineRule="auto"/>
        <w:rPr>
          <w:sz w:val="20"/>
          <w:szCs w:val="20"/>
          <w:color w:val="auto"/>
        </w:rPr>
      </w:pPr>
      <w:r>
        <w:rPr>
          <w:rFonts w:ascii="Arial" w:cs="Arial" w:eastAsia="Arial" w:hAnsi="Arial"/>
          <w:sz w:val="22"/>
          <w:szCs w:val="22"/>
          <w:color w:val="auto"/>
        </w:rPr>
        <w:t>Adjusted earnings per share attributable to the Group on a diluted basis was $1.74, an increase of 12.9%, compared to $1.54 per share for Q3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120"/>
        <w:spacing w:after="0" w:line="251" w:lineRule="auto"/>
        <w:rPr>
          <w:sz w:val="20"/>
          <w:szCs w:val="20"/>
          <w:color w:val="auto"/>
        </w:rPr>
      </w:pPr>
      <w:r>
        <w:rPr>
          <w:rFonts w:ascii="Arial" w:cs="Arial" w:eastAsia="Arial" w:hAnsi="Arial"/>
          <w:sz w:val="22"/>
          <w:szCs w:val="22"/>
          <w:color w:val="auto"/>
        </w:rPr>
        <w:t>During Quarter 3, the Group completed the purchase of Symphony Clinical Research a leading provider of site and patient support services (see separate press release).</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On a comparative basis, non-GAAP days sales outstanding were 56 days at September 30, 2019, compared with 61 days at the end of June 2019.</w:t>
      </w:r>
    </w:p>
    <w:p>
      <w:pPr>
        <w:spacing w:after="0" w:line="173"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Cash generated from operating activities for the quarter was $160.7 million. During the quarter, the Group acquired Symphony Clinical Research for an initial payment of $31.6 million, capital expenditure was $13.7 million and $76.5 million worth of stock was repurchased at an average price of $151.80. As a result, at September 30, 2019, the company had net cash of $121.7 million, compared to net cash of $81.8 million at June 30, 2019 and net cash of $142.3 million at the end of September 2018.</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 to date 2019 Results</w:t>
      </w:r>
    </w:p>
    <w:p>
      <w:pPr>
        <w:spacing w:after="0" w:line="212" w:lineRule="exact"/>
        <w:rPr>
          <w:sz w:val="20"/>
          <w:szCs w:val="20"/>
          <w:color w:val="auto"/>
        </w:rPr>
      </w:pPr>
    </w:p>
    <w:p>
      <w:pPr>
        <w:ind w:right="200"/>
        <w:spacing w:after="0" w:line="251" w:lineRule="auto"/>
        <w:rPr>
          <w:sz w:val="20"/>
          <w:szCs w:val="20"/>
          <w:color w:val="auto"/>
        </w:rPr>
      </w:pPr>
      <w:r>
        <w:rPr>
          <w:rFonts w:ascii="Arial" w:cs="Arial" w:eastAsia="Arial" w:hAnsi="Arial"/>
          <w:sz w:val="22"/>
          <w:szCs w:val="22"/>
          <w:color w:val="auto"/>
        </w:rPr>
        <w:t>Gross business wins year to date were $3.2 billion and cancellations were $439 million. This resulted in net business wins of $2.7 billion and a book to bill of 1.31.</w:t>
      </w:r>
    </w:p>
    <w:p>
      <w:pPr>
        <w:spacing w:after="0" w:line="173" w:lineRule="exact"/>
        <w:rPr>
          <w:sz w:val="20"/>
          <w:szCs w:val="20"/>
          <w:color w:val="auto"/>
        </w:rPr>
      </w:pPr>
    </w:p>
    <w:p>
      <w:pPr>
        <w:ind w:right="100"/>
        <w:spacing w:after="0" w:line="251" w:lineRule="auto"/>
        <w:rPr>
          <w:sz w:val="20"/>
          <w:szCs w:val="20"/>
          <w:color w:val="auto"/>
        </w:rPr>
      </w:pPr>
      <w:r>
        <w:rPr>
          <w:rFonts w:ascii="Arial" w:cs="Arial" w:eastAsia="Arial" w:hAnsi="Arial"/>
          <w:sz w:val="22"/>
          <w:szCs w:val="22"/>
          <w:color w:val="auto"/>
        </w:rPr>
        <w:t>Year to date reported revenue was $2,080 million. This represents a year on year increase of 8.5% or 10.3% on a constant currency basis.</w:t>
      </w:r>
    </w:p>
    <w:p>
      <w:pPr>
        <w:spacing w:after="0" w:line="173" w:lineRule="exact"/>
        <w:rPr>
          <w:sz w:val="20"/>
          <w:szCs w:val="20"/>
          <w:color w:val="auto"/>
        </w:rPr>
      </w:pPr>
    </w:p>
    <w:p>
      <w:pPr>
        <w:jc w:val="both"/>
        <w:ind w:right="360"/>
        <w:spacing w:after="0" w:line="274" w:lineRule="auto"/>
        <w:rPr>
          <w:sz w:val="20"/>
          <w:szCs w:val="20"/>
          <w:color w:val="auto"/>
        </w:rPr>
      </w:pPr>
      <w:r>
        <w:rPr>
          <w:rFonts w:ascii="Arial" w:cs="Arial" w:eastAsia="Arial" w:hAnsi="Arial"/>
          <w:sz w:val="21"/>
          <w:szCs w:val="21"/>
          <w:color w:val="auto"/>
        </w:rPr>
        <w:t>Reported income from operations year to date was $318.1 million or 15.3% of revenue compared to $284.1 million or 14.8% of revenue for the equivalent prior year period*. This represents a year on year increase of 12.0%.</w:t>
      </w:r>
    </w:p>
    <w:p>
      <w:pPr>
        <w:spacing w:after="0" w:line="151" w:lineRule="exact"/>
        <w:rPr>
          <w:sz w:val="20"/>
          <w:szCs w:val="20"/>
          <w:color w:val="auto"/>
        </w:rPr>
      </w:pPr>
    </w:p>
    <w:p>
      <w:pPr>
        <w:ind w:right="160"/>
        <w:spacing w:after="0" w:line="274" w:lineRule="auto"/>
        <w:rPr>
          <w:sz w:val="20"/>
          <w:szCs w:val="20"/>
          <w:color w:val="auto"/>
        </w:rPr>
      </w:pPr>
      <w:r>
        <w:rPr>
          <w:rFonts w:ascii="Arial" w:cs="Arial" w:eastAsia="Arial" w:hAnsi="Arial"/>
          <w:sz w:val="21"/>
          <w:szCs w:val="21"/>
          <w:color w:val="auto"/>
        </w:rPr>
        <w:t>Reported net income attributable to the Group year to date was $275.0 million or 13.2% of revenue compared with $245.5 million or 12.8% of revenue for the equivalent prior year period*. This represents year on year growth of 12.0%.</w:t>
      </w:r>
    </w:p>
    <w:p>
      <w:pPr>
        <w:spacing w:after="0" w:line="151" w:lineRule="exact"/>
        <w:rPr>
          <w:sz w:val="20"/>
          <w:szCs w:val="20"/>
          <w:color w:val="auto"/>
        </w:rPr>
      </w:pPr>
    </w:p>
    <w:p>
      <w:pPr>
        <w:jc w:val="both"/>
        <w:ind w:right="360"/>
        <w:spacing w:after="0" w:line="251" w:lineRule="auto"/>
        <w:rPr>
          <w:sz w:val="20"/>
          <w:szCs w:val="20"/>
          <w:color w:val="auto"/>
        </w:rPr>
      </w:pPr>
      <w:r>
        <w:rPr>
          <w:rFonts w:ascii="Arial" w:cs="Arial" w:eastAsia="Arial" w:hAnsi="Arial"/>
          <w:sz w:val="22"/>
          <w:szCs w:val="22"/>
          <w:color w:val="auto"/>
        </w:rPr>
        <w:t>Adjusted earnings per share on a diluted basis attributable to the Group was $5.06, an increase of 13.0%, compared to $4.47 per share for the equivalent prior year period*.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*before non-recurring charges.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Information</w:t>
      </w:r>
    </w:p>
    <w:p>
      <w:pPr>
        <w:spacing w:after="0" w:line="212"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240"/>
        <w:spacing w:after="0" w:line="279" w:lineRule="auto"/>
        <w:rPr>
          <w:sz w:val="20"/>
          <w:szCs w:val="20"/>
          <w:color w:val="auto"/>
        </w:rPr>
      </w:pPr>
      <w:r>
        <w:rPr>
          <w:rFonts w:ascii="Arial" w:cs="Arial" w:eastAsia="Arial" w:hAnsi="Arial"/>
          <w:sz w:val="19"/>
          <w:szCs w:val="19"/>
          <w:color w:val="auto"/>
        </w:rPr>
        <w:t>Adjusted earnings per share attributable to the Group (Non-GAAP) has been computed by dividing net income attributable to the Group by the weighted average number of shares outstanding. GAAP earnings per share attributable to the Group has been computed by dividing net income attributable to the Group plus a GAAP charge associated with non-controlling interest in MeDiNova Research (“MeDiNova”) by the weighted average number of shares outstanding. ICON purchased a majority shareholding in MeDiNova on 23 May 2019 and has a right to acquire the remaining share in the company during 2020. The vendors also have a right to sell the remaining shares exclusively to ICON during 2020.</w:t>
      </w:r>
    </w:p>
    <w:p>
      <w:pPr>
        <w:spacing w:after="0" w:line="144" w:lineRule="exact"/>
        <w:rPr>
          <w:sz w:val="20"/>
          <w:szCs w:val="20"/>
          <w:color w:val="auto"/>
        </w:rPr>
      </w:pPr>
    </w:p>
    <w:p>
      <w:pPr>
        <w:spacing w:after="0" w:line="215" w:lineRule="auto"/>
        <w:rPr>
          <w:sz w:val="20"/>
          <w:szCs w:val="20"/>
          <w:color w:val="auto"/>
        </w:rPr>
      </w:pPr>
      <w:r>
        <w:rPr>
          <w:rFonts w:ascii="Arial" w:cs="Arial" w:eastAsia="Arial" w:hAnsi="Arial"/>
          <w:sz w:val="21"/>
          <w:szCs w:val="21"/>
          <w:color w:val="auto"/>
        </w:rPr>
        <w:t>ICON will hold its third quarter conference call tomorrow, October 24</w:t>
      </w:r>
      <w:r>
        <w:rPr>
          <w:rFonts w:ascii="Arial" w:cs="Arial" w:eastAsia="Arial" w:hAnsi="Arial"/>
          <w:sz w:val="35"/>
          <w:szCs w:val="35"/>
          <w:color w:val="auto"/>
          <w:vertAlign w:val="superscript"/>
        </w:rPr>
        <w:t>th</w:t>
      </w:r>
      <w:r>
        <w:rPr>
          <w:rFonts w:ascii="Arial" w:cs="Arial" w:eastAsia="Arial" w:hAnsi="Arial"/>
          <w:sz w:val="21"/>
          <w:szCs w:val="21"/>
          <w:color w:val="auto"/>
        </w:rPr>
        <w:t>, 2019 at 9:00 EDT [14:00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employed approximately 14,600 employees in 99 locations in 40 countries as at September 30, 2019. Further information is available at www.iconplc.com.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 Investor Relations +1888 381 7923 or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 Chief Financial Officer +353 1 291 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 Vice President Corporate Finance and Investor Relations +353 1 291 2000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Nine Months ended September 30, 2019 and September 30,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134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25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196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b w:val="1"/>
                <w:bCs w:val="1"/>
                <w:color w:val="auto"/>
              </w:rPr>
              <w:t>September</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September</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September</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6"/>
              </w:rPr>
              <w:t>September</w:t>
            </w:r>
          </w:p>
        </w:tc>
      </w:tr>
      <w:tr>
        <w:trPr>
          <w:trHeight w:val="243"/>
        </w:trPr>
        <w:tc>
          <w:tcPr>
            <w:tcW w:w="424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rPr>
              <w:t>30, 2019</w:t>
            </w: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30, 2018</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30, 2019</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30, 2018</w:t>
            </w:r>
          </w:p>
        </w:tc>
      </w:tr>
      <w:tr>
        <w:trPr>
          <w:trHeight w:val="243"/>
        </w:trPr>
        <w:tc>
          <w:tcPr>
            <w:tcW w:w="42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560" w:type="dxa"/>
            <w:vAlign w:val="bottom"/>
          </w:tcPr>
          <w:p>
            <w:pPr>
              <w:jc w:val="right"/>
              <w:spacing w:after="0"/>
              <w:rPr>
                <w:sz w:val="20"/>
                <w:szCs w:val="20"/>
                <w:color w:val="auto"/>
              </w:rPr>
            </w:pPr>
            <w:r>
              <w:rPr>
                <w:rFonts w:ascii="Arial" w:cs="Arial" w:eastAsia="Arial" w:hAnsi="Arial"/>
                <w:sz w:val="18"/>
                <w:szCs w:val="18"/>
                <w:color w:val="auto"/>
              </w:rPr>
              <w:t>710,441</w:t>
            </w:r>
          </w:p>
        </w:tc>
        <w:tc>
          <w:tcPr>
            <w:tcW w:w="1000" w:type="dxa"/>
            <w:vAlign w:val="bottom"/>
          </w:tcPr>
          <w:p>
            <w:pPr>
              <w:jc w:val="right"/>
              <w:spacing w:after="0"/>
              <w:rPr>
                <w:sz w:val="20"/>
                <w:szCs w:val="20"/>
                <w:color w:val="auto"/>
              </w:rPr>
            </w:pPr>
            <w:r>
              <w:rPr>
                <w:rFonts w:ascii="Arial" w:cs="Arial" w:eastAsia="Arial" w:hAnsi="Arial"/>
                <w:sz w:val="18"/>
                <w:szCs w:val="18"/>
                <w:color w:val="auto"/>
              </w:rPr>
              <w:t>655,017</w:t>
            </w:r>
          </w:p>
        </w:tc>
        <w:tc>
          <w:tcPr>
            <w:tcW w:w="1020" w:type="dxa"/>
            <w:vAlign w:val="bottom"/>
          </w:tcPr>
          <w:p>
            <w:pPr>
              <w:jc w:val="right"/>
              <w:spacing w:after="0"/>
              <w:rPr>
                <w:sz w:val="20"/>
                <w:szCs w:val="20"/>
                <w:color w:val="auto"/>
              </w:rPr>
            </w:pPr>
            <w:r>
              <w:rPr>
                <w:rFonts w:ascii="Arial" w:cs="Arial" w:eastAsia="Arial" w:hAnsi="Arial"/>
                <w:sz w:val="18"/>
                <w:szCs w:val="18"/>
                <w:color w:val="auto"/>
              </w:rPr>
              <w:t>2,080,430</w:t>
            </w:r>
          </w:p>
        </w:tc>
        <w:tc>
          <w:tcPr>
            <w:tcW w:w="940" w:type="dxa"/>
            <w:vAlign w:val="bottom"/>
          </w:tcPr>
          <w:p>
            <w:pPr>
              <w:jc w:val="right"/>
              <w:spacing w:after="0"/>
              <w:rPr>
                <w:sz w:val="20"/>
                <w:szCs w:val="20"/>
                <w:color w:val="auto"/>
              </w:rPr>
            </w:pPr>
            <w:r>
              <w:rPr>
                <w:rFonts w:ascii="Arial" w:cs="Arial" w:eastAsia="Arial" w:hAnsi="Arial"/>
                <w:sz w:val="18"/>
                <w:szCs w:val="18"/>
                <w:color w:val="auto"/>
              </w:rPr>
              <w:t>1,916,752</w:t>
            </w:r>
          </w:p>
        </w:tc>
      </w:tr>
      <w:tr>
        <w:trPr>
          <w:trHeight w:val="486"/>
        </w:trPr>
        <w:tc>
          <w:tcPr>
            <w:tcW w:w="424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Direct costs</w:t>
            </w:r>
          </w:p>
        </w:tc>
        <w:tc>
          <w:tcPr>
            <w:tcW w:w="1560" w:type="dxa"/>
            <w:vAlign w:val="bottom"/>
          </w:tcPr>
          <w:p>
            <w:pPr>
              <w:jc w:val="right"/>
              <w:spacing w:after="0"/>
              <w:rPr>
                <w:sz w:val="20"/>
                <w:szCs w:val="20"/>
                <w:color w:val="auto"/>
              </w:rPr>
            </w:pPr>
            <w:r>
              <w:rPr>
                <w:rFonts w:ascii="Arial" w:cs="Arial" w:eastAsia="Arial" w:hAnsi="Arial"/>
                <w:sz w:val="18"/>
                <w:szCs w:val="18"/>
                <w:color w:val="auto"/>
              </w:rPr>
              <w:t>(499,791)</w:t>
            </w:r>
          </w:p>
        </w:tc>
        <w:tc>
          <w:tcPr>
            <w:tcW w:w="1000" w:type="dxa"/>
            <w:vAlign w:val="bottom"/>
          </w:tcPr>
          <w:p>
            <w:pPr>
              <w:jc w:val="right"/>
              <w:spacing w:after="0"/>
              <w:rPr>
                <w:sz w:val="20"/>
                <w:szCs w:val="20"/>
                <w:color w:val="auto"/>
              </w:rPr>
            </w:pPr>
            <w:r>
              <w:rPr>
                <w:rFonts w:ascii="Arial" w:cs="Arial" w:eastAsia="Arial" w:hAnsi="Arial"/>
                <w:sz w:val="18"/>
                <w:szCs w:val="18"/>
                <w:color w:val="auto"/>
              </w:rPr>
              <w:t>(459,196)</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(1,465,944)</w:t>
            </w:r>
          </w:p>
        </w:tc>
        <w:tc>
          <w:tcPr>
            <w:tcW w:w="940" w:type="dxa"/>
            <w:vAlign w:val="bottom"/>
          </w:tcPr>
          <w:p>
            <w:pPr>
              <w:jc w:val="right"/>
              <w:spacing w:after="0"/>
              <w:rPr>
                <w:sz w:val="20"/>
                <w:szCs w:val="20"/>
                <w:color w:val="auto"/>
              </w:rPr>
            </w:pPr>
            <w:r>
              <w:rPr>
                <w:rFonts w:ascii="Arial" w:cs="Arial" w:eastAsia="Arial" w:hAnsi="Arial"/>
                <w:sz w:val="18"/>
                <w:szCs w:val="18"/>
                <w:color w:val="auto"/>
                <w:w w:val="97"/>
              </w:rPr>
              <w:t>(1,339,014)</w:t>
            </w: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560" w:type="dxa"/>
            <w:vAlign w:val="bottom"/>
          </w:tcPr>
          <w:p>
            <w:pPr>
              <w:jc w:val="right"/>
              <w:spacing w:after="0"/>
              <w:rPr>
                <w:sz w:val="20"/>
                <w:szCs w:val="20"/>
                <w:color w:val="auto"/>
              </w:rPr>
            </w:pPr>
            <w:r>
              <w:rPr>
                <w:rFonts w:ascii="Arial" w:cs="Arial" w:eastAsia="Arial" w:hAnsi="Arial"/>
                <w:sz w:val="18"/>
                <w:szCs w:val="18"/>
                <w:color w:val="auto"/>
              </w:rPr>
              <w:t>(85,449)</w:t>
            </w:r>
          </w:p>
        </w:tc>
        <w:tc>
          <w:tcPr>
            <w:tcW w:w="1000" w:type="dxa"/>
            <w:vAlign w:val="bottom"/>
          </w:tcPr>
          <w:p>
            <w:pPr>
              <w:jc w:val="right"/>
              <w:spacing w:after="0"/>
              <w:rPr>
                <w:sz w:val="20"/>
                <w:szCs w:val="20"/>
                <w:color w:val="auto"/>
              </w:rPr>
            </w:pPr>
            <w:r>
              <w:rPr>
                <w:rFonts w:ascii="Arial" w:cs="Arial" w:eastAsia="Arial" w:hAnsi="Arial"/>
                <w:sz w:val="18"/>
                <w:szCs w:val="18"/>
                <w:color w:val="auto"/>
              </w:rPr>
              <w:t>(80,819)</w:t>
            </w:r>
          </w:p>
        </w:tc>
        <w:tc>
          <w:tcPr>
            <w:tcW w:w="1020" w:type="dxa"/>
            <w:vAlign w:val="bottom"/>
          </w:tcPr>
          <w:p>
            <w:pPr>
              <w:jc w:val="right"/>
              <w:spacing w:after="0"/>
              <w:rPr>
                <w:sz w:val="20"/>
                <w:szCs w:val="20"/>
                <w:color w:val="auto"/>
              </w:rPr>
            </w:pPr>
            <w:r>
              <w:rPr>
                <w:rFonts w:ascii="Arial" w:cs="Arial" w:eastAsia="Arial" w:hAnsi="Arial"/>
                <w:sz w:val="18"/>
                <w:szCs w:val="18"/>
                <w:color w:val="auto"/>
              </w:rPr>
              <w:t>(250,564)</w:t>
            </w:r>
          </w:p>
        </w:tc>
        <w:tc>
          <w:tcPr>
            <w:tcW w:w="940" w:type="dxa"/>
            <w:vAlign w:val="bottom"/>
          </w:tcPr>
          <w:p>
            <w:pPr>
              <w:jc w:val="right"/>
              <w:spacing w:after="0"/>
              <w:rPr>
                <w:sz w:val="20"/>
                <w:szCs w:val="20"/>
                <w:color w:val="auto"/>
              </w:rPr>
            </w:pPr>
            <w:r>
              <w:rPr>
                <w:rFonts w:ascii="Arial" w:cs="Arial" w:eastAsia="Arial" w:hAnsi="Arial"/>
                <w:sz w:val="18"/>
                <w:szCs w:val="18"/>
                <w:color w:val="auto"/>
              </w:rPr>
              <w:t>(242,670)</w:t>
            </w:r>
          </w:p>
        </w:tc>
      </w:tr>
      <w:tr>
        <w:trPr>
          <w:trHeight w:val="25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(15,157)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(51,006)</w:t>
            </w:r>
          </w:p>
        </w:tc>
      </w:tr>
      <w:tr>
        <w:trPr>
          <w:trHeight w:val="48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(600,397)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(557,077)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(1,762,350)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(1,632,690)</w:t>
            </w:r>
          </w:p>
        </w:tc>
      </w:tr>
      <w:tr>
        <w:trPr>
          <w:trHeight w:val="473"/>
        </w:trPr>
        <w:tc>
          <w:tcPr>
            <w:tcW w:w="42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110,044</w:t>
            </w:r>
          </w:p>
        </w:tc>
        <w:tc>
          <w:tcPr>
            <w:tcW w:w="1000" w:type="dxa"/>
            <w:vAlign w:val="bottom"/>
          </w:tcPr>
          <w:p>
            <w:pPr>
              <w:jc w:val="right"/>
              <w:spacing w:after="0"/>
              <w:rPr>
                <w:sz w:val="20"/>
                <w:szCs w:val="20"/>
                <w:color w:val="auto"/>
              </w:rPr>
            </w:pPr>
            <w:r>
              <w:rPr>
                <w:rFonts w:ascii="Arial" w:cs="Arial" w:eastAsia="Arial" w:hAnsi="Arial"/>
                <w:sz w:val="18"/>
                <w:szCs w:val="18"/>
                <w:color w:val="auto"/>
              </w:rPr>
              <w:t>97,940</w:t>
            </w:r>
          </w:p>
        </w:tc>
        <w:tc>
          <w:tcPr>
            <w:tcW w:w="1020" w:type="dxa"/>
            <w:vAlign w:val="bottom"/>
          </w:tcPr>
          <w:p>
            <w:pPr>
              <w:jc w:val="right"/>
              <w:spacing w:after="0"/>
              <w:rPr>
                <w:sz w:val="20"/>
                <w:szCs w:val="20"/>
                <w:color w:val="auto"/>
              </w:rPr>
            </w:pPr>
            <w:r>
              <w:rPr>
                <w:rFonts w:ascii="Arial" w:cs="Arial" w:eastAsia="Arial" w:hAnsi="Arial"/>
                <w:sz w:val="18"/>
                <w:szCs w:val="18"/>
                <w:color w:val="auto"/>
              </w:rPr>
              <w:t>318,080</w:t>
            </w:r>
          </w:p>
        </w:tc>
        <w:tc>
          <w:tcPr>
            <w:tcW w:w="940" w:type="dxa"/>
            <w:vAlign w:val="bottom"/>
          </w:tcPr>
          <w:p>
            <w:pPr>
              <w:jc w:val="right"/>
              <w:spacing w:after="0"/>
              <w:rPr>
                <w:sz w:val="20"/>
                <w:szCs w:val="20"/>
                <w:color w:val="auto"/>
              </w:rPr>
            </w:pPr>
            <w:r>
              <w:rPr>
                <w:rFonts w:ascii="Arial" w:cs="Arial" w:eastAsia="Arial" w:hAnsi="Arial"/>
                <w:sz w:val="18"/>
                <w:szCs w:val="18"/>
                <w:color w:val="auto"/>
              </w:rPr>
              <w:t>284,062</w:t>
            </w:r>
          </w:p>
        </w:tc>
      </w:tr>
      <w:tr>
        <w:trPr>
          <w:trHeight w:val="49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r>
      <w:tr>
        <w:trPr>
          <w:trHeight w:val="473"/>
        </w:trPr>
        <w:tc>
          <w:tcPr>
            <w:tcW w:w="424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108,503</w:t>
            </w:r>
          </w:p>
        </w:tc>
        <w:tc>
          <w:tcPr>
            <w:tcW w:w="1000" w:type="dxa"/>
            <w:vAlign w:val="bottom"/>
          </w:tcPr>
          <w:p>
            <w:pPr>
              <w:jc w:val="right"/>
              <w:spacing w:after="0"/>
              <w:rPr>
                <w:sz w:val="20"/>
                <w:szCs w:val="20"/>
                <w:color w:val="auto"/>
              </w:rPr>
            </w:pPr>
            <w:r>
              <w:rPr>
                <w:rFonts w:ascii="Arial" w:cs="Arial" w:eastAsia="Arial" w:hAnsi="Arial"/>
                <w:sz w:val="18"/>
                <w:szCs w:val="18"/>
                <w:color w:val="auto"/>
              </w:rPr>
              <w:t>96,053</w:t>
            </w:r>
          </w:p>
        </w:tc>
        <w:tc>
          <w:tcPr>
            <w:tcW w:w="1020" w:type="dxa"/>
            <w:vAlign w:val="bottom"/>
          </w:tcPr>
          <w:p>
            <w:pPr>
              <w:jc w:val="right"/>
              <w:spacing w:after="0"/>
              <w:rPr>
                <w:sz w:val="20"/>
                <w:szCs w:val="20"/>
                <w:color w:val="auto"/>
              </w:rPr>
            </w:pPr>
            <w:r>
              <w:rPr>
                <w:rFonts w:ascii="Arial" w:cs="Arial" w:eastAsia="Arial" w:hAnsi="Arial"/>
                <w:sz w:val="18"/>
                <w:szCs w:val="18"/>
                <w:color w:val="auto"/>
              </w:rPr>
              <w:t>313,511</w:t>
            </w:r>
          </w:p>
        </w:tc>
        <w:tc>
          <w:tcPr>
            <w:tcW w:w="940" w:type="dxa"/>
            <w:vAlign w:val="bottom"/>
          </w:tcPr>
          <w:p>
            <w:pPr>
              <w:jc w:val="right"/>
              <w:spacing w:after="0"/>
              <w:rPr>
                <w:sz w:val="20"/>
                <w:szCs w:val="20"/>
                <w:color w:val="auto"/>
              </w:rPr>
            </w:pPr>
            <w:r>
              <w:rPr>
                <w:rFonts w:ascii="Arial" w:cs="Arial" w:eastAsia="Arial" w:hAnsi="Arial"/>
                <w:sz w:val="18"/>
                <w:szCs w:val="18"/>
                <w:color w:val="auto"/>
              </w:rPr>
              <w:t>276,918</w:t>
            </w:r>
          </w:p>
        </w:tc>
      </w:tr>
      <w:tr>
        <w:trPr>
          <w:trHeight w:val="49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(31,388)</w:t>
            </w:r>
          </w:p>
        </w:tc>
      </w:tr>
      <w:tr>
        <w:trPr>
          <w:trHeight w:val="473"/>
        </w:trPr>
        <w:tc>
          <w:tcPr>
            <w:tcW w:w="42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560" w:type="dxa"/>
            <w:vAlign w:val="bottom"/>
          </w:tcPr>
          <w:p>
            <w:pPr>
              <w:jc w:val="right"/>
              <w:spacing w:after="0"/>
              <w:rPr>
                <w:sz w:val="20"/>
                <w:szCs w:val="20"/>
                <w:color w:val="auto"/>
              </w:rPr>
            </w:pPr>
            <w:r>
              <w:rPr>
                <w:rFonts w:ascii="Arial" w:cs="Arial" w:eastAsia="Arial" w:hAnsi="Arial"/>
                <w:sz w:val="18"/>
                <w:szCs w:val="18"/>
                <w:color w:val="auto"/>
              </w:rPr>
              <w:t>95,483</w:t>
            </w:r>
          </w:p>
        </w:tc>
        <w:tc>
          <w:tcPr>
            <w:tcW w:w="1000" w:type="dxa"/>
            <w:vAlign w:val="bottom"/>
          </w:tcPr>
          <w:p>
            <w:pPr>
              <w:jc w:val="right"/>
              <w:spacing w:after="0"/>
              <w:rPr>
                <w:sz w:val="20"/>
                <w:szCs w:val="20"/>
                <w:color w:val="auto"/>
              </w:rPr>
            </w:pPr>
            <w:r>
              <w:rPr>
                <w:rFonts w:ascii="Arial" w:cs="Arial" w:eastAsia="Arial" w:hAnsi="Arial"/>
                <w:sz w:val="18"/>
                <w:szCs w:val="18"/>
                <w:color w:val="auto"/>
              </w:rPr>
              <w:t>84,527</w:t>
            </w:r>
          </w:p>
        </w:tc>
        <w:tc>
          <w:tcPr>
            <w:tcW w:w="1020" w:type="dxa"/>
            <w:vAlign w:val="bottom"/>
          </w:tcPr>
          <w:p>
            <w:pPr>
              <w:jc w:val="right"/>
              <w:spacing w:after="0"/>
              <w:rPr>
                <w:sz w:val="20"/>
                <w:szCs w:val="20"/>
                <w:color w:val="auto"/>
              </w:rPr>
            </w:pPr>
            <w:r>
              <w:rPr>
                <w:rFonts w:ascii="Arial" w:cs="Arial" w:eastAsia="Arial" w:hAnsi="Arial"/>
                <w:sz w:val="18"/>
                <w:szCs w:val="18"/>
                <w:color w:val="auto"/>
              </w:rPr>
              <w:t>275,995</w:t>
            </w:r>
          </w:p>
        </w:tc>
        <w:tc>
          <w:tcPr>
            <w:tcW w:w="940" w:type="dxa"/>
            <w:vAlign w:val="bottom"/>
          </w:tcPr>
          <w:p>
            <w:pPr>
              <w:jc w:val="right"/>
              <w:spacing w:after="0"/>
              <w:rPr>
                <w:sz w:val="20"/>
                <w:szCs w:val="20"/>
                <w:color w:val="auto"/>
              </w:rPr>
            </w:pPr>
            <w:r>
              <w:rPr>
                <w:rFonts w:ascii="Arial" w:cs="Arial" w:eastAsia="Arial" w:hAnsi="Arial"/>
                <w:sz w:val="18"/>
                <w:szCs w:val="18"/>
                <w:color w:val="auto"/>
              </w:rPr>
              <w:t>245,530</w:t>
            </w:r>
          </w:p>
        </w:tc>
      </w:tr>
      <w:tr>
        <w:trPr>
          <w:trHeight w:val="493"/>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80"/>
        </w:trPr>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274,979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245,530</w:t>
            </w:r>
          </w:p>
        </w:tc>
      </w:tr>
    </w:tbl>
    <w:p>
      <w:pPr>
        <w:spacing w:after="0" w:line="24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Adjusted net income per Ordinary Share attributable to the Group:</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40" w:type="dxa"/>
            <w:vAlign w:val="bottom"/>
          </w:tcPr>
          <w:p>
            <w:pPr>
              <w:spacing w:after="0"/>
              <w:rPr>
                <w:sz w:val="20"/>
                <w:szCs w:val="20"/>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basic (non-GAAP)</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320" w:type="dxa"/>
            <w:vAlign w:val="bottom"/>
          </w:tcPr>
          <w:p>
            <w:pPr>
              <w:spacing w:after="0"/>
              <w:rPr>
                <w:sz w:val="20"/>
                <w:szCs w:val="20"/>
                <w:color w:val="auto"/>
              </w:rPr>
            </w:pPr>
          </w:p>
        </w:tc>
      </w:tr>
      <w:tr>
        <w:trPr>
          <w:trHeight w:val="480"/>
        </w:trPr>
        <w:tc>
          <w:tcPr>
            <w:tcW w:w="134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Adjusted diluted (non-GAAP)</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320" w:type="dxa"/>
            <w:vAlign w:val="bottom"/>
          </w:tcPr>
          <w:p>
            <w:pPr>
              <w:spacing w:after="0"/>
              <w:rPr>
                <w:sz w:val="24"/>
                <w:szCs w:val="24"/>
                <w:color w:val="auto"/>
              </w:rPr>
            </w:pPr>
          </w:p>
        </w:tc>
      </w:tr>
      <w:tr>
        <w:trPr>
          <w:trHeight w:val="473"/>
        </w:trPr>
        <w:tc>
          <w:tcPr>
            <w:tcW w:w="134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w w:val="96"/>
              </w:rPr>
              <w:t>Weighted average number of Ordinary Shares outstanding:</w:t>
            </w:r>
          </w:p>
        </w:tc>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3"/>
        </w:trPr>
        <w:tc>
          <w:tcPr>
            <w:tcW w:w="134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54,004,963</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54,368,656</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53,935,939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54,134,639</w:t>
            </w:r>
          </w:p>
        </w:tc>
        <w:tc>
          <w:tcPr>
            <w:tcW w:w="1320" w:type="dxa"/>
            <w:vAlign w:val="bottom"/>
          </w:tcPr>
          <w:p>
            <w:pPr>
              <w:spacing w:after="0"/>
              <w:rPr>
                <w:sz w:val="24"/>
                <w:szCs w:val="24"/>
                <w:color w:val="auto"/>
              </w:rPr>
            </w:pPr>
          </w:p>
        </w:tc>
      </w:tr>
      <w:tr>
        <w:trPr>
          <w:trHeight w:val="480"/>
        </w:trPr>
        <w:tc>
          <w:tcPr>
            <w:tcW w:w="134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54,550,672</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54,901,404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54,386,066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54,888,151</w:t>
            </w:r>
          </w:p>
        </w:tc>
        <w:tc>
          <w:tcPr>
            <w:tcW w:w="1320" w:type="dxa"/>
            <w:vAlign w:val="bottom"/>
          </w:tcPr>
          <w:p>
            <w:pPr>
              <w:spacing w:after="0"/>
              <w:rPr>
                <w:sz w:val="24"/>
                <w:szCs w:val="24"/>
                <w:color w:val="auto"/>
              </w:rPr>
            </w:pPr>
          </w:p>
        </w:tc>
      </w:tr>
      <w:tr>
        <w:trPr>
          <w:trHeight w:val="912"/>
        </w:trPr>
        <w:tc>
          <w:tcPr>
            <w:tcW w:w="13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(US GAAP)</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and Nine Months ended September 30, 2019 and September 30, 2018</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 except share and per share data)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8"/>
              </w:rPr>
              <w:t>Three Months Ended</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Nine Months Ended</w:t>
            </w:r>
          </w:p>
        </w:tc>
        <w:tc>
          <w:tcPr>
            <w:tcW w:w="1360" w:type="dxa"/>
            <w:vAlign w:val="bottom"/>
          </w:tcPr>
          <w:p>
            <w:pPr>
              <w:spacing w:after="0"/>
              <w:rPr>
                <w:sz w:val="20"/>
                <w:szCs w:val="20"/>
                <w:color w:val="auto"/>
              </w:rPr>
            </w:pPr>
          </w:p>
        </w:tc>
      </w:tr>
      <w:tr>
        <w:trPr>
          <w:trHeight w:val="243"/>
        </w:trPr>
        <w:tc>
          <w:tcPr>
            <w:tcW w:w="13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September</w:t>
            </w: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September</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September</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4"/>
              </w:rPr>
              <w:t>September</w:t>
            </w: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Arial" w:cs="Arial" w:eastAsia="Arial" w:hAnsi="Arial"/>
                <w:sz w:val="18"/>
                <w:szCs w:val="18"/>
                <w:b w:val="1"/>
                <w:bCs w:val="1"/>
                <w:color w:val="auto"/>
              </w:rPr>
              <w:t>30, 2019</w:t>
            </w: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30, 2018</w:t>
            </w: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30, 2019</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30, 2018</w:t>
            </w: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tcPr>
          <w:p>
            <w:pPr>
              <w:jc w:val="right"/>
              <w:spacing w:after="0"/>
              <w:rPr>
                <w:sz w:val="20"/>
                <w:szCs w:val="20"/>
                <w:color w:val="auto"/>
              </w:rPr>
            </w:pPr>
            <w:r>
              <w:rPr>
                <w:rFonts w:ascii="Arial" w:cs="Arial" w:eastAsia="Arial" w:hAnsi="Arial"/>
                <w:sz w:val="18"/>
                <w:szCs w:val="18"/>
                <w:color w:val="auto"/>
              </w:rPr>
              <w:t>710,441</w:t>
            </w:r>
          </w:p>
        </w:tc>
        <w:tc>
          <w:tcPr>
            <w:tcW w:w="1000" w:type="dxa"/>
            <w:vAlign w:val="bottom"/>
          </w:tcPr>
          <w:p>
            <w:pPr>
              <w:jc w:val="right"/>
              <w:spacing w:after="0"/>
              <w:rPr>
                <w:sz w:val="20"/>
                <w:szCs w:val="20"/>
                <w:color w:val="auto"/>
              </w:rPr>
            </w:pPr>
            <w:r>
              <w:rPr>
                <w:rFonts w:ascii="Arial" w:cs="Arial" w:eastAsia="Arial" w:hAnsi="Arial"/>
                <w:sz w:val="18"/>
                <w:szCs w:val="18"/>
                <w:color w:val="auto"/>
              </w:rPr>
              <w:t>655,017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2,080,430</w:t>
            </w:r>
          </w:p>
        </w:tc>
        <w:tc>
          <w:tcPr>
            <w:tcW w:w="920" w:type="dxa"/>
            <w:vAlign w:val="bottom"/>
          </w:tcPr>
          <w:p>
            <w:pPr>
              <w:jc w:val="right"/>
              <w:spacing w:after="0"/>
              <w:rPr>
                <w:sz w:val="20"/>
                <w:szCs w:val="20"/>
                <w:color w:val="auto"/>
              </w:rPr>
            </w:pPr>
            <w:r>
              <w:rPr>
                <w:rFonts w:ascii="Arial" w:cs="Arial" w:eastAsia="Arial" w:hAnsi="Arial"/>
                <w:sz w:val="18"/>
                <w:szCs w:val="18"/>
                <w:color w:val="auto"/>
              </w:rPr>
              <w:t>1,916,752</w:t>
            </w:r>
          </w:p>
        </w:tc>
        <w:tc>
          <w:tcPr>
            <w:tcW w:w="1360" w:type="dxa"/>
            <w:vAlign w:val="bottom"/>
          </w:tcPr>
          <w:p>
            <w:pPr>
              <w:spacing w:after="0"/>
              <w:rPr>
                <w:sz w:val="21"/>
                <w:szCs w:val="21"/>
                <w:color w:val="auto"/>
              </w:rPr>
            </w:pPr>
          </w:p>
        </w:tc>
      </w:tr>
      <w:tr>
        <w:trPr>
          <w:trHeight w:val="486"/>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3"/>
        </w:trPr>
        <w:tc>
          <w:tcPr>
            <w:tcW w:w="13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 costs</w:t>
            </w:r>
          </w:p>
        </w:tc>
        <w:tc>
          <w:tcPr>
            <w:tcW w:w="980" w:type="dxa"/>
            <w:vAlign w:val="bottom"/>
          </w:tcPr>
          <w:p>
            <w:pPr>
              <w:jc w:val="right"/>
              <w:spacing w:after="0"/>
              <w:rPr>
                <w:sz w:val="20"/>
                <w:szCs w:val="20"/>
                <w:color w:val="auto"/>
              </w:rPr>
            </w:pPr>
            <w:r>
              <w:rPr>
                <w:rFonts w:ascii="Arial" w:cs="Arial" w:eastAsia="Arial" w:hAnsi="Arial"/>
                <w:sz w:val="18"/>
                <w:szCs w:val="18"/>
                <w:color w:val="auto"/>
              </w:rPr>
              <w:t>(499,791)</w:t>
            </w:r>
          </w:p>
        </w:tc>
        <w:tc>
          <w:tcPr>
            <w:tcW w:w="1000" w:type="dxa"/>
            <w:vAlign w:val="bottom"/>
          </w:tcPr>
          <w:p>
            <w:pPr>
              <w:jc w:val="right"/>
              <w:spacing w:after="0"/>
              <w:rPr>
                <w:sz w:val="20"/>
                <w:szCs w:val="20"/>
                <w:color w:val="auto"/>
              </w:rPr>
            </w:pPr>
            <w:r>
              <w:rPr>
                <w:rFonts w:ascii="Arial" w:cs="Arial" w:eastAsia="Arial" w:hAnsi="Arial"/>
                <w:sz w:val="18"/>
                <w:szCs w:val="18"/>
                <w:color w:val="auto"/>
              </w:rPr>
              <w:t>(459,196)</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7"/>
              </w:rPr>
              <w:t>(1,465,944)</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(1,339,014)</w:t>
            </w: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980" w:type="dxa"/>
            <w:vAlign w:val="bottom"/>
          </w:tcPr>
          <w:p>
            <w:pPr>
              <w:jc w:val="right"/>
              <w:spacing w:after="0"/>
              <w:rPr>
                <w:sz w:val="20"/>
                <w:szCs w:val="20"/>
                <w:color w:val="auto"/>
              </w:rPr>
            </w:pPr>
            <w:r>
              <w:rPr>
                <w:rFonts w:ascii="Arial" w:cs="Arial" w:eastAsia="Arial" w:hAnsi="Arial"/>
                <w:sz w:val="18"/>
                <w:szCs w:val="18"/>
                <w:color w:val="auto"/>
              </w:rPr>
              <w:t>(85,449)</w:t>
            </w:r>
          </w:p>
        </w:tc>
        <w:tc>
          <w:tcPr>
            <w:tcW w:w="1000" w:type="dxa"/>
            <w:vAlign w:val="bottom"/>
          </w:tcPr>
          <w:p>
            <w:pPr>
              <w:jc w:val="right"/>
              <w:spacing w:after="0"/>
              <w:rPr>
                <w:sz w:val="20"/>
                <w:szCs w:val="20"/>
                <w:color w:val="auto"/>
              </w:rPr>
            </w:pPr>
            <w:r>
              <w:rPr>
                <w:rFonts w:ascii="Arial" w:cs="Arial" w:eastAsia="Arial" w:hAnsi="Arial"/>
                <w:sz w:val="18"/>
                <w:szCs w:val="18"/>
                <w:color w:val="auto"/>
              </w:rPr>
              <w:t>(80,819)</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(250,564)</w:t>
            </w:r>
          </w:p>
        </w:tc>
        <w:tc>
          <w:tcPr>
            <w:tcW w:w="920" w:type="dxa"/>
            <w:vAlign w:val="bottom"/>
          </w:tcPr>
          <w:p>
            <w:pPr>
              <w:jc w:val="right"/>
              <w:spacing w:after="0"/>
              <w:rPr>
                <w:sz w:val="20"/>
                <w:szCs w:val="20"/>
                <w:color w:val="auto"/>
              </w:rPr>
            </w:pPr>
            <w:r>
              <w:rPr>
                <w:rFonts w:ascii="Arial" w:cs="Arial" w:eastAsia="Arial" w:hAnsi="Arial"/>
                <w:sz w:val="18"/>
                <w:szCs w:val="18"/>
                <w:color w:val="auto"/>
              </w:rPr>
              <w:t>(242,670)</w:t>
            </w:r>
          </w:p>
        </w:tc>
        <w:tc>
          <w:tcPr>
            <w:tcW w:w="1360" w:type="dxa"/>
            <w:vAlign w:val="bottom"/>
          </w:tcPr>
          <w:p>
            <w:pPr>
              <w:spacing w:after="0"/>
              <w:rPr>
                <w:sz w:val="21"/>
                <w:szCs w:val="21"/>
                <w:color w:val="auto"/>
              </w:rPr>
            </w:pPr>
          </w:p>
        </w:tc>
      </w:tr>
      <w:tr>
        <w:trPr>
          <w:trHeight w:val="243"/>
        </w:trPr>
        <w:tc>
          <w:tcPr>
            <w:tcW w:w="1360" w:type="dxa"/>
            <w:vAlign w:val="bottom"/>
          </w:tcPr>
          <w:p>
            <w:pPr>
              <w:spacing w:after="0"/>
              <w:rPr>
                <w:sz w:val="21"/>
                <w:szCs w:val="21"/>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jc w:val="right"/>
              <w:spacing w:after="0"/>
              <w:rPr>
                <w:sz w:val="20"/>
                <w:szCs w:val="20"/>
                <w:color w:val="auto"/>
              </w:rPr>
            </w:pPr>
            <w:r>
              <w:rPr>
                <w:rFonts w:ascii="Arial" w:cs="Arial" w:eastAsia="Arial" w:hAnsi="Arial"/>
                <w:sz w:val="18"/>
                <w:szCs w:val="18"/>
                <w:color w:val="auto"/>
              </w:rPr>
              <w:t>(15,157)</w:t>
            </w:r>
          </w:p>
        </w:tc>
        <w:tc>
          <w:tcPr>
            <w:tcW w:w="1000" w:type="dxa"/>
            <w:vAlign w:val="bottom"/>
          </w:tcPr>
          <w:p>
            <w:pPr>
              <w:jc w:val="right"/>
              <w:spacing w:after="0"/>
              <w:rPr>
                <w:sz w:val="20"/>
                <w:szCs w:val="20"/>
                <w:color w:val="auto"/>
              </w:rPr>
            </w:pPr>
            <w:r>
              <w:rPr>
                <w:rFonts w:ascii="Arial" w:cs="Arial" w:eastAsia="Arial" w:hAnsi="Arial"/>
                <w:sz w:val="18"/>
                <w:szCs w:val="18"/>
                <w:color w:val="auto"/>
              </w:rPr>
              <w:t>(17,062)</w:t>
            </w:r>
          </w:p>
        </w:tc>
        <w:tc>
          <w:tcPr>
            <w:tcW w:w="1020" w:type="dxa"/>
            <w:vAlign w:val="bottom"/>
          </w:tcPr>
          <w:p>
            <w:pPr>
              <w:jc w:val="right"/>
              <w:spacing w:after="0"/>
              <w:rPr>
                <w:sz w:val="20"/>
                <w:szCs w:val="20"/>
                <w:color w:val="auto"/>
              </w:rPr>
            </w:pPr>
            <w:r>
              <w:rPr>
                <w:rFonts w:ascii="Arial" w:cs="Arial" w:eastAsia="Arial" w:hAnsi="Arial"/>
                <w:sz w:val="18"/>
                <w:szCs w:val="18"/>
                <w:color w:val="auto"/>
              </w:rPr>
              <w:t>(45,842)</w:t>
            </w:r>
          </w:p>
        </w:tc>
        <w:tc>
          <w:tcPr>
            <w:tcW w:w="920" w:type="dxa"/>
            <w:vAlign w:val="bottom"/>
          </w:tcPr>
          <w:p>
            <w:pPr>
              <w:jc w:val="right"/>
              <w:spacing w:after="0"/>
              <w:rPr>
                <w:sz w:val="20"/>
                <w:szCs w:val="20"/>
                <w:color w:val="auto"/>
              </w:rPr>
            </w:pPr>
            <w:r>
              <w:rPr>
                <w:rFonts w:ascii="Arial" w:cs="Arial" w:eastAsia="Arial" w:hAnsi="Arial"/>
                <w:sz w:val="18"/>
                <w:szCs w:val="18"/>
                <w:color w:val="auto"/>
              </w:rPr>
              <w:t>(51,006)</w:t>
            </w:r>
          </w:p>
        </w:tc>
        <w:tc>
          <w:tcPr>
            <w:tcW w:w="1360" w:type="dxa"/>
            <w:vAlign w:val="bottom"/>
          </w:tcPr>
          <w:p>
            <w:pPr>
              <w:spacing w:after="0"/>
              <w:rPr>
                <w:sz w:val="21"/>
                <w:szCs w:val="21"/>
                <w:color w:val="auto"/>
              </w:rPr>
            </w:pPr>
          </w:p>
        </w:tc>
      </w:tr>
      <w:tr>
        <w:trPr>
          <w:trHeight w:val="250"/>
        </w:trPr>
        <w:tc>
          <w:tcPr>
            <w:tcW w:w="1360" w:type="dxa"/>
            <w:vAlign w:val="bottom"/>
          </w:tcPr>
          <w:p>
            <w:pPr>
              <w:spacing w:after="0"/>
              <w:rPr>
                <w:sz w:val="21"/>
                <w:szCs w:val="21"/>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Restructuring costs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(12,490)</w:t>
            </w:r>
          </w:p>
        </w:tc>
        <w:tc>
          <w:tcPr>
            <w:tcW w:w="1360" w:type="dxa"/>
            <w:vAlign w:val="bottom"/>
          </w:tcPr>
          <w:p>
            <w:pPr>
              <w:spacing w:after="0"/>
              <w:rPr>
                <w:sz w:val="21"/>
                <w:szCs w:val="21"/>
                <w:color w:val="auto"/>
              </w:rPr>
            </w:pPr>
          </w:p>
        </w:tc>
      </w:tr>
      <w:tr>
        <w:trPr>
          <w:trHeight w:val="480"/>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costs and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(600,397)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(557,077)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(1,762,350)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(1,645,180)</w:t>
            </w:r>
          </w:p>
        </w:tc>
        <w:tc>
          <w:tcPr>
            <w:tcW w:w="136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tcPr>
          <w:p>
            <w:pPr>
              <w:jc w:val="right"/>
              <w:spacing w:after="0"/>
              <w:rPr>
                <w:sz w:val="20"/>
                <w:szCs w:val="20"/>
                <w:color w:val="auto"/>
              </w:rPr>
            </w:pPr>
            <w:r>
              <w:rPr>
                <w:rFonts w:ascii="Arial" w:cs="Arial" w:eastAsia="Arial" w:hAnsi="Arial"/>
                <w:sz w:val="18"/>
                <w:szCs w:val="18"/>
                <w:color w:val="auto"/>
              </w:rPr>
              <w:t>110,044</w:t>
            </w:r>
          </w:p>
        </w:tc>
        <w:tc>
          <w:tcPr>
            <w:tcW w:w="1000" w:type="dxa"/>
            <w:vAlign w:val="bottom"/>
          </w:tcPr>
          <w:p>
            <w:pPr>
              <w:jc w:val="right"/>
              <w:spacing w:after="0"/>
              <w:rPr>
                <w:sz w:val="20"/>
                <w:szCs w:val="20"/>
                <w:color w:val="auto"/>
              </w:rPr>
            </w:pPr>
            <w:r>
              <w:rPr>
                <w:rFonts w:ascii="Arial" w:cs="Arial" w:eastAsia="Arial" w:hAnsi="Arial"/>
                <w:sz w:val="18"/>
                <w:szCs w:val="18"/>
                <w:color w:val="auto"/>
              </w:rPr>
              <w:t>97,940</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318,080</w:t>
            </w:r>
          </w:p>
        </w:tc>
        <w:tc>
          <w:tcPr>
            <w:tcW w:w="920" w:type="dxa"/>
            <w:vAlign w:val="bottom"/>
          </w:tcPr>
          <w:p>
            <w:pPr>
              <w:jc w:val="right"/>
              <w:spacing w:after="0"/>
              <w:rPr>
                <w:sz w:val="20"/>
                <w:szCs w:val="20"/>
                <w:color w:val="auto"/>
              </w:rPr>
            </w:pPr>
            <w:r>
              <w:rPr>
                <w:rFonts w:ascii="Arial" w:cs="Arial" w:eastAsia="Arial" w:hAnsi="Arial"/>
                <w:sz w:val="18"/>
                <w:szCs w:val="18"/>
                <w:color w:val="auto"/>
              </w:rPr>
              <w:t>271,572</w:t>
            </w:r>
          </w:p>
        </w:tc>
        <w:tc>
          <w:tcPr>
            <w:tcW w:w="136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interest expense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36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980" w:type="dxa"/>
            <w:vAlign w:val="bottom"/>
          </w:tcPr>
          <w:p>
            <w:pPr>
              <w:jc w:val="right"/>
              <w:spacing w:after="0"/>
              <w:rPr>
                <w:sz w:val="20"/>
                <w:szCs w:val="20"/>
                <w:color w:val="auto"/>
              </w:rPr>
            </w:pPr>
            <w:r>
              <w:rPr>
                <w:rFonts w:ascii="Arial" w:cs="Arial" w:eastAsia="Arial" w:hAnsi="Arial"/>
                <w:sz w:val="18"/>
                <w:szCs w:val="18"/>
                <w:color w:val="auto"/>
              </w:rPr>
              <w:t>108,503</w:t>
            </w:r>
          </w:p>
        </w:tc>
        <w:tc>
          <w:tcPr>
            <w:tcW w:w="1000" w:type="dxa"/>
            <w:vAlign w:val="bottom"/>
          </w:tcPr>
          <w:p>
            <w:pPr>
              <w:jc w:val="right"/>
              <w:spacing w:after="0"/>
              <w:rPr>
                <w:sz w:val="20"/>
                <w:szCs w:val="20"/>
                <w:color w:val="auto"/>
              </w:rPr>
            </w:pPr>
            <w:r>
              <w:rPr>
                <w:rFonts w:ascii="Arial" w:cs="Arial" w:eastAsia="Arial" w:hAnsi="Arial"/>
                <w:sz w:val="18"/>
                <w:szCs w:val="18"/>
                <w:color w:val="auto"/>
              </w:rPr>
              <w:t>96,053</w:t>
            </w:r>
          </w:p>
        </w:tc>
        <w:tc>
          <w:tcPr>
            <w:tcW w:w="1020" w:type="dxa"/>
            <w:vAlign w:val="bottom"/>
          </w:tcPr>
          <w:p>
            <w:pPr>
              <w:jc w:val="right"/>
              <w:spacing w:after="0"/>
              <w:rPr>
                <w:sz w:val="20"/>
                <w:szCs w:val="20"/>
                <w:color w:val="auto"/>
              </w:rPr>
            </w:pPr>
            <w:r>
              <w:rPr>
                <w:rFonts w:ascii="Arial" w:cs="Arial" w:eastAsia="Arial" w:hAnsi="Arial"/>
                <w:sz w:val="18"/>
                <w:szCs w:val="18"/>
                <w:color w:val="auto"/>
              </w:rPr>
              <w:t>313,511</w:t>
            </w:r>
          </w:p>
        </w:tc>
        <w:tc>
          <w:tcPr>
            <w:tcW w:w="920" w:type="dxa"/>
            <w:vAlign w:val="bottom"/>
          </w:tcPr>
          <w:p>
            <w:pPr>
              <w:jc w:val="right"/>
              <w:spacing w:after="0"/>
              <w:rPr>
                <w:sz w:val="20"/>
                <w:szCs w:val="20"/>
                <w:color w:val="auto"/>
              </w:rPr>
            </w:pPr>
            <w:r>
              <w:rPr>
                <w:rFonts w:ascii="Arial" w:cs="Arial" w:eastAsia="Arial" w:hAnsi="Arial"/>
                <w:sz w:val="18"/>
                <w:szCs w:val="18"/>
                <w:color w:val="auto"/>
              </w:rPr>
              <w:t>264,428</w:t>
            </w:r>
          </w:p>
        </w:tc>
        <w:tc>
          <w:tcPr>
            <w:tcW w:w="136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(29,935)</w:t>
            </w:r>
          </w:p>
        </w:tc>
        <w:tc>
          <w:tcPr>
            <w:tcW w:w="136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95,483</w:t>
            </w:r>
          </w:p>
        </w:tc>
        <w:tc>
          <w:tcPr>
            <w:tcW w:w="1000" w:type="dxa"/>
            <w:vAlign w:val="bottom"/>
          </w:tcPr>
          <w:p>
            <w:pPr>
              <w:jc w:val="right"/>
              <w:spacing w:after="0"/>
              <w:rPr>
                <w:sz w:val="20"/>
                <w:szCs w:val="20"/>
                <w:color w:val="auto"/>
              </w:rPr>
            </w:pPr>
            <w:r>
              <w:rPr>
                <w:rFonts w:ascii="Arial" w:cs="Arial" w:eastAsia="Arial" w:hAnsi="Arial"/>
                <w:sz w:val="18"/>
                <w:szCs w:val="18"/>
                <w:color w:val="auto"/>
              </w:rPr>
              <w:t>84,527</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275,995</w:t>
            </w:r>
          </w:p>
        </w:tc>
        <w:tc>
          <w:tcPr>
            <w:tcW w:w="920" w:type="dxa"/>
            <w:vAlign w:val="bottom"/>
          </w:tcPr>
          <w:p>
            <w:pPr>
              <w:jc w:val="right"/>
              <w:spacing w:after="0"/>
              <w:rPr>
                <w:sz w:val="20"/>
                <w:szCs w:val="20"/>
                <w:color w:val="auto"/>
              </w:rPr>
            </w:pPr>
            <w:r>
              <w:rPr>
                <w:rFonts w:ascii="Arial" w:cs="Arial" w:eastAsia="Arial" w:hAnsi="Arial"/>
                <w:sz w:val="18"/>
                <w:szCs w:val="18"/>
                <w:color w:val="auto"/>
              </w:rPr>
              <w:t>234,493</w:t>
            </w:r>
          </w:p>
        </w:tc>
        <w:tc>
          <w:tcPr>
            <w:tcW w:w="136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Group</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94,825</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84,527</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274,979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234,493</w:t>
            </w:r>
          </w:p>
        </w:tc>
        <w:tc>
          <w:tcPr>
            <w:tcW w:w="136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 per Ordinary Share attributable to the Group:</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36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36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1"/>
              </w:rPr>
              <w:t>Adjusted net income per Ordinary Share attributable to the Group</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36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1360" w:type="dxa"/>
            <w:vAlign w:val="bottom"/>
          </w:tcPr>
          <w:p>
            <w:pPr>
              <w:spacing w:after="0"/>
              <w:rPr>
                <w:sz w:val="24"/>
                <w:szCs w:val="24"/>
                <w:color w:val="auto"/>
              </w:rPr>
            </w:pPr>
          </w:p>
        </w:tc>
      </w:tr>
      <w:tr>
        <w:trPr>
          <w:trHeight w:val="473"/>
        </w:trPr>
        <w:tc>
          <w:tcPr>
            <w:tcW w:w="136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3"/>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54,004,963</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54,368,656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53,935,939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54,134,639</w:t>
            </w:r>
          </w:p>
        </w:tc>
        <w:tc>
          <w:tcPr>
            <w:tcW w:w="1360" w:type="dxa"/>
            <w:vAlign w:val="bottom"/>
          </w:tcPr>
          <w:p>
            <w:pPr>
              <w:spacing w:after="0"/>
              <w:rPr>
                <w:sz w:val="24"/>
                <w:szCs w:val="24"/>
                <w:color w:val="auto"/>
              </w:rPr>
            </w:pPr>
          </w:p>
        </w:tc>
      </w:tr>
      <w:tr>
        <w:trPr>
          <w:trHeight w:val="480"/>
        </w:trPr>
        <w:tc>
          <w:tcPr>
            <w:tcW w:w="136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54,550,672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54,901,404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54,386,066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54,888,151</w:t>
            </w:r>
          </w:p>
        </w:tc>
        <w:tc>
          <w:tcPr>
            <w:tcW w:w="1360" w:type="dxa"/>
            <w:vAlign w:val="bottom"/>
          </w:tcPr>
          <w:p>
            <w:pPr>
              <w:spacing w:after="0"/>
              <w:rPr>
                <w:sz w:val="24"/>
                <w:szCs w:val="24"/>
                <w:color w:val="auto"/>
              </w:rPr>
            </w:pPr>
          </w:p>
        </w:tc>
      </w:tr>
      <w:tr>
        <w:trPr>
          <w:trHeight w:val="426"/>
        </w:trPr>
        <w:tc>
          <w:tcPr>
            <w:tcW w:w="136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7" w:right="239" w:bottom="1440" w:gutter="0" w:footer="0" w:header="0"/>
        </w:sectPr>
      </w:pPr>
    </w:p>
    <w:bookmarkStart w:id="8" w:name="page9"/>
    <w:bookmarkEnd w:id="8"/>
    <w:p>
      <w:pPr>
        <w:jc w:val="center"/>
        <w:ind w:right="-1200"/>
        <w:spacing w:after="0"/>
        <w:rPr>
          <w:sz w:val="20"/>
          <w:szCs w:val="20"/>
          <w:color w:val="auto"/>
        </w:rPr>
      </w:pPr>
      <w:r>
        <w:rPr>
          <w:rFonts w:ascii="Arial" w:cs="Arial" w:eastAsia="Arial" w:hAnsi="Arial"/>
          <w:sz w:val="22"/>
          <w:szCs w:val="22"/>
          <w:b w:val="1"/>
          <w:bCs w:val="1"/>
          <w:color w:val="auto"/>
        </w:rPr>
        <w:t>ICON plc</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Summary Balance Sheet Data</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September 30, 2019 and June 30, 2019</w:t>
      </w:r>
    </w:p>
    <w:p>
      <w:pPr>
        <w:spacing w:after="0" w:line="2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(Dollars, in thousands)</w:t>
      </w:r>
    </w:p>
    <w:p>
      <w:pPr>
        <w:spacing w:after="0" w:line="229" w:lineRule="exact"/>
        <w:rPr>
          <w:sz w:val="20"/>
          <w:szCs w:val="20"/>
          <w:color w:val="auto"/>
        </w:rPr>
      </w:pPr>
    </w:p>
    <w:tbl>
      <w:tblPr>
        <w:tblLayout w:type="fixed"/>
        <w:tblInd w:w="332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June 30,</w:t>
            </w:r>
          </w:p>
        </w:tc>
      </w:tr>
      <w:tr>
        <w:trPr>
          <w:trHeight w:val="243"/>
        </w:trPr>
        <w:tc>
          <w:tcPr>
            <w:tcW w:w="24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89"/>
              </w:rPr>
              <w:t>2019</w:t>
            </w:r>
          </w:p>
        </w:tc>
      </w:tr>
      <w:tr>
        <w:trPr>
          <w:trHeight w:val="243"/>
        </w:trPr>
        <w:tc>
          <w:tcPr>
            <w:tcW w:w="24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r>
      <w:tr>
        <w:trPr>
          <w:trHeight w:val="729"/>
        </w:trPr>
        <w:tc>
          <w:tcPr>
            <w:tcW w:w="2460" w:type="dxa"/>
            <w:vAlign w:val="bottom"/>
          </w:tcPr>
          <w:p>
            <w:pPr>
              <w:spacing w:after="0"/>
              <w:rPr>
                <w:sz w:val="20"/>
                <w:szCs w:val="20"/>
                <w:color w:val="auto"/>
              </w:rPr>
            </w:pPr>
            <w:r>
              <w:rPr>
                <w:rFonts w:ascii="Arial" w:cs="Arial" w:eastAsia="Arial" w:hAnsi="Arial"/>
                <w:sz w:val="18"/>
                <w:szCs w:val="18"/>
                <w:color w:val="auto"/>
                <w:w w:val="92"/>
              </w:rPr>
              <w:t>Cash and short-term investments</w:t>
            </w:r>
          </w:p>
        </w:tc>
        <w:tc>
          <w:tcPr>
            <w:tcW w:w="1300" w:type="dxa"/>
            <w:vAlign w:val="bottom"/>
          </w:tcPr>
          <w:p>
            <w:pPr>
              <w:jc w:val="right"/>
              <w:spacing w:after="0"/>
              <w:rPr>
                <w:sz w:val="20"/>
                <w:szCs w:val="20"/>
                <w:color w:val="auto"/>
              </w:rPr>
            </w:pPr>
            <w:r>
              <w:rPr>
                <w:rFonts w:ascii="Arial" w:cs="Arial" w:eastAsia="Arial" w:hAnsi="Arial"/>
                <w:sz w:val="18"/>
                <w:szCs w:val="18"/>
                <w:color w:val="auto"/>
              </w:rPr>
              <w:t>471,240</w:t>
            </w:r>
          </w:p>
        </w:tc>
        <w:tc>
          <w:tcPr>
            <w:tcW w:w="1020" w:type="dxa"/>
            <w:vAlign w:val="bottom"/>
          </w:tcPr>
          <w:p>
            <w:pPr>
              <w:jc w:val="right"/>
              <w:spacing w:after="0"/>
              <w:rPr>
                <w:sz w:val="20"/>
                <w:szCs w:val="20"/>
                <w:color w:val="auto"/>
              </w:rPr>
            </w:pPr>
            <w:r>
              <w:rPr>
                <w:rFonts w:ascii="Arial" w:cs="Arial" w:eastAsia="Arial" w:hAnsi="Arial"/>
                <w:sz w:val="18"/>
                <w:szCs w:val="18"/>
                <w:color w:val="auto"/>
              </w:rPr>
              <w:t>431,279</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Debt</w:t>
            </w:r>
          </w:p>
        </w:tc>
        <w:tc>
          <w:tcPr>
            <w:tcW w:w="1300" w:type="dxa"/>
            <w:vAlign w:val="bottom"/>
          </w:tcPr>
          <w:p>
            <w:pPr>
              <w:jc w:val="right"/>
              <w:spacing w:after="0"/>
              <w:rPr>
                <w:sz w:val="20"/>
                <w:szCs w:val="20"/>
                <w:color w:val="auto"/>
              </w:rPr>
            </w:pPr>
            <w:r>
              <w:rPr>
                <w:rFonts w:ascii="Arial" w:cs="Arial" w:eastAsia="Arial" w:hAnsi="Arial"/>
                <w:sz w:val="18"/>
                <w:szCs w:val="18"/>
                <w:color w:val="auto"/>
              </w:rPr>
              <w:t>(349,542)</w:t>
            </w:r>
          </w:p>
        </w:tc>
        <w:tc>
          <w:tcPr>
            <w:tcW w:w="1020" w:type="dxa"/>
            <w:vAlign w:val="bottom"/>
          </w:tcPr>
          <w:p>
            <w:pPr>
              <w:jc w:val="right"/>
              <w:spacing w:after="0"/>
              <w:rPr>
                <w:sz w:val="20"/>
                <w:szCs w:val="20"/>
                <w:color w:val="auto"/>
              </w:rPr>
            </w:pPr>
            <w:r>
              <w:rPr>
                <w:rFonts w:ascii="Arial" w:cs="Arial" w:eastAsia="Arial" w:hAnsi="Arial"/>
                <w:sz w:val="18"/>
                <w:szCs w:val="18"/>
                <w:color w:val="auto"/>
              </w:rPr>
              <w:t>(349,451)</w:t>
            </w:r>
          </w:p>
        </w:tc>
      </w:tr>
      <w:tr>
        <w:trPr>
          <w:trHeight w:val="243"/>
        </w:trPr>
        <w:tc>
          <w:tcPr>
            <w:tcW w:w="2460" w:type="dxa"/>
            <w:vAlign w:val="bottom"/>
          </w:tcPr>
          <w:p>
            <w:pPr>
              <w:spacing w:after="0"/>
              <w:rPr>
                <w:sz w:val="20"/>
                <w:szCs w:val="20"/>
                <w:color w:val="auto"/>
              </w:rPr>
            </w:pPr>
            <w:r>
              <w:rPr>
                <w:rFonts w:ascii="Arial" w:cs="Arial" w:eastAsia="Arial" w:hAnsi="Arial"/>
                <w:sz w:val="18"/>
                <w:szCs w:val="18"/>
                <w:color w:val="auto"/>
              </w:rPr>
              <w:t>Net cash/(debt)</w:t>
            </w:r>
          </w:p>
        </w:tc>
        <w:tc>
          <w:tcPr>
            <w:tcW w:w="1300" w:type="dxa"/>
            <w:vAlign w:val="bottom"/>
          </w:tcPr>
          <w:p>
            <w:pPr>
              <w:jc w:val="right"/>
              <w:spacing w:after="0"/>
              <w:rPr>
                <w:sz w:val="20"/>
                <w:szCs w:val="20"/>
                <w:color w:val="auto"/>
              </w:rPr>
            </w:pPr>
            <w:r>
              <w:rPr>
                <w:rFonts w:ascii="Arial" w:cs="Arial" w:eastAsia="Arial" w:hAnsi="Arial"/>
                <w:sz w:val="18"/>
                <w:szCs w:val="18"/>
                <w:color w:val="auto"/>
              </w:rPr>
              <w:t>121,698</w:t>
            </w:r>
          </w:p>
        </w:tc>
        <w:tc>
          <w:tcPr>
            <w:tcW w:w="1020" w:type="dxa"/>
            <w:vAlign w:val="bottom"/>
          </w:tcPr>
          <w:p>
            <w:pPr>
              <w:jc w:val="right"/>
              <w:spacing w:after="0"/>
              <w:rPr>
                <w:sz w:val="20"/>
                <w:szCs w:val="20"/>
                <w:color w:val="auto"/>
              </w:rPr>
            </w:pPr>
            <w:r>
              <w:rPr>
                <w:rFonts w:ascii="Arial" w:cs="Arial" w:eastAsia="Arial" w:hAnsi="Arial"/>
                <w:sz w:val="18"/>
                <w:szCs w:val="18"/>
                <w:color w:val="auto"/>
              </w:rPr>
              <w:t>81,828</w:t>
            </w:r>
          </w:p>
        </w:tc>
      </w:tr>
      <w:tr>
        <w:trPr>
          <w:trHeight w:val="486"/>
        </w:trPr>
        <w:tc>
          <w:tcPr>
            <w:tcW w:w="2460" w:type="dxa"/>
            <w:vAlign w:val="bottom"/>
          </w:tcPr>
          <w:p>
            <w:pPr>
              <w:spacing w:after="0"/>
              <w:rPr>
                <w:sz w:val="20"/>
                <w:szCs w:val="20"/>
                <w:color w:val="auto"/>
              </w:rPr>
            </w:pPr>
            <w:r>
              <w:rPr>
                <w:rFonts w:ascii="Arial" w:cs="Arial" w:eastAsia="Arial" w:hAnsi="Arial"/>
                <w:sz w:val="18"/>
                <w:szCs w:val="18"/>
                <w:color w:val="auto"/>
              </w:rPr>
              <w:t>Net Accounts Receivable</w:t>
            </w:r>
          </w:p>
        </w:tc>
        <w:tc>
          <w:tcPr>
            <w:tcW w:w="1300" w:type="dxa"/>
            <w:vAlign w:val="bottom"/>
          </w:tcPr>
          <w:p>
            <w:pPr>
              <w:jc w:val="right"/>
              <w:spacing w:after="0"/>
              <w:rPr>
                <w:sz w:val="20"/>
                <w:szCs w:val="20"/>
                <w:color w:val="auto"/>
              </w:rPr>
            </w:pPr>
            <w:r>
              <w:rPr>
                <w:rFonts w:ascii="Arial" w:cs="Arial" w:eastAsia="Arial" w:hAnsi="Arial"/>
                <w:sz w:val="18"/>
                <w:szCs w:val="18"/>
                <w:color w:val="auto"/>
              </w:rPr>
              <w:t>578,702</w:t>
            </w:r>
          </w:p>
        </w:tc>
        <w:tc>
          <w:tcPr>
            <w:tcW w:w="1020" w:type="dxa"/>
            <w:vAlign w:val="bottom"/>
          </w:tcPr>
          <w:p>
            <w:pPr>
              <w:jc w:val="right"/>
              <w:spacing w:after="0"/>
              <w:rPr>
                <w:sz w:val="20"/>
                <w:szCs w:val="20"/>
                <w:color w:val="auto"/>
              </w:rPr>
            </w:pPr>
            <w:r>
              <w:rPr>
                <w:rFonts w:ascii="Arial" w:cs="Arial" w:eastAsia="Arial" w:hAnsi="Arial"/>
                <w:sz w:val="18"/>
                <w:szCs w:val="18"/>
                <w:color w:val="auto"/>
              </w:rPr>
              <w:t>602,345</w:t>
            </w:r>
          </w:p>
        </w:tc>
      </w:tr>
      <w:tr>
        <w:trPr>
          <w:trHeight w:val="486"/>
        </w:trPr>
        <w:tc>
          <w:tcPr>
            <w:tcW w:w="2460" w:type="dxa"/>
            <w:vAlign w:val="bottom"/>
          </w:tcPr>
          <w:p>
            <w:pPr>
              <w:spacing w:after="0"/>
              <w:rPr>
                <w:sz w:val="20"/>
                <w:szCs w:val="20"/>
                <w:color w:val="auto"/>
              </w:rPr>
            </w:pPr>
            <w:r>
              <w:rPr>
                <w:rFonts w:ascii="Arial" w:cs="Arial" w:eastAsia="Arial" w:hAnsi="Arial"/>
                <w:sz w:val="18"/>
                <w:szCs w:val="18"/>
                <w:color w:val="auto"/>
              </w:rPr>
              <w:t>Working Capital</w:t>
            </w:r>
          </w:p>
        </w:tc>
        <w:tc>
          <w:tcPr>
            <w:tcW w:w="1300" w:type="dxa"/>
            <w:vAlign w:val="bottom"/>
          </w:tcPr>
          <w:p>
            <w:pPr>
              <w:jc w:val="right"/>
              <w:spacing w:after="0"/>
              <w:rPr>
                <w:sz w:val="20"/>
                <w:szCs w:val="20"/>
                <w:color w:val="auto"/>
              </w:rPr>
            </w:pPr>
            <w:r>
              <w:rPr>
                <w:rFonts w:ascii="Arial" w:cs="Arial" w:eastAsia="Arial" w:hAnsi="Arial"/>
                <w:sz w:val="18"/>
                <w:szCs w:val="18"/>
                <w:color w:val="auto"/>
              </w:rPr>
              <w:t>751,014</w:t>
            </w:r>
          </w:p>
        </w:tc>
        <w:tc>
          <w:tcPr>
            <w:tcW w:w="1020" w:type="dxa"/>
            <w:vAlign w:val="bottom"/>
          </w:tcPr>
          <w:p>
            <w:pPr>
              <w:jc w:val="right"/>
              <w:spacing w:after="0"/>
              <w:rPr>
                <w:sz w:val="20"/>
                <w:szCs w:val="20"/>
                <w:color w:val="auto"/>
              </w:rPr>
            </w:pPr>
            <w:r>
              <w:rPr>
                <w:rFonts w:ascii="Arial" w:cs="Arial" w:eastAsia="Arial" w:hAnsi="Arial"/>
                <w:sz w:val="18"/>
                <w:szCs w:val="18"/>
                <w:color w:val="auto"/>
              </w:rPr>
              <w:t>762,992</w:t>
            </w:r>
          </w:p>
        </w:tc>
      </w:tr>
      <w:tr>
        <w:trPr>
          <w:trHeight w:val="486"/>
        </w:trPr>
        <w:tc>
          <w:tcPr>
            <w:tcW w:w="2460" w:type="dxa"/>
            <w:vAlign w:val="bottom"/>
          </w:tcPr>
          <w:p>
            <w:pPr>
              <w:spacing w:after="0"/>
              <w:rPr>
                <w:sz w:val="20"/>
                <w:szCs w:val="20"/>
                <w:color w:val="auto"/>
              </w:rPr>
            </w:pPr>
            <w:r>
              <w:rPr>
                <w:rFonts w:ascii="Arial" w:cs="Arial" w:eastAsia="Arial" w:hAnsi="Arial"/>
                <w:sz w:val="18"/>
                <w:szCs w:val="18"/>
                <w:color w:val="auto"/>
              </w:rPr>
              <w:t>Total Assets</w:t>
            </w:r>
          </w:p>
        </w:tc>
        <w:tc>
          <w:tcPr>
            <w:tcW w:w="1300" w:type="dxa"/>
            <w:vAlign w:val="bottom"/>
          </w:tcPr>
          <w:p>
            <w:pPr>
              <w:jc w:val="right"/>
              <w:spacing w:after="0"/>
              <w:rPr>
                <w:sz w:val="20"/>
                <w:szCs w:val="20"/>
                <w:color w:val="auto"/>
              </w:rPr>
            </w:pPr>
            <w:r>
              <w:rPr>
                <w:rFonts w:ascii="Arial" w:cs="Arial" w:eastAsia="Arial" w:hAnsi="Arial"/>
                <w:sz w:val="18"/>
                <w:szCs w:val="18"/>
                <w:color w:val="auto"/>
              </w:rPr>
              <w:t>2,761,001</w:t>
            </w:r>
          </w:p>
        </w:tc>
        <w:tc>
          <w:tcPr>
            <w:tcW w:w="1020" w:type="dxa"/>
            <w:vAlign w:val="bottom"/>
          </w:tcPr>
          <w:p>
            <w:pPr>
              <w:jc w:val="right"/>
              <w:spacing w:after="0"/>
              <w:rPr>
                <w:sz w:val="20"/>
                <w:szCs w:val="20"/>
                <w:color w:val="auto"/>
              </w:rPr>
            </w:pPr>
            <w:r>
              <w:rPr>
                <w:rFonts w:ascii="Arial" w:cs="Arial" w:eastAsia="Arial" w:hAnsi="Arial"/>
                <w:sz w:val="18"/>
                <w:szCs w:val="18"/>
                <w:color w:val="auto"/>
              </w:rPr>
              <w:t>2,708,323</w:t>
            </w:r>
          </w:p>
        </w:tc>
      </w:tr>
      <w:tr>
        <w:trPr>
          <w:trHeight w:val="486"/>
        </w:trPr>
        <w:tc>
          <w:tcPr>
            <w:tcW w:w="2460" w:type="dxa"/>
            <w:vAlign w:val="bottom"/>
          </w:tcPr>
          <w:p>
            <w:pPr>
              <w:spacing w:after="0"/>
              <w:rPr>
                <w:sz w:val="20"/>
                <w:szCs w:val="20"/>
                <w:color w:val="auto"/>
              </w:rPr>
            </w:pPr>
            <w:r>
              <w:rPr>
                <w:rFonts w:ascii="Arial" w:cs="Arial" w:eastAsia="Arial" w:hAnsi="Arial"/>
                <w:sz w:val="18"/>
                <w:szCs w:val="18"/>
                <w:color w:val="auto"/>
              </w:rPr>
              <w:t>Shareholder's Equity</w:t>
            </w:r>
          </w:p>
        </w:tc>
        <w:tc>
          <w:tcPr>
            <w:tcW w:w="1300" w:type="dxa"/>
            <w:vAlign w:val="bottom"/>
          </w:tcPr>
          <w:p>
            <w:pPr>
              <w:jc w:val="right"/>
              <w:spacing w:after="0"/>
              <w:rPr>
                <w:sz w:val="20"/>
                <w:szCs w:val="20"/>
                <w:color w:val="auto"/>
              </w:rPr>
            </w:pPr>
            <w:r>
              <w:rPr>
                <w:rFonts w:ascii="Arial" w:cs="Arial" w:eastAsia="Arial" w:hAnsi="Arial"/>
                <w:sz w:val="18"/>
                <w:szCs w:val="18"/>
                <w:color w:val="auto"/>
              </w:rPr>
              <w:t>1,502,289</w:t>
            </w:r>
          </w:p>
        </w:tc>
        <w:tc>
          <w:tcPr>
            <w:tcW w:w="1020" w:type="dxa"/>
            <w:vAlign w:val="bottom"/>
          </w:tcPr>
          <w:p>
            <w:pPr>
              <w:jc w:val="right"/>
              <w:spacing w:after="0"/>
              <w:rPr>
                <w:sz w:val="20"/>
                <w:szCs w:val="20"/>
                <w:color w:val="auto"/>
              </w:rPr>
            </w:pPr>
            <w:r>
              <w:rPr>
                <w:rFonts w:ascii="Arial" w:cs="Arial" w:eastAsia="Arial" w:hAnsi="Arial"/>
                <w:sz w:val="18"/>
                <w:szCs w:val="18"/>
                <w:color w:val="auto"/>
              </w:rPr>
              <w:t>1,495,923</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38" w:lineRule="auto"/>
        <w:rPr>
          <w:sz w:val="20"/>
          <w:szCs w:val="20"/>
          <w:color w:val="auto"/>
        </w:rPr>
      </w:pPr>
      <w:r>
        <w:rPr>
          <w:rFonts w:ascii="Arial" w:cs="Arial" w:eastAsia="Arial" w:hAnsi="Arial"/>
          <w:sz w:val="22"/>
          <w:szCs w:val="22"/>
          <w:color w:val="auto"/>
        </w:rPr>
        <w:t>Contact: Investor Relations +1 888 381 7923 or</w:t>
      </w:r>
    </w:p>
    <w:p>
      <w:pPr>
        <w:spacing w:after="0" w:line="230" w:lineRule="auto"/>
        <w:rPr>
          <w:sz w:val="20"/>
          <w:szCs w:val="20"/>
          <w:color w:val="auto"/>
        </w:rPr>
      </w:pPr>
      <w:r>
        <w:rPr>
          <w:rFonts w:ascii="Arial" w:cs="Arial" w:eastAsia="Arial" w:hAnsi="Arial"/>
          <w:sz w:val="22"/>
          <w:szCs w:val="22"/>
          <w:color w:val="auto"/>
        </w:rPr>
        <w:t>Brendan Brennan Chief Financial Officer +353 1 291 2000</w:t>
      </w:r>
    </w:p>
    <w:p>
      <w:pPr>
        <w:spacing w:after="0" w:line="1" w:lineRule="exact"/>
        <w:rPr>
          <w:sz w:val="20"/>
          <w:szCs w:val="20"/>
          <w:color w:val="auto"/>
        </w:rPr>
      </w:pPr>
    </w:p>
    <w:p>
      <w:pPr>
        <w:ind w:right="2399"/>
        <w:spacing w:after="0" w:line="237" w:lineRule="auto"/>
        <w:rPr>
          <w:sz w:val="20"/>
          <w:szCs w:val="20"/>
          <w:color w:val="auto"/>
        </w:rPr>
      </w:pPr>
      <w:r>
        <w:rPr>
          <w:rFonts w:ascii="Arial" w:cs="Arial" w:eastAsia="Arial" w:hAnsi="Arial"/>
          <w:sz w:val="22"/>
          <w:szCs w:val="22"/>
          <w:color w:val="auto"/>
        </w:rPr>
        <w:t>Jonathan Curtain Vice President Corporate Finance &amp; Investor Relations +353 1 291 2000 http://www.iconplc.com</w:t>
      </w:r>
    </w:p>
    <w:sectPr>
      <w:pgSz w:w="11900" w:h="16838" w:orient="portrait"/>
      <w:cols w:equalWidth="0" w:num="1">
        <w:col w:w="10219"/>
      </w:cols>
      <w:pgMar w:left="240" w:top="7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2019-12-04T21:53:41Z</dcterms:created>
  <dcterms:modified xsi:type="dcterms:W3CDTF">2019-12-04T21:53:41Z</dcterms:modified>
</cp:coreProperties>
</file>