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768350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REPORT OF FOREIGN PRIVATE ISSUER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RULE 13a-16 OR 15d-16</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UNDER THE SECURITIES EXCHANGE ACT OF 1934</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month of October 2026</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333-08704</w:t>
      </w:r>
    </w:p>
    <w:p>
      <w:pPr>
        <w:spacing w:after="0" w:line="200" w:lineRule="exact"/>
        <w:rPr>
          <w:sz w:val="24"/>
          <w:szCs w:val="24"/>
          <w:color w:val="auto"/>
        </w:rPr>
      </w:pP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500"/>
        </w:trPr>
        <w:tc>
          <w:tcPr>
            <w:tcW w:w="4020" w:type="dxa"/>
            <w:vAlign w:val="bottom"/>
          </w:tcPr>
          <w:p>
            <w:pPr>
              <w:spacing w:after="0"/>
              <w:rPr>
                <w:sz w:val="24"/>
                <w:szCs w:val="24"/>
                <w:color w:val="auto"/>
              </w:rPr>
            </w:pPr>
          </w:p>
        </w:tc>
        <w:tc>
          <w:tcPr>
            <w:tcW w:w="7220" w:type="dxa"/>
            <w:vAlign w:val="bottom"/>
          </w:tcPr>
          <w:p>
            <w:pPr>
              <w:jc w:val="center"/>
              <w:ind w:right="3893"/>
              <w:spacing w:after="0"/>
              <w:rPr>
                <w:sz w:val="20"/>
                <w:szCs w:val="20"/>
                <w:color w:val="auto"/>
              </w:rPr>
            </w:pPr>
            <w:r>
              <w:rPr>
                <w:rFonts w:ascii="Times New Roman" w:cs="Times New Roman" w:eastAsia="Times New Roman" w:hAnsi="Times New Roman"/>
                <w:sz w:val="41"/>
                <w:szCs w:val="41"/>
                <w:b w:val="1"/>
                <w:bCs w:val="1"/>
                <w:color w:val="auto"/>
              </w:rPr>
              <w:t>ICON plc</w:t>
            </w:r>
          </w:p>
        </w:tc>
      </w:tr>
      <w:tr>
        <w:trPr>
          <w:trHeight w:val="182"/>
        </w:trPr>
        <w:tc>
          <w:tcPr>
            <w:tcW w:w="4020" w:type="dxa"/>
            <w:vAlign w:val="bottom"/>
          </w:tcPr>
          <w:p>
            <w:pPr>
              <w:spacing w:after="0"/>
              <w:rPr>
                <w:sz w:val="15"/>
                <w:szCs w:val="15"/>
                <w:color w:val="auto"/>
              </w:rPr>
            </w:pPr>
          </w:p>
        </w:tc>
        <w:tc>
          <w:tcPr>
            <w:tcW w:w="7220" w:type="dxa"/>
            <w:vAlign w:val="bottom"/>
          </w:tcPr>
          <w:p>
            <w:pPr>
              <w:jc w:val="center"/>
              <w:ind w:right="3913"/>
              <w:spacing w:after="0"/>
              <w:rPr>
                <w:sz w:val="20"/>
                <w:szCs w:val="20"/>
                <w:color w:val="auto"/>
              </w:rPr>
            </w:pPr>
            <w:r>
              <w:rPr>
                <w:rFonts w:ascii="Times New Roman" w:cs="Times New Roman" w:eastAsia="Times New Roman" w:hAnsi="Times New Roman"/>
                <w:sz w:val="14"/>
                <w:szCs w:val="14"/>
                <w:b w:val="1"/>
                <w:bCs w:val="1"/>
                <w:color w:val="auto"/>
                <w:w w:val="97"/>
              </w:rPr>
              <w:t>(Translation of registrant's name into English)</w:t>
            </w:r>
          </w:p>
        </w:tc>
      </w:tr>
      <w:tr>
        <w:trPr>
          <w:trHeight w:val="242"/>
        </w:trPr>
        <w:tc>
          <w:tcPr>
            <w:tcW w:w="11240" w:type="dxa"/>
            <w:vAlign w:val="bottom"/>
            <w:tcBorders>
              <w:bottom w:val="single" w:sz="8" w:color="auto"/>
            </w:tcBorders>
            <w:gridSpan w:val="2"/>
          </w:tcPr>
          <w:p>
            <w:pPr>
              <w:spacing w:after="0"/>
              <w:rPr>
                <w:sz w:val="21"/>
                <w:szCs w:val="21"/>
                <w:color w:val="auto"/>
              </w:rPr>
            </w:pPr>
          </w:p>
        </w:tc>
      </w:tr>
      <w:tr>
        <w:trPr>
          <w:trHeight w:val="265"/>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South County Business Park, Leopardstown, Dublin 18, D18 X5R3, Ireland</w:t>
            </w:r>
          </w:p>
        </w:tc>
      </w:tr>
      <w:tr>
        <w:trPr>
          <w:trHeight w:val="182"/>
        </w:trPr>
        <w:tc>
          <w:tcPr>
            <w:tcW w:w="4020" w:type="dxa"/>
            <w:vAlign w:val="bottom"/>
          </w:tcPr>
          <w:p>
            <w:pPr>
              <w:spacing w:after="0"/>
              <w:rPr>
                <w:sz w:val="15"/>
                <w:szCs w:val="15"/>
                <w:color w:val="auto"/>
              </w:rPr>
            </w:pPr>
          </w:p>
        </w:tc>
        <w:tc>
          <w:tcPr>
            <w:tcW w:w="7220" w:type="dxa"/>
            <w:vAlign w:val="bottom"/>
          </w:tcPr>
          <w:p>
            <w:pPr>
              <w:jc w:val="center"/>
              <w:ind w:right="3913"/>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r>
      <w:tr>
        <w:trPr>
          <w:trHeight w:val="701"/>
        </w:trPr>
        <w:tc>
          <w:tcPr>
            <w:tcW w:w="1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tc>
      </w:tr>
      <w:tr>
        <w:trPr>
          <w:trHeight w:val="289"/>
        </w:trPr>
        <w:tc>
          <w:tcPr>
            <w:tcW w:w="4020" w:type="dxa"/>
            <w:vAlign w:val="bottom"/>
          </w:tcPr>
          <w:p>
            <w:pPr>
              <w:ind w:left="284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p>
        </w:tc>
        <w:tc>
          <w:tcPr>
            <w:tcW w:w="7220" w:type="dxa"/>
            <w:vAlign w:val="bottom"/>
          </w:tcPr>
          <w:p>
            <w:pPr>
              <w:ind w:left="1700"/>
              <w:spacing w:after="0" w:line="196" w:lineRule="exact"/>
              <w:rPr>
                <w:sz w:val="20"/>
                <w:szCs w:val="20"/>
                <w:color w:val="auto"/>
              </w:rPr>
            </w:pP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tc>
      </w:tr>
      <w:tr>
        <w:trPr>
          <w:trHeight w:val="1230"/>
        </w:trPr>
        <w:tc>
          <w:tcPr>
            <w:tcW w:w="40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ICON plc</w:t>
      </w:r>
    </w:p>
    <w:p>
      <w:pPr>
        <w:spacing w:after="0" w:line="16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This report on Form 6-K is hereby incorporated by reference into the registration statements of ICON plc on Form S-8 (Registration Nos. 333-152802, 333-204153, 333-231527, 333-254891, 333-257578 and 333-282826) and on Form F-3 (Registration No. 333-278943),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30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163830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GENERAL</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As used herein, “ICON plc”, “ICON”, "ICON Group", the “Company” and “we”, "our" or “us” refer to ICON public limited company and its consolidated subsidiaries, unless the context requires otherwise.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from compound selection to Phase I-IV clinical studies. Our vision is to be the healthcare intelligence partner of choice by delivering industry leading solutions and best in class performance in clinical development.</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September 30, 2026 we had approximately 40,250 employees in 98 locations in 55 countries. During the nine months ended September 30, 2026 we derived 27.6%, 60.3% and 12.1% of our revenue in the United States, Europe and Rest of World respectively (during the nine months ended September 30, 2025: 30.9%, 58.2% and 10.9% respectively).</w:t>
      </w:r>
    </w:p>
    <w:p>
      <w:pPr>
        <w:spacing w:after="0" w:line="18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w:t>
      </w:r>
    </w:p>
    <w:p>
      <w:pPr>
        <w:spacing w:after="0" w:line="25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Capitalized terms used and not defined in this section have the meanings given in Note 10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to the condensed consolidated financial statements included herein.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Bridge Secured Credit Facility</w:t>
      </w:r>
    </w:p>
    <w:p>
      <w:pPr>
        <w:spacing w:after="0" w:line="25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On July 15, 2026, the Company drew down on its Bridge Secured Credit Facility in full and used the proceeds of $500.0 million to repay in full the $500.0 million aggregate principal amount of the 2.875% Senior Secured Notes (the “2026 Notes”) issued by a subsidiary of the Company in July 2021 that matured on July 15, 2026. The Bridge Secured Credit Facility was repaid in full on August 17, 2026.</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August 2026 Issued Notes</w:t>
      </w:r>
    </w:p>
    <w:p>
      <w:pPr>
        <w:spacing w:after="0" w:line="227"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On August 13, 2026, ICON Investments Six Designated Activity Company (the “Issuer”), a wholly-owned subsidiary of ICON plc, sold and issued $2.15 billion of senior unsecured notes (collectively, the “August 2026 Issued Notes”), consisting of $500.0 million aggregate principal amount of 5.064% Notes due 2029, $1.0 billion aggregate principal amount of 5.421% Notes due 2031 and $650.0 million aggregate principal amount of 5.995% Notes due 2036. Interest on the August 2026 Issued Notes is payable on February 13 and August 13 of each year, commencing on February 13, 2027. The August 2026 Issued Notes are guaranteed on a senior unsecured basis by ICON plc.</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paid an underwriting fee of $7.7 million in connection with the August 2026 Issued Notes.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applied the net proceeds from the issuance to, (i) on August 13, 2026, repay all the outstanding Senior Secured Term Loan of $900.0 million,</w:t>
      </w:r>
    </w:p>
    <w:p>
      <w:pPr>
        <w:spacing w:after="0" w:line="22" w:lineRule="exact"/>
        <w:rPr>
          <w:sz w:val="20"/>
          <w:szCs w:val="20"/>
          <w:color w:val="auto"/>
        </w:rPr>
      </w:pPr>
    </w:p>
    <w:p>
      <w:pPr>
        <w:ind w:firstLine="3"/>
        <w:spacing w:after="0" w:line="293" w:lineRule="auto"/>
        <w:tabs>
          <w:tab w:leader="none" w:pos="220" w:val="left"/>
        </w:tabs>
        <w:numPr>
          <w:ilvl w:val="0"/>
          <w:numId w:val="1"/>
        </w:numPr>
        <w:rPr>
          <w:rFonts w:ascii="Arial" w:cs="Arial" w:eastAsia="Arial" w:hAnsi="Arial"/>
          <w:sz w:val="15"/>
          <w:szCs w:val="15"/>
          <w:color w:val="auto"/>
        </w:rPr>
      </w:pPr>
      <w:r>
        <w:rPr>
          <w:rFonts w:ascii="Arial" w:cs="Arial" w:eastAsia="Arial" w:hAnsi="Arial"/>
          <w:sz w:val="15"/>
          <w:szCs w:val="15"/>
          <w:color w:val="auto"/>
        </w:rPr>
        <w:t>on August 14, 2026, redeem, in full, the outstanding May 2027 Notes of $750.0 million, and (iii) on August 17, 2026, repay all outstanding borrowings under the Bridge Secured Credit Facility of $500.0 million.</w:t>
      </w:r>
    </w:p>
    <w:p>
      <w:pPr>
        <w:spacing w:after="0" w:line="17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Upon repayment of the Bridge Secured Credit Facility and the Senior Secured Term Loan, the collateral securing the ICON group’s Revolving Credit Facility, the May 2029 Notes and the May 2034 Notes were automatically released, and the subsidiary guarantees under the May 2029 Notes and the May 2034 Notes were automatically released. Recorded within interest expense in the Condensed Consolidated Statements of Operations is a $12.2 million loss on extinguishment of debt, which includes an early repayment fee of $7.8 million on the May 2027 Notes.</w:t>
      </w:r>
    </w:p>
    <w:p>
      <w:pPr>
        <w:spacing w:after="0" w:line="200" w:lineRule="exact"/>
        <w:rPr>
          <w:sz w:val="20"/>
          <w:szCs w:val="20"/>
          <w:color w:val="auto"/>
        </w:rPr>
      </w:pPr>
    </w:p>
    <w:p>
      <w:pPr>
        <w:spacing w:after="0" w:line="400"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163830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i w:val="1"/>
          <w:iCs w:val="1"/>
          <w:color w:val="auto"/>
        </w:rPr>
        <w:t>Share repurchase program</w:t>
      </w:r>
    </w:p>
    <w:p>
      <w:pPr>
        <w:spacing w:after="0" w:line="24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During the three months ended September 30, 2026, 2,359,703 shares were redeemed by the Company under the share buyback program for a total consideration of $400.0 million. On October 20, 2026, the Board of Directors of the Company ("Board") approved an increase in the share buyback authorization, bringing the total amount available for repurchases under the program up to $750.0 million. As of October 27, 2026, the Company has remaining authorization to repurchase up to $750.0 million of ordinary shares under the share repurchase program.</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All ordinary shares redeemed under the repurchase program were canceled in accordance with the constitution of the Company and the nominal value of these shares transferred to other undenominated capital as required by Irish Company law.</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Extension of Option Plans</w:t>
      </w:r>
    </w:p>
    <w:p>
      <w:pPr>
        <w:spacing w:after="0" w:line="24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October 20, 2026, the Board approved amendments to the ICON Employee Share Option Plan 2008 and the ICON Consultants Share Option Plan 2008 (together, the "2008 Option Plans"). The amendments extend the period during which awards may be granted under the 2008 Option Plans for an additional ten years. As a result of the amendments, no options may be granted under the 2008 Option Plans after 14 February 2037, rather than 14 February 2027. The amendments do not increase the number of ordinary shares reserved for issuance under the 2008 Option Plans and do not affect the terms of any outstanding awards.</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exchange translation</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prepares its financial statements in United States ("U.S.") dollars while the local results of a certain number of our subsidiaries are prepared in currencies other than the U.S. dollar, including, amongst others, the pound sterling and the euro. In addition, the Company's contracts with clients are sometimes denominated in currencies other than the U.S. dollar. Finally, the Company is exposed to a wide variety of currencies in the expenses line due to most expenses being incurred in the local currencies of where global operations are based. Accordingly, changes in exchange rates between the U.S. dollar and those other currencies can impact the Company’s financial results.</w:t>
      </w:r>
    </w:p>
    <w:p>
      <w:pPr>
        <w:spacing w:after="0" w:line="354"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163830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 w:name="page5"/>
    <w:bookmarkEnd w:id="4"/>
    <w:p>
      <w:pPr>
        <w:ind w:left="5300"/>
        <w:spacing w:after="0"/>
        <w:rPr>
          <w:sz w:val="20"/>
          <w:szCs w:val="20"/>
          <w:color w:val="auto"/>
        </w:rPr>
      </w:pPr>
      <w:r>
        <w:rPr>
          <w:rFonts w:ascii="Arial" w:cs="Arial" w:eastAsia="Arial" w:hAnsi="Arial"/>
          <w:sz w:val="15"/>
          <w:szCs w:val="15"/>
          <w:b w:val="1"/>
          <w:bCs w:val="1"/>
          <w:color w:val="auto"/>
        </w:rPr>
        <w:t>ICON plc</w:t>
      </w:r>
    </w:p>
    <w:p>
      <w:pPr>
        <w:spacing w:after="0" w:line="3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AS AT SEPTEMBER 30, 2026 AND 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(Audited)</w:t>
            </w:r>
          </w:p>
        </w:tc>
      </w:tr>
      <w:tr>
        <w:trPr>
          <w:trHeight w:val="160"/>
        </w:trPr>
        <w:tc>
          <w:tcPr>
            <w:tcW w:w="6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540" w:type="dxa"/>
            <w:vAlign w:val="bottom"/>
          </w:tcPr>
          <w:p>
            <w:pPr>
              <w:spacing w:after="0"/>
              <w:rPr>
                <w:sz w:val="13"/>
                <w:szCs w:val="13"/>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69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c>
          <w:tcPr>
            <w:tcW w:w="1040" w:type="dxa"/>
            <w:vAlign w:val="bottom"/>
            <w:shd w:val="clear" w:color="auto" w:fill="CCEEFF"/>
          </w:tcPr>
          <w:p>
            <w:pPr>
              <w:spacing w:after="0"/>
              <w:rPr>
                <w:sz w:val="18"/>
                <w:szCs w:val="18"/>
                <w:color w:val="auto"/>
              </w:rPr>
            </w:pPr>
          </w:p>
        </w:tc>
      </w:tr>
      <w:tr>
        <w:trPr>
          <w:trHeight w:val="218"/>
        </w:trPr>
        <w:tc>
          <w:tcPr>
            <w:tcW w:w="6960" w:type="dxa"/>
            <w:vAlign w:val="bottom"/>
          </w:tcPr>
          <w:p>
            <w:pPr>
              <w:spacing w:after="0"/>
              <w:rPr>
                <w:sz w:val="20"/>
                <w:szCs w:val="20"/>
                <w:color w:val="auto"/>
              </w:rPr>
            </w:pPr>
            <w:r>
              <w:rPr>
                <w:rFonts w:ascii="Arial" w:cs="Arial" w:eastAsia="Arial" w:hAnsi="Arial"/>
                <w:sz w:val="15"/>
                <w:szCs w:val="15"/>
                <w:color w:val="auto"/>
              </w:rPr>
              <w:t>Current assets:</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808,984</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647,295</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Accounts receivable, net of allowance for credit losses</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1,510,045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1,474,898</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Unbilled revenue</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1,023,170</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1,096,592</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100,669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116,750</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Prepayments and other current assets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116,521</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105,316</w:t>
            </w:r>
          </w:p>
        </w:tc>
      </w:tr>
      <w:tr>
        <w:trPr>
          <w:trHeight w:val="218"/>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taxes receivable</w:t>
            </w: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81,990</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60,824</w:t>
            </w: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Total current assets</w:t>
            </w: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3,641,379</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3,501,675</w:t>
            </w:r>
          </w:p>
        </w:tc>
      </w:tr>
      <w:tr>
        <w:trPr>
          <w:trHeight w:val="155"/>
        </w:trPr>
        <w:tc>
          <w:tcPr>
            <w:tcW w:w="6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Property, plant and equipment, net</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375,265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395,724</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Goodwill</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8,721,911</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8,731,689</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Intangible assets, net</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3,100,266</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3,247,118</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right-of-use assets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103,064</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128,948</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73,658</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75,707</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asset</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105,538</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106,871</w:t>
            </w:r>
          </w:p>
        </w:tc>
      </w:tr>
      <w:tr>
        <w:trPr>
          <w:trHeight w:val="218"/>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Investments in equity</w:t>
            </w: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121,251</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82,050</w:t>
            </w:r>
          </w:p>
        </w:tc>
      </w:tr>
      <w:tr>
        <w:trPr>
          <w:trHeight w:val="237"/>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16,242,332</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16,269,782</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6960" w:type="dxa"/>
            <w:vAlign w:val="bottom"/>
          </w:tcPr>
          <w:p>
            <w:pPr>
              <w:spacing w:after="0"/>
              <w:rPr>
                <w:sz w:val="20"/>
                <w:szCs w:val="20"/>
                <w:color w:val="auto"/>
              </w:rPr>
            </w:pPr>
            <w:r>
              <w:rPr>
                <w:rFonts w:ascii="Arial" w:cs="Arial" w:eastAsia="Arial" w:hAnsi="Arial"/>
                <w:sz w:val="15"/>
                <w:szCs w:val="15"/>
                <w:color w:val="auto"/>
              </w:rPr>
              <w:t>Current liabilities:</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86,003</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192,117</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Unearned revenue</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1,727,355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1,550,471</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liabilities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936,745</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904,826</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Income taxes payable</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18,553</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18,999</w:t>
            </w:r>
          </w:p>
        </w:tc>
      </w:tr>
      <w:tr>
        <w:trPr>
          <w:trHeight w:val="219"/>
        </w:trPr>
        <w:tc>
          <w:tcPr>
            <w:tcW w:w="6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Current bank credit lines, loan facilities and notes</w:t>
            </w:r>
          </w:p>
        </w:tc>
        <w:tc>
          <w:tcPr>
            <w:tcW w:w="1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529,762</w:t>
            </w:r>
          </w:p>
        </w:tc>
      </w:tr>
      <w:tr>
        <w:trPr>
          <w:trHeight w:val="212"/>
        </w:trPr>
        <w:tc>
          <w:tcPr>
            <w:tcW w:w="696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12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2,768,656</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3,196,175</w:t>
            </w:r>
          </w:p>
        </w:tc>
      </w:tr>
      <w:tr>
        <w:trPr>
          <w:trHeight w:val="207"/>
        </w:trPr>
        <w:tc>
          <w:tcPr>
            <w:tcW w:w="6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6960" w:type="dxa"/>
            <w:vAlign w:val="bottom"/>
          </w:tcPr>
          <w:p>
            <w:pPr>
              <w:spacing w:after="0"/>
              <w:rPr>
                <w:sz w:val="20"/>
                <w:szCs w:val="20"/>
                <w:color w:val="auto"/>
              </w:rPr>
            </w:pPr>
            <w:r>
              <w:rPr>
                <w:rFonts w:ascii="Arial" w:cs="Arial" w:eastAsia="Arial" w:hAnsi="Arial"/>
                <w:sz w:val="15"/>
                <w:szCs w:val="15"/>
                <w:color w:val="auto"/>
              </w:rPr>
              <w:t>Non-current liabilities:</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bank credit lines, loan facilities and notes, net</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3,379,107</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2,872,616</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Lease liabilities</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97,144</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117,122</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other liabilities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79,362</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72,807</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Non-current income taxes payable</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109,800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103,251</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liability</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680,944</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714,427</w:t>
            </w:r>
          </w:p>
        </w:tc>
      </w:tr>
      <w:tr>
        <w:trPr>
          <w:trHeight w:val="218"/>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Commitments and contingencies</w:t>
            </w: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7,115,013</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7,076,398</w:t>
            </w:r>
          </w:p>
        </w:tc>
      </w:tr>
      <w:tr>
        <w:trPr>
          <w:trHeight w:val="187"/>
        </w:trPr>
        <w:tc>
          <w:tcPr>
            <w:tcW w:w="6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Ordinary shares, par value 6 euro cents per share; 100,000,000 shares authorized,</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74,916,724 shares issued and outstanding at September 30, 2026 and</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76,567,325 shares issued and outstanding at December 31, 2025</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6,189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6,305</w:t>
            </w:r>
          </w:p>
        </w:tc>
      </w:tr>
      <w:tr>
        <w:trPr>
          <w:trHeight w:val="220"/>
        </w:trPr>
        <w:tc>
          <w:tcPr>
            <w:tcW w:w="6960" w:type="dxa"/>
            <w:vAlign w:val="bottom"/>
            <w:shd w:val="clear" w:color="auto" w:fill="CCEEFF"/>
          </w:tcPr>
          <w:p>
            <w:pPr>
              <w:ind w:left="320"/>
              <w:spacing w:after="0" w:line="173" w:lineRule="exact"/>
              <w:rPr>
                <w:sz w:val="20"/>
                <w:szCs w:val="20"/>
                <w:color w:val="auto"/>
              </w:rPr>
            </w:pPr>
            <w:r>
              <w:rPr>
                <w:rFonts w:ascii="Arial" w:cs="Arial" w:eastAsia="Arial" w:hAnsi="Arial"/>
                <w:sz w:val="15"/>
                <w:szCs w:val="15"/>
                <w:color w:val="auto"/>
              </w:rPr>
              <w:t>Additional paid</w:t>
            </w:r>
            <w:r>
              <w:rPr>
                <w:rFonts w:ascii="MS PGothic" w:cs="MS PGothic" w:eastAsia="MS PGothic" w:hAnsi="MS PGothic"/>
                <w:sz w:val="15"/>
                <w:szCs w:val="15"/>
                <w:color w:val="auto"/>
              </w:rPr>
              <w:t>‑</w:t>
            </w:r>
            <w:r>
              <w:rPr>
                <w:rFonts w:ascii="Arial" w:cs="Arial" w:eastAsia="Arial" w:hAnsi="Arial"/>
                <w:sz w:val="15"/>
                <w:szCs w:val="15"/>
                <w:color w:val="auto"/>
              </w:rPr>
              <w:t>in capital</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7,208,291</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7,131,956</w:t>
            </w:r>
          </w:p>
        </w:tc>
      </w:tr>
      <w:tr>
        <w:trPr>
          <w:trHeight w:val="218"/>
        </w:trPr>
        <w:tc>
          <w:tcPr>
            <w:tcW w:w="6960" w:type="dxa"/>
            <w:vAlign w:val="bottom"/>
          </w:tcPr>
          <w:p>
            <w:pPr>
              <w:ind w:left="320"/>
              <w:spacing w:after="0"/>
              <w:rPr>
                <w:sz w:val="20"/>
                <w:szCs w:val="20"/>
                <w:color w:val="auto"/>
              </w:rPr>
            </w:pPr>
            <w:r>
              <w:rPr>
                <w:rFonts w:ascii="Arial" w:cs="Arial" w:eastAsia="Arial" w:hAnsi="Arial"/>
                <w:sz w:val="15"/>
                <w:szCs w:val="15"/>
                <w:color w:val="auto"/>
              </w:rPr>
              <w:t>Other undenominated capital</w:t>
            </w:r>
          </w:p>
        </w:tc>
        <w:tc>
          <w:tcPr>
            <w:tcW w:w="124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1,771</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1,606</w:t>
            </w:r>
          </w:p>
        </w:tc>
      </w:tr>
      <w:tr>
        <w:trPr>
          <w:trHeight w:val="22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(110,352)</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(68,534)</w:t>
            </w:r>
          </w:p>
        </w:tc>
      </w:tr>
      <w:tr>
        <w:trPr>
          <w:trHeight w:val="218"/>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Retained earnings</w:t>
            </w: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2,021,420</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2,122,051</w:t>
            </w:r>
          </w:p>
        </w:tc>
      </w:tr>
      <w:tr>
        <w:trPr>
          <w:trHeight w:val="212"/>
        </w:trPr>
        <w:tc>
          <w:tcPr>
            <w:tcW w:w="6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Total Shareholders' Equity</w:t>
            </w: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9,127,319</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9,193,384</w:t>
            </w:r>
          </w:p>
        </w:tc>
      </w:tr>
      <w:tr>
        <w:trPr>
          <w:trHeight w:val="212"/>
        </w:trPr>
        <w:tc>
          <w:tcPr>
            <w:tcW w:w="6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Liabilities and Shareholders' Equity</w:t>
            </w: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16,242,332</w:t>
            </w: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16,269,782</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163830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420" w:top="448"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THREE AND NINE MONTHS ENDED SEPTEMBER 30, 2026 AND SEPTEMBER 30, 2025</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3"/>
                <w:szCs w:val="13"/>
                <w:color w:val="auto"/>
              </w:rPr>
            </w:pPr>
          </w:p>
        </w:tc>
        <w:tc>
          <w:tcPr>
            <w:tcW w:w="126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3"/>
                <w:szCs w:val="13"/>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60" w:type="dxa"/>
            <w:vAlign w:val="bottom"/>
            <w:gridSpan w:val="6"/>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(in thousands except share and per share data)</w:t>
            </w:r>
          </w:p>
        </w:tc>
        <w:tc>
          <w:tcPr>
            <w:tcW w:w="1200" w:type="dxa"/>
            <w:vAlign w:val="bottom"/>
            <w:shd w:val="clear" w:color="auto" w:fill="CCEEFF"/>
          </w:tcPr>
          <w:p>
            <w:pPr>
              <w:spacing w:after="0"/>
              <w:rPr>
                <w:sz w:val="18"/>
                <w:szCs w:val="18"/>
                <w:color w:val="auto"/>
              </w:rPr>
            </w:pPr>
          </w:p>
        </w:tc>
      </w:tr>
      <w:tr>
        <w:trPr>
          <w:trHeight w:val="258"/>
        </w:trPr>
        <w:tc>
          <w:tcPr>
            <w:tcW w:w="5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2,024,757</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2,084,415</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6,122,242</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6,138,823</w:t>
            </w:r>
          </w:p>
        </w:tc>
      </w:tr>
      <w:tr>
        <w:trPr>
          <w:trHeight w:val="258"/>
        </w:trPr>
        <w:tc>
          <w:tcPr>
            <w:tcW w:w="5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5140" w:type="dxa"/>
            <w:vAlign w:val="bottom"/>
            <w:gridSpan w:val="2"/>
          </w:tcPr>
          <w:p>
            <w:pPr>
              <w:ind w:left="320"/>
              <w:spacing w:after="0"/>
              <w:rPr>
                <w:sz w:val="20"/>
                <w:szCs w:val="20"/>
                <w:color w:val="auto"/>
              </w:rPr>
            </w:pPr>
            <w:r>
              <w:rPr>
                <w:rFonts w:ascii="Arial" w:cs="Arial" w:eastAsia="Arial" w:hAnsi="Arial"/>
                <w:sz w:val="15"/>
                <w:szCs w:val="15"/>
                <w:color w:val="auto"/>
              </w:rPr>
              <w:t>Direct costs</w:t>
            </w:r>
          </w:p>
        </w:tc>
        <w:tc>
          <w:tcPr>
            <w:tcW w:w="24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1,532,925</w:t>
            </w:r>
          </w:p>
        </w:tc>
        <w:tc>
          <w:tcPr>
            <w:tcW w:w="3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1,538,951</w:t>
            </w:r>
          </w:p>
        </w:tc>
        <w:tc>
          <w:tcPr>
            <w:tcW w:w="28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4,673,190</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4,443,967</w:t>
            </w:r>
          </w:p>
        </w:tc>
      </w:tr>
      <w:tr>
        <w:trPr>
          <w:trHeight w:val="220"/>
        </w:trPr>
        <w:tc>
          <w:tcPr>
            <w:tcW w:w="51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196,850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197,049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591,766</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600,439</w:t>
            </w:r>
          </w:p>
        </w:tc>
      </w:tr>
      <w:tr>
        <w:trPr>
          <w:trHeight w:val="218"/>
        </w:trPr>
        <w:tc>
          <w:tcPr>
            <w:tcW w:w="5140" w:type="dxa"/>
            <w:vAlign w:val="bottom"/>
            <w:gridSpan w:val="2"/>
          </w:tcPr>
          <w:p>
            <w:pPr>
              <w:ind w:left="320"/>
              <w:spacing w:after="0"/>
              <w:rPr>
                <w:sz w:val="20"/>
                <w:szCs w:val="20"/>
                <w:color w:val="auto"/>
              </w:rPr>
            </w:pPr>
            <w:r>
              <w:rPr>
                <w:rFonts w:ascii="Arial" w:cs="Arial" w:eastAsia="Arial" w:hAnsi="Arial"/>
                <w:sz w:val="15"/>
                <w:szCs w:val="15"/>
                <w:color w:val="auto"/>
              </w:rPr>
              <w:t>Depreciation and amortization of intangible assets</w:t>
            </w:r>
          </w:p>
        </w:tc>
        <w:tc>
          <w:tcPr>
            <w:tcW w:w="24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94,422</w:t>
            </w:r>
          </w:p>
        </w:tc>
        <w:tc>
          <w:tcPr>
            <w:tcW w:w="3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99,030</w:t>
            </w:r>
          </w:p>
        </w:tc>
        <w:tc>
          <w:tcPr>
            <w:tcW w:w="28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275,520</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292,706</w:t>
            </w:r>
          </w:p>
        </w:tc>
      </w:tr>
      <w:tr>
        <w:trPr>
          <w:trHeight w:val="220"/>
        </w:trPr>
        <w:tc>
          <w:tcPr>
            <w:tcW w:w="51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Transaction and integration related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7,020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5,949</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19,141</w:t>
            </w:r>
          </w:p>
        </w:tc>
      </w:tr>
      <w:tr>
        <w:trPr>
          <w:trHeight w:val="218"/>
        </w:trPr>
        <w:tc>
          <w:tcPr>
            <w:tcW w:w="5140" w:type="dxa"/>
            <w:vAlign w:val="bottom"/>
            <w:gridSpan w:val="2"/>
          </w:tcPr>
          <w:p>
            <w:pPr>
              <w:ind w:left="320"/>
              <w:spacing w:after="0"/>
              <w:rPr>
                <w:sz w:val="20"/>
                <w:szCs w:val="20"/>
                <w:color w:val="auto"/>
              </w:rPr>
            </w:pPr>
            <w:r>
              <w:rPr>
                <w:rFonts w:ascii="Arial" w:cs="Arial" w:eastAsia="Arial" w:hAnsi="Arial"/>
                <w:sz w:val="15"/>
                <w:szCs w:val="15"/>
                <w:color w:val="auto"/>
              </w:rPr>
              <w:t>Restructuring</w:t>
            </w:r>
          </w:p>
        </w:tc>
        <w:tc>
          <w:tcPr>
            <w:tcW w:w="24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1,486</w:t>
            </w:r>
          </w:p>
        </w:tc>
        <w:tc>
          <w:tcPr>
            <w:tcW w:w="3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32,466</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82,296</w:t>
            </w:r>
          </w:p>
        </w:tc>
      </w:tr>
      <w:tr>
        <w:trPr>
          <w:trHeight w:val="220"/>
        </w:trPr>
        <w:tc>
          <w:tcPr>
            <w:tcW w:w="51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Loss on disposal of subsidiary undertaking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32,947</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5140" w:type="dxa"/>
            <w:vAlign w:val="bottom"/>
            <w:gridSpan w:val="2"/>
          </w:tcPr>
          <w:p>
            <w:pPr>
              <w:ind w:left="320"/>
              <w:spacing w:after="0"/>
              <w:rPr>
                <w:sz w:val="20"/>
                <w:szCs w:val="20"/>
                <w:color w:val="auto"/>
              </w:rPr>
            </w:pPr>
            <w:r>
              <w:rPr>
                <w:rFonts w:ascii="Arial" w:cs="Arial" w:eastAsia="Arial" w:hAnsi="Arial"/>
                <w:sz w:val="15"/>
                <w:szCs w:val="15"/>
                <w:color w:val="auto"/>
              </w:rPr>
              <w:t>Goodwill impairment</w:t>
            </w:r>
          </w:p>
        </w:tc>
        <w:tc>
          <w:tcPr>
            <w:tcW w:w="24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364,248</w:t>
            </w:r>
          </w:p>
        </w:tc>
        <w:tc>
          <w:tcPr>
            <w:tcW w:w="28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364,248</w:t>
            </w:r>
          </w:p>
        </w:tc>
      </w:tr>
      <w:tr>
        <w:trPr>
          <w:trHeight w:val="219"/>
        </w:trPr>
        <w:tc>
          <w:tcPr>
            <w:tcW w:w="51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5"/>
                <w:szCs w:val="15"/>
                <w:color w:val="auto"/>
              </w:rPr>
              <w:t>Impairment of non-financial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101,027</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101,027</w:t>
            </w:r>
          </w:p>
        </w:tc>
      </w:tr>
      <w:tr>
        <w:trPr>
          <w:trHeight w:val="212"/>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Total costs and expenses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1,825,916</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2,307,325</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5,611,838</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5,903,824</w:t>
            </w:r>
          </w:p>
        </w:tc>
      </w:tr>
      <w:tr>
        <w:trPr>
          <w:trHeight w:val="239"/>
        </w:trPr>
        <w:tc>
          <w:tcPr>
            <w:tcW w:w="5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8"/>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Income / (loss) from operations</w:t>
            </w:r>
          </w:p>
        </w:tc>
        <w:tc>
          <w:tcPr>
            <w:tcW w:w="24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198,841</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(222,910)</w:t>
            </w:r>
          </w:p>
        </w:tc>
        <w:tc>
          <w:tcPr>
            <w:tcW w:w="28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510,404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234,999</w:t>
            </w:r>
          </w:p>
        </w:tc>
      </w:tr>
      <w:tr>
        <w:trPr>
          <w:trHeight w:val="220"/>
        </w:trPr>
        <w:tc>
          <w:tcPr>
            <w:tcW w:w="51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Interest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5,612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1,761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10,588</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5,617</w:t>
            </w:r>
          </w:p>
        </w:tc>
      </w:tr>
      <w:tr>
        <w:trPr>
          <w:trHeight w:val="218"/>
        </w:trPr>
        <w:tc>
          <w:tcPr>
            <w:tcW w:w="5140" w:type="dxa"/>
            <w:vAlign w:val="bottom"/>
            <w:gridSpan w:val="2"/>
          </w:tcPr>
          <w:p>
            <w:pPr>
              <w:ind w:left="320"/>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(66,175)</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(50,243)</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(162,959)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(148,003)</w:t>
            </w:r>
          </w:p>
        </w:tc>
      </w:tr>
      <w:tr>
        <w:trPr>
          <w:trHeight w:val="239"/>
        </w:trPr>
        <w:tc>
          <w:tcPr>
            <w:tcW w:w="50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r>
      <w:tr>
        <w:trPr>
          <w:trHeight w:val="218"/>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Income / (loss) before income tax expense</w:t>
            </w:r>
          </w:p>
        </w:tc>
        <w:tc>
          <w:tcPr>
            <w:tcW w:w="24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138,278</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(271,392)</w:t>
            </w:r>
          </w:p>
        </w:tc>
        <w:tc>
          <w:tcPr>
            <w:tcW w:w="28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358,033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92,613</w:t>
            </w:r>
          </w:p>
        </w:tc>
      </w:tr>
      <w:tr>
        <w:trPr>
          <w:trHeight w:val="219"/>
        </w:trPr>
        <w:tc>
          <w:tcPr>
            <w:tcW w:w="51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5"/>
                <w:szCs w:val="15"/>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(32,446)</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(12,791)</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(74,868)</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(12,468)</w:t>
            </w:r>
          </w:p>
        </w:tc>
      </w:tr>
      <w:tr>
        <w:trPr>
          <w:trHeight w:val="239"/>
        </w:trPr>
        <w:tc>
          <w:tcPr>
            <w:tcW w:w="5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 (loss) before share of net gains from equity method investments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105,832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(284,183)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283,165</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80,145</w:t>
            </w:r>
          </w:p>
        </w:tc>
      </w:tr>
      <w:tr>
        <w:trPr>
          <w:trHeight w:val="218"/>
        </w:trPr>
        <w:tc>
          <w:tcPr>
            <w:tcW w:w="5140" w:type="dxa"/>
            <w:vAlign w:val="bottom"/>
            <w:tcBorders>
              <w:bottom w:val="single" w:sz="8" w:color="auto"/>
            </w:tcBorders>
            <w:gridSpan w:val="2"/>
          </w:tcPr>
          <w:p>
            <w:pPr>
              <w:ind w:left="320"/>
              <w:spacing w:after="0"/>
              <w:rPr>
                <w:sz w:val="20"/>
                <w:szCs w:val="20"/>
                <w:color w:val="auto"/>
              </w:rPr>
            </w:pPr>
            <w:r>
              <w:rPr>
                <w:rFonts w:ascii="Arial" w:cs="Arial" w:eastAsia="Arial" w:hAnsi="Arial"/>
                <w:sz w:val="15"/>
                <w:szCs w:val="15"/>
                <w:color w:val="auto"/>
              </w:rPr>
              <w:t>Share of net gains from equity method investments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16,298</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16,298</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122,130</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(284,183)</w:t>
            </w:r>
          </w:p>
        </w:tc>
        <w:tc>
          <w:tcPr>
            <w:tcW w:w="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299,463</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80,145</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 / (loss) per Ordinary Share: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8"/>
        </w:trPr>
        <w:tc>
          <w:tcPr>
            <w:tcW w:w="5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9"/>
        </w:trPr>
        <w:tc>
          <w:tcPr>
            <w:tcW w:w="51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1.59</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(3.67)</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3.90</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218"/>
        </w:trPr>
        <w:tc>
          <w:tcPr>
            <w:tcW w:w="5140" w:type="dxa"/>
            <w:vAlign w:val="bottom"/>
            <w:tcBorders>
              <w:bottom w:val="single" w:sz="8" w:color="auto"/>
            </w:tcBorders>
            <w:gridSpan w:val="2"/>
          </w:tcPr>
          <w:p>
            <w:pPr>
              <w:ind w:left="320"/>
              <w:spacing w:after="0"/>
              <w:rPr>
                <w:sz w:val="20"/>
                <w:szCs w:val="20"/>
                <w:color w:val="auto"/>
              </w:rPr>
            </w:pPr>
            <w:r>
              <w:rPr>
                <w:rFonts w:ascii="Arial" w:cs="Arial" w:eastAsia="Arial" w:hAnsi="Arial"/>
                <w:sz w:val="15"/>
                <w:szCs w:val="15"/>
                <w:color w:val="auto"/>
              </w:rPr>
              <w:t>Diluted</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1.58</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(3.67)</w:t>
            </w:r>
          </w:p>
        </w:tc>
        <w:tc>
          <w:tcPr>
            <w:tcW w:w="2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3.87</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5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Weighted average number of ordinary shares outstanding:</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9"/>
        </w:trPr>
        <w:tc>
          <w:tcPr>
            <w:tcW w:w="5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8"/>
        </w:trPr>
        <w:tc>
          <w:tcPr>
            <w:tcW w:w="5140" w:type="dxa"/>
            <w:vAlign w:val="bottom"/>
            <w:gridSpan w:val="2"/>
          </w:tcPr>
          <w:p>
            <w:pPr>
              <w:ind w:left="320"/>
              <w:spacing w:after="0"/>
              <w:rPr>
                <w:sz w:val="20"/>
                <w:szCs w:val="20"/>
                <w:color w:val="auto"/>
              </w:rPr>
            </w:pPr>
            <w:r>
              <w:rPr>
                <w:rFonts w:ascii="Arial" w:cs="Arial" w:eastAsia="Arial" w:hAnsi="Arial"/>
                <w:sz w:val="15"/>
                <w:szCs w:val="15"/>
                <w:color w:val="auto"/>
              </w:rPr>
              <w:t>Basic</w:t>
            </w:r>
          </w:p>
        </w:tc>
        <w:tc>
          <w:tcPr>
            <w:tcW w:w="24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76,932,640</w:t>
            </w:r>
          </w:p>
        </w:tc>
        <w:tc>
          <w:tcPr>
            <w:tcW w:w="3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77,373,534</w:t>
            </w:r>
          </w:p>
        </w:tc>
        <w:tc>
          <w:tcPr>
            <w:tcW w:w="28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76,785,939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79,057,239</w:t>
            </w:r>
          </w:p>
        </w:tc>
      </w:tr>
      <w:tr>
        <w:trPr>
          <w:trHeight w:val="244"/>
        </w:trPr>
        <w:tc>
          <w:tcPr>
            <w:tcW w:w="51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77,404,061</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77,373,534</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77,345,757</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79,518,086</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172085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THREE AND NINE MONTHS ENDED SEPTEMBER 30, 2026 AND SEPTEMBER 30, 2025</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gridSpan w:val="3"/>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4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40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40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5"/>
                <w:szCs w:val="15"/>
                <w:color w:val="auto"/>
              </w:rPr>
              <w:t>Net income / (loss)</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122,130</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(284,183)</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299,463</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80,145</w:t>
            </w: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Other comprehensive income, net of tax:</w:t>
            </w:r>
          </w:p>
        </w:tc>
        <w:tc>
          <w:tcPr>
            <w:tcW w:w="1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0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293</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(18,181)</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(40,993)</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145,405</w:t>
            </w:r>
          </w:p>
        </w:tc>
      </w:tr>
      <w:tr>
        <w:trPr>
          <w:trHeight w:val="219"/>
        </w:trPr>
        <w:tc>
          <w:tcPr>
            <w:tcW w:w="4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Net change in cash flow hedges</w:t>
            </w:r>
          </w:p>
        </w:tc>
        <w:tc>
          <w:tcPr>
            <w:tcW w:w="1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r>
      <w:tr>
        <w:trPr>
          <w:trHeight w:val="21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comprehensive income / (loss)</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121,598</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(302,364)</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257,645</w:t>
            </w: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223,130</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172085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Number of</w:t>
            </w: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Ordinary</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Accumulated</w:t>
            </w: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Retained</w:t>
            </w: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Total</w:t>
            </w:r>
          </w:p>
        </w:tc>
      </w:tr>
      <w:tr>
        <w:trPr>
          <w:trHeight w:val="155"/>
        </w:trPr>
        <w:tc>
          <w:tcPr>
            <w:tcW w:w="2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3"/>
                <w:szCs w:val="13"/>
                <w:color w:val="auto"/>
              </w:rPr>
            </w:pPr>
          </w:p>
        </w:tc>
        <w:tc>
          <w:tcPr>
            <w:tcW w:w="20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Paid-in Undenominated</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Earnings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Capital</w:t>
            </w:r>
          </w:p>
        </w:tc>
        <w:tc>
          <w:tcPr>
            <w:tcW w:w="380" w:type="dxa"/>
            <w:vAlign w:val="bottom"/>
            <w:shd w:val="clear" w:color="auto" w:fill="CCEEFF"/>
          </w:tcPr>
          <w:p>
            <w:pPr>
              <w:spacing w:after="0"/>
              <w:rPr>
                <w:sz w:val="13"/>
                <w:szCs w:val="13"/>
                <w:color w:val="auto"/>
              </w:rPr>
            </w:pPr>
          </w:p>
        </w:tc>
        <w:tc>
          <w:tcPr>
            <w:tcW w:w="202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Capital Comprehensive</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30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76,567,325</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6,305</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7,131,956</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(68,534)</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2,122,051</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9,193,384</w:t>
            </w:r>
          </w:p>
        </w:tc>
      </w:tr>
      <w:tr>
        <w:trPr>
          <w:trHeight w:val="211"/>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104,751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104,751</w:t>
            </w:r>
          </w:p>
        </w:tc>
      </w:tr>
      <w:tr>
        <w:trPr>
          <w:trHeight w:val="218"/>
        </w:trPr>
        <w:tc>
          <w:tcPr>
            <w:tcW w:w="20" w:type="dxa"/>
            <w:vAlign w:val="bottom"/>
          </w:tcPr>
          <w:p>
            <w:pPr>
              <w:spacing w:after="0"/>
              <w:rPr>
                <w:sz w:val="18"/>
                <w:szCs w:val="18"/>
                <w:color w:val="auto"/>
              </w:rPr>
            </w:pPr>
          </w:p>
        </w:tc>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Currency translation adjustment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(26,495)</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(26,495)</w:t>
            </w:r>
          </w:p>
        </w:tc>
      </w:tr>
      <w:tr>
        <w:trPr>
          <w:trHeight w:val="213"/>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78,256</w:t>
            </w:r>
          </w:p>
        </w:tc>
      </w:tr>
      <w:tr>
        <w:trPr>
          <w:trHeight w:val="218"/>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1400" w:type="dxa"/>
            <w:vAlign w:val="bottom"/>
          </w:tcPr>
          <w:p>
            <w:pPr>
              <w:jc w:val="right"/>
              <w:spacing w:after="0"/>
              <w:rPr>
                <w:sz w:val="20"/>
                <w:szCs w:val="20"/>
                <w:color w:val="auto"/>
              </w:rPr>
            </w:pPr>
            <w:r>
              <w:rPr>
                <w:rFonts w:ascii="Arial" w:cs="Arial" w:eastAsia="Arial" w:hAnsi="Arial"/>
                <w:sz w:val="15"/>
                <w:szCs w:val="15"/>
                <w:color w:val="auto"/>
              </w:rPr>
              <w:t>10,174</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1,085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1,086</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Issue of restricted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24,039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r>
      <w:tr>
        <w:trPr>
          <w:trHeight w:val="218"/>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auto"/>
              </w:rPr>
              <w:t>Share-based compensation expense</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27,574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27,574</w:t>
            </w:r>
          </w:p>
        </w:tc>
      </w:tr>
      <w:tr>
        <w:trPr>
          <w:trHeight w:val="219"/>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Share issuance costs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3"/>
        </w:trPr>
        <w:tc>
          <w:tcPr>
            <w:tcW w:w="20" w:type="dxa"/>
            <w:vAlign w:val="bottom"/>
          </w:tcPr>
          <w:p>
            <w:pPr>
              <w:spacing w:after="0"/>
              <w:rPr>
                <w:sz w:val="18"/>
                <w:szCs w:val="18"/>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March 31,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76,601,538</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6,307</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7,160,610</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(95,029)</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2,226,802</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9,300,296</w:t>
            </w:r>
          </w:p>
        </w:tc>
      </w:tr>
      <w:tr>
        <w:trPr>
          <w:trHeight w:val="212"/>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 (net of tax):</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72,582</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72,582</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Currency translation adjustment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(14,791)</w:t>
            </w:r>
          </w:p>
        </w:tc>
      </w:tr>
      <w:tr>
        <w:trPr>
          <w:trHeight w:val="211"/>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57,791</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12,519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1,584</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1,585</w:t>
            </w:r>
          </w:p>
        </w:tc>
      </w:tr>
      <w:tr>
        <w:trPr>
          <w:trHeight w:val="218"/>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auto"/>
              </w:rPr>
              <w:t>Issue of restricted share units</w:t>
            </w:r>
          </w:p>
        </w:tc>
        <w:tc>
          <w:tcPr>
            <w:tcW w:w="1400" w:type="dxa"/>
            <w:vAlign w:val="bottom"/>
          </w:tcPr>
          <w:p>
            <w:pPr>
              <w:jc w:val="right"/>
              <w:spacing w:after="0"/>
              <w:rPr>
                <w:sz w:val="20"/>
                <w:szCs w:val="20"/>
                <w:color w:val="auto"/>
              </w:rPr>
            </w:pPr>
            <w:r>
              <w:rPr>
                <w:rFonts w:ascii="Arial" w:cs="Arial" w:eastAsia="Arial" w:hAnsi="Arial"/>
                <w:sz w:val="15"/>
                <w:szCs w:val="15"/>
                <w:color w:val="auto"/>
              </w:rPr>
              <w:t>540,152</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38</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18,456</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18,456</w:t>
            </w:r>
          </w:p>
        </w:tc>
      </w:tr>
      <w:tr>
        <w:trPr>
          <w:trHeight w:val="218"/>
        </w:trPr>
        <w:tc>
          <w:tcPr>
            <w:tcW w:w="20" w:type="dxa"/>
            <w:vAlign w:val="bottom"/>
          </w:tcPr>
          <w:p>
            <w:pPr>
              <w:spacing w:after="0"/>
              <w:rPr>
                <w:sz w:val="18"/>
                <w:szCs w:val="18"/>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issuance costs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r>
      <w:tr>
        <w:trPr>
          <w:trHeight w:val="213"/>
        </w:trPr>
        <w:tc>
          <w:tcPr>
            <w:tcW w:w="20" w:type="dxa"/>
            <w:vAlign w:val="bottom"/>
          </w:tcPr>
          <w:p>
            <w:pPr>
              <w:spacing w:after="0"/>
              <w:rPr>
                <w:sz w:val="18"/>
                <w:szCs w:val="18"/>
                <w:color w:val="auto"/>
              </w:rPr>
            </w:pPr>
          </w:p>
        </w:tc>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77,154,209</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6,346</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7,180,646</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(109,820)</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2,299,384</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9,378,162</w:t>
            </w:r>
          </w:p>
        </w:tc>
      </w:tr>
      <w:tr>
        <w:trPr>
          <w:trHeight w:val="211"/>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122,130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122,130</w:t>
            </w:r>
          </w:p>
        </w:tc>
      </w:tr>
      <w:tr>
        <w:trPr>
          <w:trHeight w:val="218"/>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293</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change in cash flow hedge</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w:t>
            </w:r>
          </w:p>
        </w:tc>
      </w:tr>
      <w:tr>
        <w:trPr>
          <w:trHeight w:val="211"/>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121,598</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84,252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10,362</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10,367</w:t>
            </w:r>
          </w:p>
        </w:tc>
      </w:tr>
      <w:tr>
        <w:trPr>
          <w:trHeight w:val="218"/>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auto"/>
              </w:rPr>
              <w:t>Issue of restricted share units</w:t>
            </w:r>
          </w:p>
        </w:tc>
        <w:tc>
          <w:tcPr>
            <w:tcW w:w="1400" w:type="dxa"/>
            <w:vAlign w:val="bottom"/>
          </w:tcPr>
          <w:p>
            <w:pPr>
              <w:jc w:val="right"/>
              <w:spacing w:after="0"/>
              <w:rPr>
                <w:sz w:val="20"/>
                <w:szCs w:val="20"/>
                <w:color w:val="auto"/>
              </w:rPr>
            </w:pPr>
            <w:r>
              <w:rPr>
                <w:rFonts w:ascii="Arial" w:cs="Arial" w:eastAsia="Arial" w:hAnsi="Arial"/>
                <w:sz w:val="15"/>
                <w:szCs w:val="15"/>
                <w:color w:val="auto"/>
              </w:rPr>
              <w:t>37,966</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17,289</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17,289</w:t>
            </w:r>
          </w:p>
        </w:tc>
      </w:tr>
      <w:tr>
        <w:trPr>
          <w:trHeight w:val="218"/>
        </w:trPr>
        <w:tc>
          <w:tcPr>
            <w:tcW w:w="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(2,359,703)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r>
      <w:tr>
        <w:trPr>
          <w:trHeight w:val="218"/>
        </w:trPr>
        <w:tc>
          <w:tcPr>
            <w:tcW w:w="20" w:type="dxa"/>
            <w:vAlign w:val="bottom"/>
          </w:tcPr>
          <w:p>
            <w:pPr>
              <w:spacing w:after="0"/>
              <w:rPr>
                <w:sz w:val="18"/>
                <w:szCs w:val="18"/>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r>
      <w:tr>
        <w:trPr>
          <w:trHeight w:val="238"/>
        </w:trPr>
        <w:tc>
          <w:tcPr>
            <w:tcW w:w="20" w:type="dxa"/>
            <w:vAlign w:val="bottom"/>
          </w:tcPr>
          <w:p>
            <w:pPr>
              <w:spacing w:after="0"/>
              <w:rPr>
                <w:sz w:val="20"/>
                <w:szCs w:val="20"/>
                <w:color w:val="auto"/>
              </w:rPr>
            </w:pPr>
          </w:p>
        </w:tc>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74,916,724</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6,189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7,208,291</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(110,352)</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2,021,420</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9,127,319</w:t>
            </w: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65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603"/>
              <w:spacing w:after="0"/>
              <w:rPr>
                <w:sz w:val="20"/>
                <w:szCs w:val="20"/>
                <w:color w:val="auto"/>
              </w:rPr>
            </w:pPr>
            <w:r>
              <w:rPr>
                <w:rFonts w:ascii="Arial" w:cs="Arial" w:eastAsia="Arial" w:hAnsi="Arial"/>
                <w:sz w:val="15"/>
                <w:szCs w:val="15"/>
                <w:color w:val="auto"/>
              </w:rPr>
              <w:t>7</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2"/>
        </w:trPr>
        <w:tc>
          <w:tcPr>
            <w:tcW w:w="20" w:type="dxa"/>
            <w:vAlign w:val="bottom"/>
            <w:tcBorders>
              <w:bottom w:val="single" w:sz="8" w:color="9A9A9A"/>
            </w:tcBorders>
          </w:tcPr>
          <w:p>
            <w:pPr>
              <w:spacing w:after="0"/>
              <w:rPr>
                <w:sz w:val="21"/>
                <w:szCs w:val="21"/>
                <w:color w:val="auto"/>
              </w:rPr>
            </w:pPr>
          </w:p>
        </w:tc>
        <w:tc>
          <w:tcPr>
            <w:tcW w:w="3080" w:type="dxa"/>
            <w:vAlign w:val="bottom"/>
            <w:tcBorders>
              <w:bottom w:val="single" w:sz="8" w:color="9A9A9A"/>
            </w:tcBorders>
          </w:tcPr>
          <w:p>
            <w:pPr>
              <w:spacing w:after="0"/>
              <w:rPr>
                <w:sz w:val="21"/>
                <w:szCs w:val="21"/>
                <w:color w:val="auto"/>
              </w:rPr>
            </w:pPr>
          </w:p>
        </w:tc>
        <w:tc>
          <w:tcPr>
            <w:tcW w:w="14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38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SHAREHOLDERS' EQUITY (CONTINUED)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Number of</w:t>
            </w: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Ordinary</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Accumulated</w:t>
            </w: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Retained</w:t>
            </w: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3"/>
                <w:szCs w:val="13"/>
                <w:color w:val="auto"/>
              </w:rPr>
            </w:pPr>
          </w:p>
        </w:tc>
        <w:tc>
          <w:tcPr>
            <w:tcW w:w="2080" w:type="dxa"/>
            <w:vAlign w:val="bottom"/>
            <w:gridSpan w:val="3"/>
            <w:shd w:val="clear" w:color="auto" w:fill="CCEEFF"/>
          </w:tcPr>
          <w:p>
            <w:pPr>
              <w:ind w:left="340"/>
              <w:spacing w:after="0" w:line="155" w:lineRule="exact"/>
              <w:rPr>
                <w:sz w:val="20"/>
                <w:szCs w:val="20"/>
                <w:color w:val="auto"/>
              </w:rPr>
            </w:pPr>
            <w:r>
              <w:rPr>
                <w:rFonts w:ascii="Arial" w:cs="Arial" w:eastAsia="Arial" w:hAnsi="Arial"/>
                <w:sz w:val="15"/>
                <w:szCs w:val="15"/>
                <w:b w:val="1"/>
                <w:bCs w:val="1"/>
                <w:color w:val="auto"/>
              </w:rPr>
              <w:t>Paid-in Undenominated</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Earnings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ind w:left="340"/>
              <w:spacing w:after="0" w:line="155" w:lineRule="exact"/>
              <w:rPr>
                <w:sz w:val="20"/>
                <w:szCs w:val="20"/>
                <w:color w:val="auto"/>
              </w:rPr>
            </w:pPr>
            <w:r>
              <w:rPr>
                <w:rFonts w:ascii="Arial" w:cs="Arial" w:eastAsia="Arial" w:hAnsi="Arial"/>
                <w:sz w:val="15"/>
                <w:szCs w:val="15"/>
                <w:b w:val="1"/>
                <w:bCs w:val="1"/>
                <w:color w:val="auto"/>
              </w:rPr>
              <w:t>Capital</w:t>
            </w:r>
          </w:p>
        </w:tc>
        <w:tc>
          <w:tcPr>
            <w:tcW w:w="380" w:type="dxa"/>
            <w:vAlign w:val="bottom"/>
            <w:shd w:val="clear" w:color="auto" w:fill="CCEEFF"/>
          </w:tcPr>
          <w:p>
            <w:pPr>
              <w:spacing w:after="0"/>
              <w:rPr>
                <w:sz w:val="13"/>
                <w:szCs w:val="13"/>
                <w:color w:val="auto"/>
              </w:rPr>
            </w:pPr>
          </w:p>
        </w:tc>
        <w:tc>
          <w:tcPr>
            <w:tcW w:w="202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Capital Comprehensive</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320"/>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80,756,860</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6,586</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7,020,231</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(229,929)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2,643,162</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9,441,354</w:t>
            </w:r>
          </w:p>
        </w:tc>
        <w:tc>
          <w:tcPr>
            <w:tcW w:w="0" w:type="dxa"/>
            <w:vAlign w:val="bottom"/>
          </w:tcPr>
          <w:p>
            <w:pPr>
              <w:spacing w:after="0"/>
              <w:rPr>
                <w:sz w:val="1"/>
                <w:szCs w:val="1"/>
                <w:color w:val="auto"/>
              </w:rPr>
            </w:pPr>
          </w:p>
        </w:tc>
      </w:tr>
      <w:tr>
        <w:trPr>
          <w:trHeight w:val="211"/>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160,812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160,812</w:t>
            </w:r>
          </w:p>
        </w:tc>
        <w:tc>
          <w:tcPr>
            <w:tcW w:w="0" w:type="dxa"/>
            <w:vAlign w:val="bottom"/>
          </w:tcPr>
          <w:p>
            <w:pPr>
              <w:spacing w:after="0"/>
              <w:rPr>
                <w:sz w:val="1"/>
                <w:szCs w:val="1"/>
                <w:color w:val="auto"/>
              </w:rPr>
            </w:pPr>
          </w:p>
        </w:tc>
      </w:tr>
      <w:tr>
        <w:trPr>
          <w:trHeight w:val="218"/>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59,158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59,158</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Movement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0" w:type="dxa"/>
            <w:vAlign w:val="bottom"/>
          </w:tcPr>
          <w:p>
            <w:pPr>
              <w:spacing w:after="0"/>
              <w:rPr>
                <w:sz w:val="1"/>
                <w:szCs w:val="1"/>
                <w:color w:val="auto"/>
              </w:rPr>
            </w:pPr>
          </w:p>
        </w:tc>
      </w:tr>
      <w:tr>
        <w:trPr>
          <w:trHeight w:val="211"/>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217,550</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40,883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4,759</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4,762</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line="169"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27,046</w:t>
            </w:r>
          </w:p>
        </w:tc>
        <w:tc>
          <w:tcPr>
            <w:tcW w:w="260" w:type="dxa"/>
            <w:vAlign w:val="bottom"/>
          </w:tcPr>
          <w:p>
            <w:pPr>
              <w:spacing w:after="0"/>
              <w:rPr>
                <w:sz w:val="14"/>
                <w:szCs w:val="14"/>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4"/>
                <w:szCs w:val="14"/>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27"/>
        </w:trPr>
        <w:tc>
          <w:tcPr>
            <w:tcW w:w="3340" w:type="dxa"/>
            <w:vAlign w:val="bottom"/>
            <w:vMerge w:val="restart"/>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3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(1,360,537)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79,464,252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6,505</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7,037,344</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(173,191)</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2,553,824</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9,425,871</w:t>
            </w:r>
          </w:p>
        </w:tc>
        <w:tc>
          <w:tcPr>
            <w:tcW w:w="0" w:type="dxa"/>
            <w:vAlign w:val="bottom"/>
          </w:tcPr>
          <w:p>
            <w:pPr>
              <w:spacing w:after="0"/>
              <w:rPr>
                <w:sz w:val="1"/>
                <w:szCs w:val="1"/>
                <w:color w:val="auto"/>
              </w:rPr>
            </w:pPr>
          </w:p>
        </w:tc>
      </w:tr>
      <w:tr>
        <w:trPr>
          <w:trHeight w:val="211"/>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203,516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203,516</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104,428</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104,428</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307,944</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tcPr>
          <w:p>
            <w:pPr>
              <w:jc w:val="right"/>
              <w:spacing w:after="0"/>
              <w:rPr>
                <w:sz w:val="20"/>
                <w:szCs w:val="20"/>
                <w:color w:val="auto"/>
              </w:rPr>
            </w:pPr>
            <w:r>
              <w:rPr>
                <w:rFonts w:ascii="Arial" w:cs="Arial" w:eastAsia="Arial" w:hAnsi="Arial"/>
                <w:sz w:val="15"/>
                <w:szCs w:val="15"/>
                <w:color w:val="auto"/>
              </w:rPr>
              <w:t>17,901</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1,733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1,734</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Issue of restricted share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5"/>
                <w:szCs w:val="15"/>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15,251</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15,251</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tcPr>
          <w:p>
            <w:pPr>
              <w:jc w:val="right"/>
              <w:spacing w:after="0"/>
              <w:rPr>
                <w:sz w:val="20"/>
                <w:szCs w:val="20"/>
                <w:color w:val="auto"/>
              </w:rPr>
            </w:pPr>
            <w:r>
              <w:rPr>
                <w:rFonts w:ascii="Arial" w:cs="Arial" w:eastAsia="Arial" w:hAnsi="Arial"/>
                <w:sz w:val="15"/>
                <w:szCs w:val="15"/>
                <w:color w:val="auto"/>
              </w:rPr>
              <w:t>(1,717,181)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(117)</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June 30, 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77,772,130</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6,390</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7,054,324</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(68,763)</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2,507,190</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9,500,647</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loss (net of tax):</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120"/>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(284,183)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(284,183)</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(18,181)</w:t>
            </w:r>
          </w:p>
        </w:tc>
        <w:tc>
          <w:tcPr>
            <w:tcW w:w="0" w:type="dxa"/>
            <w:vAlign w:val="bottom"/>
          </w:tcPr>
          <w:p>
            <w:pPr>
              <w:spacing w:after="0"/>
              <w:rPr>
                <w:sz w:val="1"/>
                <w:szCs w:val="1"/>
                <w:color w:val="auto"/>
              </w:rPr>
            </w:pPr>
          </w:p>
        </w:tc>
      </w:tr>
      <w:tr>
        <w:trPr>
          <w:trHeight w:val="211"/>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Loss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(302,364)</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5"/>
                <w:szCs w:val="15"/>
                <w:color w:val="auto"/>
              </w:rPr>
              <w:t>Issue of restricted share units</w:t>
            </w:r>
          </w:p>
        </w:tc>
        <w:tc>
          <w:tcPr>
            <w:tcW w:w="1140" w:type="dxa"/>
            <w:vAlign w:val="bottom"/>
          </w:tcPr>
          <w:p>
            <w:pPr>
              <w:jc w:val="right"/>
              <w:spacing w:after="0"/>
              <w:rPr>
                <w:sz w:val="20"/>
                <w:szCs w:val="20"/>
                <w:color w:val="auto"/>
              </w:rPr>
            </w:pPr>
            <w:r>
              <w:rPr>
                <w:rFonts w:ascii="Arial" w:cs="Arial" w:eastAsia="Arial" w:hAnsi="Arial"/>
                <w:sz w:val="15"/>
                <w:szCs w:val="15"/>
                <w:color w:val="auto"/>
              </w:rPr>
              <w:t>7,304</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44,919</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44,919</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(1,426,612)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76,359,932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6,290</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7,100,059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(86,944)</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1,972,857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8,993,868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163830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6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NINE MONTHS ENDED SEPTEMBER 30, 2026 AND SEPTEMBER 30, 2025</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9605"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36" w:lineRule="exact"/>
        <w:rPr>
          <w:sz w:val="20"/>
          <w:szCs w:val="20"/>
          <w:color w:val="auto"/>
        </w:rPr>
      </w:pPr>
    </w:p>
    <w:p>
      <w:pPr>
        <w:ind w:left="8740"/>
        <w:spacing w:after="0"/>
        <w:rPr>
          <w:sz w:val="20"/>
          <w:szCs w:val="20"/>
          <w:color w:val="auto"/>
        </w:rPr>
      </w:pPr>
      <w:r>
        <w:rPr>
          <w:rFonts w:ascii="Arial" w:cs="Arial" w:eastAsia="Arial" w:hAnsi="Arial"/>
          <w:sz w:val="15"/>
          <w:szCs w:val="15"/>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September 30,</w:t>
            </w:r>
          </w:p>
        </w:tc>
      </w:tr>
      <w:tr>
        <w:trPr>
          <w:trHeight w:val="206"/>
        </w:trPr>
        <w:tc>
          <w:tcPr>
            <w:tcW w:w="70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7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r>
      <w:tr>
        <w:trPr>
          <w:trHeight w:val="219"/>
        </w:trPr>
        <w:tc>
          <w:tcPr>
            <w:tcW w:w="7000" w:type="dxa"/>
            <w:vAlign w:val="bottom"/>
          </w:tcPr>
          <w:p>
            <w:pPr>
              <w:ind w:left="120"/>
              <w:spacing w:after="0"/>
              <w:rPr>
                <w:sz w:val="20"/>
                <w:szCs w:val="20"/>
                <w:color w:val="auto"/>
              </w:rPr>
            </w:pPr>
            <w:r>
              <w:rPr>
                <w:rFonts w:ascii="Arial" w:cs="Arial" w:eastAsia="Arial" w:hAnsi="Arial"/>
                <w:sz w:val="15"/>
                <w:szCs w:val="15"/>
                <w:b w:val="1"/>
                <w:bCs w:val="1"/>
                <w:color w:val="auto"/>
              </w:rPr>
              <w:t>Cash flows provided by operating activities:</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299,463</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80,145</w:t>
            </w:r>
          </w:p>
        </w:tc>
      </w:tr>
      <w:tr>
        <w:trPr>
          <w:trHeight w:val="142"/>
        </w:trPr>
        <w:tc>
          <w:tcPr>
            <w:tcW w:w="7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19"/>
        </w:trPr>
        <w:tc>
          <w:tcPr>
            <w:tcW w:w="70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Depreciation and amortization of intangible assets</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275,520</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292,706</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Goodwill impairment</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364,248</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Impairment of non-financial assets</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101,027</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Impairment of operating right-of-use assets and related property, plant and equipment</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5,573</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Reduction in carrying value of operating right-of-use assets</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34,596</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29,473</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Share of net gains from equity method investments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Loss on disposal of subsidiary undertaking</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32,947</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Amortization of financing costs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4,470</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12,233</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Share-based compensation expense</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63,319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72,529</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Deferred tax benefit</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(32,986)</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(114,257)</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Unrealized foreign exchange movements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(24,963)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24,661</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Other non-cash items</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4,195</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20,561</w:t>
            </w:r>
          </w:p>
        </w:tc>
      </w:tr>
      <w:tr>
        <w:trPr>
          <w:trHeight w:val="220"/>
        </w:trPr>
        <w:tc>
          <w:tcPr>
            <w:tcW w:w="70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Changes in operating assets and liabilities: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(99,754)</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(8,212)</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Unbilled revenue</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64,474</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(157,162)</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Unearned revenue</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235,605</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64,542</w:t>
            </w:r>
          </w:p>
        </w:tc>
      </w:tr>
      <w:tr>
        <w:trPr>
          <w:trHeight w:val="219"/>
        </w:trPr>
        <w:tc>
          <w:tcPr>
            <w:tcW w:w="7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Other net assets</w:t>
            </w:r>
          </w:p>
        </w:tc>
        <w:tc>
          <w:tcPr>
            <w:tcW w:w="1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(63,045)</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21,739</w:t>
            </w:r>
          </w:p>
        </w:tc>
      </w:tr>
      <w:tr>
        <w:trPr>
          <w:trHeight w:val="212"/>
        </w:trPr>
        <w:tc>
          <w:tcPr>
            <w:tcW w:w="7000" w:type="dxa"/>
            <w:vAlign w:val="bottom"/>
          </w:tcPr>
          <w:p>
            <w:pPr>
              <w:ind w:left="120"/>
              <w:spacing w:after="0"/>
              <w:rPr>
                <w:sz w:val="20"/>
                <w:szCs w:val="20"/>
                <w:color w:val="auto"/>
              </w:rPr>
            </w:pPr>
            <w:r>
              <w:rPr>
                <w:rFonts w:ascii="Arial" w:cs="Arial" w:eastAsia="Arial" w:hAnsi="Arial"/>
                <w:sz w:val="15"/>
                <w:szCs w:val="15"/>
                <w:color w:val="auto"/>
              </w:rPr>
              <w:t>Net cash provided by operating activities</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793,414</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802,043</w:t>
            </w:r>
          </w:p>
        </w:tc>
      </w:tr>
      <w:tr>
        <w:trPr>
          <w:trHeight w:val="220"/>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Cash flows used in investing activities: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Purchase of property, plant and equipment</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(111,183)</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(114,885)</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Purchase of subsidiary undertakings (net of cash acquired)</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(2,537)</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Cash outflow on disposal of subsidiary undertaking (including cash sold)</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(57,142)</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investments in equity</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2,114</w:t>
            </w:r>
          </w:p>
        </w:tc>
      </w:tr>
      <w:tr>
        <w:trPr>
          <w:trHeight w:val="218"/>
        </w:trPr>
        <w:tc>
          <w:tcPr>
            <w:tcW w:w="70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Purchase of investments in equity</w:t>
            </w:r>
          </w:p>
        </w:tc>
        <w:tc>
          <w:tcPr>
            <w:tcW w:w="1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(32,939)</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(16,286)</w:t>
            </w:r>
          </w:p>
        </w:tc>
      </w:tr>
      <w:tr>
        <w:trPr>
          <w:trHeight w:val="213"/>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cash used in investing activities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(198,356)</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(131,594)</w:t>
            </w:r>
          </w:p>
        </w:tc>
      </w:tr>
      <w:tr>
        <w:trPr>
          <w:trHeight w:val="219"/>
        </w:trPr>
        <w:tc>
          <w:tcPr>
            <w:tcW w:w="7000" w:type="dxa"/>
            <w:vAlign w:val="bottom"/>
          </w:tcPr>
          <w:p>
            <w:pPr>
              <w:ind w:left="120"/>
              <w:spacing w:after="0"/>
              <w:rPr>
                <w:sz w:val="20"/>
                <w:szCs w:val="20"/>
                <w:color w:val="auto"/>
              </w:rPr>
            </w:pPr>
            <w:r>
              <w:rPr>
                <w:rFonts w:ascii="Arial" w:cs="Arial" w:eastAsia="Arial" w:hAnsi="Arial"/>
                <w:sz w:val="15"/>
                <w:szCs w:val="15"/>
                <w:b w:val="1"/>
                <w:bCs w:val="1"/>
                <w:color w:val="auto"/>
              </w:rPr>
              <w:t>Cash flows used in financing activities:</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Debt issuance costs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(16,679)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Early repayment fee</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(7,841)</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Drawdown of credit lines and loan facilities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2,650,000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Repayment of credit lines and loan facilities</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(2,666,688)</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(72,321)</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shares issued under equity compensation plans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7,319</w:t>
            </w:r>
          </w:p>
        </w:tc>
      </w:tr>
      <w:tr>
        <w:trPr>
          <w:trHeight w:val="218"/>
        </w:trPr>
        <w:tc>
          <w:tcPr>
            <w:tcW w:w="7000" w:type="dxa"/>
            <w:vAlign w:val="bottom"/>
          </w:tcPr>
          <w:p>
            <w:pPr>
              <w:ind w:left="200"/>
              <w:spacing w:after="0"/>
              <w:rPr>
                <w:sz w:val="20"/>
                <w:szCs w:val="20"/>
                <w:color w:val="auto"/>
              </w:rPr>
            </w:pPr>
            <w:r>
              <w:rPr>
                <w:rFonts w:ascii="Arial" w:cs="Arial" w:eastAsia="Arial" w:hAnsi="Arial"/>
                <w:sz w:val="15"/>
                <w:szCs w:val="15"/>
                <w:color w:val="auto"/>
              </w:rPr>
              <w:t>Share issuance costs</w:t>
            </w:r>
          </w:p>
        </w:tc>
        <w:tc>
          <w:tcPr>
            <w:tcW w:w="1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20"/>
        </w:trPr>
        <w:tc>
          <w:tcPr>
            <w:tcW w:w="7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Repurchase of ordinary shares</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r>
      <w:tr>
        <w:trPr>
          <w:trHeight w:val="218"/>
        </w:trPr>
        <w:tc>
          <w:tcPr>
            <w:tcW w:w="70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Share repurchase costs</w:t>
            </w:r>
          </w:p>
        </w:tc>
        <w:tc>
          <w:tcPr>
            <w:tcW w:w="1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w:t>
            </w:r>
          </w:p>
        </w:tc>
      </w:tr>
      <w:tr>
        <w:trPr>
          <w:trHeight w:val="213"/>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cash used in financing activities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(428,237)</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(765,466)</w:t>
            </w:r>
          </w:p>
        </w:tc>
      </w:tr>
      <w:tr>
        <w:trPr>
          <w:trHeight w:val="218"/>
        </w:trPr>
        <w:tc>
          <w:tcPr>
            <w:tcW w:w="70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Effect of exchange rate movements on cash</w:t>
            </w:r>
          </w:p>
        </w:tc>
        <w:tc>
          <w:tcPr>
            <w:tcW w:w="1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25,120</w:t>
            </w:r>
          </w:p>
        </w:tc>
      </w:tr>
      <w:tr>
        <w:trPr>
          <w:trHeight w:val="213"/>
        </w:trPr>
        <w:tc>
          <w:tcPr>
            <w:tcW w:w="70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increase / (decrease) in cash and cash equivalents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161,689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(69,897)</w:t>
            </w:r>
          </w:p>
        </w:tc>
      </w:tr>
      <w:tr>
        <w:trPr>
          <w:trHeight w:val="218"/>
        </w:trPr>
        <w:tc>
          <w:tcPr>
            <w:tcW w:w="70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Cash and cash equivalents at beginning of period</w:t>
            </w:r>
          </w:p>
        </w:tc>
        <w:tc>
          <w:tcPr>
            <w:tcW w:w="1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647,295</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538,785</w:t>
            </w:r>
          </w:p>
        </w:tc>
      </w:tr>
      <w:tr>
        <w:trPr>
          <w:trHeight w:val="238"/>
        </w:trPr>
        <w:tc>
          <w:tcPr>
            <w:tcW w:w="7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Cash and cash equivalents at end of period</w:t>
            </w:r>
          </w:p>
        </w:tc>
        <w:tc>
          <w:tcPr>
            <w:tcW w:w="12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808,984</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468,888</w:t>
            </w:r>
          </w:p>
        </w:tc>
      </w:tr>
      <w:tr>
        <w:trPr>
          <w:trHeight w:val="20"/>
        </w:trPr>
        <w:tc>
          <w:tcPr>
            <w:tcW w:w="7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163830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435"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September 30, 2026</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Basis of presentation</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86"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 xml:space="preserve">The condensed consolidated financial statements should be read in conjunction with the accounting policies and notes to the consolidated financial statements included in ICON’s Annual Report on Form 20-F for the year ended December 31, 2025 (see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Operating results for the nine months ended September 30, 2026 are not necessarily indicative of the results that may be expected for the fiscal period ending December 31, 2026.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4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 significant variability in how economic factors affect these services. Contracts range in duration from a number of months to several years.</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 xml:space="preserve">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Clinical trial service revenue</w:t>
      </w:r>
    </w:p>
    <w:p>
      <w:pPr>
        <w:spacing w:after="0" w:line="25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A clinical trial service is a single performance obligation satisfied over time. It represents the full-service obligation in respect of a clinical trial (including those services performed by investigators and other parties) and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Laboratory services revenue</w:t>
      </w:r>
    </w:p>
    <w:p>
      <w:pPr>
        <w:spacing w:after="0" w:line="24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Revenue is recognized when, or as, obligations under the terms of a contract are satisfied, which occurs when control of the products or services is transferred to the customer. Revenue for laboratory services is measured as the amount of consideration expected to be received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163830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i w:val="1"/>
          <w:iCs w:val="1"/>
          <w:color w:val="auto"/>
        </w:rPr>
        <w:t>Contracting services revenue</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Consulting services revenue</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Commissions</w:t>
      </w:r>
    </w:p>
    <w:p>
      <w:pPr>
        <w:spacing w:after="0" w:line="25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Incremental costs of obtaining a contract are recognized as an asset on the Condensed Consolidated Balance Sheets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measured at fair value at the date of acquisition and amortized on a straight-line basis over their respective estimated useful lives.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no indefinite-lived intangible assets. The Company evaluates its intangible assets for impairment when indicators of impairment exist.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amortized on a straight-line basis over their estimated useful lives, as set forth in the table below:</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211"/>
        </w:trPr>
        <w:tc>
          <w:tcPr>
            <w:tcW w:w="840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820" w:type="dxa"/>
            <w:vAlign w:val="bottom"/>
          </w:tcPr>
          <w:p>
            <w:pPr>
              <w:jc w:val="right"/>
              <w:spacing w:after="0"/>
              <w:rPr>
                <w:sz w:val="20"/>
                <w:szCs w:val="20"/>
                <w:color w:val="auto"/>
              </w:rPr>
            </w:pPr>
            <w:r>
              <w:rPr>
                <w:rFonts w:ascii="Arial" w:cs="Arial" w:eastAsia="Arial" w:hAnsi="Arial"/>
                <w:sz w:val="15"/>
                <w:szCs w:val="15"/>
                <w:color w:val="auto"/>
              </w:rPr>
              <w:t>8 - 23 years</w:t>
            </w:r>
          </w:p>
        </w:tc>
      </w:tr>
      <w:tr>
        <w:trPr>
          <w:trHeight w:val="220"/>
        </w:trPr>
        <w:tc>
          <w:tcPr>
            <w:tcW w:w="8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2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3 - 5 years</w:t>
            </w:r>
          </w:p>
        </w:tc>
      </w:tr>
      <w:tr>
        <w:trPr>
          <w:trHeight w:val="218"/>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Technology assets</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 years</w:t>
            </w:r>
          </w:p>
        </w:tc>
      </w:tr>
    </w:tbl>
    <w:p>
      <w:pPr>
        <w:spacing w:after="0" w:line="29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periodically assesses the estimated useful lives of intangible assets to evaluate whether what was established at acquisition continues to be appropriate.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Investments in equity</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accounts for its interests in equity securities having considered the nature of its investment, the extent of influence over operating and financial decisions and the availability of readily determinable fair values.</w:t>
      </w:r>
    </w:p>
    <w:p>
      <w:pPr>
        <w:spacing w:after="0" w:line="15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investments that are not consolidated are accounted for under the equity method if the Company exercises significant influence. The Company records its pro rata share of the earnings/losses of these investments in share of gains / (losses) from equity method investments in the Condensed Consolidated Statements of Operations. The Company reviews equity method investments for impairment whenever events or changes in circumstances indicate that the carrying amounts may not be recoverable.</w:t>
      </w:r>
    </w:p>
    <w:p>
      <w:pPr>
        <w:spacing w:after="0" w:line="20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determined that its interests in certain funds meet the definition of equity securities without readily determinable fair values and qualify for the Net Asset Value (“NAV”) practical expedient in ASC Topic 820, Fair Value Measurement (“ASC 820”). Any increases or decreases in NAV are recognized in earnings in the period.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Other Investments in equity are measured at cost, less impairment.</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These investments are classified as investments in equity on the Condensed Consolidated Balance Sheets.</w:t>
      </w:r>
    </w:p>
    <w:p>
      <w:pPr>
        <w:sectPr>
          <w:pgSz w:w="11900" w:h="16838" w:orient="portrait"/>
          <w:cols w:equalWidth="0" w:num="1">
            <w:col w:w="11240"/>
          </w:cols>
          <w:pgMar w:left="320" w:top="8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4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Sheets. The Company accounts for the impact of Global Intangible Low-Taxed Income ("GILTI") in the period it arises and has therefore not provided for deferred taxes in respect of this item.</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Disposal of subsidiary undertaking</w:t>
      </w:r>
    </w:p>
    <w:p>
      <w:pPr>
        <w:spacing w:after="0" w:line="25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Where there is a loss of control over a subsidiary, the Company de-consolidates the entity as of the date the Company ceases to have a controlling financial interest. The Company accounts for the de-consolidation of a subsidiary by recognizing a gain or loss in the Condensed Consolidated Statements of Operations, measured as the difference between the aggregate of the fair value of the consideration received and the carrying amount of the former subsidiary’s assets and liabilities.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Revenue</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 disaggregated by customer concentration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5"/>
                <w:szCs w:val="15"/>
                <w:color w:val="auto"/>
              </w:rPr>
              <w:t>Clients 1-5</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480,214</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501,343</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1,483,064</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1,499,847</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6-10</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306,817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308,045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927,675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890,203</w:t>
            </w:r>
          </w:p>
        </w:tc>
      </w:tr>
      <w:tr>
        <w:trPr>
          <w:trHeight w:val="218"/>
        </w:trPr>
        <w:tc>
          <w:tcPr>
            <w:tcW w:w="5120" w:type="dxa"/>
            <w:vAlign w:val="bottom"/>
          </w:tcPr>
          <w:p>
            <w:pPr>
              <w:ind w:left="20"/>
              <w:spacing w:after="0"/>
              <w:rPr>
                <w:sz w:val="20"/>
                <w:szCs w:val="20"/>
                <w:color w:val="auto"/>
              </w:rPr>
            </w:pPr>
            <w:r>
              <w:rPr>
                <w:rFonts w:ascii="Arial" w:cs="Arial" w:eastAsia="Arial" w:hAnsi="Arial"/>
                <w:sz w:val="15"/>
                <w:szCs w:val="15"/>
                <w:color w:val="auto"/>
              </w:rPr>
              <w:t>Clients 11-25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490,378</w:t>
            </w:r>
          </w:p>
        </w:tc>
        <w:tc>
          <w:tcPr>
            <w:tcW w:w="28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541,879</w:t>
            </w:r>
          </w:p>
        </w:tc>
        <w:tc>
          <w:tcPr>
            <w:tcW w:w="3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1,466,245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1,546,626</w:t>
            </w:r>
          </w:p>
        </w:tc>
      </w:tr>
      <w:tr>
        <w:trPr>
          <w:trHeight w:val="21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747,348</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733,148</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2,245,258</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2,202,147</w:t>
            </w:r>
          </w:p>
        </w:tc>
      </w:tr>
      <w:tr>
        <w:trPr>
          <w:trHeight w:val="21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2,024,757</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2,084,415</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6,122,242</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6,138,823</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There was no revenue from individual customers greater than 10% of consolidated revenue in the respective periods. Clients presented in each period are specific to the period referenced.</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Accounts receivable, unbilled revenue (contract assets) and unearned revenue or payments on account (contract liabilities)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Accounts receivables and unbilled revenue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4520" w:type="dxa"/>
            <w:vAlign w:val="bottom"/>
            <w:tcBorders>
              <w:bottom w:val="single" w:sz="8" w:color="auto"/>
            </w:tcBorders>
            <w:shd w:val="clear" w:color="auto" w:fill="CCEEFF"/>
          </w:tcPr>
          <w:p>
            <w:pPr>
              <w:spacing w:after="0"/>
              <w:rPr>
                <w:sz w:val="17"/>
                <w:szCs w:val="17"/>
                <w:color w:val="auto"/>
              </w:rPr>
            </w:pPr>
          </w:p>
        </w:tc>
        <w:tc>
          <w:tcPr>
            <w:tcW w:w="39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2026</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45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74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(Billed services)</w:t>
            </w:r>
          </w:p>
        </w:tc>
        <w:tc>
          <w:tcPr>
            <w:tcW w:w="39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1,550,525</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1,517,217</w:t>
            </w:r>
          </w:p>
        </w:tc>
      </w:tr>
      <w:tr>
        <w:trPr>
          <w:trHeight w:val="218"/>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Allowance for credit losses</w:t>
            </w:r>
          </w:p>
        </w:tc>
        <w:tc>
          <w:tcPr>
            <w:tcW w:w="3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(40,480)</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(42,319)</w:t>
            </w: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3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1,510,045</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1,474,898</w:t>
            </w:r>
          </w:p>
        </w:tc>
      </w:tr>
      <w:tr>
        <w:trPr>
          <w:trHeight w:val="218"/>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Unbilled revenue (Unbilled services)</w:t>
            </w:r>
          </w:p>
        </w:tc>
        <w:tc>
          <w:tcPr>
            <w:tcW w:w="3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1,023,170</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1,096,592</w:t>
            </w:r>
          </w:p>
        </w:tc>
      </w:tr>
      <w:tr>
        <w:trPr>
          <w:trHeight w:val="237"/>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Accounts receivable and unbilled revenue, net</w:t>
            </w:r>
          </w:p>
        </w:tc>
        <w:tc>
          <w:tcPr>
            <w:tcW w:w="3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2,533,215</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2,571,490</w:t>
            </w: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4520" w:type="dxa"/>
            <w:vAlign w:val="bottom"/>
          </w:tcPr>
          <w:p>
            <w:pPr>
              <w:spacing w:after="0"/>
              <w:rPr>
                <w:sz w:val="24"/>
                <w:szCs w:val="24"/>
                <w:color w:val="auto"/>
              </w:rPr>
            </w:pPr>
          </w:p>
        </w:tc>
        <w:tc>
          <w:tcPr>
            <w:tcW w:w="3980" w:type="dxa"/>
            <w:vAlign w:val="bottom"/>
          </w:tcPr>
          <w:p>
            <w:pPr>
              <w:jc w:val="right"/>
              <w:ind w:right="2403"/>
              <w:spacing w:after="0"/>
              <w:rPr>
                <w:sz w:val="20"/>
                <w:szCs w:val="20"/>
                <w:color w:val="auto"/>
              </w:rPr>
            </w:pPr>
            <w:r>
              <w:rPr>
                <w:rFonts w:ascii="Arial" w:cs="Arial" w:eastAsia="Arial" w:hAnsi="Arial"/>
                <w:sz w:val="15"/>
                <w:szCs w:val="15"/>
                <w:color w:val="auto"/>
              </w:rPr>
              <w:t>12</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2"/>
        </w:trPr>
        <w:tc>
          <w:tcPr>
            <w:tcW w:w="4520" w:type="dxa"/>
            <w:vAlign w:val="bottom"/>
            <w:tcBorders>
              <w:bottom w:val="single" w:sz="8" w:color="9A9A9A"/>
            </w:tcBorders>
          </w:tcPr>
          <w:p>
            <w:pPr>
              <w:spacing w:after="0"/>
              <w:rPr>
                <w:sz w:val="21"/>
                <w:szCs w:val="21"/>
                <w:color w:val="auto"/>
              </w:rPr>
            </w:pPr>
          </w:p>
        </w:tc>
        <w:tc>
          <w:tcPr>
            <w:tcW w:w="398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12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5"/>
          <w:szCs w:val="15"/>
          <w:color w:val="auto"/>
        </w:rPr>
        <w:t>Unbilled services and unearned revenue or payments on account (contract assets and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 Change</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 Change</w:t>
            </w:r>
          </w:p>
        </w:tc>
      </w:tr>
      <w:tr>
        <w:trPr>
          <w:trHeight w:val="206"/>
        </w:trPr>
        <w:tc>
          <w:tcPr>
            <w:tcW w:w="40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2026</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r>
      <w:tr>
        <w:trPr>
          <w:trHeight w:val="212"/>
        </w:trPr>
        <w:tc>
          <w:tcPr>
            <w:tcW w:w="4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3"/>
          </w:tcPr>
          <w:p>
            <w:pPr>
              <w:jc w:val="center"/>
              <w:ind w:right="403"/>
              <w:spacing w:after="0"/>
              <w:rPr>
                <w:sz w:val="20"/>
                <w:szCs w:val="20"/>
                <w:color w:val="auto"/>
              </w:rPr>
            </w:pPr>
            <w:r>
              <w:rPr>
                <w:rFonts w:ascii="Arial" w:cs="Arial" w:eastAsia="Arial" w:hAnsi="Arial"/>
                <w:sz w:val="15"/>
                <w:szCs w:val="15"/>
                <w:b w:val="1"/>
                <w:bCs w:val="1"/>
                <w:color w:val="auto"/>
              </w:rPr>
              <w:t>(in thousands, except percentages)</w:t>
            </w:r>
          </w:p>
        </w:tc>
        <w:tc>
          <w:tcPr>
            <w:tcW w:w="1180" w:type="dxa"/>
            <w:vAlign w:val="bottom"/>
          </w:tcPr>
          <w:p>
            <w:pPr>
              <w:spacing w:after="0"/>
              <w:rPr>
                <w:sz w:val="18"/>
                <w:szCs w:val="18"/>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Unbilled revenue (Unbilled services)</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1,023,170</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1,096,592</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(73,422)</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1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Unearned revenue (Payments on account)</w:t>
            </w:r>
          </w:p>
        </w:tc>
        <w:tc>
          <w:tcPr>
            <w:tcW w:w="1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(1,727,355)</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(1,550,471)</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(176,884)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11.4 %</w:t>
            </w:r>
          </w:p>
        </w:tc>
      </w:tr>
    </w:tbl>
    <w:p>
      <w:pPr>
        <w:spacing w:after="0" w:line="2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Condensed Consolidated Balance Sheet.</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Unbilled services as at September 30, 2026 decreased by $73.4 million compared to December 31, 2025. Unearned revenue increased by $176.9 million compared to December 31, 2025.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As of September 30, 2026, approximately $16.4 billion (December 31, 2025: $14.9 billion) of revenue is expected to be recognized in the future in respect of unsatisfied performance obligations. The Company expects to recognize revenue on approximately 47% of the unsatisfied performance obligations over the next 12 months (December 31, 2025: 48%), with the remainder expected to be recognized thereafter over the duration of the customer contracts.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Goodwill</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 in the carrying amount of goodwill between December 31, 2025 and September 30, 2026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spacing w:after="0"/>
              <w:rPr>
                <w:sz w:val="17"/>
                <w:szCs w:val="17"/>
                <w:color w:val="auto"/>
              </w:rPr>
            </w:pPr>
          </w:p>
        </w:tc>
        <w:tc>
          <w:tcPr>
            <w:tcW w:w="1520" w:type="dxa"/>
            <w:vAlign w:val="bottom"/>
            <w:tcBorders>
              <w:bottom w:val="single" w:sz="8" w:color="auto"/>
            </w:tcBorders>
            <w:gridSpan w:val="2"/>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60"/>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3"/>
                <w:szCs w:val="13"/>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Opening balance</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8,731,689</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9,051,410</w:t>
            </w:r>
          </w:p>
        </w:tc>
        <w:tc>
          <w:tcPr>
            <w:tcW w:w="0" w:type="dxa"/>
            <w:vAlign w:val="bottom"/>
          </w:tcPr>
          <w:p>
            <w:pPr>
              <w:spacing w:after="0"/>
              <w:rPr>
                <w:sz w:val="1"/>
                <w:szCs w:val="1"/>
                <w:color w:val="auto"/>
              </w:rPr>
            </w:pP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Prior period acquisition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c>
          <w:tcPr>
            <w:tcW w:w="0" w:type="dxa"/>
            <w:vAlign w:val="bottom"/>
          </w:tcPr>
          <w:p>
            <w:pPr>
              <w:spacing w:after="0"/>
              <w:rPr>
                <w:sz w:val="1"/>
                <w:szCs w:val="1"/>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Impairment</w:t>
            </w:r>
          </w:p>
        </w:tc>
        <w:tc>
          <w:tcPr>
            <w:tcW w:w="28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(364,248)</w:t>
            </w:r>
          </w:p>
        </w:tc>
        <w:tc>
          <w:tcPr>
            <w:tcW w:w="0" w:type="dxa"/>
            <w:vAlign w:val="bottom"/>
          </w:tcPr>
          <w:p>
            <w:pPr>
              <w:spacing w:after="0"/>
              <w:rPr>
                <w:sz w:val="1"/>
                <w:szCs w:val="1"/>
                <w:color w:val="auto"/>
              </w:rPr>
            </w:pPr>
          </w:p>
        </w:tc>
      </w:tr>
      <w:tr>
        <w:trPr>
          <w:trHeight w:val="219"/>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exchange movement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(9,778)</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39,418</w:t>
            </w:r>
          </w:p>
        </w:tc>
        <w:tc>
          <w:tcPr>
            <w:tcW w:w="0" w:type="dxa"/>
            <w:vAlign w:val="bottom"/>
          </w:tcPr>
          <w:p>
            <w:pPr>
              <w:spacing w:after="0"/>
              <w:rPr>
                <w:sz w:val="1"/>
                <w:szCs w:val="1"/>
                <w:color w:val="auto"/>
              </w:rPr>
            </w:pPr>
          </w:p>
        </w:tc>
      </w:tr>
      <w:tr>
        <w:trPr>
          <w:trHeight w:val="212"/>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Closing balance</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8,721,911</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8,731,689</w:t>
            </w:r>
          </w:p>
        </w:tc>
        <w:tc>
          <w:tcPr>
            <w:tcW w:w="0" w:type="dxa"/>
            <w:vAlign w:val="bottom"/>
          </w:tcPr>
          <w:p>
            <w:pPr>
              <w:spacing w:after="0"/>
              <w:rPr>
                <w:sz w:val="1"/>
                <w:szCs w:val="1"/>
                <w:color w:val="auto"/>
              </w:rPr>
            </w:pP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 xml:space="preserve">There were no impairment charges during the nine months ended September 30, 2026 (during the year ended December 31, 2025: $364.2 million related to the Company's former Data Solutions reporting unit). The Data Solutions reporting unit comprised of Symphony, was disposed of on May 8, 2026. Refer to Note 17 </w:t>
      </w:r>
      <w:r>
        <w:rPr>
          <w:rFonts w:ascii="Arial" w:cs="Arial" w:eastAsia="Arial" w:hAnsi="Arial"/>
          <w:sz w:val="15"/>
          <w:szCs w:val="15"/>
          <w:i w:val="1"/>
          <w:iCs w:val="1"/>
          <w:color w:val="auto"/>
        </w:rPr>
        <w:t>Disposal of subsidiary undertaking</w:t>
      </w:r>
      <w:r>
        <w:rPr>
          <w:rFonts w:ascii="Arial" w:cs="Arial" w:eastAsia="Arial" w:hAnsi="Arial"/>
          <w:sz w:val="15"/>
          <w:szCs w:val="15"/>
          <w:color w:val="auto"/>
        </w:rPr>
        <w:t xml:space="preserve"> for details on the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163830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6. Intangible assets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carrying amount of intangible assets as of September 30, 2026 and December 31, 2025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5020" w:type="dxa"/>
            <w:vAlign w:val="bottom"/>
            <w:tcBorders>
              <w:bottom w:val="single" w:sz="8" w:color="auto"/>
            </w:tcBorders>
            <w:shd w:val="clear" w:color="auto" w:fill="CCEEFF"/>
          </w:tcPr>
          <w:p>
            <w:pPr>
              <w:spacing w:after="0"/>
              <w:rPr>
                <w:sz w:val="17"/>
                <w:szCs w:val="17"/>
                <w:color w:val="auto"/>
              </w:rPr>
            </w:pPr>
          </w:p>
        </w:tc>
        <w:tc>
          <w:tcPr>
            <w:tcW w:w="34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2026</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0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74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w:t>
            </w:r>
          </w:p>
        </w:tc>
        <w:tc>
          <w:tcPr>
            <w:tcW w:w="3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50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34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4,114,252</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4,134,478</w:t>
            </w:r>
          </w:p>
        </w:tc>
      </w:tr>
      <w:tr>
        <w:trPr>
          <w:trHeight w:val="220"/>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3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544,514</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546,054</w:t>
            </w:r>
          </w:p>
        </w:tc>
      </w:tr>
      <w:tr>
        <w:trPr>
          <w:trHeight w:val="218"/>
        </w:trPr>
        <w:tc>
          <w:tcPr>
            <w:tcW w:w="5020" w:type="dxa"/>
            <w:vAlign w:val="bottom"/>
          </w:tcPr>
          <w:p>
            <w:pPr>
              <w:ind w:left="20"/>
              <w:spacing w:after="0"/>
              <w:rPr>
                <w:sz w:val="20"/>
                <w:szCs w:val="20"/>
                <w:color w:val="auto"/>
              </w:rPr>
            </w:pPr>
            <w:r>
              <w:rPr>
                <w:rFonts w:ascii="Arial" w:cs="Arial" w:eastAsia="Arial" w:hAnsi="Arial"/>
                <w:sz w:val="15"/>
                <w:szCs w:val="15"/>
                <w:color w:val="auto"/>
              </w:rPr>
              <w:t>Trade names &amp; brands</w:t>
            </w:r>
          </w:p>
        </w:tc>
        <w:tc>
          <w:tcPr>
            <w:tcW w:w="348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189,686</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204,721</w:t>
            </w:r>
          </w:p>
        </w:tc>
      </w:tr>
      <w:tr>
        <w:trPr>
          <w:trHeight w:val="220"/>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Patient database</w:t>
            </w:r>
          </w:p>
        </w:tc>
        <w:tc>
          <w:tcPr>
            <w:tcW w:w="3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2,463</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170,511</w:t>
            </w:r>
          </w:p>
        </w:tc>
      </w:tr>
      <w:tr>
        <w:trPr>
          <w:trHeight w:val="218"/>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Technology assets</w:t>
            </w:r>
          </w:p>
        </w:tc>
        <w:tc>
          <w:tcPr>
            <w:tcW w:w="3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116,466</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151,754</w:t>
            </w:r>
          </w:p>
        </w:tc>
      </w:tr>
      <w:tr>
        <w:trPr>
          <w:trHeight w:val="213"/>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cost</w:t>
            </w:r>
          </w:p>
        </w:tc>
        <w:tc>
          <w:tcPr>
            <w:tcW w:w="3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4,967,381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5,207,518</w:t>
            </w:r>
          </w:p>
        </w:tc>
      </w:tr>
      <w:tr>
        <w:trPr>
          <w:trHeight w:val="218"/>
        </w:trPr>
        <w:tc>
          <w:tcPr>
            <w:tcW w:w="5020" w:type="dxa"/>
            <w:vAlign w:val="bottom"/>
          </w:tcPr>
          <w:p>
            <w:pPr>
              <w:ind w:left="20"/>
              <w:spacing w:after="0"/>
              <w:rPr>
                <w:sz w:val="20"/>
                <w:szCs w:val="20"/>
                <w:color w:val="auto"/>
              </w:rPr>
            </w:pPr>
            <w:r>
              <w:rPr>
                <w:rFonts w:ascii="Arial" w:cs="Arial" w:eastAsia="Arial" w:hAnsi="Arial"/>
                <w:sz w:val="15"/>
                <w:szCs w:val="15"/>
                <w:color w:val="auto"/>
              </w:rPr>
              <w:t>Accumulated amortization</w:t>
            </w:r>
          </w:p>
        </w:tc>
        <w:tc>
          <w:tcPr>
            <w:tcW w:w="3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(1,867,115)</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(1,873,663)</w:t>
            </w:r>
          </w:p>
        </w:tc>
      </w:tr>
      <w:tr>
        <w:trPr>
          <w:trHeight w:val="219"/>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Impairment</w:t>
            </w:r>
          </w:p>
        </w:tc>
        <w:tc>
          <w:tcPr>
            <w:tcW w:w="3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(86,737)</w:t>
            </w:r>
          </w:p>
        </w:tc>
      </w:tr>
      <w:tr>
        <w:trPr>
          <w:trHeight w:val="212"/>
        </w:trPr>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Net book value</w:t>
            </w:r>
          </w:p>
        </w:tc>
        <w:tc>
          <w:tcPr>
            <w:tcW w:w="34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3,100,266</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3,247,118</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the three months ended September 30, 2026, the amortization expense recognized by the Company was $46.2 million (three months ended September 30, 2025: $58.7 million).</w:t>
      </w:r>
    </w:p>
    <w:p>
      <w:pPr>
        <w:spacing w:after="0" w:line="15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the nine months ended September 30, 2026, the amortization expense recognized by the Company was $146.6 million (nine months ended September 30, 2025: $176.7 million and year ended December 31, 2025: $227.2 million).</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additions to intangible assets during the nine months ended September 30,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Fair value measurements</w:t>
      </w:r>
    </w:p>
    <w:p>
      <w:pPr>
        <w:spacing w:after="0" w:line="25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does not have any assets or liabilities that are regularly measured at fair value. The carrying amounts of financial instruments, including cash and cash equivalents, accounts receivable and accounts payable approximate fair value due to the short maturities of these instruments.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Non-recurring fair value measurements</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Certain assets and liabilities are carried on the accompanying Condensed Consolidated Balance Sheet and are not re-measured to fair value on a recurring basis. These assets include investments in equity (see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finite-lived intangible assets that are tested for impairment when a triggering event occurs and goodwill that is tested for impairment annually or when a triggering event occurs. As of September 30, 2026, assets carried on the Condensed Consolidated Balance Sheet which are not re-measured to fair value on a recurring basis totaled $11,943.5 million (December 31, 2025: $12,060.9 million). These assets are comprised of goodwill of $8,721.9 million (December 31, 2025: $8,731.7 million), intangible assets of $3,100.3 million (December 31, 2025: $3,247.1 million) and investments in equity of $121.3 million (December 31, 2025: $82.1 million).</w:t>
      </w:r>
    </w:p>
    <w:p>
      <w:pPr>
        <w:spacing w:after="0" w:line="18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estimated fair value of the Company’s debt was $3,328.1 million at September 30, 2026 (December 31, 2025: $3,500.1 million). The fair value of the Company's debt was determined based on rates at which the debt instruments are traded among financial institutions.</w:t>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163830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8. Restructuring</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In the nine months ended September 30, 2026, restructuring and related costs of $49.1 million were recorded in the Condensed Consolidated Statements of Operations consisting of (1) a workforce reduction costs of $32.5 million included in restructuring with, (2) a further $9.2 million of accelerated amortization of right-of-use assets and related contract costs to optimize the Company's office footprint which is recorded within selling, general and administrative expenses in addition to related accelerated depreciation of $7.4 million recorded within depreciation and amortization of intangible assets.</w:t>
      </w:r>
    </w:p>
    <w:p>
      <w:pPr>
        <w:spacing w:after="0" w:line="18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nine months ended September 30, 2025 a $82.3 million restructuring charge was recorded, which reflected a workforce reduction of $75.6 million and an office consolidation program to optimize the Company's office footprint of $6.7 million, being the impairment of operating right-off-use assets and related property plant and equipment of $5.6 million and onerous contract costs of $1.1 million.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gridSpan w:val="3"/>
            <w:shd w:val="clear" w:color="auto" w:fill="CCEEFF"/>
          </w:tcPr>
          <w:p>
            <w:pPr>
              <w:jc w:val="right"/>
              <w:ind w:right="723"/>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8"/>
        </w:trPr>
        <w:tc>
          <w:tcPr>
            <w:tcW w:w="5140" w:type="dxa"/>
            <w:vAlign w:val="bottom"/>
          </w:tcPr>
          <w:p>
            <w:pPr>
              <w:ind w:left="20"/>
              <w:spacing w:after="0"/>
              <w:rPr>
                <w:sz w:val="20"/>
                <w:szCs w:val="20"/>
                <w:color w:val="auto"/>
              </w:rPr>
            </w:pPr>
            <w:r>
              <w:rPr>
                <w:rFonts w:ascii="Arial" w:cs="Arial" w:eastAsia="Arial" w:hAnsi="Arial"/>
                <w:sz w:val="15"/>
                <w:szCs w:val="15"/>
                <w:color w:val="auto"/>
              </w:rPr>
              <w:t>Restructuring</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1,486</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Pr>
          <w:p>
            <w:pPr>
              <w:ind w:left="100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32,466</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82,296</w:t>
            </w:r>
          </w:p>
        </w:tc>
      </w:tr>
      <w:tr>
        <w:trPr>
          <w:trHeight w:val="21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Restructuring related costs*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16,650</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16,650</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restructuring and related costs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18,136</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49,116</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82,296</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costs for the three months ended and nine months ended September 30, 2026 include an $8.2 million charge relating to accelerated amortization of operating right-of-use assets and a $1.0 million charge on related contract costs recorded within selling, general and administrative expenses, in addition to an accelerated depreciation charge on related property plant and equipment of $7.4 million which was recorded within depreciation and amortization of intangible assets in Condensed Consolidated Statements of Operations.</w:t>
      </w:r>
    </w:p>
    <w:p>
      <w:pPr>
        <w:spacing w:after="0" w:line="19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At September 30, 2026, a total liability of $13.8 million (December 31, 2025: $12.5 million) was recorded on the Condensed Consolidated Balance Sheets relating to restructuring activities.</w:t>
      </w:r>
    </w:p>
    <w:tbl>
      <w:tblPr>
        <w:tblLayout w:type="fixed"/>
        <w:tblInd w:w="0" w:type="dxa"/>
        <w:tblCellMar>
          <w:top w:w="0" w:type="dxa"/>
          <w:left w:w="0" w:type="dxa"/>
          <w:bottom w:w="0" w:type="dxa"/>
          <w:right w:w="0" w:type="dxa"/>
        </w:tblCellMar>
      </w:tblPr>
      <w:tr>
        <w:trPr>
          <w:trHeight w:val="163"/>
        </w:trPr>
        <w:tc>
          <w:tcPr>
            <w:tcW w:w="822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spacing w:after="0"/>
              <w:rPr>
                <w:sz w:val="17"/>
                <w:szCs w:val="17"/>
                <w:color w:val="auto"/>
              </w:rPr>
            </w:pPr>
          </w:p>
        </w:tc>
        <w:tc>
          <w:tcPr>
            <w:tcW w:w="1520" w:type="dxa"/>
            <w:vAlign w:val="bottom"/>
            <w:tcBorders>
              <w:bottom w:val="single" w:sz="8" w:color="auto"/>
            </w:tcBorders>
            <w:gridSpan w:val="2"/>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60"/>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700"/>
              <w:spacing w:after="0"/>
              <w:rPr>
                <w:sz w:val="20"/>
                <w:szCs w:val="20"/>
                <w:color w:val="auto"/>
              </w:rPr>
            </w:pPr>
            <w:r>
              <w:rPr>
                <w:rFonts w:ascii="Arial" w:cs="Arial" w:eastAsia="Arial" w:hAnsi="Arial"/>
                <w:sz w:val="15"/>
                <w:szCs w:val="15"/>
                <w:b w:val="1"/>
                <w:bCs w:val="1"/>
                <w:color w:val="auto"/>
              </w:rPr>
              <w:t>(in thousands)</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20" w:type="dxa"/>
            <w:vAlign w:val="bottom"/>
          </w:tcPr>
          <w:p>
            <w:pPr>
              <w:ind w:left="20"/>
              <w:spacing w:after="0"/>
              <w:rPr>
                <w:sz w:val="20"/>
                <w:szCs w:val="20"/>
                <w:color w:val="auto"/>
              </w:rPr>
            </w:pPr>
            <w:r>
              <w:rPr>
                <w:rFonts w:ascii="Arial" w:cs="Arial" w:eastAsia="Arial" w:hAnsi="Arial"/>
                <w:sz w:val="15"/>
                <w:szCs w:val="15"/>
                <w:color w:val="auto"/>
              </w:rPr>
              <w:t>Opening provision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ind w:left="700"/>
              <w:spacing w:after="0"/>
              <w:rPr>
                <w:sz w:val="20"/>
                <w:szCs w:val="20"/>
                <w:color w:val="auto"/>
              </w:rPr>
            </w:pPr>
            <w:r>
              <w:rPr>
                <w:rFonts w:ascii="Arial" w:cs="Arial" w:eastAsia="Arial" w:hAnsi="Arial"/>
                <w:sz w:val="15"/>
                <w:szCs w:val="15"/>
                <w:color w:val="auto"/>
              </w:rPr>
              <w:t>12,525</w:t>
            </w: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center"/>
              <w:ind w:left="103"/>
              <w:spacing w:after="0"/>
              <w:rPr>
                <w:sz w:val="20"/>
                <w:szCs w:val="20"/>
                <w:color w:val="auto"/>
              </w:rPr>
            </w:pPr>
            <w:r>
              <w:rPr>
                <w:rFonts w:ascii="Arial" w:cs="Arial" w:eastAsia="Arial" w:hAnsi="Arial"/>
                <w:sz w:val="15"/>
                <w:szCs w:val="15"/>
                <w:color w:val="auto"/>
              </w:rPr>
              <w:t>31,474</w:t>
            </w:r>
          </w:p>
        </w:tc>
        <w:tc>
          <w:tcPr>
            <w:tcW w:w="0" w:type="dxa"/>
            <w:vAlign w:val="bottom"/>
          </w:tcPr>
          <w:p>
            <w:pPr>
              <w:spacing w:after="0"/>
              <w:rPr>
                <w:sz w:val="1"/>
                <w:szCs w:val="1"/>
                <w:color w:val="auto"/>
              </w:rPr>
            </w:pP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Charge during the period, net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Arial" w:cs="Arial" w:eastAsia="Arial" w:hAnsi="Arial"/>
                <w:sz w:val="15"/>
                <w:szCs w:val="15"/>
                <w:color w:val="auto"/>
              </w:rPr>
              <w:t>33,458</w:t>
            </w:r>
          </w:p>
        </w:tc>
        <w:tc>
          <w:tcPr>
            <w:tcW w:w="7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103"/>
              <w:spacing w:after="0"/>
              <w:rPr>
                <w:sz w:val="20"/>
                <w:szCs w:val="20"/>
                <w:color w:val="auto"/>
              </w:rPr>
            </w:pPr>
            <w:r>
              <w:rPr>
                <w:rFonts w:ascii="Arial" w:cs="Arial" w:eastAsia="Arial" w:hAnsi="Arial"/>
                <w:sz w:val="15"/>
                <w:szCs w:val="15"/>
                <w:color w:val="auto"/>
              </w:rPr>
              <w:t>75,386</w:t>
            </w:r>
          </w:p>
        </w:tc>
        <w:tc>
          <w:tcPr>
            <w:tcW w:w="0" w:type="dxa"/>
            <w:vAlign w:val="bottom"/>
          </w:tcPr>
          <w:p>
            <w:pPr>
              <w:spacing w:after="0"/>
              <w:rPr>
                <w:sz w:val="1"/>
                <w:szCs w:val="1"/>
                <w:color w:val="auto"/>
              </w:rPr>
            </w:pPr>
          </w:p>
        </w:tc>
      </w:tr>
      <w:tr>
        <w:trPr>
          <w:trHeight w:val="218"/>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Utilization</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(32,232)</w:t>
            </w: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rPr>
              <w:t>(94,335)</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provision</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13,751</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center"/>
              <w:ind w:left="103"/>
              <w:spacing w:after="0"/>
              <w:rPr>
                <w:sz w:val="20"/>
                <w:szCs w:val="20"/>
                <w:color w:val="auto"/>
              </w:rPr>
            </w:pPr>
            <w:r>
              <w:rPr>
                <w:rFonts w:ascii="Arial" w:cs="Arial" w:eastAsia="Arial" w:hAnsi="Arial"/>
                <w:sz w:val="15"/>
                <w:szCs w:val="15"/>
                <w:color w:val="auto"/>
              </w:rPr>
              <w:t>12,525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charge, net for the nine months ended September 30, 2026 reflects the workforce reduction of $32.5 million (December 31, 2025: $74.6 million)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restructuring related contract costs of $1.0 million (December 31, 2025: $0.8 million).</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closing provision as of September 30, 2026 of $13.8 million (December 31, 2025: $12.5 million) reflects:</w:t>
      </w:r>
    </w:p>
    <w:p>
      <w:pPr>
        <w:spacing w:after="0" w:line="240" w:lineRule="exact"/>
        <w:rPr>
          <w:sz w:val="20"/>
          <w:szCs w:val="20"/>
          <w:color w:val="auto"/>
        </w:rPr>
      </w:pPr>
    </w:p>
    <w:p>
      <w:pPr>
        <w:ind w:firstLine="622"/>
        <w:spacing w:after="0" w:line="312" w:lineRule="auto"/>
        <w:tabs>
          <w:tab w:leader="none" w:pos="851" w:val="left"/>
        </w:tabs>
        <w:numPr>
          <w:ilvl w:val="0"/>
          <w:numId w:val="2"/>
        </w:numPr>
        <w:rPr>
          <w:rFonts w:ascii="Arial" w:cs="Arial" w:eastAsia="Arial" w:hAnsi="Arial"/>
          <w:sz w:val="15"/>
          <w:szCs w:val="15"/>
          <w:color w:val="auto"/>
        </w:rPr>
      </w:pPr>
      <w:r>
        <w:rPr>
          <w:rFonts w:ascii="Arial" w:cs="Arial" w:eastAsia="Arial" w:hAnsi="Arial"/>
          <w:sz w:val="15"/>
          <w:szCs w:val="15"/>
          <w:color w:val="auto"/>
        </w:rPr>
        <w:t>$11.0 million (December 31, 2025: $9.1 million) of personnel related liabilities as a result of the workforce reduction; all of which have been classified as current within Other Liabilities, and</w:t>
      </w:r>
    </w:p>
    <w:p>
      <w:pPr>
        <w:spacing w:after="0" w:line="170" w:lineRule="exact"/>
        <w:rPr>
          <w:rFonts w:ascii="Arial" w:cs="Arial" w:eastAsia="Arial" w:hAnsi="Arial"/>
          <w:sz w:val="15"/>
          <w:szCs w:val="15"/>
          <w:color w:val="auto"/>
        </w:rPr>
      </w:pPr>
    </w:p>
    <w:p>
      <w:pPr>
        <w:ind w:firstLine="622"/>
        <w:spacing w:after="0" w:line="330" w:lineRule="auto"/>
        <w:tabs>
          <w:tab w:leader="none" w:pos="864" w:val="left"/>
        </w:tabs>
        <w:numPr>
          <w:ilvl w:val="0"/>
          <w:numId w:val="2"/>
        </w:numPr>
        <w:rPr>
          <w:rFonts w:ascii="Arial" w:cs="Arial" w:eastAsia="Arial" w:hAnsi="Arial"/>
          <w:sz w:val="15"/>
          <w:szCs w:val="15"/>
          <w:color w:val="auto"/>
        </w:rPr>
      </w:pPr>
      <w:r>
        <w:rPr>
          <w:rFonts w:ascii="Arial" w:cs="Arial" w:eastAsia="Arial" w:hAnsi="Arial"/>
          <w:sz w:val="15"/>
          <w:szCs w:val="15"/>
          <w:color w:val="auto"/>
        </w:rPr>
        <w:t>$2.8 million (December 31, 2025: $3.4 million) of facilities related liabilities of which $0.9 million (December 31, 2025: $1.3 million) is included within Other Liabilities and $1.9 million (December 31, 2025: $2.1 million) is included within Non-Current Other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9. Operating leases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Lease costs recorded under operating leases for three and nine months ended September 30, 2026 and September 30, 2025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92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5"/>
                <w:szCs w:val="15"/>
                <w:color w:val="auto"/>
              </w:rPr>
              <w:t>Operating lease costs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18,442</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12,378</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39,856</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35,046</w:t>
            </w:r>
          </w:p>
        </w:tc>
      </w:tr>
      <w:tr>
        <w:trPr>
          <w:trHeight w:val="219"/>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sub-leases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(1,297)</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(2,524)</w:t>
            </w:r>
          </w:p>
        </w:tc>
      </w:tr>
      <w:tr>
        <w:trPr>
          <w:trHeight w:val="21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operating lease costs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18,030</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11,473</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38,559</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32,522</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Of the total cost of $18.0 million (which includes an accelerated amortization charge of $8.2 million (September 30, 2025: $nil)) incurred in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September 30, 2026 (September 30, 2025: $11.5 million), $15.7 million (September 30, 2025: $9.8 million) is recorded within selling, general 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administration costs and $2.3 million (September 30, 2025: $1.7 million) is recorded within direct costs.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Of the total cost of $38.6 million (which includes an accelerated amortization charge of $8.2 million (September 30, 2025: $nil)) incurred in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September 30, 2026 (September 30, 2025: $32.5 million), $33.3 million (September 30, 2025: $27.9 million) is recorded within selling, general 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administration costs and $5.3 million (September 30, 2025: $4.6 million) is recorded within direct costs.</w:t>
      </w:r>
    </w:p>
    <w:p>
      <w:pPr>
        <w:spacing w:after="0" w:line="22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During the three and nine months ended September 30, 2026 and September 30, 2025, costs incurred by the Group related to variable lease payments were de minimis.</w:t>
      </w:r>
    </w:p>
    <w:p>
      <w:pPr>
        <w:spacing w:after="0" w:line="15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Right-of-use assets obtained, in exchange for lease obligations during the three months ended September 30, 2026, totaled $5.7 million (September 30, 2025: $4.1 million). Right-of-use assets obtained, in exchange for lease obligations during the nine months ended September 30, 2026, totaled $12.6 million (September 30, 2025: $13.9 million).</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weighted average remaining lease term and weighted-average discount rate at September 30, 2026 were 5.53 years and 3.79%, respectively. The weighted average remaining lease term and weighted-average discount rate at December 31, 2025 were 5.96 years and 4.04%,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40" w:type="dxa"/>
            <w:vAlign w:val="bottom"/>
          </w:tcPr>
          <w:p>
            <w:pPr>
              <w:ind w:left="620"/>
              <w:spacing w:after="0"/>
              <w:rPr>
                <w:sz w:val="20"/>
                <w:szCs w:val="20"/>
                <w:color w:val="auto"/>
              </w:rPr>
            </w:pPr>
            <w:r>
              <w:rPr>
                <w:rFonts w:ascii="Arial" w:cs="Arial" w:eastAsia="Arial" w:hAnsi="Arial"/>
                <w:sz w:val="15"/>
                <w:szCs w:val="15"/>
                <w:color w:val="auto"/>
              </w:rPr>
              <w:t>Future minimum lease payments under non-cancelable leases as of September 30, 2026 were as follows:</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05"/>
        </w:trPr>
        <w:tc>
          <w:tcPr>
            <w:tcW w:w="8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9"/>
        </w:trPr>
        <w:tc>
          <w:tcPr>
            <w:tcW w:w="8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211"/>
        </w:trPr>
        <w:tc>
          <w:tcPr>
            <w:tcW w:w="8840" w:type="dxa"/>
            <w:vAlign w:val="bottom"/>
          </w:tcPr>
          <w:p>
            <w:pPr>
              <w:ind w:left="20"/>
              <w:spacing w:after="0"/>
              <w:rPr>
                <w:sz w:val="20"/>
                <w:szCs w:val="20"/>
                <w:color w:val="auto"/>
              </w:rPr>
            </w:pPr>
            <w:r>
              <w:rPr>
                <w:rFonts w:ascii="Arial" w:cs="Arial" w:eastAsia="Arial" w:hAnsi="Arial"/>
                <w:sz w:val="15"/>
                <w:szCs w:val="15"/>
                <w:color w:val="auto"/>
              </w:rPr>
              <w:t>Year 1</w:t>
            </w:r>
          </w:p>
        </w:tc>
        <w:tc>
          <w:tcPr>
            <w:tcW w:w="12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37,144</w:t>
            </w:r>
          </w:p>
        </w:tc>
      </w:tr>
      <w:tr>
        <w:trPr>
          <w:trHeight w:val="220"/>
        </w:trPr>
        <w:tc>
          <w:tcPr>
            <w:tcW w:w="8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2</w:t>
            </w: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32,514</w:t>
            </w:r>
          </w:p>
        </w:tc>
      </w:tr>
      <w:tr>
        <w:trPr>
          <w:trHeight w:val="218"/>
        </w:trPr>
        <w:tc>
          <w:tcPr>
            <w:tcW w:w="8840" w:type="dxa"/>
            <w:vAlign w:val="bottom"/>
          </w:tcPr>
          <w:p>
            <w:pPr>
              <w:ind w:left="20"/>
              <w:spacing w:after="0"/>
              <w:rPr>
                <w:sz w:val="20"/>
                <w:szCs w:val="20"/>
                <w:color w:val="auto"/>
              </w:rPr>
            </w:pPr>
            <w:r>
              <w:rPr>
                <w:rFonts w:ascii="Arial" w:cs="Arial" w:eastAsia="Arial" w:hAnsi="Arial"/>
                <w:sz w:val="15"/>
                <w:szCs w:val="15"/>
                <w:color w:val="auto"/>
              </w:rPr>
              <w:t>Year 3</w:t>
            </w:r>
          </w:p>
        </w:tc>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23,972</w:t>
            </w:r>
          </w:p>
        </w:tc>
      </w:tr>
      <w:tr>
        <w:trPr>
          <w:trHeight w:val="220"/>
        </w:trPr>
        <w:tc>
          <w:tcPr>
            <w:tcW w:w="8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4</w:t>
            </w: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14,518</w:t>
            </w:r>
          </w:p>
        </w:tc>
      </w:tr>
      <w:tr>
        <w:trPr>
          <w:trHeight w:val="218"/>
        </w:trPr>
        <w:tc>
          <w:tcPr>
            <w:tcW w:w="8840" w:type="dxa"/>
            <w:vAlign w:val="bottom"/>
          </w:tcPr>
          <w:p>
            <w:pPr>
              <w:ind w:left="20"/>
              <w:spacing w:after="0"/>
              <w:rPr>
                <w:sz w:val="20"/>
                <w:szCs w:val="20"/>
                <w:color w:val="auto"/>
              </w:rPr>
            </w:pPr>
            <w:r>
              <w:rPr>
                <w:rFonts w:ascii="Arial" w:cs="Arial" w:eastAsia="Arial" w:hAnsi="Arial"/>
                <w:sz w:val="15"/>
                <w:szCs w:val="15"/>
                <w:color w:val="auto"/>
              </w:rPr>
              <w:t>Year 5</w:t>
            </w:r>
          </w:p>
        </w:tc>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8,444</w:t>
            </w:r>
          </w:p>
        </w:tc>
      </w:tr>
      <w:tr>
        <w:trPr>
          <w:trHeight w:val="219"/>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1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26,808</w:t>
            </w:r>
          </w:p>
        </w:tc>
      </w:tr>
      <w:tr>
        <w:trPr>
          <w:trHeight w:val="212"/>
        </w:trPr>
        <w:tc>
          <w:tcPr>
            <w:tcW w:w="8840" w:type="dxa"/>
            <w:vAlign w:val="bottom"/>
          </w:tcPr>
          <w:p>
            <w:pPr>
              <w:ind w:left="20"/>
              <w:spacing w:after="0"/>
              <w:rPr>
                <w:sz w:val="20"/>
                <w:szCs w:val="20"/>
                <w:color w:val="auto"/>
              </w:rPr>
            </w:pPr>
            <w:r>
              <w:rPr>
                <w:rFonts w:ascii="Arial" w:cs="Arial" w:eastAsia="Arial" w:hAnsi="Arial"/>
                <w:sz w:val="15"/>
                <w:szCs w:val="15"/>
                <w:color w:val="auto"/>
              </w:rPr>
              <w:t>Total future minimum lease payments</w:t>
            </w:r>
          </w:p>
        </w:tc>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143,400</w:t>
            </w:r>
          </w:p>
        </w:tc>
      </w:tr>
      <w:tr>
        <w:trPr>
          <w:trHeight w:val="219"/>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Lease imputed interest</w:t>
            </w:r>
          </w:p>
        </w:tc>
        <w:tc>
          <w:tcPr>
            <w:tcW w:w="1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(13,361)</w:t>
            </w:r>
          </w:p>
        </w:tc>
      </w:tr>
      <w:tr>
        <w:trPr>
          <w:trHeight w:val="212"/>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130,039</w:t>
            </w:r>
          </w:p>
        </w:tc>
      </w:tr>
      <w:tr>
        <w:trPr>
          <w:trHeight w:val="20"/>
        </w:trPr>
        <w:tc>
          <w:tcPr>
            <w:tcW w:w="8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Operating lease liabilities are presented as current and non-current. As at September 30, 2026, operating lease liabilities of $32.9 million have been included in other liabilities (December 31, 2025: $36.3 million) and $97.1 million have been classified as non-current lease liabilities (December 31, 2025: $117.1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4"/>
        </w:trPr>
        <w:tc>
          <w:tcPr>
            <w:tcW w:w="7500" w:type="dxa"/>
            <w:vAlign w:val="bottom"/>
          </w:tcPr>
          <w:p>
            <w:pPr>
              <w:spacing w:after="0"/>
              <w:rPr>
                <w:sz w:val="20"/>
                <w:szCs w:val="20"/>
                <w:color w:val="auto"/>
              </w:rPr>
            </w:pPr>
            <w:r>
              <w:rPr>
                <w:rFonts w:ascii="Arial" w:cs="Arial" w:eastAsia="Arial" w:hAnsi="Arial"/>
                <w:sz w:val="15"/>
                <w:szCs w:val="15"/>
                <w:b w:val="1"/>
                <w:bCs w:val="1"/>
                <w:color w:val="auto"/>
              </w:rPr>
              <w:t>10. Bank credit lines, loan facilities and notes</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05"/>
        </w:trPr>
        <w:tc>
          <w:tcPr>
            <w:tcW w:w="7960" w:type="dxa"/>
            <w:vAlign w:val="bottom"/>
            <w:gridSpan w:val="2"/>
          </w:tcPr>
          <w:p>
            <w:pPr>
              <w:ind w:left="620"/>
              <w:spacing w:after="0"/>
              <w:rPr>
                <w:sz w:val="20"/>
                <w:szCs w:val="20"/>
                <w:color w:val="auto"/>
              </w:rPr>
            </w:pPr>
            <w:r>
              <w:rPr>
                <w:rFonts w:ascii="Arial" w:cs="Arial" w:eastAsia="Arial" w:hAnsi="Arial"/>
                <w:sz w:val="15"/>
                <w:szCs w:val="15"/>
                <w:color w:val="auto"/>
              </w:rPr>
              <w:t>The Company had the following debt outstanding as of September 30, 2026 and December 31, 2025:</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9"/>
        </w:trPr>
        <w:tc>
          <w:tcPr>
            <w:tcW w:w="7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6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r>
      <w:tr>
        <w:trPr>
          <w:trHeight w:val="219"/>
        </w:trPr>
        <w:tc>
          <w:tcPr>
            <w:tcW w:w="75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Principal amount as of</w:t>
            </w:r>
          </w:p>
        </w:tc>
        <w:tc>
          <w:tcPr>
            <w:tcW w:w="1020" w:type="dxa"/>
            <w:vAlign w:val="bottom"/>
            <w:tcBorders>
              <w:bottom w:val="single" w:sz="8" w:color="auto"/>
            </w:tcBorders>
            <w:shd w:val="clear" w:color="auto" w:fill="CCEEFF"/>
          </w:tcPr>
          <w:p>
            <w:pPr>
              <w:spacing w:after="0"/>
              <w:rPr>
                <w:sz w:val="19"/>
                <w:szCs w:val="19"/>
                <w:color w:val="auto"/>
              </w:rPr>
            </w:pPr>
          </w:p>
        </w:tc>
      </w:tr>
      <w:tr>
        <w:trPr>
          <w:trHeight w:val="160"/>
        </w:trPr>
        <w:tc>
          <w:tcPr>
            <w:tcW w:w="7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840" w:type="dxa"/>
            <w:vAlign w:val="bottom"/>
          </w:tcPr>
          <w:p>
            <w:pPr>
              <w:spacing w:after="0"/>
              <w:rPr>
                <w:sz w:val="13"/>
                <w:szCs w:val="13"/>
                <w:color w:val="auto"/>
              </w:rPr>
            </w:pPr>
          </w:p>
        </w:tc>
        <w:tc>
          <w:tcPr>
            <w:tcW w:w="10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7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7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43"/>
              <w:spacing w:after="0"/>
              <w:rPr>
                <w:sz w:val="20"/>
                <w:szCs w:val="20"/>
                <w:color w:val="auto"/>
              </w:rPr>
            </w:pPr>
            <w:r>
              <w:rPr>
                <w:rFonts w:ascii="Arial" w:cs="Arial" w:eastAsia="Arial" w:hAnsi="Arial"/>
                <w:sz w:val="15"/>
                <w:szCs w:val="15"/>
                <w:b w:val="1"/>
                <w:bCs w:val="1"/>
                <w:color w:val="auto"/>
              </w:rPr>
              <w:t>(in thousands)</w:t>
            </w:r>
          </w:p>
        </w:tc>
        <w:tc>
          <w:tcPr>
            <w:tcW w:w="1020" w:type="dxa"/>
            <w:vAlign w:val="bottom"/>
            <w:shd w:val="clear" w:color="auto" w:fill="CCEEFF"/>
          </w:tcPr>
          <w:p>
            <w:pPr>
              <w:spacing w:after="0"/>
              <w:rPr>
                <w:sz w:val="18"/>
                <w:szCs w:val="18"/>
                <w:color w:val="auto"/>
              </w:rPr>
            </w:pPr>
          </w:p>
        </w:tc>
      </w:tr>
      <w:tr>
        <w:trPr>
          <w:trHeight w:val="218"/>
        </w:trPr>
        <w:tc>
          <w:tcPr>
            <w:tcW w:w="7500" w:type="dxa"/>
            <w:vAlign w:val="bottom"/>
          </w:tcPr>
          <w:p>
            <w:pPr>
              <w:ind w:left="20"/>
              <w:spacing w:after="0"/>
              <w:rPr>
                <w:sz w:val="20"/>
                <w:szCs w:val="20"/>
                <w:color w:val="auto"/>
              </w:rPr>
            </w:pPr>
            <w:r>
              <w:rPr>
                <w:rFonts w:ascii="Arial" w:cs="Arial" w:eastAsia="Arial" w:hAnsi="Arial"/>
                <w:sz w:val="15"/>
                <w:szCs w:val="15"/>
                <w:color w:val="auto"/>
              </w:rPr>
              <w:t>Senior Term Loans 5.672% due July 2028</w:t>
            </w: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2260" w:type="dxa"/>
            <w:vAlign w:val="bottom"/>
            <w:gridSpan w:val="2"/>
          </w:tcPr>
          <w:p>
            <w:pPr>
              <w:jc w:val="right"/>
              <w:ind w:right="663"/>
              <w:spacing w:after="0"/>
              <w:rPr>
                <w:sz w:val="20"/>
                <w:szCs w:val="20"/>
                <w:color w:val="auto"/>
              </w:rPr>
            </w:pPr>
            <w:r>
              <w:rPr>
                <w:rFonts w:ascii="Arial" w:cs="Arial" w:eastAsia="Arial" w:hAnsi="Arial"/>
                <w:sz w:val="15"/>
                <w:szCs w:val="15"/>
                <w:color w:val="auto"/>
              </w:rPr>
              <w:t>— $</w:t>
            </w:r>
          </w:p>
        </w:tc>
        <w:tc>
          <w:tcPr>
            <w:tcW w:w="1020" w:type="dxa"/>
            <w:vAlign w:val="bottom"/>
          </w:tcPr>
          <w:p>
            <w:pPr>
              <w:jc w:val="right"/>
              <w:spacing w:after="0"/>
              <w:rPr>
                <w:sz w:val="20"/>
                <w:szCs w:val="20"/>
                <w:color w:val="auto"/>
              </w:rPr>
            </w:pPr>
            <w:r>
              <w:rPr>
                <w:rFonts w:ascii="Arial" w:cs="Arial" w:eastAsia="Arial" w:hAnsi="Arial"/>
                <w:sz w:val="15"/>
                <w:szCs w:val="15"/>
                <w:color w:val="auto"/>
              </w:rPr>
              <w:t>916,688</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 2.875% due July 2026 (the "2026 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r>
      <w:tr>
        <w:trPr>
          <w:trHeight w:val="219"/>
        </w:trPr>
        <w:tc>
          <w:tcPr>
            <w:tcW w:w="7500" w:type="dxa"/>
            <w:vAlign w:val="bottom"/>
          </w:tcPr>
          <w:p>
            <w:pPr>
              <w:ind w:left="20"/>
              <w:spacing w:after="0" w:line="219" w:lineRule="exact"/>
              <w:rPr>
                <w:sz w:val="20"/>
                <w:szCs w:val="20"/>
                <w:color w:val="auto"/>
              </w:rPr>
            </w:pPr>
            <w:r>
              <w:rPr>
                <w:rFonts w:ascii="Arial" w:cs="Arial" w:eastAsia="Arial" w:hAnsi="Arial"/>
                <w:sz w:val="15"/>
                <w:szCs w:val="15"/>
                <w:color w:val="auto"/>
              </w:rPr>
              <w:t xml:space="preserve">Senior Notes 5.809% due May 2027 </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(the "May 2027 Notes")</w:t>
            </w:r>
          </w:p>
        </w:tc>
        <w:tc>
          <w:tcPr>
            <w:tcW w:w="46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750,000</w:t>
            </w:r>
          </w:p>
        </w:tc>
      </w:tr>
      <w:tr>
        <w:trPr>
          <w:trHeight w:val="219"/>
        </w:trPr>
        <w:tc>
          <w:tcPr>
            <w:tcW w:w="7500" w:type="dxa"/>
            <w:vAlign w:val="bottom"/>
            <w:shd w:val="clear" w:color="auto" w:fill="CCEEFF"/>
          </w:tcPr>
          <w:p>
            <w:pPr>
              <w:ind w:left="20"/>
              <w:spacing w:after="0" w:line="219" w:lineRule="exact"/>
              <w:rPr>
                <w:sz w:val="20"/>
                <w:szCs w:val="20"/>
                <w:color w:val="auto"/>
              </w:rPr>
            </w:pPr>
            <w:r>
              <w:rPr>
                <w:rFonts w:ascii="Arial" w:cs="Arial" w:eastAsia="Arial" w:hAnsi="Arial"/>
                <w:sz w:val="15"/>
                <w:szCs w:val="15"/>
                <w:color w:val="auto"/>
              </w:rPr>
              <w:t xml:space="preserve">Senior Notes 5.849% due May 2029 </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(the "May 2029 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750,000</w:t>
            </w: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r>
      <w:tr>
        <w:trPr>
          <w:trHeight w:val="219"/>
        </w:trPr>
        <w:tc>
          <w:tcPr>
            <w:tcW w:w="7500" w:type="dxa"/>
            <w:vAlign w:val="bottom"/>
          </w:tcPr>
          <w:p>
            <w:pPr>
              <w:ind w:left="20"/>
              <w:spacing w:after="0" w:line="219" w:lineRule="exact"/>
              <w:rPr>
                <w:sz w:val="20"/>
                <w:szCs w:val="20"/>
                <w:color w:val="auto"/>
              </w:rPr>
            </w:pPr>
            <w:r>
              <w:rPr>
                <w:rFonts w:ascii="Arial" w:cs="Arial" w:eastAsia="Arial" w:hAnsi="Arial"/>
                <w:sz w:val="15"/>
                <w:szCs w:val="15"/>
                <w:color w:val="auto"/>
              </w:rPr>
              <w:t xml:space="preserve">Senior Notes 5.064% due August 2029 </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(the "August 2029 Notes")</w:t>
            </w:r>
          </w:p>
        </w:tc>
        <w:tc>
          <w:tcPr>
            <w:tcW w:w="46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500,000</w:t>
            </w:r>
          </w:p>
        </w:tc>
        <w:tc>
          <w:tcPr>
            <w:tcW w:w="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7500" w:type="dxa"/>
            <w:vAlign w:val="bottom"/>
            <w:shd w:val="clear" w:color="auto" w:fill="CCEEFF"/>
          </w:tcPr>
          <w:p>
            <w:pPr>
              <w:ind w:left="20"/>
              <w:spacing w:after="0" w:line="219" w:lineRule="exact"/>
              <w:rPr>
                <w:sz w:val="20"/>
                <w:szCs w:val="20"/>
                <w:color w:val="auto"/>
              </w:rPr>
            </w:pPr>
            <w:r>
              <w:rPr>
                <w:rFonts w:ascii="Arial" w:cs="Arial" w:eastAsia="Arial" w:hAnsi="Arial"/>
                <w:sz w:val="15"/>
                <w:szCs w:val="15"/>
                <w:color w:val="auto"/>
              </w:rPr>
              <w:t xml:space="preserve">Senior Notes 5.421% due August 2031 </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(the "August 2031 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1,000,000</w:t>
            </w: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7500" w:type="dxa"/>
            <w:vAlign w:val="bottom"/>
          </w:tcPr>
          <w:p>
            <w:pPr>
              <w:ind w:left="20"/>
              <w:spacing w:after="0" w:line="219" w:lineRule="exact"/>
              <w:rPr>
                <w:sz w:val="20"/>
                <w:szCs w:val="20"/>
                <w:color w:val="auto"/>
              </w:rPr>
            </w:pPr>
            <w:r>
              <w:rPr>
                <w:rFonts w:ascii="Arial" w:cs="Arial" w:eastAsia="Arial" w:hAnsi="Arial"/>
                <w:sz w:val="15"/>
                <w:szCs w:val="15"/>
                <w:color w:val="auto"/>
              </w:rPr>
              <w:t xml:space="preserve">Senior Notes 6.000% due May 2034 </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(the "May 2034 Notes")</w:t>
            </w:r>
          </w:p>
        </w:tc>
        <w:tc>
          <w:tcPr>
            <w:tcW w:w="460" w:type="dxa"/>
            <w:vAlign w:val="bottom"/>
          </w:tcPr>
          <w:p>
            <w:pPr>
              <w:spacing w:after="0"/>
              <w:rPr>
                <w:sz w:val="19"/>
                <w:szCs w:val="19"/>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500,000</w:t>
            </w:r>
          </w:p>
        </w:tc>
        <w:tc>
          <w:tcPr>
            <w:tcW w:w="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219"/>
        </w:trPr>
        <w:tc>
          <w:tcPr>
            <w:tcW w:w="7500" w:type="dxa"/>
            <w:vAlign w:val="bottom"/>
            <w:shd w:val="clear" w:color="auto" w:fill="CCEEFF"/>
          </w:tcPr>
          <w:p>
            <w:pPr>
              <w:ind w:left="20"/>
              <w:spacing w:after="0" w:line="219" w:lineRule="exact"/>
              <w:rPr>
                <w:sz w:val="20"/>
                <w:szCs w:val="20"/>
                <w:color w:val="auto"/>
              </w:rPr>
            </w:pPr>
            <w:r>
              <w:rPr>
                <w:rFonts w:ascii="Arial" w:cs="Arial" w:eastAsia="Arial" w:hAnsi="Arial"/>
                <w:sz w:val="15"/>
                <w:szCs w:val="15"/>
                <w:color w:val="auto"/>
              </w:rPr>
              <w:t xml:space="preserve">Senior Notes 5.995% due August 2036 </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(the "August 2036 Notes")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650,000</w:t>
            </w: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58"/>
        </w:trPr>
        <w:tc>
          <w:tcPr>
            <w:tcW w:w="75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3,400,000</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3,416,688</w:t>
            </w:r>
          </w:p>
        </w:tc>
      </w:tr>
      <w:tr>
        <w:trPr>
          <w:trHeight w:val="21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current portion of debt</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(529,762)</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long-term debt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3,400,000</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2,886,926</w:t>
            </w:r>
          </w:p>
        </w:tc>
      </w:tr>
      <w:tr>
        <w:trPr>
          <w:trHeight w:val="21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(20,893)</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(14,310)</w:t>
            </w:r>
          </w:p>
        </w:tc>
      </w:tr>
      <w:tr>
        <w:trPr>
          <w:trHeight w:val="237"/>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long-term debt, net</w:t>
            </w: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3,379,107</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2,872,616</w:t>
            </w:r>
          </w:p>
        </w:tc>
      </w:tr>
      <w:tr>
        <w:trPr>
          <w:trHeight w:val="20"/>
        </w:trPr>
        <w:tc>
          <w:tcPr>
            <w:tcW w:w="7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 xml:space="preserve"> issued May 8, 2024; </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issued August 13, 2026.</w:t>
      </w:r>
    </w:p>
    <w:p>
      <w:pPr>
        <w:spacing w:after="0" w:line="19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incurred interest costs from various financing arrangements during three and nine months ended September 30, 2026 and September 30, 2025 as set out in the table below. These costs have been charged to the interest expense line of the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92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5"/>
                <w:szCs w:val="15"/>
                <w:color w:val="auto"/>
              </w:rPr>
              <w:t>Interest expense on drawn facilities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48,137</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47,931</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140,139</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140,992</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financing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1,499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4,470</w:t>
            </w:r>
          </w:p>
        </w:tc>
      </w:tr>
      <w:tr>
        <w:trPr>
          <w:trHeight w:val="218"/>
        </w:trPr>
        <w:tc>
          <w:tcPr>
            <w:tcW w:w="5180" w:type="dxa"/>
            <w:vAlign w:val="bottom"/>
          </w:tcPr>
          <w:p>
            <w:pPr>
              <w:ind w:left="20"/>
              <w:spacing w:after="0"/>
              <w:rPr>
                <w:sz w:val="20"/>
                <w:szCs w:val="20"/>
                <w:color w:val="auto"/>
              </w:rPr>
            </w:pPr>
            <w:r>
              <w:rPr>
                <w:rFonts w:ascii="Arial" w:cs="Arial" w:eastAsia="Arial" w:hAnsi="Arial"/>
                <w:sz w:val="15"/>
                <w:szCs w:val="15"/>
                <w:color w:val="auto"/>
              </w:rPr>
              <w:t>Loss on Extinguishment of Debt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12,233</w:t>
            </w:r>
          </w:p>
        </w:tc>
        <w:tc>
          <w:tcPr>
            <w:tcW w:w="28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12,233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746</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813</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2,479</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2,541</w:t>
            </w:r>
          </w:p>
        </w:tc>
      </w:tr>
      <w:tr>
        <w:trPr>
          <w:trHeight w:val="21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financing costs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66,175</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50,243</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162,959</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148,003</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*Includes costs associated with the revolving loan facility and costs associated with the waivers to debt agreements.</w:t>
      </w:r>
    </w:p>
    <w:p>
      <w:pPr>
        <w:spacing w:after="0" w:line="25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During the three months ended, September 30, 2026 the Company expensed $17.3 million (three months ended September 30, 2025: $1.5 million) of transaction related financing costs, inclusive of the amortization of financing fees which were previously capitalized and costs associated with the waivers to debt agreements.</w:t>
      </w:r>
    </w:p>
    <w:p>
      <w:pPr>
        <w:spacing w:after="0" w:line="198"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During the nine months ended, September 30, 2026 the Company expensed $21.0 million (nine months ended September 30, 2025: $4.5 million) of transaction related financing costs, inclusive of the amortization of financing fees which were previously capitalized and costs associated with the waivers to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8560" w:type="dxa"/>
            <w:vAlign w:val="bottom"/>
          </w:tcPr>
          <w:p>
            <w:pPr>
              <w:ind w:left="620"/>
              <w:spacing w:after="0"/>
              <w:rPr>
                <w:sz w:val="20"/>
                <w:szCs w:val="20"/>
                <w:color w:val="auto"/>
              </w:rPr>
            </w:pPr>
            <w:r>
              <w:rPr>
                <w:rFonts w:ascii="Arial" w:cs="Arial" w:eastAsia="Arial" w:hAnsi="Arial"/>
                <w:sz w:val="15"/>
                <w:szCs w:val="15"/>
                <w:color w:val="auto"/>
              </w:rPr>
              <w:t>As of September 30, 2026, the contractual maturities of the Company's debt obligations were as follows:</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7"/>
        </w:trPr>
        <w:tc>
          <w:tcPr>
            <w:tcW w:w="8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Contractual maturities of debt</w:t>
            </w:r>
          </w:p>
        </w:tc>
        <w:tc>
          <w:tcPr>
            <w:tcW w:w="1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211"/>
        </w:trPr>
        <w:tc>
          <w:tcPr>
            <w:tcW w:w="8560" w:type="dxa"/>
            <w:vAlign w:val="bottom"/>
          </w:tcPr>
          <w:p>
            <w:pPr>
              <w:ind w:left="20"/>
              <w:spacing w:after="0"/>
              <w:rPr>
                <w:sz w:val="20"/>
                <w:szCs w:val="20"/>
                <w:color w:val="auto"/>
              </w:rPr>
            </w:pPr>
            <w:r>
              <w:rPr>
                <w:rFonts w:ascii="Arial" w:cs="Arial" w:eastAsia="Arial" w:hAnsi="Arial"/>
                <w:sz w:val="15"/>
                <w:szCs w:val="15"/>
                <w:color w:val="auto"/>
              </w:rPr>
              <w:t>2026 (remaining)</w:t>
            </w:r>
          </w:p>
        </w:tc>
        <w:tc>
          <w:tcPr>
            <w:tcW w:w="12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8560" w:type="dxa"/>
            <w:vAlign w:val="bottom"/>
          </w:tcPr>
          <w:p>
            <w:pPr>
              <w:ind w:left="20"/>
              <w:spacing w:after="0"/>
              <w:rPr>
                <w:sz w:val="20"/>
                <w:szCs w:val="20"/>
                <w:color w:val="auto"/>
              </w:rPr>
            </w:pPr>
            <w:r>
              <w:rPr>
                <w:rFonts w:ascii="Arial" w:cs="Arial" w:eastAsia="Arial" w:hAnsi="Arial"/>
                <w:sz w:val="15"/>
                <w:szCs w:val="15"/>
                <w:color w:val="auto"/>
              </w:rPr>
              <w:t>2028</w:t>
            </w:r>
          </w:p>
        </w:tc>
        <w:tc>
          <w:tcPr>
            <w:tcW w:w="1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8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2029</w:t>
            </w:r>
          </w:p>
        </w:tc>
        <w:tc>
          <w:tcPr>
            <w:tcW w:w="1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1,250,000</w:t>
            </w:r>
          </w:p>
        </w:tc>
      </w:tr>
      <w:tr>
        <w:trPr>
          <w:trHeight w:val="218"/>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2030 and thereafter</w:t>
            </w:r>
          </w:p>
        </w:tc>
        <w:tc>
          <w:tcPr>
            <w:tcW w:w="1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2,150,000</w:t>
            </w:r>
          </w:p>
        </w:tc>
      </w:tr>
      <w:tr>
        <w:trPr>
          <w:trHeight w:val="237"/>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26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3,400,000</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Company's primary financing arrangements as of September 30, 2026 are its August 2026 Issued Notes (defined later in this note), May 2024 Issued Notes (defined later in this note) and its Revolving Credit Facility (defined later in this note).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August 2026 Issued Notes</w:t>
      </w:r>
    </w:p>
    <w:p>
      <w:pPr>
        <w:spacing w:after="0" w:line="240"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On August 13, 2026, ICON Investments Six Designated Activity Company (the “Issuer”), a wholly-owned subsidiary of ICON plc, sold and issued $2.15 billion of senior unsecured notes (collectively, the “August 2026 Issued Notes”), consisting of $500.0 million aggregate principal amount of 5.064% Notes due 2029, $1.0 billion aggregate principal amount of 5.421% Notes due 2031 and $650.0 million aggregate principal amount of 5.995% Notes due 2036. Interest on the August 2026 Issued Notes is payable on February 13 and August 13 of each year, commencing on February 13, 2027. The August 2026 Issued Notes are guaranteed on a senior unsecured basis by ICON plc.</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paid an underwriting fee of $7.7 million in connection with the August 2026 Issued Notes.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applied the net proceeds from the issuance to, (i) on August 13, 2026, repay all the outstanding Senior Secured Term Loan (defined later in this note) of $900.0 million, (ii) on August 14, 2026, redeem, in full, the outstanding May 2027 Notes (defined later in this note) of $750.0 million, and (iii) on August 17, 2026, repay all outstanding borrowings under the Bridge Secured Credit Facility (defined later in this note) of $500.0 million.</w:t>
      </w:r>
    </w:p>
    <w:p>
      <w:pPr>
        <w:spacing w:after="0" w:line="17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Upon repayment of the Bridge Secured Credit Facility and the Senior Secured Term Loan, the collateral securing the ICON group’s Revolving Credit Facility (defined later in this note), the May 2029 Notes and the May 2034 Notes were automatically released, and the subsidiary guarantees under the May 2029 Notes and the May 2034 Notes were automatically released. Recorded within interest expense in the Condensed Consolidated Statements of Operations is a $12.2 million loss on extinguishment of debt, which includes an early repayment fee of $7.8 million on the May 2027 Notes.</w:t>
      </w:r>
    </w:p>
    <w:p>
      <w:pPr>
        <w:spacing w:after="0" w:line="171"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5"/>
          <w:szCs w:val="15"/>
          <w:color w:val="auto"/>
        </w:rPr>
        <w:t>Concurrent with the offering, the Issuer, ICON and the initial purchasers entered into the registration rights agreement, (the "Registration Rights Agreement") under which ICON agreed to use commercially reasonable efforts to register the August 2026 Issued Notes on or prior to November 11, 2027. If the exchange offer is not completed within the required period, or if certain other registration requirements are not satisfied within the periods specified in the Registration Rights Agreement, the interest rate on the August 2026 Issued Notes would increase by 0.25% per annum for the first 90-day period during which a registration default continues and by an additional 0.25% per annum thereafter, subject to a maximum aggregate increase of 0.50% in the per annum interest rate of the August 2026 Issued Notes. The maximum potential undiscounted future payments under the arrangement are approximately $10.8 million per annum (excluding the first 90-day period) if a triggering condition remains unresolved. As of September 30, 2026, no registration default had occurred and no liability was recognized.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May 2024 Issued Notes</w:t>
      </w:r>
    </w:p>
    <w:p>
      <w:pPr>
        <w:spacing w:after="0" w:line="24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On May 8, 2024, the Issuer issued $2.0 billion of senior secured notes (the "May 2024 Issued Notes”). The May 2024 Issued Notes were issued in aggregate principal amounts of: $750.0 million 5.809% Senior Secured Notes due 2027 (the “May 2027 Notes”), $750.0 million 5.849% Senior Secured Notes due 2029 (the “May 2029 Notes”) and $500.0 million 6.000% Senior Secured Notes due 2034 (the “May 2034 Notes”). Interest on the May 2024 Issued notes is payable on May 8 and November 8 of each year.</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paid an underwriting fee of $6.8 million in connection with the May 2024 Issued Notes.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May 2027 Notes were redeemed in full on August 14, 2026. Upon repayment of the Bridge Secured Credit Facility and the Senior Secured Term Loan in August 2026, the collateral securing the May 2029 Notes and the May 2034 Notes and the subsidiary guarantees under the May 2029 Notes and the May 2034 Notes were automatically released. As of August 17, 2026, the May 2029 Notes and the May 2034 Notes are senior unsecured notes, guaranteed by ICON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i w:val="1"/>
          <w:iCs w:val="1"/>
          <w:color w:val="auto"/>
        </w:rPr>
        <w:t>The Parent Guarantee</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All outstanding notes are guaranteed on a senior unsecured basis by ICON plc (the "Parent"). The Notes (collectively the "May 2024 Issued Notes" and the "August 2026 Issued Notes") are the senior unsecured obligation of the Issuer and the Parent and rank equally in right of payment with all existing and future senior debt of the Issuer or Parent, including their respective obligations under the Revolving Credit Facility. The Notes are senior in right of payment to any future subordinated debt of the Issuer or Parent and are effectively subordinated to all existing and future indebtedness of the Parent, the Issuer or the Parent’s Subsidiaries that is secured by liens to the extent of the value of the collateral securing such indebtedness; and structurally subordinated to all of the liabilities of the Parent’s Subsidiaries (other than the Issuer), including their respective obligations under the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w:t>
      </w:r>
    </w:p>
    <w:p>
      <w:pPr>
        <w:spacing w:after="0" w:line="25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senior secured credit facilities consisted of a senior secured term loan facility of $5,515 million which was due to mature in July 2028 (the "Senior Secured Term Loan") and a senior secured revolving credit facility (the "Revolving Credit Facility") in an aggregate principal amount of $500.0 million (the Senior Secured Term Loan and the Revolving Credit Facility, collectively the "Senior Secured Credit Facilities"). On August 13, 2026 the Senior Secured Term Loan was repaid. As at September 30, 2026, $nil (year ended December 31, 2025: $nil) was drawn under the Revolving Credit Facility.</w:t>
      </w:r>
    </w:p>
    <w:p>
      <w:pPr>
        <w:spacing w:after="0" w:line="18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interest rate margin applicable to any borrowings made under the Revolving Credit Facility will be, at the option of the borrower, either (i) the applicable base rate plus an applicable margin of 0.35% or 0.00%, based on the Company’s current corporate family rating assigned by S&amp;P of BB (or lower) or BB+ (or higher), respectively, or (ii) Term SOFR (or, for non-US Dollar borrowers, the applicable reference rate) plus an applicable margin of 1.35%, 1.00%, 0.75%, 0.55%, or 0.40% based on the Company’s current corporate family rating assigned by S&amp;P of BB (or lower), BB+, BBB-, BBB or BBB+ (or higher), respectively. In addition, lenders under the Revolving Credit Facility are entitled to commitment fees as a percentage of the applicable margin at the time of drawing and utilization fees dependent on the proportion of the facility drawn.</w:t>
      </w:r>
    </w:p>
    <w:p>
      <w:pPr>
        <w:spacing w:after="0" w:line="18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Prior to their repayment on August 13, 2026, borrowings under the Senior Secured Credit Facilities were guaranteed by the Parent and the subsidiary guarantors and secured by a lien on substantially all of ICON’s, the Borrowers’ (as defined in the Senior Secured Credit Facility) and each of the subsidiary guarantor’s assets (subject to certain exceptions), and the Senior Secured Credit Facilities had a first-priority lien on such assets, which ranked pari passu with the lien securing the May 2024 Issued Notes subject to other permitted liens.</w:t>
      </w:r>
    </w:p>
    <w:p>
      <w:pPr>
        <w:spacing w:after="0" w:line="183"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Principal repayments on the Senior Secured Term Loan, comprising mandatory and voluntary repayments, during the nine months ended September 30, 2026 and year ended December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Principal repayments</w:t>
            </w:r>
          </w:p>
        </w:tc>
        <w:tc>
          <w:tcPr>
            <w:tcW w:w="6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211"/>
        </w:trPr>
        <w:tc>
          <w:tcPr>
            <w:tcW w:w="3640" w:type="dxa"/>
            <w:vAlign w:val="bottom"/>
          </w:tcPr>
          <w:p>
            <w:pPr>
              <w:ind w:left="20"/>
              <w:spacing w:after="0"/>
              <w:rPr>
                <w:sz w:val="20"/>
                <w:szCs w:val="20"/>
                <w:color w:val="auto"/>
              </w:rPr>
            </w:pPr>
            <w:r>
              <w:rPr>
                <w:rFonts w:ascii="Arial" w:cs="Arial" w:eastAsia="Arial" w:hAnsi="Arial"/>
                <w:sz w:val="15"/>
                <w:szCs w:val="15"/>
                <w:color w:val="auto"/>
              </w:rPr>
              <w:t>Quarter 1, 2025</w:t>
            </w:r>
          </w:p>
        </w:tc>
        <w:tc>
          <w:tcPr>
            <w:tcW w:w="61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(7,440)</w:t>
            </w:r>
          </w:p>
        </w:tc>
      </w:tr>
      <w:tr>
        <w:trPr>
          <w:trHeight w:val="220"/>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2025</w:t>
            </w:r>
          </w:p>
        </w:tc>
        <w:tc>
          <w:tcPr>
            <w:tcW w:w="6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(7,441)</w:t>
            </w:r>
          </w:p>
        </w:tc>
      </w:tr>
      <w:tr>
        <w:trPr>
          <w:trHeight w:val="218"/>
        </w:trPr>
        <w:tc>
          <w:tcPr>
            <w:tcW w:w="3640" w:type="dxa"/>
            <w:vAlign w:val="bottom"/>
          </w:tcPr>
          <w:p>
            <w:pPr>
              <w:ind w:left="20"/>
              <w:spacing w:after="0"/>
              <w:rPr>
                <w:sz w:val="20"/>
                <w:szCs w:val="20"/>
                <w:color w:val="auto"/>
              </w:rPr>
            </w:pPr>
            <w:r>
              <w:rPr>
                <w:rFonts w:ascii="Arial" w:cs="Arial" w:eastAsia="Arial" w:hAnsi="Arial"/>
                <w:sz w:val="15"/>
                <w:szCs w:val="15"/>
                <w:color w:val="auto"/>
              </w:rPr>
              <w:t>Quarter 3, 2025</w:t>
            </w:r>
          </w:p>
        </w:tc>
        <w:tc>
          <w:tcPr>
            <w:tcW w:w="6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(7,440)</w:t>
            </w:r>
          </w:p>
        </w:tc>
      </w:tr>
      <w:tr>
        <w:trPr>
          <w:trHeight w:val="219"/>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2025</w:t>
            </w:r>
          </w:p>
        </w:tc>
        <w:tc>
          <w:tcPr>
            <w:tcW w:w="6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(7,441)</w:t>
            </w:r>
          </w:p>
        </w:tc>
      </w:tr>
      <w:tr>
        <w:trPr>
          <w:trHeight w:val="21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repayments in 2025</w:t>
            </w:r>
          </w:p>
        </w:tc>
        <w:tc>
          <w:tcPr>
            <w:tcW w:w="61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(29,762)</w:t>
            </w: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2026</w:t>
            </w:r>
          </w:p>
        </w:tc>
        <w:tc>
          <w:tcPr>
            <w:tcW w:w="6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218"/>
        </w:trPr>
        <w:tc>
          <w:tcPr>
            <w:tcW w:w="3640" w:type="dxa"/>
            <w:vAlign w:val="bottom"/>
          </w:tcPr>
          <w:p>
            <w:pPr>
              <w:ind w:left="20"/>
              <w:spacing w:after="0"/>
              <w:rPr>
                <w:sz w:val="20"/>
                <w:szCs w:val="20"/>
                <w:color w:val="auto"/>
              </w:rPr>
            </w:pPr>
            <w:r>
              <w:rPr>
                <w:rFonts w:ascii="Arial" w:cs="Arial" w:eastAsia="Arial" w:hAnsi="Arial"/>
                <w:sz w:val="15"/>
                <w:szCs w:val="15"/>
                <w:color w:val="auto"/>
              </w:rPr>
              <w:t>Quarter 2, 2026</w:t>
            </w:r>
          </w:p>
        </w:tc>
        <w:tc>
          <w:tcPr>
            <w:tcW w:w="6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(7,441)</w:t>
            </w:r>
          </w:p>
        </w:tc>
      </w:tr>
      <w:tr>
        <w:trPr>
          <w:trHeight w:val="219"/>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3, 2026</w:t>
            </w:r>
          </w:p>
        </w:tc>
        <w:tc>
          <w:tcPr>
            <w:tcW w:w="6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(901,807)</w:t>
            </w:r>
          </w:p>
        </w:tc>
      </w:tr>
      <w:tr>
        <w:trPr>
          <w:trHeight w:val="21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repayments in 2026</w:t>
            </w:r>
          </w:p>
        </w:tc>
        <w:tc>
          <w:tcPr>
            <w:tcW w:w="61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(916,688)</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16"/>
        </w:trPr>
        <w:tc>
          <w:tcPr>
            <w:tcW w:w="3640" w:type="dxa"/>
            <w:vAlign w:val="bottom"/>
          </w:tcPr>
          <w:p>
            <w:pPr>
              <w:spacing w:after="0"/>
              <w:rPr>
                <w:sz w:val="24"/>
                <w:szCs w:val="24"/>
                <w:color w:val="auto"/>
              </w:rPr>
            </w:pPr>
          </w:p>
        </w:tc>
        <w:tc>
          <w:tcPr>
            <w:tcW w:w="6180" w:type="dxa"/>
            <w:vAlign w:val="bottom"/>
          </w:tcPr>
          <w:p>
            <w:pPr>
              <w:jc w:val="right"/>
              <w:ind w:right="4023"/>
              <w:spacing w:after="0"/>
              <w:rPr>
                <w:sz w:val="20"/>
                <w:szCs w:val="20"/>
                <w:color w:val="auto"/>
              </w:rPr>
            </w:pPr>
            <w:r>
              <w:rPr>
                <w:rFonts w:ascii="Arial" w:cs="Arial" w:eastAsia="Arial" w:hAnsi="Arial"/>
                <w:sz w:val="15"/>
                <w:szCs w:val="15"/>
                <w:color w:val="auto"/>
              </w:rPr>
              <w:t>19</w:t>
            </w:r>
          </w:p>
        </w:tc>
        <w:tc>
          <w:tcPr>
            <w:tcW w:w="1420" w:type="dxa"/>
            <w:vAlign w:val="bottom"/>
          </w:tcPr>
          <w:p>
            <w:pPr>
              <w:spacing w:after="0"/>
              <w:rPr>
                <w:sz w:val="24"/>
                <w:szCs w:val="24"/>
                <w:color w:val="auto"/>
              </w:rPr>
            </w:pPr>
          </w:p>
        </w:tc>
      </w:tr>
      <w:tr>
        <w:trPr>
          <w:trHeight w:val="98"/>
        </w:trPr>
        <w:tc>
          <w:tcPr>
            <w:tcW w:w="3640" w:type="dxa"/>
            <w:vAlign w:val="bottom"/>
            <w:tcBorders>
              <w:bottom w:val="single" w:sz="8" w:color="9A9A9A"/>
            </w:tcBorders>
          </w:tcPr>
          <w:p>
            <w:pPr>
              <w:spacing w:after="0"/>
              <w:rPr>
                <w:sz w:val="8"/>
                <w:szCs w:val="8"/>
                <w:color w:val="auto"/>
              </w:rPr>
            </w:pPr>
          </w:p>
        </w:tc>
        <w:tc>
          <w:tcPr>
            <w:tcW w:w="6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0" w:name="page21"/>
    <w:bookmarkEnd w:id="20"/>
    <w:p>
      <w:pPr>
        <w:ind w:left="620"/>
        <w:spacing w:after="0"/>
        <w:rPr>
          <w:sz w:val="20"/>
          <w:szCs w:val="20"/>
          <w:color w:val="auto"/>
        </w:rPr>
      </w:pPr>
      <w:r>
        <w:rPr>
          <w:rFonts w:ascii="Arial" w:cs="Arial" w:eastAsia="Arial" w:hAnsi="Arial"/>
          <w:sz w:val="15"/>
          <w:szCs w:val="15"/>
          <w:color w:val="auto"/>
        </w:rPr>
        <w:t>During the quarter ended September 30, 2026, the Company drew down $nil (year ended December 31, 2025: $50.0 million) of the Revolving Credit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Facility and repaid $nil (year ended December 31, 2025: $50.0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Drawdown</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5"/>
                <w:szCs w:val="15"/>
                <w:b w:val="1"/>
                <w:bCs w:val="1"/>
                <w:color w:val="auto"/>
              </w:rPr>
              <w:t>Repayment</w:t>
            </w:r>
          </w:p>
        </w:tc>
        <w:tc>
          <w:tcPr>
            <w:tcW w:w="1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b w:val="1"/>
                <w:bCs w:val="1"/>
                <w:color w:val="auto"/>
              </w:rPr>
              <w:t>Closing Balance</w:t>
            </w:r>
          </w:p>
        </w:tc>
      </w:tr>
      <w:tr>
        <w:trPr>
          <w:trHeight w:val="212"/>
        </w:trPr>
        <w:tc>
          <w:tcPr>
            <w:tcW w:w="4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ind w:left="140"/>
              <w:spacing w:after="0"/>
              <w:rPr>
                <w:sz w:val="20"/>
                <w:szCs w:val="20"/>
                <w:color w:val="auto"/>
              </w:rPr>
            </w:pPr>
            <w:r>
              <w:rPr>
                <w:rFonts w:ascii="Arial" w:cs="Arial" w:eastAsia="Arial" w:hAnsi="Arial"/>
                <w:sz w:val="15"/>
                <w:szCs w:val="15"/>
                <w:b w:val="1"/>
                <w:bCs w:val="1"/>
                <w:color w:val="auto"/>
              </w:rPr>
              <w:t>(in thousands)</w:t>
            </w:r>
          </w:p>
        </w:tc>
        <w:tc>
          <w:tcPr>
            <w:tcW w:w="1480" w:type="dxa"/>
            <w:vAlign w:val="bottom"/>
          </w:tcPr>
          <w:p>
            <w:pPr>
              <w:spacing w:after="0"/>
              <w:rPr>
                <w:sz w:val="18"/>
                <w:szCs w:val="18"/>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2025</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ind w:left="164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ind w:left="1260"/>
              <w:spacing w:after="0"/>
              <w:rPr>
                <w:sz w:val="20"/>
                <w:szCs w:val="20"/>
                <w:color w:val="auto"/>
              </w:rPr>
            </w:pPr>
            <w:r>
              <w:rPr>
                <w:rFonts w:ascii="Arial" w:cs="Arial" w:eastAsia="Arial" w:hAnsi="Arial"/>
                <w:sz w:val="15"/>
                <w:szCs w:val="15"/>
                <w:color w:val="auto"/>
              </w:rPr>
              <w:t>—</w:t>
            </w:r>
          </w:p>
        </w:tc>
      </w:tr>
      <w:tr>
        <w:trPr>
          <w:trHeight w:val="218"/>
        </w:trPr>
        <w:tc>
          <w:tcPr>
            <w:tcW w:w="4160" w:type="dxa"/>
            <w:vAlign w:val="bottom"/>
          </w:tcPr>
          <w:p>
            <w:pPr>
              <w:ind w:left="20"/>
              <w:spacing w:after="0"/>
              <w:rPr>
                <w:sz w:val="20"/>
                <w:szCs w:val="20"/>
                <w:color w:val="auto"/>
              </w:rPr>
            </w:pPr>
            <w:r>
              <w:rPr>
                <w:rFonts w:ascii="Arial" w:cs="Arial" w:eastAsia="Arial" w:hAnsi="Arial"/>
                <w:sz w:val="15"/>
                <w:szCs w:val="15"/>
                <w:color w:val="auto"/>
              </w:rPr>
              <w:t>Quarter 1, 2025</w:t>
            </w:r>
          </w:p>
        </w:tc>
        <w:tc>
          <w:tcPr>
            <w:tcW w:w="206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2000" w:type="dxa"/>
            <w:vAlign w:val="bottom"/>
          </w:tcPr>
          <w:p>
            <w:pPr>
              <w:ind w:left="1020"/>
              <w:spacing w:after="0"/>
              <w:rPr>
                <w:sz w:val="20"/>
                <w:szCs w:val="20"/>
                <w:color w:val="auto"/>
              </w:rPr>
            </w:pPr>
            <w:r>
              <w:rPr>
                <w:rFonts w:ascii="Arial" w:cs="Arial" w:eastAsia="Arial" w:hAnsi="Arial"/>
                <w:sz w:val="15"/>
                <w:szCs w:val="15"/>
                <w:color w:val="auto"/>
              </w:rPr>
              <w:t>(50,000)</w:t>
            </w:r>
          </w:p>
        </w:tc>
        <w:tc>
          <w:tcPr>
            <w:tcW w:w="148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2025</w:t>
            </w: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ind w:left="140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ind w:left="1260"/>
              <w:spacing w:after="0"/>
              <w:rPr>
                <w:sz w:val="20"/>
                <w:szCs w:val="20"/>
                <w:color w:val="auto"/>
              </w:rPr>
            </w:pPr>
            <w:r>
              <w:rPr>
                <w:rFonts w:ascii="Arial" w:cs="Arial" w:eastAsia="Arial" w:hAnsi="Arial"/>
                <w:sz w:val="15"/>
                <w:szCs w:val="15"/>
                <w:color w:val="auto"/>
              </w:rPr>
              <w:t>—</w:t>
            </w:r>
          </w:p>
        </w:tc>
      </w:tr>
      <w:tr>
        <w:trPr>
          <w:trHeight w:val="218"/>
        </w:trPr>
        <w:tc>
          <w:tcPr>
            <w:tcW w:w="4160" w:type="dxa"/>
            <w:vAlign w:val="bottom"/>
          </w:tcPr>
          <w:p>
            <w:pPr>
              <w:ind w:left="20"/>
              <w:spacing w:after="0"/>
              <w:rPr>
                <w:sz w:val="20"/>
                <w:szCs w:val="20"/>
                <w:color w:val="auto"/>
              </w:rPr>
            </w:pPr>
            <w:r>
              <w:rPr>
                <w:rFonts w:ascii="Arial" w:cs="Arial" w:eastAsia="Arial" w:hAnsi="Arial"/>
                <w:sz w:val="15"/>
                <w:szCs w:val="15"/>
                <w:color w:val="auto"/>
              </w:rPr>
              <w:t>Quarter 3, 2025</w:t>
            </w:r>
          </w:p>
        </w:tc>
        <w:tc>
          <w:tcPr>
            <w:tcW w:w="20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2000" w:type="dxa"/>
            <w:vAlign w:val="bottom"/>
          </w:tcPr>
          <w:p>
            <w:pPr>
              <w:ind w:left="1400"/>
              <w:spacing w:after="0"/>
              <w:rPr>
                <w:sz w:val="20"/>
                <w:szCs w:val="20"/>
                <w:color w:val="auto"/>
              </w:rPr>
            </w:pPr>
            <w:r>
              <w:rPr>
                <w:rFonts w:ascii="Arial" w:cs="Arial" w:eastAsia="Arial" w:hAnsi="Arial"/>
                <w:sz w:val="15"/>
                <w:szCs w:val="15"/>
                <w:color w:val="auto"/>
              </w:rPr>
              <w:t>—</w:t>
            </w:r>
          </w:p>
        </w:tc>
        <w:tc>
          <w:tcPr>
            <w:tcW w:w="148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19"/>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2025</w:t>
            </w:r>
          </w:p>
        </w:tc>
        <w:tc>
          <w:tcPr>
            <w:tcW w:w="20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5"/>
                <w:szCs w:val="15"/>
                <w:color w:val="auto"/>
              </w:rPr>
              <w:t>—</w:t>
            </w:r>
          </w:p>
        </w:tc>
      </w:tr>
      <w:tr>
        <w:trPr>
          <w:trHeight w:val="212"/>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2025</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ind w:left="1020"/>
              <w:spacing w:after="0"/>
              <w:rPr>
                <w:sz w:val="20"/>
                <w:szCs w:val="20"/>
                <w:color w:val="auto"/>
              </w:rPr>
            </w:pPr>
            <w:r>
              <w:rPr>
                <w:rFonts w:ascii="Arial" w:cs="Arial" w:eastAsia="Arial" w:hAnsi="Arial"/>
                <w:sz w:val="15"/>
                <w:szCs w:val="15"/>
                <w:color w:val="auto"/>
              </w:rPr>
              <w:t>(50,000)</w:t>
            </w:r>
          </w:p>
        </w:tc>
        <w:tc>
          <w:tcPr>
            <w:tcW w:w="1480" w:type="dxa"/>
            <w:vAlign w:val="bottom"/>
            <w:tcBorders>
              <w:bottom w:val="single" w:sz="8" w:color="auto"/>
            </w:tcBorders>
          </w:tcPr>
          <w:p>
            <w:pPr>
              <w:spacing w:after="0"/>
              <w:rPr>
                <w:sz w:val="18"/>
                <w:szCs w:val="18"/>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1, 2026</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ind w:left="140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ind w:left="1260"/>
              <w:spacing w:after="0"/>
              <w:rPr>
                <w:sz w:val="20"/>
                <w:szCs w:val="20"/>
                <w:color w:val="auto"/>
              </w:rPr>
            </w:pPr>
            <w:r>
              <w:rPr>
                <w:rFonts w:ascii="Arial" w:cs="Arial" w:eastAsia="Arial" w:hAnsi="Arial"/>
                <w:sz w:val="15"/>
                <w:szCs w:val="15"/>
                <w:color w:val="auto"/>
              </w:rPr>
              <w:t>—</w:t>
            </w:r>
          </w:p>
        </w:tc>
      </w:tr>
      <w:tr>
        <w:trPr>
          <w:trHeight w:val="218"/>
        </w:trPr>
        <w:tc>
          <w:tcPr>
            <w:tcW w:w="4160" w:type="dxa"/>
            <w:vAlign w:val="bottom"/>
          </w:tcPr>
          <w:p>
            <w:pPr>
              <w:ind w:left="20"/>
              <w:spacing w:after="0"/>
              <w:rPr>
                <w:sz w:val="20"/>
                <w:szCs w:val="20"/>
                <w:color w:val="auto"/>
              </w:rPr>
            </w:pPr>
            <w:r>
              <w:rPr>
                <w:rFonts w:ascii="Arial" w:cs="Arial" w:eastAsia="Arial" w:hAnsi="Arial"/>
                <w:sz w:val="15"/>
                <w:szCs w:val="15"/>
                <w:color w:val="auto"/>
              </w:rPr>
              <w:t>Quarter 2, 2026</w:t>
            </w:r>
          </w:p>
        </w:tc>
        <w:tc>
          <w:tcPr>
            <w:tcW w:w="20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2000" w:type="dxa"/>
            <w:vAlign w:val="bottom"/>
          </w:tcPr>
          <w:p>
            <w:pPr>
              <w:ind w:left="1400"/>
              <w:spacing w:after="0"/>
              <w:rPr>
                <w:sz w:val="20"/>
                <w:szCs w:val="20"/>
                <w:color w:val="auto"/>
              </w:rPr>
            </w:pPr>
            <w:r>
              <w:rPr>
                <w:rFonts w:ascii="Arial" w:cs="Arial" w:eastAsia="Arial" w:hAnsi="Arial"/>
                <w:sz w:val="15"/>
                <w:szCs w:val="15"/>
                <w:color w:val="auto"/>
              </w:rPr>
              <w:t>—</w:t>
            </w:r>
          </w:p>
        </w:tc>
        <w:tc>
          <w:tcPr>
            <w:tcW w:w="148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19"/>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3, 2026</w:t>
            </w:r>
          </w:p>
        </w:tc>
        <w:tc>
          <w:tcPr>
            <w:tcW w:w="20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5"/>
                <w:szCs w:val="15"/>
                <w:color w:val="auto"/>
              </w:rPr>
              <w:t>—</w:t>
            </w:r>
          </w:p>
        </w:tc>
      </w:tr>
      <w:tr>
        <w:trPr>
          <w:trHeight w:val="212"/>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2026</w:t>
            </w:r>
          </w:p>
        </w:tc>
        <w:tc>
          <w:tcPr>
            <w:tcW w:w="20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color w:val="auto"/>
              </w:rPr>
              <w:t>— $</w:t>
            </w:r>
          </w:p>
        </w:tc>
        <w:tc>
          <w:tcPr>
            <w:tcW w:w="2000" w:type="dxa"/>
            <w:vAlign w:val="bottom"/>
            <w:tcBorders>
              <w:bottom w:val="single" w:sz="8" w:color="auto"/>
            </w:tcBorders>
          </w:tcPr>
          <w:p>
            <w:pPr>
              <w:ind w:left="1400"/>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spacing w:after="0"/>
              <w:rPr>
                <w:sz w:val="18"/>
                <w:szCs w:val="18"/>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Bridge Secured Credit Facility</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On April 27, 2026, ICON Global Treasury Unlimited Company (the “Bridge Facility Borrower”), a subsidiary of the Company, entered into a bridge facility credit agreement for an aggregate principal amount of $500 million (the "Bridge Secured Credit Facility").</w:t>
      </w:r>
    </w:p>
    <w:p>
      <w:pPr>
        <w:spacing w:after="0" w:line="15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Borrowings under the Bridge Secured Credit Facility did not amortize and were due at final maturity. The interest rate margin applicable to borrowings under the Bridge Secured Credit Facility was USD Term SOFR plus a fixed calendared applicable margin ranging from 1.00% to 2.25%.</w:t>
      </w:r>
    </w:p>
    <w:p>
      <w:pPr>
        <w:spacing w:after="0" w:line="196"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On July 15, 2026, the Company drew down on the Bridge Secured Credit Facility in full and used the proceeds of $500.0 million to repay in full the $500.0 million aggregate principal amount of the 2.875% Senior Secured Notes (the “2026 Notes”) issued by a subsidiary of the Company in July 2021 that matured on July 15, 2026. The Bridge Secured Credit Facility was repaid in full on August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color w:val="auto"/>
        </w:rPr>
        <w:t>11. Income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40" w:type="dxa"/>
            <w:vAlign w:val="bottom"/>
            <w:gridSpan w:val="7"/>
          </w:tcPr>
          <w:p>
            <w:pPr>
              <w:jc w:val="right"/>
              <w:ind w:right="583"/>
              <w:spacing w:after="0"/>
              <w:rPr>
                <w:sz w:val="20"/>
                <w:szCs w:val="20"/>
                <w:color w:val="auto"/>
              </w:rPr>
            </w:pPr>
            <w:r>
              <w:rPr>
                <w:rFonts w:ascii="Arial" w:cs="Arial" w:eastAsia="Arial" w:hAnsi="Arial"/>
                <w:sz w:val="15"/>
                <w:szCs w:val="15"/>
                <w:color w:val="auto"/>
              </w:rPr>
              <w:t>Income taxes recognized during the three and nine months ended September 30, 2026 and September 30, 2025, comprise: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9"/>
        </w:trPr>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3"/>
          </w:tcPr>
          <w:p>
            <w:pPr>
              <w:spacing w:after="0"/>
              <w:rPr>
                <w:sz w:val="22"/>
                <w:szCs w:val="22"/>
                <w:color w:val="auto"/>
              </w:rPr>
            </w:pPr>
          </w:p>
        </w:tc>
        <w:tc>
          <w:tcPr>
            <w:tcW w:w="320" w:type="dxa"/>
            <w:vAlign w:val="bottom"/>
          </w:tcPr>
          <w:p>
            <w:pPr>
              <w:spacing w:after="0"/>
              <w:rPr>
                <w:sz w:val="22"/>
                <w:szCs w:val="22"/>
                <w:color w:val="auto"/>
              </w:rPr>
            </w:pPr>
          </w:p>
        </w:tc>
        <w:tc>
          <w:tcPr>
            <w:tcW w:w="2720" w:type="dxa"/>
            <w:vAlign w:val="bottom"/>
            <w:gridSpan w:val="3"/>
          </w:tcPr>
          <w:p>
            <w:pPr>
              <w:spacing w:after="0"/>
              <w:rPr>
                <w:sz w:val="22"/>
                <w:szCs w:val="22"/>
                <w:color w:val="auto"/>
              </w:rPr>
            </w:pPr>
          </w:p>
        </w:tc>
      </w:tr>
      <w:tr>
        <w:trPr>
          <w:trHeight w:val="219"/>
        </w:trPr>
        <w:tc>
          <w:tcPr>
            <w:tcW w:w="5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923"/>
              <w:spacing w:after="0"/>
              <w:rPr>
                <w:sz w:val="20"/>
                <w:szCs w:val="20"/>
                <w:color w:val="auto"/>
              </w:rPr>
            </w:pPr>
            <w:r>
              <w:rPr>
                <w:rFonts w:ascii="Arial" w:cs="Arial" w:eastAsia="Arial" w:hAnsi="Arial"/>
                <w:sz w:val="15"/>
                <w:szCs w:val="15"/>
                <w:b w:val="1"/>
                <w:bCs w:val="1"/>
                <w:color w:val="auto"/>
              </w:rPr>
              <w:t>(in thousands)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expense</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32,446</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12,791</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74,868</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12,468</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32,446</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12,791</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74,868</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12,468</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Income tax expense for the three months ended September 30, 2026 was $32.4 million, compared to $12.8 million for the three months ended September 30, 2025. The change in the charge primarily relates to the $25.6 million net decrease in tax benefit associated with the impact of the release of deferred tax on intangible assets in the three months ended September 30, 2026 compared with the three months ended September 30, 2025.</w:t>
      </w:r>
    </w:p>
    <w:p>
      <w:pPr>
        <w:spacing w:after="0" w:line="19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Income tax expense for the nine months ended September 30, 2026 increased to $74.9 million compared to a $12.5 million expense for the nine months ended September 30, 2025. The change in the tax charge for the nine months ended September 30, 2026 was primarily due to the net build of provisions for uncertain tax positions in the period of $6.4 million (nine months ended September 30, 2025: $23.4 million net release), no release of a deferred tax liability related to investments in foreign subsidiaries associated with unremitted earnings (nine months ended September 30, 2025: $29.8 million release), and reduced benefit associated with the release of deferred tax on intangible assets in the nine months ended September 30, 2026.</w:t>
      </w:r>
    </w:p>
    <w:p>
      <w:pPr>
        <w:spacing w:after="0" w:line="20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normal course of business, the Company provides for uncertain tax positions and the related interest and adjusts its unrecognized tax benefits and accrued interest accordingly. As at September 30, 2026, the Company maintains a $109.8 million liability (December 31, 2025: $103.3 million) for unrecognized tax benefits, which is comprised of $83.1 million (December 31, 2025: $81.0 million) and $26.7 million (December 31, 2025: $22.3 million) for interest and penalties related to such items. The Company recognizes interest accrued on unrecognized tax benefits as an additional income tax expense.</w:t>
      </w:r>
    </w:p>
    <w:p>
      <w:pPr>
        <w:spacing w:after="0" w:line="18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analyzed the filing positions in all of the significant jurisdictions where it is required to file income tax returns, as well as open tax years in these jurisdictions. The periods subject to audit by the major tax jurisdictions where the Company does business are the 2015 through 2025 tax years. During such audits, local tax authorities may challenge the positions taken by us in our tax returns.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color w:val="auto"/>
        </w:rPr>
        <w:t>12. Net income / (loss) per ordinary share</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Basic net income / (loss) per ordinary share has been computed by dividing net income / (loss) available to ordinary shareholders by the weighted average number of ordinary shares outstanding during the period.</w:t>
      </w:r>
    </w:p>
    <w:p>
      <w:pPr>
        <w:spacing w:after="0" w:line="15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Diluted net income / (loss) per ordinary share is computed by adjusting the weighted average number of ordinary shares outstanding during the period for all potentially dilutive ordinary shares outstanding during the period and adjusting net income / (loss) for any changes in income or loss that would result from the conversion of such potential ordinary shares.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is no difference in net income / (loss) used for basic and diluted net income per ordinary share.</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reconciliation of the number of shares used in the computation of basic and diluted net income / (loss) per ordinary share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shd w:val="clear" w:color="auto" w:fill="CCEEFF"/>
          </w:tcPr>
          <w:p>
            <w:pPr>
              <w:spacing w:after="0"/>
              <w:rPr>
                <w:sz w:val="19"/>
                <w:szCs w:val="19"/>
                <w:color w:val="auto"/>
              </w:rPr>
            </w:pPr>
          </w:p>
        </w:tc>
        <w:tc>
          <w:tcPr>
            <w:tcW w:w="3240" w:type="dxa"/>
            <w:vAlign w:val="bottom"/>
            <w:tcBorders>
              <w:bottom w:val="single" w:sz="8" w:color="auto"/>
            </w:tcBorders>
            <w:gridSpan w:val="2"/>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Three Months Ended</w:t>
            </w:r>
          </w:p>
        </w:tc>
        <w:tc>
          <w:tcPr>
            <w:tcW w:w="2820" w:type="dxa"/>
            <w:vAlign w:val="bottom"/>
            <w:tcBorders>
              <w:bottom w:val="single" w:sz="8" w:color="auto"/>
            </w:tcBorders>
            <w:gridSpan w:val="2"/>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80" w:type="dxa"/>
            <w:vAlign w:val="bottom"/>
          </w:tcPr>
          <w:p>
            <w:pPr>
              <w:spacing w:after="0"/>
              <w:rPr>
                <w:sz w:val="13"/>
                <w:szCs w:val="13"/>
                <w:color w:val="auto"/>
              </w:rPr>
            </w:pPr>
          </w:p>
        </w:tc>
        <w:tc>
          <w:tcPr>
            <w:tcW w:w="1700" w:type="dxa"/>
            <w:vAlign w:val="bottom"/>
          </w:tcPr>
          <w:p>
            <w:pPr>
              <w:jc w:val="right"/>
              <w:ind w:right="143"/>
              <w:spacing w:after="0" w:line="161" w:lineRule="exact"/>
              <w:rPr>
                <w:sz w:val="20"/>
                <w:szCs w:val="20"/>
                <w:color w:val="auto"/>
              </w:rPr>
            </w:pPr>
            <w:r>
              <w:rPr>
                <w:rFonts w:ascii="Arial" w:cs="Arial" w:eastAsia="Arial" w:hAnsi="Arial"/>
                <w:sz w:val="15"/>
                <w:szCs w:val="15"/>
                <w:b w:val="1"/>
                <w:bCs w:val="1"/>
                <w:color w:val="auto"/>
              </w:rPr>
              <w:t>September 30,</w:t>
            </w:r>
          </w:p>
        </w:tc>
        <w:tc>
          <w:tcPr>
            <w:tcW w:w="1540" w:type="dxa"/>
            <w:vAlign w:val="bottom"/>
          </w:tcPr>
          <w:p>
            <w:pPr>
              <w:jc w:val="right"/>
              <w:ind w:right="183"/>
              <w:spacing w:after="0" w:line="161" w:lineRule="exact"/>
              <w:rPr>
                <w:sz w:val="20"/>
                <w:szCs w:val="20"/>
                <w:color w:val="auto"/>
              </w:rPr>
            </w:pPr>
            <w:r>
              <w:rPr>
                <w:rFonts w:ascii="Arial" w:cs="Arial" w:eastAsia="Arial" w:hAnsi="Arial"/>
                <w:sz w:val="15"/>
                <w:szCs w:val="15"/>
                <w:b w:val="1"/>
                <w:bCs w:val="1"/>
                <w:color w:val="auto"/>
              </w:rPr>
              <w:t>September 30,</w:t>
            </w:r>
          </w:p>
        </w:tc>
        <w:tc>
          <w:tcPr>
            <w:tcW w:w="1540" w:type="dxa"/>
            <w:vAlign w:val="bottom"/>
          </w:tcPr>
          <w:p>
            <w:pPr>
              <w:jc w:val="right"/>
              <w:ind w:right="143"/>
              <w:spacing w:after="0" w:line="161" w:lineRule="exact"/>
              <w:rPr>
                <w:sz w:val="20"/>
                <w:szCs w:val="20"/>
                <w:color w:val="auto"/>
              </w:rPr>
            </w:pPr>
            <w:r>
              <w:rPr>
                <w:rFonts w:ascii="Arial" w:cs="Arial" w:eastAsia="Arial" w:hAnsi="Arial"/>
                <w:sz w:val="15"/>
                <w:szCs w:val="15"/>
                <w:b w:val="1"/>
                <w:bCs w:val="1"/>
                <w:color w:val="auto"/>
              </w:rPr>
              <w:t>September 30,</w:t>
            </w:r>
          </w:p>
        </w:tc>
        <w:tc>
          <w:tcPr>
            <w:tcW w:w="12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2026</w:t>
            </w:r>
          </w:p>
        </w:tc>
        <w:tc>
          <w:tcPr>
            <w:tcW w:w="15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2025</w:t>
            </w:r>
          </w:p>
        </w:tc>
        <w:tc>
          <w:tcPr>
            <w:tcW w:w="15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2026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161"/>
        </w:trPr>
        <w:tc>
          <w:tcPr>
            <w:tcW w:w="518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Weighted average number of ordinary shares outstanding for basic net</w:t>
            </w:r>
          </w:p>
        </w:tc>
        <w:tc>
          <w:tcPr>
            <w:tcW w:w="1700" w:type="dxa"/>
            <w:vAlign w:val="bottom"/>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rPr>
              <w:t>76,932,640</w:t>
            </w:r>
          </w:p>
        </w:tc>
        <w:tc>
          <w:tcPr>
            <w:tcW w:w="1540" w:type="dxa"/>
            <w:vAlign w:val="bottom"/>
            <w:shd w:val="clear" w:color="auto" w:fill="CCEEFF"/>
          </w:tcPr>
          <w:p>
            <w:pPr>
              <w:jc w:val="right"/>
              <w:ind w:right="243"/>
              <w:spacing w:after="0" w:line="161" w:lineRule="exact"/>
              <w:rPr>
                <w:sz w:val="20"/>
                <w:szCs w:val="20"/>
                <w:color w:val="auto"/>
              </w:rPr>
            </w:pPr>
            <w:r>
              <w:rPr>
                <w:rFonts w:ascii="Arial" w:cs="Arial" w:eastAsia="Arial" w:hAnsi="Arial"/>
                <w:sz w:val="15"/>
                <w:szCs w:val="15"/>
                <w:color w:val="auto"/>
              </w:rPr>
              <w:t>77,373,534</w:t>
            </w:r>
          </w:p>
        </w:tc>
        <w:tc>
          <w:tcPr>
            <w:tcW w:w="1540" w:type="dxa"/>
            <w:vAlign w:val="bottom"/>
            <w:shd w:val="clear" w:color="auto" w:fill="CCEEFF"/>
          </w:tcPr>
          <w:p>
            <w:pPr>
              <w:jc w:val="right"/>
              <w:ind w:right="183"/>
              <w:spacing w:after="0" w:line="161" w:lineRule="exact"/>
              <w:rPr>
                <w:sz w:val="20"/>
                <w:szCs w:val="20"/>
                <w:color w:val="auto"/>
              </w:rPr>
            </w:pPr>
            <w:r>
              <w:rPr>
                <w:rFonts w:ascii="Arial" w:cs="Arial" w:eastAsia="Arial" w:hAnsi="Arial"/>
                <w:sz w:val="15"/>
                <w:szCs w:val="15"/>
                <w:color w:val="auto"/>
              </w:rPr>
              <w:t>76,785,939</w:t>
            </w:r>
          </w:p>
        </w:tc>
        <w:tc>
          <w:tcPr>
            <w:tcW w:w="12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79,057,239</w:t>
            </w: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 (loss) per ordinary share</w:t>
            </w:r>
          </w:p>
        </w:tc>
        <w:tc>
          <w:tcPr>
            <w:tcW w:w="17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68"/>
        </w:trPr>
        <w:tc>
          <w:tcPr>
            <w:tcW w:w="5180" w:type="dxa"/>
            <w:vAlign w:val="bottom"/>
          </w:tcPr>
          <w:p>
            <w:pPr>
              <w:ind w:left="20"/>
              <w:spacing w:after="0" w:line="169" w:lineRule="exact"/>
              <w:rPr>
                <w:sz w:val="20"/>
                <w:szCs w:val="20"/>
                <w:color w:val="auto"/>
              </w:rPr>
            </w:pPr>
            <w:r>
              <w:rPr>
                <w:rFonts w:ascii="Arial" w:cs="Arial" w:eastAsia="Arial" w:hAnsi="Arial"/>
                <w:sz w:val="15"/>
                <w:szCs w:val="15"/>
                <w:color w:val="auto"/>
              </w:rPr>
              <w:t>Effect of dilutive share options and other awards outstanding under share-</w:t>
            </w:r>
          </w:p>
        </w:tc>
        <w:tc>
          <w:tcPr>
            <w:tcW w:w="1700" w:type="dxa"/>
            <w:vAlign w:val="bottom"/>
          </w:tcPr>
          <w:p>
            <w:pPr>
              <w:jc w:val="right"/>
              <w:ind w:right="183"/>
              <w:spacing w:after="0" w:line="169" w:lineRule="exact"/>
              <w:rPr>
                <w:sz w:val="20"/>
                <w:szCs w:val="20"/>
                <w:color w:val="auto"/>
              </w:rPr>
            </w:pPr>
            <w:r>
              <w:rPr>
                <w:rFonts w:ascii="Arial" w:cs="Arial" w:eastAsia="Arial" w:hAnsi="Arial"/>
                <w:sz w:val="15"/>
                <w:szCs w:val="15"/>
                <w:color w:val="auto"/>
              </w:rPr>
              <w:t>471,421</w:t>
            </w:r>
          </w:p>
        </w:tc>
        <w:tc>
          <w:tcPr>
            <w:tcW w:w="1540" w:type="dxa"/>
            <w:vAlign w:val="bottom"/>
          </w:tcPr>
          <w:p>
            <w:pPr>
              <w:jc w:val="right"/>
              <w:ind w:right="243"/>
              <w:spacing w:after="0" w:line="169" w:lineRule="exact"/>
              <w:rPr>
                <w:sz w:val="20"/>
                <w:szCs w:val="20"/>
                <w:color w:val="auto"/>
              </w:rPr>
            </w:pPr>
            <w:r>
              <w:rPr>
                <w:rFonts w:ascii="Arial" w:cs="Arial" w:eastAsia="Arial" w:hAnsi="Arial"/>
                <w:sz w:val="15"/>
                <w:szCs w:val="15"/>
                <w:color w:val="auto"/>
              </w:rPr>
              <w:t>—</w:t>
            </w:r>
          </w:p>
        </w:tc>
        <w:tc>
          <w:tcPr>
            <w:tcW w:w="1540" w:type="dxa"/>
            <w:vAlign w:val="bottom"/>
          </w:tcPr>
          <w:p>
            <w:pPr>
              <w:jc w:val="right"/>
              <w:ind w:right="183"/>
              <w:spacing w:after="0" w:line="169" w:lineRule="exact"/>
              <w:rPr>
                <w:sz w:val="20"/>
                <w:szCs w:val="20"/>
                <w:color w:val="auto"/>
              </w:rPr>
            </w:pPr>
            <w:r>
              <w:rPr>
                <w:rFonts w:ascii="Arial" w:cs="Arial" w:eastAsia="Arial" w:hAnsi="Arial"/>
                <w:sz w:val="15"/>
                <w:szCs w:val="15"/>
                <w:color w:val="auto"/>
              </w:rPr>
              <w:t>559,818</w:t>
            </w:r>
          </w:p>
        </w:tc>
        <w:tc>
          <w:tcPr>
            <w:tcW w:w="1280" w:type="dxa"/>
            <w:vAlign w:val="bottom"/>
          </w:tcPr>
          <w:p>
            <w:pPr>
              <w:jc w:val="right"/>
              <w:spacing w:after="0" w:line="169" w:lineRule="exact"/>
              <w:rPr>
                <w:sz w:val="20"/>
                <w:szCs w:val="20"/>
                <w:color w:val="auto"/>
              </w:rPr>
            </w:pPr>
            <w:r>
              <w:rPr>
                <w:rFonts w:ascii="Arial" w:cs="Arial" w:eastAsia="Arial" w:hAnsi="Arial"/>
                <w:sz w:val="15"/>
                <w:szCs w:val="15"/>
                <w:color w:val="auto"/>
              </w:rPr>
              <w:t>460,847</w:t>
            </w:r>
          </w:p>
        </w:tc>
      </w:tr>
      <w:tr>
        <w:trPr>
          <w:trHeight w:val="20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based compensation programs</w:t>
            </w:r>
          </w:p>
        </w:tc>
        <w:tc>
          <w:tcPr>
            <w:tcW w:w="1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62"/>
        </w:trPr>
        <w:tc>
          <w:tcPr>
            <w:tcW w:w="51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Weighted average number of ordinary shares outstanding for diluted net</w:t>
            </w:r>
          </w:p>
        </w:tc>
        <w:tc>
          <w:tcPr>
            <w:tcW w:w="1700" w:type="dxa"/>
            <w:vAlign w:val="bottom"/>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rPr>
              <w:t>77,404,061</w:t>
            </w:r>
          </w:p>
        </w:tc>
        <w:tc>
          <w:tcPr>
            <w:tcW w:w="1540" w:type="dxa"/>
            <w:vAlign w:val="bottom"/>
            <w:shd w:val="clear" w:color="auto" w:fill="CCEEFF"/>
          </w:tcPr>
          <w:p>
            <w:pPr>
              <w:jc w:val="right"/>
              <w:ind w:right="243"/>
              <w:spacing w:after="0" w:line="162" w:lineRule="exact"/>
              <w:rPr>
                <w:sz w:val="20"/>
                <w:szCs w:val="20"/>
                <w:color w:val="auto"/>
              </w:rPr>
            </w:pPr>
            <w:r>
              <w:rPr>
                <w:rFonts w:ascii="Arial" w:cs="Arial" w:eastAsia="Arial" w:hAnsi="Arial"/>
                <w:sz w:val="15"/>
                <w:szCs w:val="15"/>
                <w:color w:val="auto"/>
              </w:rPr>
              <w:t>77,373,534</w:t>
            </w:r>
          </w:p>
        </w:tc>
        <w:tc>
          <w:tcPr>
            <w:tcW w:w="1540" w:type="dxa"/>
            <w:vAlign w:val="bottom"/>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rPr>
              <w:t>77,345,757</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79,518,086</w:t>
            </w: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 (loss) per ordinary share</w:t>
            </w:r>
          </w:p>
        </w:tc>
        <w:tc>
          <w:tcPr>
            <w:tcW w:w="17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Due to the Net loss for the three months ended September 30, 2025, the effect of share options and other awards outstanding under share-based compensation programs is anti-dilutive.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gridSpan w:val="3"/>
            <w:shd w:val="clear" w:color="auto" w:fill="CCEEFF"/>
          </w:tcPr>
          <w:p>
            <w:pPr>
              <w:jc w:val="right"/>
              <w:ind w:right="72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ind w:left="500"/>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2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rPr>
              <w:t>2025</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 per Ordinary Share: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8"/>
        </w:trPr>
        <w:tc>
          <w:tcPr>
            <w:tcW w:w="5140" w:type="dxa"/>
            <w:vAlign w:val="bottom"/>
          </w:tcPr>
          <w:p>
            <w:pPr>
              <w:ind w:left="20"/>
              <w:spacing w:after="0"/>
              <w:rPr>
                <w:sz w:val="20"/>
                <w:szCs w:val="20"/>
                <w:color w:val="auto"/>
              </w:rPr>
            </w:pPr>
            <w:r>
              <w:rPr>
                <w:rFonts w:ascii="Arial" w:cs="Arial" w:eastAsia="Arial" w:hAnsi="Arial"/>
                <w:sz w:val="15"/>
                <w:szCs w:val="15"/>
                <w:color w:val="auto"/>
              </w:rPr>
              <w:t>Basic</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ind w:left="880"/>
              <w:spacing w:after="0"/>
              <w:rPr>
                <w:sz w:val="20"/>
                <w:szCs w:val="20"/>
                <w:color w:val="auto"/>
              </w:rPr>
            </w:pPr>
            <w:r>
              <w:rPr>
                <w:rFonts w:ascii="Arial" w:cs="Arial" w:eastAsia="Arial" w:hAnsi="Arial"/>
                <w:sz w:val="15"/>
                <w:szCs w:val="15"/>
                <w:color w:val="auto"/>
              </w:rPr>
              <w:t>1.59</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(3.67)</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ind w:left="860"/>
              <w:spacing w:after="0"/>
              <w:rPr>
                <w:sz w:val="20"/>
                <w:szCs w:val="20"/>
                <w:color w:val="auto"/>
              </w:rPr>
            </w:pPr>
            <w:r>
              <w:rPr>
                <w:rFonts w:ascii="Arial" w:cs="Arial" w:eastAsia="Arial" w:hAnsi="Arial"/>
                <w:sz w:val="15"/>
                <w:szCs w:val="15"/>
                <w:color w:val="auto"/>
              </w:rPr>
              <w:t>3.90</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ind w:left="860"/>
              <w:spacing w:after="0"/>
              <w:rPr>
                <w:sz w:val="20"/>
                <w:szCs w:val="20"/>
                <w:color w:val="auto"/>
              </w:rPr>
            </w:pPr>
            <w:r>
              <w:rPr>
                <w:rFonts w:ascii="Arial" w:cs="Arial" w:eastAsia="Arial" w:hAnsi="Arial"/>
                <w:sz w:val="15"/>
                <w:szCs w:val="15"/>
                <w:color w:val="auto"/>
              </w:rPr>
              <w:t>1.01</w:t>
            </w:r>
          </w:p>
        </w:tc>
      </w:tr>
      <w:tr>
        <w:trPr>
          <w:trHeight w:val="244"/>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1.58</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(3.67)</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3.87</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1.01</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Share-based awards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Options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option activity for the nine months ended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shd w:val="clear" w:color="auto" w:fill="CCEEFF"/>
          </w:tcPr>
          <w:p>
            <w:pPr>
              <w:spacing w:after="0"/>
              <w:rPr>
                <w:sz w:val="15"/>
                <w:szCs w:val="15"/>
                <w:color w:val="auto"/>
              </w:rPr>
            </w:pPr>
          </w:p>
        </w:tc>
        <w:tc>
          <w:tcPr>
            <w:tcW w:w="3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Options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Weighted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Weighted</w:t>
            </w:r>
          </w:p>
        </w:tc>
      </w:tr>
      <w:tr>
        <w:trPr>
          <w:trHeight w:val="155"/>
        </w:trPr>
        <w:tc>
          <w:tcPr>
            <w:tcW w:w="4720" w:type="dxa"/>
            <w:vAlign w:val="bottom"/>
            <w:shd w:val="clear" w:color="auto" w:fill="CCEEFF"/>
          </w:tcPr>
          <w:p>
            <w:pPr>
              <w:spacing w:after="0"/>
              <w:rPr>
                <w:sz w:val="13"/>
                <w:szCs w:val="13"/>
                <w:color w:val="auto"/>
              </w:rPr>
            </w:pPr>
          </w:p>
        </w:tc>
        <w:tc>
          <w:tcPr>
            <w:tcW w:w="36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3"/>
              <w:spacing w:after="0" w:line="155" w:lineRule="exact"/>
              <w:rPr>
                <w:sz w:val="20"/>
                <w:szCs w:val="20"/>
                <w:color w:val="auto"/>
              </w:rPr>
            </w:pPr>
            <w:r>
              <w:rPr>
                <w:rFonts w:ascii="Arial" w:cs="Arial" w:eastAsia="Arial" w:hAnsi="Arial"/>
                <w:sz w:val="15"/>
                <w:szCs w:val="15"/>
                <w:b w:val="1"/>
                <w:bCs w:val="1"/>
                <w:color w:val="auto"/>
              </w:rPr>
              <w:t>Average</w:t>
            </w: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w:t>
            </w:r>
          </w:p>
        </w:tc>
      </w:tr>
      <w:tr>
        <w:trPr>
          <w:trHeight w:val="155"/>
        </w:trPr>
        <w:tc>
          <w:tcPr>
            <w:tcW w:w="4720" w:type="dxa"/>
            <w:vAlign w:val="bottom"/>
            <w:shd w:val="clear" w:color="auto" w:fill="CCEEFF"/>
          </w:tcPr>
          <w:p>
            <w:pPr>
              <w:spacing w:after="0"/>
              <w:rPr>
                <w:sz w:val="13"/>
                <w:szCs w:val="13"/>
                <w:color w:val="auto"/>
              </w:rPr>
            </w:pPr>
          </w:p>
        </w:tc>
        <w:tc>
          <w:tcPr>
            <w:tcW w:w="36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 Shares</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3"/>
              <w:spacing w:after="0" w:line="155" w:lineRule="exact"/>
              <w:rPr>
                <w:sz w:val="20"/>
                <w:szCs w:val="20"/>
                <w:color w:val="auto"/>
              </w:rPr>
            </w:pPr>
            <w:r>
              <w:rPr>
                <w:rFonts w:ascii="Arial" w:cs="Arial" w:eastAsia="Arial" w:hAnsi="Arial"/>
                <w:sz w:val="15"/>
                <w:szCs w:val="15"/>
                <w:b w:val="1"/>
                <w:bCs w:val="1"/>
                <w:color w:val="auto"/>
              </w:rPr>
              <w:t>Exercise</w:t>
            </w: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Remaining</w:t>
            </w:r>
          </w:p>
        </w:tc>
      </w:tr>
      <w:tr>
        <w:trPr>
          <w:trHeight w:val="155"/>
        </w:trPr>
        <w:tc>
          <w:tcPr>
            <w:tcW w:w="472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3"/>
              <w:spacing w:after="0" w:line="155" w:lineRule="exact"/>
              <w:rPr>
                <w:sz w:val="20"/>
                <w:szCs w:val="20"/>
                <w:color w:val="auto"/>
              </w:rPr>
            </w:pPr>
            <w:r>
              <w:rPr>
                <w:rFonts w:ascii="Arial" w:cs="Arial" w:eastAsia="Arial" w:hAnsi="Arial"/>
                <w:sz w:val="15"/>
                <w:szCs w:val="15"/>
                <w:b w:val="1"/>
                <w:bCs w:val="1"/>
                <w:color w:val="auto"/>
              </w:rPr>
              <w:t>Price</w:t>
            </w: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Contractual</w:t>
            </w:r>
          </w:p>
        </w:tc>
      </w:tr>
      <w:tr>
        <w:trPr>
          <w:trHeight w:val="206"/>
        </w:trPr>
        <w:tc>
          <w:tcPr>
            <w:tcW w:w="4720" w:type="dxa"/>
            <w:vAlign w:val="bottom"/>
            <w:tcBorders>
              <w:bottom w:val="single" w:sz="8" w:color="auto"/>
            </w:tcBorders>
            <w:shd w:val="clear" w:color="auto" w:fill="CCEEFF"/>
          </w:tcPr>
          <w:p>
            <w:pPr>
              <w:spacing w:after="0"/>
              <w:rPr>
                <w:sz w:val="17"/>
                <w:szCs w:val="17"/>
                <w:color w:val="auto"/>
              </w:rPr>
            </w:pPr>
          </w:p>
        </w:tc>
        <w:tc>
          <w:tcPr>
            <w:tcW w:w="3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Life</w:t>
            </w:r>
          </w:p>
        </w:tc>
      </w:tr>
      <w:tr>
        <w:trPr>
          <w:trHeight w:val="211"/>
        </w:trPr>
        <w:tc>
          <w:tcPr>
            <w:tcW w:w="4720" w:type="dxa"/>
            <w:vAlign w:val="bottom"/>
          </w:tcPr>
          <w:p>
            <w:pPr>
              <w:ind w:left="20"/>
              <w:spacing w:after="0"/>
              <w:rPr>
                <w:sz w:val="20"/>
                <w:szCs w:val="20"/>
                <w:color w:val="auto"/>
              </w:rPr>
            </w:pPr>
            <w:r>
              <w:rPr>
                <w:rFonts w:ascii="Arial" w:cs="Arial" w:eastAsia="Arial" w:hAnsi="Arial"/>
                <w:sz w:val="15"/>
                <w:szCs w:val="15"/>
                <w:color w:val="auto"/>
              </w:rPr>
              <w:t>Outstanding at December 31, 2025</w:t>
            </w:r>
          </w:p>
        </w:tc>
        <w:tc>
          <w:tcPr>
            <w:tcW w:w="3660" w:type="dxa"/>
            <w:vAlign w:val="bottom"/>
          </w:tcPr>
          <w:p>
            <w:pPr>
              <w:jc w:val="right"/>
              <w:ind w:right="3"/>
              <w:spacing w:after="0"/>
              <w:rPr>
                <w:sz w:val="20"/>
                <w:szCs w:val="20"/>
                <w:color w:val="auto"/>
              </w:rPr>
            </w:pPr>
            <w:r>
              <w:rPr>
                <w:rFonts w:ascii="Arial" w:cs="Arial" w:eastAsia="Arial" w:hAnsi="Arial"/>
                <w:sz w:val="15"/>
                <w:szCs w:val="15"/>
                <w:color w:val="auto"/>
              </w:rPr>
              <w:t>639,184</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179.12</w:t>
            </w:r>
          </w:p>
        </w:tc>
        <w:tc>
          <w:tcPr>
            <w:tcW w:w="1160" w:type="dxa"/>
            <w:vAlign w:val="bottom"/>
          </w:tcPr>
          <w:p>
            <w:pPr>
              <w:jc w:val="right"/>
              <w:spacing w:after="0"/>
              <w:rPr>
                <w:sz w:val="20"/>
                <w:szCs w:val="20"/>
                <w:color w:val="auto"/>
              </w:rPr>
            </w:pPr>
            <w:r>
              <w:rPr>
                <w:rFonts w:ascii="Arial" w:cs="Arial" w:eastAsia="Arial" w:hAnsi="Arial"/>
                <w:sz w:val="15"/>
                <w:szCs w:val="15"/>
                <w:color w:val="auto"/>
              </w:rPr>
              <w:t>3.90</w:t>
            </w: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3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65,202</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166.05</w:t>
            </w:r>
          </w:p>
        </w:tc>
        <w:tc>
          <w:tcPr>
            <w:tcW w:w="1160" w:type="dxa"/>
            <w:vAlign w:val="bottom"/>
            <w:shd w:val="clear" w:color="auto" w:fill="CCEEFF"/>
          </w:tcPr>
          <w:p>
            <w:pPr>
              <w:spacing w:after="0"/>
              <w:rPr>
                <w:sz w:val="19"/>
                <w:szCs w:val="19"/>
                <w:color w:val="auto"/>
              </w:rPr>
            </w:pPr>
          </w:p>
        </w:tc>
      </w:tr>
      <w:tr>
        <w:trPr>
          <w:trHeight w:val="218"/>
        </w:trPr>
        <w:tc>
          <w:tcPr>
            <w:tcW w:w="4720" w:type="dxa"/>
            <w:vAlign w:val="bottom"/>
          </w:tcPr>
          <w:p>
            <w:pPr>
              <w:ind w:left="20"/>
              <w:spacing w:after="0"/>
              <w:rPr>
                <w:sz w:val="20"/>
                <w:szCs w:val="20"/>
                <w:color w:val="auto"/>
              </w:rPr>
            </w:pPr>
            <w:r>
              <w:rPr>
                <w:rFonts w:ascii="Arial" w:cs="Arial" w:eastAsia="Arial" w:hAnsi="Arial"/>
                <w:sz w:val="15"/>
                <w:szCs w:val="15"/>
                <w:color w:val="auto"/>
              </w:rPr>
              <w:t>Exercised</w:t>
            </w:r>
          </w:p>
        </w:tc>
        <w:tc>
          <w:tcPr>
            <w:tcW w:w="3660" w:type="dxa"/>
            <w:vAlign w:val="bottom"/>
          </w:tcPr>
          <w:p>
            <w:pPr>
              <w:jc w:val="right"/>
              <w:spacing w:after="0"/>
              <w:rPr>
                <w:sz w:val="20"/>
                <w:szCs w:val="20"/>
                <w:color w:val="auto"/>
              </w:rPr>
            </w:pPr>
            <w:r>
              <w:rPr>
                <w:rFonts w:ascii="Arial" w:cs="Arial" w:eastAsia="Arial" w:hAnsi="Arial"/>
                <w:sz w:val="15"/>
                <w:szCs w:val="15"/>
                <w:color w:val="auto"/>
              </w:rPr>
              <w:t>(106,945)</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121.92</w:t>
            </w:r>
          </w:p>
        </w:tc>
        <w:tc>
          <w:tcPr>
            <w:tcW w:w="1160" w:type="dxa"/>
            <w:vAlign w:val="bottom"/>
          </w:tcPr>
          <w:p>
            <w:pPr>
              <w:spacing w:after="0"/>
              <w:rPr>
                <w:sz w:val="18"/>
                <w:szCs w:val="18"/>
                <w:color w:val="auto"/>
              </w:rPr>
            </w:pPr>
          </w:p>
        </w:tc>
      </w:tr>
      <w:tr>
        <w:trPr>
          <w:trHeight w:val="21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Expired</w:t>
            </w:r>
          </w:p>
        </w:tc>
        <w:tc>
          <w:tcPr>
            <w:tcW w:w="3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(31,560)</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116.06</w:t>
            </w:r>
          </w:p>
        </w:tc>
        <w:tc>
          <w:tcPr>
            <w:tcW w:w="1160" w:type="dxa"/>
            <w:vAlign w:val="bottom"/>
            <w:tcBorders>
              <w:bottom w:val="single" w:sz="8" w:color="auto"/>
            </w:tcBorders>
            <w:shd w:val="clear" w:color="auto" w:fill="CCEEFF"/>
          </w:tcPr>
          <w:p>
            <w:pPr>
              <w:spacing w:after="0"/>
              <w:rPr>
                <w:sz w:val="19"/>
                <w:szCs w:val="19"/>
                <w:color w:val="auto"/>
              </w:rPr>
            </w:pPr>
          </w:p>
        </w:tc>
      </w:tr>
      <w:tr>
        <w:trPr>
          <w:trHeight w:val="21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September 30, 2026</w:t>
            </w:r>
          </w:p>
        </w:tc>
        <w:tc>
          <w:tcPr>
            <w:tcW w:w="3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565,881</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191.94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6"/>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Exercisable at September 30, 2026</w:t>
            </w:r>
          </w:p>
        </w:tc>
        <w:tc>
          <w:tcPr>
            <w:tcW w:w="3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424,543</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191.13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w:t>
            </w: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issues ordinary shares for all options exercised.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i w:val="1"/>
          <w:iCs w:val="1"/>
          <w:color w:val="auto"/>
        </w:rPr>
        <w:t>Fair value of Stock Options Assumptions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weighted average fair value of options granted during the nine months ended September 30, 2026 and September 30, 2025 was calculated using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Black-Scholes option pricing model. The weighted average grant date fair values and assumptions used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gridSpan w:val="3"/>
            <w:shd w:val="clear" w:color="auto" w:fill="CCEEFF"/>
          </w:tcPr>
          <w:p>
            <w:pPr>
              <w:jc w:val="right"/>
              <w:ind w:right="82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8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30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8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grant date fair value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75.50</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64.42</w:t>
            </w:r>
          </w:p>
        </w:tc>
      </w:tr>
      <w:tr>
        <w:trPr>
          <w:trHeight w:val="218"/>
        </w:trPr>
        <w:tc>
          <w:tcPr>
            <w:tcW w:w="8000" w:type="dxa"/>
            <w:vAlign w:val="bottom"/>
          </w:tcPr>
          <w:p>
            <w:pPr>
              <w:ind w:left="20"/>
              <w:spacing w:after="0"/>
              <w:rPr>
                <w:sz w:val="20"/>
                <w:szCs w:val="20"/>
                <w:color w:val="auto"/>
              </w:rPr>
            </w:pPr>
            <w:r>
              <w:rPr>
                <w:rFonts w:ascii="Arial" w:cs="Arial" w:eastAsia="Arial" w:hAnsi="Arial"/>
                <w:sz w:val="15"/>
                <w:szCs w:val="15"/>
                <w:color w:val="auto"/>
              </w:rPr>
              <w:t>Assumptions: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49 %</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r>
      <w:tr>
        <w:trPr>
          <w:trHeight w:val="218"/>
        </w:trPr>
        <w:tc>
          <w:tcPr>
            <w:tcW w:w="800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4.33 %</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4.00 %</w:t>
            </w:r>
          </w:p>
        </w:tc>
      </w:tr>
      <w:tr>
        <w:trPr>
          <w:trHeight w:val="21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Expected life</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years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years</w:t>
            </w:r>
          </w:p>
        </w:tc>
      </w:tr>
    </w:tbl>
    <w:p>
      <w:pPr>
        <w:spacing w:after="0" w:line="2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Share Units ("RSU") and Performance Share Units ("PSU")</w:t>
      </w:r>
    </w:p>
    <w:p>
      <w:pPr>
        <w:spacing w:after="0" w:line="24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summarizes RSU and PSU activity for the nine months ended September 30,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PSU</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PSU</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r>
      <w:tr>
        <w:trPr>
          <w:trHeight w:val="155"/>
        </w:trPr>
        <w:tc>
          <w:tcPr>
            <w:tcW w:w="4240" w:type="dxa"/>
            <w:vAlign w:val="bottom"/>
            <w:shd w:val="clear" w:color="auto" w:fill="CCEEFF"/>
          </w:tcPr>
          <w:p>
            <w:pPr>
              <w:spacing w:after="0"/>
              <w:rPr>
                <w:sz w:val="13"/>
                <w:szCs w:val="13"/>
                <w:color w:val="auto"/>
              </w:rPr>
            </w:pPr>
          </w:p>
        </w:tc>
        <w:tc>
          <w:tcPr>
            <w:tcW w:w="26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Weighted</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Weighted</w:t>
            </w:r>
          </w:p>
        </w:tc>
      </w:tr>
      <w:tr>
        <w:trPr>
          <w:trHeight w:val="155"/>
        </w:trPr>
        <w:tc>
          <w:tcPr>
            <w:tcW w:w="4240" w:type="dxa"/>
            <w:vAlign w:val="bottom"/>
            <w:shd w:val="clear" w:color="auto" w:fill="CCEEFF"/>
          </w:tcPr>
          <w:p>
            <w:pPr>
              <w:spacing w:after="0"/>
              <w:rPr>
                <w:sz w:val="13"/>
                <w:szCs w:val="13"/>
                <w:color w:val="auto"/>
              </w:rPr>
            </w:pPr>
          </w:p>
        </w:tc>
        <w:tc>
          <w:tcPr>
            <w:tcW w:w="26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Average Grant</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 Grant</w:t>
            </w:r>
          </w:p>
        </w:tc>
      </w:tr>
      <w:tr>
        <w:trPr>
          <w:trHeight w:val="155"/>
        </w:trPr>
        <w:tc>
          <w:tcPr>
            <w:tcW w:w="4240" w:type="dxa"/>
            <w:vAlign w:val="bottom"/>
            <w:shd w:val="clear" w:color="auto" w:fill="CCEEFF"/>
          </w:tcPr>
          <w:p>
            <w:pPr>
              <w:spacing w:after="0"/>
              <w:rPr>
                <w:sz w:val="13"/>
                <w:szCs w:val="13"/>
                <w:color w:val="auto"/>
              </w:rPr>
            </w:pPr>
          </w:p>
        </w:tc>
        <w:tc>
          <w:tcPr>
            <w:tcW w:w="26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Date</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Date</w:t>
            </w:r>
          </w:p>
        </w:tc>
      </w:tr>
      <w:tr>
        <w:trPr>
          <w:trHeight w:val="206"/>
        </w:trPr>
        <w:tc>
          <w:tcPr>
            <w:tcW w:w="424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Fair Value</w:t>
            </w:r>
          </w:p>
        </w:tc>
        <w:tc>
          <w:tcPr>
            <w:tcW w:w="11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Fair Value</w:t>
            </w:r>
          </w:p>
        </w:tc>
      </w:tr>
      <w:tr>
        <w:trPr>
          <w:trHeight w:val="211"/>
        </w:trPr>
        <w:tc>
          <w:tcPr>
            <w:tcW w:w="4240" w:type="dxa"/>
            <w:vAlign w:val="bottom"/>
          </w:tcPr>
          <w:p>
            <w:pPr>
              <w:ind w:left="20"/>
              <w:spacing w:after="0"/>
              <w:rPr>
                <w:sz w:val="20"/>
                <w:szCs w:val="20"/>
                <w:color w:val="auto"/>
              </w:rPr>
            </w:pPr>
            <w:r>
              <w:rPr>
                <w:rFonts w:ascii="Arial" w:cs="Arial" w:eastAsia="Arial" w:hAnsi="Arial"/>
                <w:sz w:val="15"/>
                <w:szCs w:val="15"/>
                <w:color w:val="auto"/>
              </w:rPr>
              <w:t>Outstanding at December 31, 2025</w:t>
            </w:r>
          </w:p>
        </w:tc>
        <w:tc>
          <w:tcPr>
            <w:tcW w:w="2680" w:type="dxa"/>
            <w:vAlign w:val="bottom"/>
          </w:tcPr>
          <w:p>
            <w:pPr>
              <w:jc w:val="right"/>
              <w:spacing w:after="0"/>
              <w:rPr>
                <w:sz w:val="20"/>
                <w:szCs w:val="20"/>
                <w:color w:val="auto"/>
              </w:rPr>
            </w:pPr>
            <w:r>
              <w:rPr>
                <w:rFonts w:ascii="Arial" w:cs="Arial" w:eastAsia="Arial" w:hAnsi="Arial"/>
                <w:sz w:val="15"/>
                <w:szCs w:val="15"/>
                <w:color w:val="auto"/>
              </w:rPr>
              <w:t>16,474</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185.18</w:t>
            </w:r>
          </w:p>
        </w:tc>
        <w:tc>
          <w:tcPr>
            <w:tcW w:w="1180" w:type="dxa"/>
            <w:vAlign w:val="bottom"/>
          </w:tcPr>
          <w:p>
            <w:pPr>
              <w:jc w:val="right"/>
              <w:spacing w:after="0"/>
              <w:rPr>
                <w:sz w:val="20"/>
                <w:szCs w:val="20"/>
                <w:color w:val="auto"/>
              </w:rPr>
            </w:pPr>
            <w:r>
              <w:rPr>
                <w:rFonts w:ascii="Arial" w:cs="Arial" w:eastAsia="Arial" w:hAnsi="Arial"/>
                <w:sz w:val="15"/>
                <w:szCs w:val="15"/>
                <w:color w:val="auto"/>
              </w:rPr>
              <w:t>1,476,169</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162.53</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Awarded*</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98,400</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162.85</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652,246</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166.05</w:t>
            </w:r>
          </w:p>
        </w:tc>
      </w:tr>
      <w:tr>
        <w:trPr>
          <w:trHeight w:val="218"/>
        </w:trPr>
        <w:tc>
          <w:tcPr>
            <w:tcW w:w="4240" w:type="dxa"/>
            <w:vAlign w:val="bottom"/>
          </w:tcPr>
          <w:p>
            <w:pPr>
              <w:ind w:left="20"/>
              <w:spacing w:after="0"/>
              <w:rPr>
                <w:sz w:val="20"/>
                <w:szCs w:val="20"/>
                <w:color w:val="auto"/>
              </w:rPr>
            </w:pPr>
            <w:r>
              <w:rPr>
                <w:rFonts w:ascii="Arial" w:cs="Arial" w:eastAsia="Arial" w:hAnsi="Arial"/>
                <w:sz w:val="15"/>
                <w:szCs w:val="15"/>
                <w:color w:val="auto"/>
              </w:rPr>
              <w:t>Shares vested</w:t>
            </w:r>
          </w:p>
        </w:tc>
        <w:tc>
          <w:tcPr>
            <w:tcW w:w="2920" w:type="dxa"/>
            <w:vAlign w:val="bottom"/>
            <w:gridSpan w:val="2"/>
          </w:tcPr>
          <w:p>
            <w:pPr>
              <w:jc w:val="right"/>
              <w:ind w:right="63"/>
              <w:spacing w:after="0"/>
              <w:rPr>
                <w:sz w:val="20"/>
                <w:szCs w:val="20"/>
                <w:color w:val="auto"/>
              </w:rPr>
            </w:pPr>
            <w:r>
              <w:rPr>
                <w:rFonts w:ascii="Arial" w:cs="Arial" w:eastAsia="Arial" w:hAnsi="Arial"/>
                <w:sz w:val="15"/>
                <w:szCs w:val="15"/>
                <w:color w:val="auto"/>
              </w:rPr>
              <w:t>— $</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(602,157)</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133.96</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settled</w:t>
            </w:r>
          </w:p>
        </w:tc>
        <w:tc>
          <w:tcPr>
            <w:tcW w:w="292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 $</w:t>
            </w:r>
          </w:p>
        </w:tc>
        <w:tc>
          <w:tcPr>
            <w:tcW w:w="146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(18,470)</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127.17</w:t>
            </w:r>
          </w:p>
        </w:tc>
      </w:tr>
      <w:tr>
        <w:trPr>
          <w:trHeight w:val="21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Forfeited</w:t>
            </w:r>
          </w:p>
        </w:tc>
        <w:tc>
          <w:tcPr>
            <w:tcW w:w="292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color w:val="auto"/>
              </w:rPr>
              <w:t>— $</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(92,795)</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181.60</w:t>
            </w:r>
          </w:p>
        </w:tc>
      </w:tr>
      <w:tr>
        <w:trPr>
          <w:trHeight w:val="237"/>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Outstanding at September 30, 2026</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114,874</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166.05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1,414,993</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175.53</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issue PSUs for which the number of shares awarded are based on pre-established targets. For PSUs awarded, the number of units reflects the estimated number of shares to be issued based on performance as of the current reporting period. Awarded units are presented net of performance adjustments.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RSUs vested during the nine months ended September 30, 2026 totaled $80.7 million (September 30, 2025: $9.1 million). The fair value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RSUs granted during the nine months ended September 30, 2026 totaled $108.3 million (September 30, 2025: $151.9 million).</w:t>
      </w:r>
    </w:p>
    <w:p>
      <w:pPr>
        <w:spacing w:after="0" w:line="23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fair value of PSUs vested during the nine months ended September 30, 2026 were $nil (September 30, 2025: $1.9 million). The PSUs vest based on service and specified performance targets over the periods of 2024 - 2026, 2025 - 2027 and 2026 - 2028. If the Company achieves the specified performance targets during those periods, up to an additional 91,434 PSUs may also be awarded and issued.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i w:val="1"/>
          <w:iCs w:val="1"/>
          <w:color w:val="auto"/>
        </w:rPr>
        <w:t>Share-based compensation expense</w:t>
      </w:r>
    </w:p>
    <w:p>
      <w:pPr>
        <w:spacing w:after="0" w:line="240"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Share-based compensation expense (inclusive of employer related taxes) for the three and nine months ended September 30, 2026 and September 30, 2025 has been allocated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Three Months Ended</w:t>
            </w:r>
          </w:p>
        </w:tc>
        <w:tc>
          <w:tcPr>
            <w:tcW w:w="420" w:type="dxa"/>
            <w:vAlign w:val="bottom"/>
            <w:tcBorders>
              <w:bottom w:val="single" w:sz="8" w:color="auto"/>
            </w:tcBorders>
            <w:shd w:val="clear" w:color="auto" w:fill="CCEEFF"/>
          </w:tcPr>
          <w:p>
            <w:pPr>
              <w:spacing w:after="0"/>
              <w:rPr>
                <w:sz w:val="19"/>
                <w:szCs w:val="19"/>
                <w:color w:val="auto"/>
              </w:rPr>
            </w:pPr>
          </w:p>
        </w:tc>
        <w:tc>
          <w:tcPr>
            <w:tcW w:w="26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60" w:type="dxa"/>
            <w:vAlign w:val="bottom"/>
          </w:tcPr>
          <w:p>
            <w:pPr>
              <w:spacing w:after="0"/>
              <w:rPr>
                <w:sz w:val="13"/>
                <w:szCs w:val="13"/>
                <w:color w:val="auto"/>
              </w:rPr>
            </w:pPr>
          </w:p>
        </w:tc>
        <w:tc>
          <w:tcPr>
            <w:tcW w:w="13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420" w:type="dxa"/>
            <w:vAlign w:val="bottom"/>
          </w:tcPr>
          <w:p>
            <w:pPr>
              <w:spacing w:after="0"/>
              <w:rPr>
                <w:sz w:val="13"/>
                <w:szCs w:val="13"/>
                <w:color w:val="auto"/>
              </w:rPr>
            </w:pPr>
          </w:p>
        </w:tc>
        <w:tc>
          <w:tcPr>
            <w:tcW w:w="11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4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4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(in thousands)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8,231</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21,479</w:t>
            </w:r>
          </w:p>
        </w:tc>
        <w:tc>
          <w:tcPr>
            <w:tcW w:w="4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38,949</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36,150</w:t>
            </w:r>
          </w:p>
        </w:tc>
      </w:tr>
      <w:tr>
        <w:trPr>
          <w:trHeight w:val="219"/>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9,775</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24,712</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25,475</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37,768</w:t>
            </w:r>
          </w:p>
        </w:tc>
      </w:tr>
      <w:tr>
        <w:trPr>
          <w:trHeight w:val="212"/>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18,006</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46,191</w:t>
            </w: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64,424</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73,918</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Share capital</w:t>
      </w:r>
    </w:p>
    <w:p>
      <w:pPr>
        <w:spacing w:after="0" w:line="25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three months ended September 30, 2026, 2,359,703 shares were redeemed by the Company under the share buyback program for a total consideration of $400.0 million. On September 30, 2026, the Company had remaining authorization to repurchase up to $350.0 million of ordinary shares under the share repurchase program.</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Share redemption activity for the nine months ended September 30, 2026 is set out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Total number 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2900" w:type="dxa"/>
            <w:vAlign w:val="bottom"/>
            <w:shd w:val="clear" w:color="auto" w:fill="CCEEFF"/>
          </w:tcPr>
          <w:p>
            <w:pPr>
              <w:spacing w:after="0"/>
              <w:rPr>
                <w:sz w:val="13"/>
                <w:szCs w:val="13"/>
                <w:color w:val="auto"/>
              </w:rPr>
            </w:pPr>
          </w:p>
        </w:tc>
        <w:tc>
          <w:tcPr>
            <w:tcW w:w="2720" w:type="dxa"/>
            <w:vAlign w:val="bottom"/>
            <w:shd w:val="clear" w:color="auto" w:fill="CCEEFF"/>
          </w:tcPr>
          <w:p>
            <w:pPr>
              <w:jc w:val="right"/>
              <w:ind w:right="483"/>
              <w:spacing w:after="0" w:line="155" w:lineRule="exact"/>
              <w:rPr>
                <w:sz w:val="20"/>
                <w:szCs w:val="20"/>
                <w:color w:val="auto"/>
              </w:rPr>
            </w:pPr>
            <w:r>
              <w:rPr>
                <w:rFonts w:ascii="Arial" w:cs="Arial" w:eastAsia="Arial" w:hAnsi="Arial"/>
                <w:sz w:val="15"/>
                <w:szCs w:val="15"/>
                <w:b w:val="1"/>
                <w:bCs w:val="1"/>
                <w:color w:val="auto"/>
              </w:rPr>
              <w:t>of shares purchased</w:t>
            </w:r>
          </w:p>
        </w:tc>
        <w:tc>
          <w:tcPr>
            <w:tcW w:w="3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29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290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September 9/9/2026 - 9/29/2026</w:t>
            </w:r>
          </w:p>
        </w:tc>
        <w:tc>
          <w:tcPr>
            <w:tcW w:w="2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2,359,703</w:t>
            </w:r>
          </w:p>
        </w:tc>
        <w:tc>
          <w:tcPr>
            <w:tcW w:w="1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$169.51</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2,359,703</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w:t>
            </w:r>
          </w:p>
        </w:tc>
      </w:tr>
      <w:tr>
        <w:trPr>
          <w:trHeight w:val="237"/>
        </w:trPr>
        <w:tc>
          <w:tcPr>
            <w:tcW w:w="2900" w:type="dxa"/>
            <w:vAlign w:val="bottom"/>
            <w:tcBorders>
              <w:bottom w:val="single" w:sz="8" w:color="auto"/>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rPr>
              <w:t>2,359,703</w:t>
            </w:r>
          </w:p>
        </w:tc>
        <w:tc>
          <w:tcPr>
            <w:tcW w:w="1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$169.51</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2,359,703</w:t>
            </w:r>
          </w:p>
        </w:tc>
        <w:tc>
          <w:tcPr>
            <w:tcW w:w="2280" w:type="dxa"/>
            <w:vAlign w:val="bottom"/>
            <w:tcBorders>
              <w:bottom w:val="single" w:sz="8" w:color="auto"/>
            </w:tcBorders>
            <w:shd w:val="clear" w:color="auto" w:fill="CCEEFF"/>
          </w:tcPr>
          <w:p>
            <w:pPr>
              <w:spacing w:after="0"/>
              <w:rPr>
                <w:sz w:val="20"/>
                <w:szCs w:val="20"/>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October 20, 2026, the Board of Directors of the Company ("Board") approved an increase in the share buyback authorization, bringing the total amount available for repurchases under the program up to $750.0 million. As of October 27, 2026, the Company has remaining authorization to repurchase up to $750.0 million of ordinary shares under the share repurchase program.</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During the year ended December 31, 2025, 4,504,330 ordinary shares were redeemed by the Company under this repurchase program for a total consideration of $750.0 million.</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Share redemption activity for the year ended December 31, 2025 is set out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19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292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shares purchased</w:t>
            </w:r>
          </w:p>
        </w:tc>
        <w:tc>
          <w:tcPr>
            <w:tcW w:w="3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29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292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211"/>
        </w:trPr>
        <w:tc>
          <w:tcPr>
            <w:tcW w:w="2920" w:type="dxa"/>
            <w:vAlign w:val="bottom"/>
          </w:tcPr>
          <w:p>
            <w:pPr>
              <w:ind w:left="20"/>
              <w:spacing w:after="0"/>
              <w:rPr>
                <w:sz w:val="20"/>
                <w:szCs w:val="20"/>
                <w:color w:val="auto"/>
              </w:rPr>
            </w:pPr>
            <w:r>
              <w:rPr>
                <w:rFonts w:ascii="Arial" w:cs="Arial" w:eastAsia="Arial" w:hAnsi="Arial"/>
                <w:sz w:val="15"/>
                <w:szCs w:val="15"/>
                <w:color w:val="auto"/>
              </w:rPr>
              <w:t>March 3/12/2025 - 3/19/2025</w:t>
            </w:r>
          </w:p>
        </w:tc>
        <w:tc>
          <w:tcPr>
            <w:tcW w:w="2160" w:type="dxa"/>
            <w:vAlign w:val="bottom"/>
          </w:tcPr>
          <w:p>
            <w:pPr>
              <w:jc w:val="right"/>
              <w:ind w:right="23"/>
              <w:spacing w:after="0"/>
              <w:rPr>
                <w:sz w:val="20"/>
                <w:szCs w:val="20"/>
                <w:color w:val="auto"/>
              </w:rPr>
            </w:pPr>
            <w:r>
              <w:rPr>
                <w:rFonts w:ascii="Arial" w:cs="Arial" w:eastAsia="Arial" w:hAnsi="Arial"/>
                <w:sz w:val="15"/>
                <w:szCs w:val="15"/>
                <w:color w:val="auto"/>
              </w:rPr>
              <w:t>1,360,537</w:t>
            </w:r>
          </w:p>
        </w:tc>
        <w:tc>
          <w:tcPr>
            <w:tcW w:w="1940" w:type="dxa"/>
            <w:vAlign w:val="bottom"/>
          </w:tcPr>
          <w:p>
            <w:pPr>
              <w:jc w:val="right"/>
              <w:ind w:right="223"/>
              <w:spacing w:after="0"/>
              <w:rPr>
                <w:sz w:val="20"/>
                <w:szCs w:val="20"/>
                <w:color w:val="auto"/>
              </w:rPr>
            </w:pPr>
            <w:r>
              <w:rPr>
                <w:rFonts w:ascii="Arial" w:cs="Arial" w:eastAsia="Arial" w:hAnsi="Arial"/>
                <w:sz w:val="15"/>
                <w:szCs w:val="15"/>
                <w:color w:val="auto"/>
              </w:rPr>
              <w:t>$183.75</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1,360,537</w:t>
            </w:r>
          </w:p>
        </w:tc>
        <w:tc>
          <w:tcPr>
            <w:tcW w:w="2280" w:type="dxa"/>
            <w:vAlign w:val="bottom"/>
          </w:tcPr>
          <w:p>
            <w:pPr>
              <w:jc w:val="right"/>
              <w:spacing w:after="0"/>
              <w:rPr>
                <w:sz w:val="20"/>
                <w:szCs w:val="20"/>
                <w:color w:val="auto"/>
              </w:rPr>
            </w:pPr>
            <w:r>
              <w:rPr>
                <w:rFonts w:ascii="Arial" w:cs="Arial" w:eastAsia="Arial" w:hAnsi="Arial"/>
                <w:sz w:val="15"/>
                <w:szCs w:val="15"/>
                <w:color w:val="auto"/>
              </w:rPr>
              <w:t>$750.0</w:t>
            </w: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6/13/2025 - 6/23/2025</w:t>
            </w:r>
          </w:p>
        </w:tc>
        <w:tc>
          <w:tcPr>
            <w:tcW w:w="2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1,717,181</w:t>
            </w:r>
          </w:p>
        </w:tc>
        <w:tc>
          <w:tcPr>
            <w:tcW w:w="194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$145.59</w:t>
            </w:r>
          </w:p>
        </w:tc>
        <w:tc>
          <w:tcPr>
            <w:tcW w:w="1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1,717,181</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218"/>
        </w:trPr>
        <w:tc>
          <w:tcPr>
            <w:tcW w:w="2920" w:type="dxa"/>
            <w:vAlign w:val="bottom"/>
          </w:tcPr>
          <w:p>
            <w:pPr>
              <w:ind w:left="20"/>
              <w:spacing w:after="0"/>
              <w:rPr>
                <w:sz w:val="20"/>
                <w:szCs w:val="20"/>
                <w:color w:val="auto"/>
              </w:rPr>
            </w:pPr>
            <w:r>
              <w:rPr>
                <w:rFonts w:ascii="Arial" w:cs="Arial" w:eastAsia="Arial" w:hAnsi="Arial"/>
                <w:sz w:val="15"/>
                <w:szCs w:val="15"/>
                <w:color w:val="auto"/>
              </w:rPr>
              <w:t>August 8/15/2025 - 8/20/2025</w:t>
            </w:r>
          </w:p>
        </w:tc>
        <w:tc>
          <w:tcPr>
            <w:tcW w:w="2160" w:type="dxa"/>
            <w:vAlign w:val="bottom"/>
          </w:tcPr>
          <w:p>
            <w:pPr>
              <w:jc w:val="right"/>
              <w:ind w:right="23"/>
              <w:spacing w:after="0"/>
              <w:rPr>
                <w:sz w:val="20"/>
                <w:szCs w:val="20"/>
                <w:color w:val="auto"/>
              </w:rPr>
            </w:pPr>
            <w:r>
              <w:rPr>
                <w:rFonts w:ascii="Arial" w:cs="Arial" w:eastAsia="Arial" w:hAnsi="Arial"/>
                <w:sz w:val="15"/>
                <w:szCs w:val="15"/>
                <w:color w:val="auto"/>
              </w:rPr>
              <w:t>560,100</w:t>
            </w:r>
          </w:p>
        </w:tc>
        <w:tc>
          <w:tcPr>
            <w:tcW w:w="1940" w:type="dxa"/>
            <w:vAlign w:val="bottom"/>
          </w:tcPr>
          <w:p>
            <w:pPr>
              <w:jc w:val="right"/>
              <w:ind w:right="223"/>
              <w:spacing w:after="0"/>
              <w:rPr>
                <w:sz w:val="20"/>
                <w:szCs w:val="20"/>
                <w:color w:val="auto"/>
              </w:rPr>
            </w:pPr>
            <w:r>
              <w:rPr>
                <w:rFonts w:ascii="Arial" w:cs="Arial" w:eastAsia="Arial" w:hAnsi="Arial"/>
                <w:sz w:val="15"/>
                <w:szCs w:val="15"/>
                <w:color w:val="auto"/>
              </w:rPr>
              <w:t>$178.20</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560,100</w:t>
            </w:r>
          </w:p>
        </w:tc>
        <w:tc>
          <w:tcPr>
            <w:tcW w:w="2280" w:type="dxa"/>
            <w:vAlign w:val="bottom"/>
          </w:tcPr>
          <w:p>
            <w:pPr>
              <w:jc w:val="right"/>
              <w:spacing w:after="0"/>
              <w:rPr>
                <w:sz w:val="20"/>
                <w:szCs w:val="20"/>
                <w:color w:val="auto"/>
              </w:rPr>
            </w:pPr>
            <w:r>
              <w:rPr>
                <w:rFonts w:ascii="Arial" w:cs="Arial" w:eastAsia="Arial" w:hAnsi="Arial"/>
                <w:sz w:val="15"/>
                <w:szCs w:val="15"/>
                <w:color w:val="auto"/>
              </w:rPr>
              <w:t>$900.2</w:t>
            </w:r>
          </w:p>
        </w:tc>
      </w:tr>
      <w:tr>
        <w:trPr>
          <w:trHeight w:val="219"/>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September 9/10/2025 - 9/19/2025</w:t>
            </w:r>
          </w:p>
        </w:tc>
        <w:tc>
          <w:tcPr>
            <w:tcW w:w="2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866,512</w:t>
            </w:r>
          </w:p>
        </w:tc>
        <w:tc>
          <w:tcPr>
            <w:tcW w:w="194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$173.33</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866,512</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w:t>
            </w:r>
          </w:p>
        </w:tc>
      </w:tr>
      <w:tr>
        <w:trPr>
          <w:trHeight w:val="212"/>
        </w:trPr>
        <w:tc>
          <w:tcPr>
            <w:tcW w:w="29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4,504,330</w:t>
            </w:r>
          </w:p>
        </w:tc>
        <w:tc>
          <w:tcPr>
            <w:tcW w:w="19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$166.51</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4,504,330</w:t>
            </w:r>
          </w:p>
        </w:tc>
        <w:tc>
          <w:tcPr>
            <w:tcW w:w="2280" w:type="dxa"/>
            <w:vAlign w:val="bottom"/>
            <w:tcBorders>
              <w:bottom w:val="single" w:sz="8" w:color="auto"/>
            </w:tcBorders>
          </w:tcPr>
          <w:p>
            <w:pPr>
              <w:spacing w:after="0"/>
              <w:rPr>
                <w:sz w:val="18"/>
                <w:szCs w:val="18"/>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 w:name="page26"/>
    <w:bookmarkEnd w:id="25"/>
    <w:p>
      <w:pPr>
        <w:jc w:val="both"/>
        <w:ind w:firstLine="619"/>
        <w:spacing w:after="0" w:line="263" w:lineRule="auto"/>
        <w:rPr>
          <w:sz w:val="20"/>
          <w:szCs w:val="20"/>
          <w:color w:val="auto"/>
        </w:rPr>
      </w:pPr>
      <w:r>
        <w:rPr>
          <w:rFonts w:ascii="Arial" w:cs="Arial" w:eastAsia="Arial" w:hAnsi="Arial"/>
          <w:sz w:val="15"/>
          <w:szCs w:val="15"/>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Business Segment and Geographical Information</w:t>
      </w:r>
    </w:p>
    <w:p>
      <w:pPr>
        <w:spacing w:after="0" w:line="24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from compound selection to Phase I-IV clinical studies. 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The Company has expanded through organic growth, together with a number of strategic acquisitions to enhance its capabilities and expertise in certain areas of the clinical development process.</w:t>
      </w:r>
    </w:p>
    <w:p>
      <w:pPr>
        <w:spacing w:after="0" w:line="20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operates as one reportable segment, which is the provision of outsourced development services on a global basis to the pharmaceutical, biotechnology and medical devices industries. During the nine months ended September 30, 2026, the Company determined that the Chief Operating Decision Maker ("CODM") was comprised of the Chief Executive Officer and the Chief Financial Officer. As the Company is managed on a consolidated basis, the CODM evaluates performance and allocates resources based on consolidated net income. The CODM uses consolidated net income, as reported on the Condensed Consolidated Statements of Operations, to evaluate income generated from segment assets and for decisions related to the deployment of operating and capital resources. The measure of segment assets is reported on the Condensed Consolidated Balance Sheets as total consolidated assets.</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The accounting policies of the reportable segment are the same as those described in ICON’s Form 20-F for the year ended December 31, 2025 (see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In the context of considerations around significant segment expenses, as the expense information that is regularly provided to the CODM is aligned with the respective consolidated expenses for direct costs and selling, general, and administrative expenses, as presented on the Condensed Consolidated Statements of Operations, such expense disclosures are not replicated here. Furthermore, as the Company consists of a single reportable segment, other quantitative disclosures, as required by ASC 280 </w:t>
      </w:r>
      <w:r>
        <w:rPr>
          <w:rFonts w:ascii="Arial" w:cs="Arial" w:eastAsia="Arial" w:hAnsi="Arial"/>
          <w:sz w:val="15"/>
          <w:szCs w:val="15"/>
          <w:i w:val="1"/>
          <w:iCs w:val="1"/>
          <w:color w:val="auto"/>
        </w:rPr>
        <w:t>Segment Reporting</w:t>
      </w:r>
      <w:r>
        <w:rPr>
          <w:rFonts w:ascii="Arial" w:cs="Arial" w:eastAsia="Arial" w:hAnsi="Arial"/>
          <w:sz w:val="15"/>
          <w:szCs w:val="15"/>
          <w:color w:val="auto"/>
        </w:rPr>
        <w:t>, are as presented on the Condensed Consolidated Statements of Operations.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Revenues are allocated to individual entities based on where the work is performed in accordance with the Company's global transfer pricing model.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Revenues and income from operations in Ireland are a function of the Company's global contracting model and the ICON Group’s transfer pricing model.</w:t>
      </w:r>
    </w:p>
    <w:p>
      <w:pPr>
        <w:spacing w:after="0" w:line="23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ICON Clinical Research Limited and Accellacare Limited (collectively “ICON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8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ICON Ireland remunerates other operating entities in the ICON Group on the basis of an arm’s length return, in accordance with the 2022 OECD transfer pricing guidelines,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3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geographic split of revenue disclosed for each region outside Ireland is the arm’s length revenue attributable to these entities. The residual revenues of the ICON Group, once each ICON entity has been paid its respective intercompany service fee, generally fall to be retained by ICON Ireland. As such, revenues and income from operations in Ireland are a function of this global transfer pricing model and comprise revenues of the ICON Group after deducting the arm’s length revenues attributable to the activities performed outside Ireland.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6" w:name="page27"/>
    <w:bookmarkEnd w:id="26"/>
    <w:p>
      <w:pPr>
        <w:ind w:left="620"/>
        <w:spacing w:after="0"/>
        <w:rPr>
          <w:sz w:val="20"/>
          <w:szCs w:val="20"/>
          <w:color w:val="auto"/>
        </w:rPr>
      </w:pPr>
      <w:r>
        <w:rPr>
          <w:rFonts w:ascii="Arial" w:cs="Arial" w:eastAsia="Arial" w:hAnsi="Arial"/>
          <w:sz w:val="15"/>
          <w:szCs w:val="15"/>
          <w:color w:val="auto"/>
        </w:rPr>
        <w:t>There have been no changes to the overall basis of segmentation or the measurement basis for the segment results since the prior year.</w:t>
      </w:r>
    </w:p>
    <w:p>
      <w:pPr>
        <w:spacing w:after="0" w:line="240"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The geographical distribution of the Company’s segment measures for the three and nine months ended September 30, 2026 and September 30, 2025 and as at September 30, 2026 and December 31, 2025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Arial" w:cs="Arial" w:eastAsia="Arial" w:hAnsi="Arial"/>
                <w:sz w:val="15"/>
                <w:szCs w:val="15"/>
                <w:color w:val="auto"/>
              </w:rPr>
              <w:t>a) The distribution of revenue by geographical area was as follows: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05"/>
        </w:trPr>
        <w:tc>
          <w:tcPr>
            <w:tcW w:w="5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2740" w:type="dxa"/>
            <w:vAlign w:val="bottom"/>
            <w:gridSpan w:val="3"/>
          </w:tcPr>
          <w:p>
            <w:pPr>
              <w:spacing w:after="0"/>
              <w:rPr>
                <w:sz w:val="9"/>
                <w:szCs w:val="9"/>
                <w:color w:val="auto"/>
              </w:rPr>
            </w:pPr>
          </w:p>
        </w:tc>
      </w:tr>
      <w:tr>
        <w:trPr>
          <w:trHeight w:val="219"/>
        </w:trPr>
        <w:tc>
          <w:tcPr>
            <w:tcW w:w="5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5"/>
                <w:szCs w:val="15"/>
                <w:color w:val="auto"/>
              </w:rPr>
              <w:t>Ireland</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895,686</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801,771</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2,535,435</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2,438,137</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379,935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399,035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1,155,809</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1,134,970</w:t>
            </w:r>
          </w:p>
        </w:tc>
      </w:tr>
      <w:tr>
        <w:trPr>
          <w:trHeight w:val="218"/>
        </w:trPr>
        <w:tc>
          <w:tcPr>
            <w:tcW w:w="5120" w:type="dxa"/>
            <w:vAlign w:val="bottom"/>
          </w:tcPr>
          <w:p>
            <w:pPr>
              <w:ind w:left="20"/>
              <w:spacing w:after="0"/>
              <w:rPr>
                <w:sz w:val="20"/>
                <w:szCs w:val="20"/>
                <w:color w:val="auto"/>
              </w:rPr>
            </w:pPr>
            <w:r>
              <w:rPr>
                <w:rFonts w:ascii="Arial" w:cs="Arial" w:eastAsia="Arial" w:hAnsi="Arial"/>
                <w:sz w:val="15"/>
                <w:szCs w:val="15"/>
                <w:color w:val="auto"/>
              </w:rPr>
              <w:t>U.S.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497,421</w:t>
            </w:r>
          </w:p>
        </w:tc>
        <w:tc>
          <w:tcPr>
            <w:tcW w:w="28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649,040</w:t>
            </w:r>
          </w:p>
        </w:tc>
        <w:tc>
          <w:tcPr>
            <w:tcW w:w="3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1,686,696</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1,894,859</w:t>
            </w:r>
          </w:p>
        </w:tc>
      </w:tr>
      <w:tr>
        <w:trPr>
          <w:trHeight w:val="21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251,715</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234,569</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744,302</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670,857</w:t>
            </w:r>
          </w:p>
        </w:tc>
      </w:tr>
      <w:tr>
        <w:trPr>
          <w:trHeight w:val="21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2,024,757</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2,084,415</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6,122,242</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6,138,823</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b) The distribution of income / (loss) from operations by geographical area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gridSpan w:val="3"/>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Nine Months Ended</w:t>
            </w:r>
          </w:p>
        </w:tc>
      </w:tr>
      <w:tr>
        <w:trPr>
          <w:trHeight w:val="160"/>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32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3"/>
                <w:szCs w:val="13"/>
                <w:color w:val="auto"/>
              </w:rPr>
            </w:pPr>
          </w:p>
        </w:tc>
        <w:tc>
          <w:tcPr>
            <w:tcW w:w="12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5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12"/>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5"/>
                <w:szCs w:val="15"/>
                <w:color w:val="auto"/>
              </w:rPr>
              <w:t>Ireland</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137,431</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164,983</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386,311</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527,967</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29,156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51,040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95,855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95,861</w:t>
            </w:r>
          </w:p>
        </w:tc>
      </w:tr>
      <w:tr>
        <w:trPr>
          <w:trHeight w:val="218"/>
        </w:trPr>
        <w:tc>
          <w:tcPr>
            <w:tcW w:w="5120" w:type="dxa"/>
            <w:vAlign w:val="bottom"/>
          </w:tcPr>
          <w:p>
            <w:pPr>
              <w:ind w:left="20"/>
              <w:spacing w:after="0"/>
              <w:rPr>
                <w:sz w:val="20"/>
                <w:szCs w:val="20"/>
                <w:color w:val="auto"/>
              </w:rPr>
            </w:pPr>
            <w:r>
              <w:rPr>
                <w:rFonts w:ascii="Arial" w:cs="Arial" w:eastAsia="Arial" w:hAnsi="Arial"/>
                <w:sz w:val="15"/>
                <w:szCs w:val="15"/>
                <w:color w:val="auto"/>
              </w:rPr>
              <w:t>U.S.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63,087</w:t>
            </w:r>
          </w:p>
        </w:tc>
        <w:tc>
          <w:tcPr>
            <w:tcW w:w="28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68,182</w:t>
            </w:r>
          </w:p>
        </w:tc>
        <w:tc>
          <w:tcPr>
            <w:tcW w:w="3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151,199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208,903</w:t>
            </w:r>
          </w:p>
        </w:tc>
      </w:tr>
      <w:tr>
        <w:trPr>
          <w:trHeight w:val="21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15,411</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16,848</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56,617</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44,234</w:t>
            </w:r>
          </w:p>
        </w:tc>
      </w:tr>
      <w:tr>
        <w:trPr>
          <w:trHeight w:val="21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Sub-total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245,085</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301,053</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689,982</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876,965</w:t>
            </w: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(46,244)</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(58,688)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(146,631)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(176,691)</w:t>
            </w:r>
          </w:p>
        </w:tc>
      </w:tr>
      <w:tr>
        <w:trPr>
          <w:trHeight w:val="218"/>
        </w:trPr>
        <w:tc>
          <w:tcPr>
            <w:tcW w:w="5120" w:type="dxa"/>
            <w:vAlign w:val="bottom"/>
          </w:tcPr>
          <w:p>
            <w:pPr>
              <w:ind w:left="20"/>
              <w:spacing w:after="0"/>
              <w:rPr>
                <w:sz w:val="20"/>
                <w:szCs w:val="20"/>
                <w:color w:val="auto"/>
              </w:rPr>
            </w:pPr>
            <w:r>
              <w:rPr>
                <w:rFonts w:ascii="Arial" w:cs="Arial" w:eastAsia="Arial" w:hAnsi="Arial"/>
                <w:sz w:val="15"/>
                <w:szCs w:val="15"/>
                <w:color w:val="auto"/>
              </w:rPr>
              <w:t>Goodwill impairment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(364,248)</w:t>
            </w:r>
          </w:p>
        </w:tc>
        <w:tc>
          <w:tcPr>
            <w:tcW w:w="3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(364,248)</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of non-financial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(101,027)</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(101,027)</w:t>
            </w:r>
          </w:p>
        </w:tc>
      </w:tr>
      <w:tr>
        <w:trPr>
          <w:trHeight w:val="218"/>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Loss on disposal of subsidiary undertaking</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(32,947)</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198,841</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(222,910)</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510,404</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234,999</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c) The distribution of long-lived assets (property, plant and equipment and operating right-of-use assets), net, by geographical area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2025</w:t>
            </w:r>
          </w:p>
        </w:tc>
        <w:tc>
          <w:tcPr>
            <w:tcW w:w="0" w:type="dxa"/>
            <w:vAlign w:val="bottom"/>
          </w:tcPr>
          <w:p>
            <w:pPr>
              <w:spacing w:after="0"/>
              <w:rPr>
                <w:sz w:val="1"/>
                <w:szCs w:val="1"/>
                <w:color w:val="auto"/>
              </w:rPr>
            </w:pPr>
          </w:p>
        </w:tc>
      </w:tr>
      <w:tr>
        <w:trPr>
          <w:trHeight w:val="206"/>
        </w:trPr>
        <w:tc>
          <w:tcPr>
            <w:tcW w:w="4640" w:type="dxa"/>
            <w:vAlign w:val="bottom"/>
            <w:tcBorders>
              <w:bottom w:val="single" w:sz="8" w:color="auto"/>
            </w:tcBorders>
            <w:shd w:val="clear" w:color="auto" w:fill="CCEEFF"/>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2026</w:t>
            </w:r>
          </w:p>
        </w:tc>
        <w:tc>
          <w:tcPr>
            <w:tcW w:w="15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40" w:type="dxa"/>
            <w:vAlign w:val="bottom"/>
            <w:gridSpan w:val="2"/>
          </w:tcPr>
          <w:p>
            <w:pPr>
              <w:jc w:val="right"/>
              <w:ind w:right="103"/>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3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248,263</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250,566</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Arial" w:cs="Arial" w:eastAsia="Arial" w:hAnsi="Arial"/>
                <w:sz w:val="15"/>
                <w:szCs w:val="15"/>
                <w:color w:val="auto"/>
              </w:rPr>
              <w:t>Rest of Europe</w:t>
            </w:r>
          </w:p>
        </w:tc>
        <w:tc>
          <w:tcPr>
            <w:tcW w:w="38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78,880</w:t>
            </w: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94,920</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3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96,925</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122,896</w:t>
            </w:r>
          </w:p>
        </w:tc>
        <w:tc>
          <w:tcPr>
            <w:tcW w:w="0" w:type="dxa"/>
            <w:vAlign w:val="bottom"/>
          </w:tcPr>
          <w:p>
            <w:pPr>
              <w:spacing w:after="0"/>
              <w:rPr>
                <w:sz w:val="1"/>
                <w:szCs w:val="1"/>
                <w:color w:val="auto"/>
              </w:rPr>
            </w:pPr>
          </w:p>
        </w:tc>
      </w:tr>
      <w:tr>
        <w:trPr>
          <w:trHeight w:val="218"/>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 of World</w:t>
            </w:r>
          </w:p>
        </w:tc>
        <w:tc>
          <w:tcPr>
            <w:tcW w:w="3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54,261</w:t>
            </w: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56,290</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478,329</w:t>
            </w: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524,672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16. Commitments and contingencies</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19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its former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et al.),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 original defendants.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lead plaintiffs filed a further amended complaint on June 26, 2026 (the “Second Amended Complaint”). The Second Amended Complaint adds two new named plaintiffs (Macomb County Retiree Health Care Fund and The Trustees of the Plumbers Local Union No. 690 Pension Fund), as well as the Company's current Chief Financial Officer and a former employee as additional defendants. The Second Amended Complaint asserts additional alleged misstatements regarding the company’s financial performance, as well as a “scheme liability” claim under Section 10(b). On September 1, 2026, ICON and certain named defendants filed a motion to dismiss the Second Amended Complaint. The motion is scheduled to be fully briefed by November 24, 2026.</w:t>
      </w:r>
    </w:p>
    <w:p>
      <w:pPr>
        <w:spacing w:after="0" w:line="20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Given the preliminary stage of the litigation, we are unable at this time to form a view as to whether an adverse outcome is either probable or remote or to estimate the amount or range of potential loss in the event of an adverse outcome.</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Disposal of subsidiary undertaking</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Disposal of Symphony Health Solutions Corporation</w:t>
      </w:r>
    </w:p>
    <w:p>
      <w:pPr>
        <w:spacing w:after="0" w:line="24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May 8, 2026, ICON completed the disposal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w:t>
      </w:r>
    </w:p>
    <w:p>
      <w:pPr>
        <w:spacing w:after="0" w:line="20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Company's purchase of additional HealthVerity shares occurred in conjunction with the overall disposal transaction. The Company therefore concluded that the disposal of Symphony and the subscription for additional HealthVerity shares were economically linked. Accordingly, the Company accounted for the arrangements together in determining the gain or loss on disposal.</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determining the fair value of the consideration received, the Company considered, among other factors, the rights associated with the shares, HealthVerity's capital structure and other relevant valuation metrics. Based on the specific facts and circumstances of the transaction and the characteristics of the HealthVerity shares received, the Company determined that the fair value of the consideration received was nominal.</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recognized a pre-tax loss on disposal, including transaction costs, of $32.9 million in the Condensed Consolidated Statements of Operations for the nine months ended September 30, 2026 related to this disposal. The pre-tax loss on disposal was determined with reference to (i) the fair value of consideration received, (ii) the net carrying amount of Symphony immediately prior to disposal, (iii) the Company's $37.5 million payment made as part of the overall transaction, and (iv) the fair value of certain tax indemnifications. A capital tax loss was generated on disposal of this investment, and no net tax benefit was recorded as a result in the period. As at September 30, 2026 the carrying value of the Company's investment in HealthVerity was $nil.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18. Subsequent events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evaluated subsequent events from the Balance Sheet date through to the date at which the financial statements were available to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issued.</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repurchase program</w:t>
      </w:r>
    </w:p>
    <w:p>
      <w:pPr>
        <w:spacing w:after="0" w:line="25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October 20, 2026, the Board of Directors of the Company ("Board") approved an increase in the share buyback authorization, bringing the total amount available for repurchases under the program up to $750.0 million. As of October 27, 2026, the Company has remaining authorization to repurchase up to $750.0 million of ordinary shares under the share repurchase program.</w:t>
      </w:r>
    </w:p>
    <w:p>
      <w:pPr>
        <w:spacing w:after="0" w:line="19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All ordinary shares redeemed under the repurchase program are canceled in accordance with the constitutional documents of the Company and the nominal value of these shares transferred to an undenominated capital fund as required under Irish Company law. Repurchases under the repurchase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Extension of Option Plans</w:t>
      </w:r>
    </w:p>
    <w:p>
      <w:pPr>
        <w:spacing w:after="0" w:line="24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October 20, 2026, the Board approved amendments to the ICON Employee Share Option Plan 2008 and the ICON Consultants Share Option Plan 2008 (together, the "2008 Option Plans"). The amendments extend the period during which awards may be granted under the 2008 Option Plans for an additional ten years. As a result of the amendments, no options may be granted under the 2008 Option Plans after 14 February 2037, rather than 14 February 2027. The amendments do not increase the number of ordinary shares reserved for issuance under the 2008 Option Plans and do not affect the terms of any outstanding awards.</w:t>
      </w:r>
    </w:p>
    <w:p>
      <w:pPr>
        <w:spacing w:after="0" w:line="3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determined that there are no further items to disclose.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ICON plc</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5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Annual Report on Form 20-F for the year ended December 31, 2025. The condensed consolidated financial statements have been prepared in accordance with accounting principles generally accepted in the United States.</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a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from compound selection to Phase I-IV clinical studies. Our vision is to be the healthcare intelligence partner of choice by delivering industry leading solutions and best in class performance in clinical development.</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September 30, 2026 we had approximately 40,250 employees in 98 locations in 55 countries. During the three months ended September 30, 2026 we derived 24.6%, 63.0% and 12.4% of our revenue in the United States, Europe and Rest of World respectively (during the three months ended September 30, 2025: 31.1%, 57.6% and 11.3% respectively).</w:t>
      </w:r>
    </w:p>
    <w:p>
      <w:pPr>
        <w:spacing w:after="0" w:line="18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19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Termination or delay in the performance of an individual contract may occur for various reasons, including, but not limited to, unexpected or undesired results, production problems resulting in shortages of the drug being studied,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 xml:space="preserve">Our unsatisfied performance obligation comprises our assessment of contracted revenue yet to be earned from projects awarded by clients. At September 30, 2026 we had unsatisfied performance obligations of approximately $16.4 billion </w:t>
      </w:r>
      <w:r>
        <w:rPr>
          <w:rFonts w:ascii="Arial" w:cs="Arial" w:eastAsia="Arial" w:hAnsi="Arial"/>
          <w:sz w:val="15"/>
          <w:szCs w:val="15"/>
          <w:i w:val="1"/>
          <w:iCs w:val="1"/>
          <w:color w:val="auto"/>
        </w:rPr>
        <w:t>(</w:t>
      </w:r>
      <w:r>
        <w:rPr>
          <w:rFonts w:ascii="Arial" w:cs="Arial" w:eastAsia="Arial" w:hAnsi="Arial"/>
          <w:sz w:val="15"/>
          <w:szCs w:val="15"/>
          <w:color w:val="auto"/>
        </w:rPr>
        <w:t xml:space="preserve">see Note 4 </w:t>
      </w:r>
      <w:r>
        <w:rPr>
          <w:rFonts w:ascii="Arial" w:cs="Arial" w:eastAsia="Arial" w:hAnsi="Arial"/>
          <w:sz w:val="15"/>
          <w:szCs w:val="15"/>
          <w:i w:val="1"/>
          <w:iCs w:val="1"/>
          <w:color w:val="auto"/>
        </w:rPr>
        <w:t>Accounts receivable, unbilled revenue (contract assets)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unearned revenue or payments on account (contract liabilities) </w:t>
      </w:r>
      <w:r>
        <w:rPr>
          <w:rFonts w:ascii="Arial" w:cs="Arial" w:eastAsia="Arial" w:hAnsi="Arial"/>
          <w:sz w:val="15"/>
          <w:szCs w:val="15"/>
          <w:color w:val="auto"/>
        </w:rPr>
        <w:t>for further details). We believe that our unsatisfied performance obligation as of any date is not</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9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0" w:name="page31"/>
    <w:bookmarkEnd w:id="30"/>
    <w:p>
      <w:pPr>
        <w:jc w:val="both"/>
        <w:ind w:firstLine="619"/>
        <w:spacing w:after="0" w:line="264" w:lineRule="auto"/>
        <w:rPr>
          <w:sz w:val="20"/>
          <w:szCs w:val="20"/>
          <w:color w:val="auto"/>
        </w:rPr>
      </w:pPr>
      <w:r>
        <w:rPr>
          <w:rFonts w:ascii="Arial" w:cs="Arial" w:eastAsia="Arial" w:hAnsi="Arial"/>
          <w:sz w:val="15"/>
          <w:szCs w:val="15"/>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Results</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tables set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Three Months Ended September 30,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80" w:type="dxa"/>
            <w:vAlign w:val="bottom"/>
            <w:shd w:val="clear" w:color="auto" w:fill="CCEEFF"/>
          </w:tcPr>
          <w:p>
            <w:pPr>
              <w:spacing w:after="0"/>
              <w:rPr>
                <w:sz w:val="14"/>
                <w:szCs w:val="14"/>
                <w:color w:val="auto"/>
              </w:rPr>
            </w:pPr>
          </w:p>
        </w:tc>
        <w:tc>
          <w:tcPr>
            <w:tcW w:w="2540" w:type="dxa"/>
            <w:vAlign w:val="bottom"/>
            <w:shd w:val="clear" w:color="auto" w:fill="CCEEFF"/>
          </w:tcPr>
          <w:p>
            <w:pPr>
              <w:jc w:val="center"/>
              <w:ind w:left="603"/>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206"/>
        </w:trPr>
        <w:tc>
          <w:tcPr>
            <w:tcW w:w="6380" w:type="dxa"/>
            <w:vAlign w:val="bottom"/>
            <w:shd w:val="clear" w:color="auto" w:fill="CCEEFF"/>
          </w:tcPr>
          <w:p>
            <w:pPr>
              <w:spacing w:after="0"/>
              <w:rPr>
                <w:sz w:val="17"/>
                <w:szCs w:val="17"/>
                <w:color w:val="auto"/>
              </w:rPr>
            </w:pPr>
          </w:p>
        </w:tc>
        <w:tc>
          <w:tcPr>
            <w:tcW w:w="2540" w:type="dxa"/>
            <w:vAlign w:val="bottom"/>
            <w:tcBorders>
              <w:bottom w:val="single" w:sz="8" w:color="auto"/>
            </w:tcBorders>
            <w:shd w:val="clear" w:color="auto" w:fill="CCEEFF"/>
          </w:tcPr>
          <w:p>
            <w:pPr>
              <w:jc w:val="center"/>
              <w:ind w:left="603"/>
              <w:spacing w:after="0"/>
              <w:rPr>
                <w:sz w:val="20"/>
                <w:szCs w:val="20"/>
                <w:color w:val="auto"/>
              </w:rPr>
            </w:pPr>
            <w:r>
              <w:rPr>
                <w:rFonts w:ascii="Arial" w:cs="Arial" w:eastAsia="Arial" w:hAnsi="Arial"/>
                <w:sz w:val="15"/>
                <w:szCs w:val="15"/>
                <w:b w:val="1"/>
                <w:bCs w:val="1"/>
                <w:color w:val="auto"/>
              </w:rPr>
              <w:t>September 30,</w:t>
            </w:r>
          </w:p>
        </w:tc>
        <w:tc>
          <w:tcPr>
            <w:tcW w:w="7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r>
      <w:tr>
        <w:trPr>
          <w:trHeight w:val="212"/>
        </w:trPr>
        <w:tc>
          <w:tcPr>
            <w:tcW w:w="63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b w:val="1"/>
                <w:bCs w:val="1"/>
                <w:color w:val="auto"/>
              </w:rPr>
              <w:t>2026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 to 2026</w:t>
            </w:r>
          </w:p>
        </w:tc>
      </w:tr>
      <w:tr>
        <w:trPr>
          <w:trHeight w:val="160"/>
        </w:trPr>
        <w:tc>
          <w:tcPr>
            <w:tcW w:w="6380" w:type="dxa"/>
            <w:vAlign w:val="bottom"/>
            <w:shd w:val="clear" w:color="auto" w:fill="CCEEFF"/>
          </w:tcPr>
          <w:p>
            <w:pPr>
              <w:spacing w:after="0"/>
              <w:rPr>
                <w:sz w:val="13"/>
                <w:szCs w:val="13"/>
                <w:color w:val="auto"/>
              </w:rPr>
            </w:pPr>
          </w:p>
        </w:tc>
        <w:tc>
          <w:tcPr>
            <w:tcW w:w="2540" w:type="dxa"/>
            <w:vAlign w:val="bottom"/>
            <w:shd w:val="clear" w:color="auto" w:fill="CCEEFF"/>
          </w:tcPr>
          <w:p>
            <w:pPr>
              <w:jc w:val="center"/>
              <w:ind w:left="603"/>
              <w:spacing w:after="0" w:line="161" w:lineRule="exact"/>
              <w:rPr>
                <w:sz w:val="20"/>
                <w:szCs w:val="20"/>
                <w:color w:val="auto"/>
              </w:rPr>
            </w:pPr>
            <w:r>
              <w:rPr>
                <w:rFonts w:ascii="Arial" w:cs="Arial" w:eastAsia="Arial" w:hAnsi="Arial"/>
                <w:sz w:val="15"/>
                <w:szCs w:val="15"/>
                <w:b w:val="1"/>
                <w:bCs w:val="1"/>
                <w:color w:val="auto"/>
              </w:rPr>
              <w:t>Percentage of Revenue</w:t>
            </w:r>
          </w:p>
        </w:tc>
        <w:tc>
          <w:tcPr>
            <w:tcW w:w="7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323"/>
              <w:spacing w:after="0" w:line="161" w:lineRule="exact"/>
              <w:rPr>
                <w:sz w:val="20"/>
                <w:szCs w:val="20"/>
                <w:color w:val="auto"/>
              </w:rPr>
            </w:pPr>
            <w:r>
              <w:rPr>
                <w:rFonts w:ascii="Arial" w:cs="Arial" w:eastAsia="Arial" w:hAnsi="Arial"/>
                <w:sz w:val="15"/>
                <w:szCs w:val="15"/>
                <w:b w:val="1"/>
                <w:bCs w:val="1"/>
                <w:color w:val="auto"/>
              </w:rPr>
              <w:t>Percentage</w:t>
            </w:r>
          </w:p>
        </w:tc>
      </w:tr>
      <w:tr>
        <w:trPr>
          <w:trHeight w:val="206"/>
        </w:trPr>
        <w:tc>
          <w:tcPr>
            <w:tcW w:w="63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Increase/(Decrease)</w:t>
            </w:r>
          </w:p>
        </w:tc>
      </w:tr>
      <w:tr>
        <w:trPr>
          <w:trHeight w:val="218"/>
        </w:trPr>
        <w:tc>
          <w:tcPr>
            <w:tcW w:w="6380" w:type="dxa"/>
            <w:vAlign w:val="bottom"/>
          </w:tcPr>
          <w:p>
            <w:pPr>
              <w:ind w:left="20"/>
              <w:spacing w:after="0"/>
              <w:rPr>
                <w:sz w:val="20"/>
                <w:szCs w:val="20"/>
                <w:color w:val="auto"/>
              </w:rPr>
            </w:pPr>
            <w:r>
              <w:rPr>
                <w:rFonts w:ascii="Arial" w:cs="Arial" w:eastAsia="Arial" w:hAnsi="Arial"/>
                <w:sz w:val="15"/>
                <w:szCs w:val="15"/>
                <w:color w:val="auto"/>
              </w:rPr>
              <w:t>Revenue</w:t>
            </w:r>
          </w:p>
        </w:tc>
        <w:tc>
          <w:tcPr>
            <w:tcW w:w="2540" w:type="dxa"/>
            <w:vAlign w:val="bottom"/>
          </w:tcPr>
          <w:p>
            <w:pPr>
              <w:jc w:val="right"/>
              <w:ind w:right="883"/>
              <w:spacing w:after="0"/>
              <w:rPr>
                <w:sz w:val="20"/>
                <w:szCs w:val="20"/>
                <w:color w:val="auto"/>
              </w:rPr>
            </w:pPr>
            <w:r>
              <w:rPr>
                <w:rFonts w:ascii="Arial" w:cs="Arial" w:eastAsia="Arial" w:hAnsi="Arial"/>
                <w:sz w:val="15"/>
                <w:szCs w:val="15"/>
                <w:color w:val="auto"/>
              </w:rPr>
              <w:t>100.0 %</w:t>
            </w:r>
          </w:p>
        </w:tc>
        <w:tc>
          <w:tcPr>
            <w:tcW w:w="720" w:type="dxa"/>
            <w:vAlign w:val="bottom"/>
          </w:tcPr>
          <w:p>
            <w:pPr>
              <w:jc w:val="right"/>
              <w:spacing w:after="0"/>
              <w:rPr>
                <w:sz w:val="20"/>
                <w:szCs w:val="20"/>
                <w:color w:val="auto"/>
              </w:rPr>
            </w:pPr>
            <w:r>
              <w:rPr>
                <w:rFonts w:ascii="Arial" w:cs="Arial" w:eastAsia="Arial" w:hAnsi="Arial"/>
                <w:sz w:val="15"/>
                <w:szCs w:val="15"/>
                <w:color w:val="auto"/>
              </w:rPr>
              <w:t>100.0 %</w:t>
            </w:r>
          </w:p>
        </w:tc>
        <w:tc>
          <w:tcPr>
            <w:tcW w:w="160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2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8"/>
        </w:trPr>
        <w:tc>
          <w:tcPr>
            <w:tcW w:w="638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2540" w:type="dxa"/>
            <w:vAlign w:val="bottom"/>
          </w:tcPr>
          <w:p>
            <w:pPr>
              <w:jc w:val="right"/>
              <w:ind w:right="883"/>
              <w:spacing w:after="0"/>
              <w:rPr>
                <w:sz w:val="20"/>
                <w:szCs w:val="20"/>
                <w:color w:val="auto"/>
              </w:rPr>
            </w:pPr>
            <w:r>
              <w:rPr>
                <w:rFonts w:ascii="Arial" w:cs="Arial" w:eastAsia="Arial" w:hAnsi="Arial"/>
                <w:sz w:val="15"/>
                <w:szCs w:val="15"/>
                <w:color w:val="auto"/>
              </w:rPr>
              <w:t>75.7 %</w:t>
            </w:r>
          </w:p>
        </w:tc>
        <w:tc>
          <w:tcPr>
            <w:tcW w:w="720" w:type="dxa"/>
            <w:vAlign w:val="bottom"/>
          </w:tcPr>
          <w:p>
            <w:pPr>
              <w:jc w:val="right"/>
              <w:spacing w:after="0"/>
              <w:rPr>
                <w:sz w:val="20"/>
                <w:szCs w:val="20"/>
                <w:color w:val="auto"/>
              </w:rPr>
            </w:pPr>
            <w:r>
              <w:rPr>
                <w:rFonts w:ascii="Arial" w:cs="Arial" w:eastAsia="Arial" w:hAnsi="Arial"/>
                <w:sz w:val="15"/>
                <w:szCs w:val="15"/>
                <w:color w:val="auto"/>
              </w:rPr>
              <w:t>73.8 %</w:t>
            </w:r>
          </w:p>
        </w:tc>
        <w:tc>
          <w:tcPr>
            <w:tcW w:w="160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20"/>
        </w:trPr>
        <w:tc>
          <w:tcPr>
            <w:tcW w:w="6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25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rPr>
              <w:t>9.7 %</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18"/>
        </w:trPr>
        <w:tc>
          <w:tcPr>
            <w:tcW w:w="6380" w:type="dxa"/>
            <w:vAlign w:val="bottom"/>
          </w:tcPr>
          <w:p>
            <w:pPr>
              <w:ind w:left="320"/>
              <w:spacing w:after="0"/>
              <w:rPr>
                <w:sz w:val="20"/>
                <w:szCs w:val="20"/>
                <w:color w:val="auto"/>
              </w:rPr>
            </w:pPr>
            <w:r>
              <w:rPr>
                <w:rFonts w:ascii="Arial" w:cs="Arial" w:eastAsia="Arial" w:hAnsi="Arial"/>
                <w:sz w:val="15"/>
                <w:szCs w:val="15"/>
                <w:color w:val="auto"/>
              </w:rPr>
              <w:t>Depreciation</w:t>
            </w:r>
          </w:p>
        </w:tc>
        <w:tc>
          <w:tcPr>
            <w:tcW w:w="2540" w:type="dxa"/>
            <w:vAlign w:val="bottom"/>
          </w:tcPr>
          <w:p>
            <w:pPr>
              <w:jc w:val="right"/>
              <w:ind w:right="883"/>
              <w:spacing w:after="0"/>
              <w:rPr>
                <w:sz w:val="20"/>
                <w:szCs w:val="20"/>
                <w:color w:val="auto"/>
              </w:rPr>
            </w:pPr>
            <w:r>
              <w:rPr>
                <w:rFonts w:ascii="Arial" w:cs="Arial" w:eastAsia="Arial" w:hAnsi="Arial"/>
                <w:sz w:val="15"/>
                <w:szCs w:val="15"/>
                <w:color w:val="auto"/>
              </w:rPr>
              <w:t>2.4 %</w:t>
            </w:r>
          </w:p>
        </w:tc>
        <w:tc>
          <w:tcPr>
            <w:tcW w:w="720" w:type="dxa"/>
            <w:vAlign w:val="bottom"/>
          </w:tcPr>
          <w:p>
            <w:pPr>
              <w:jc w:val="right"/>
              <w:spacing w:after="0"/>
              <w:rPr>
                <w:sz w:val="20"/>
                <w:szCs w:val="20"/>
                <w:color w:val="auto"/>
              </w:rPr>
            </w:pPr>
            <w:r>
              <w:rPr>
                <w:rFonts w:ascii="Arial" w:cs="Arial" w:eastAsia="Arial" w:hAnsi="Arial"/>
                <w:sz w:val="15"/>
                <w:szCs w:val="15"/>
                <w:color w:val="auto"/>
              </w:rPr>
              <w:t>2.0 %</w:t>
            </w:r>
          </w:p>
        </w:tc>
        <w:tc>
          <w:tcPr>
            <w:tcW w:w="1600" w:type="dxa"/>
            <w:vAlign w:val="bottom"/>
          </w:tcPr>
          <w:p>
            <w:pPr>
              <w:jc w:val="right"/>
              <w:spacing w:after="0"/>
              <w:rPr>
                <w:sz w:val="20"/>
                <w:szCs w:val="20"/>
                <w:color w:val="auto"/>
              </w:rPr>
            </w:pPr>
            <w:r>
              <w:rPr>
                <w:rFonts w:ascii="Arial" w:cs="Arial" w:eastAsia="Arial" w:hAnsi="Arial"/>
                <w:sz w:val="15"/>
                <w:szCs w:val="15"/>
                <w:color w:val="auto"/>
              </w:rPr>
              <w:t>19.4 %</w:t>
            </w:r>
          </w:p>
        </w:tc>
      </w:tr>
      <w:tr>
        <w:trPr>
          <w:trHeight w:val="220"/>
        </w:trPr>
        <w:tc>
          <w:tcPr>
            <w:tcW w:w="6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intangible assets</w:t>
            </w:r>
          </w:p>
        </w:tc>
        <w:tc>
          <w:tcPr>
            <w:tcW w:w="25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rPr>
              <w:t>2.3 %</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w:t>
            </w:r>
          </w:p>
        </w:tc>
      </w:tr>
      <w:tr>
        <w:trPr>
          <w:trHeight w:val="218"/>
        </w:trPr>
        <w:tc>
          <w:tcPr>
            <w:tcW w:w="6380" w:type="dxa"/>
            <w:vAlign w:val="bottom"/>
          </w:tcPr>
          <w:p>
            <w:pPr>
              <w:ind w:left="320"/>
              <w:spacing w:after="0"/>
              <w:rPr>
                <w:sz w:val="20"/>
                <w:szCs w:val="20"/>
                <w:color w:val="auto"/>
              </w:rPr>
            </w:pPr>
            <w:r>
              <w:rPr>
                <w:rFonts w:ascii="Arial" w:cs="Arial" w:eastAsia="Arial" w:hAnsi="Arial"/>
                <w:sz w:val="15"/>
                <w:szCs w:val="15"/>
                <w:color w:val="auto"/>
              </w:rPr>
              <w:t>Transaction and integration related</w:t>
            </w:r>
          </w:p>
        </w:tc>
        <w:tc>
          <w:tcPr>
            <w:tcW w:w="2540" w:type="dxa"/>
            <w:vAlign w:val="bottom"/>
          </w:tcPr>
          <w:p>
            <w:pPr>
              <w:jc w:val="right"/>
              <w:ind w:right="883"/>
              <w:spacing w:after="0"/>
              <w:rPr>
                <w:sz w:val="20"/>
                <w:szCs w:val="20"/>
                <w:color w:val="auto"/>
              </w:rPr>
            </w:pPr>
            <w:r>
              <w:rPr>
                <w:rFonts w:ascii="Arial" w:cs="Arial" w:eastAsia="Arial" w:hAnsi="Arial"/>
                <w:sz w:val="15"/>
                <w:szCs w:val="15"/>
                <w:color w:val="auto"/>
              </w:rPr>
              <w:t>— %</w:t>
            </w:r>
          </w:p>
        </w:tc>
        <w:tc>
          <w:tcPr>
            <w:tcW w:w="720" w:type="dxa"/>
            <w:vAlign w:val="bottom"/>
          </w:tcPr>
          <w:p>
            <w:pPr>
              <w:jc w:val="right"/>
              <w:spacing w:after="0"/>
              <w:rPr>
                <w:sz w:val="20"/>
                <w:szCs w:val="20"/>
                <w:color w:val="auto"/>
              </w:rPr>
            </w:pPr>
            <w:r>
              <w:rPr>
                <w:rFonts w:ascii="Arial" w:cs="Arial" w:eastAsia="Arial" w:hAnsi="Arial"/>
                <w:sz w:val="15"/>
                <w:szCs w:val="15"/>
                <w:color w:val="auto"/>
              </w:rPr>
              <w:t>0.3 %</w:t>
            </w:r>
          </w:p>
        </w:tc>
        <w:tc>
          <w:tcPr>
            <w:tcW w:w="1600" w:type="dxa"/>
            <w:vAlign w:val="bottom"/>
          </w:tcPr>
          <w:p>
            <w:pPr>
              <w:jc w:val="right"/>
              <w:spacing w:after="0"/>
              <w:rPr>
                <w:sz w:val="20"/>
                <w:szCs w:val="20"/>
                <w:color w:val="auto"/>
              </w:rPr>
            </w:pPr>
            <w:r>
              <w:rPr>
                <w:rFonts w:ascii="Arial" w:cs="Arial" w:eastAsia="Arial" w:hAnsi="Arial"/>
                <w:sz w:val="15"/>
                <w:szCs w:val="15"/>
                <w:color w:val="auto"/>
              </w:rPr>
              <w:t>(96.7)%</w:t>
            </w:r>
          </w:p>
        </w:tc>
      </w:tr>
      <w:tr>
        <w:trPr>
          <w:trHeight w:val="220"/>
        </w:trPr>
        <w:tc>
          <w:tcPr>
            <w:tcW w:w="6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Restructuring</w:t>
            </w:r>
          </w:p>
        </w:tc>
        <w:tc>
          <w:tcPr>
            <w:tcW w:w="25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rPr>
              <w:t>0.1 %</w:t>
            </w:r>
          </w:p>
        </w:tc>
        <w:tc>
          <w:tcPr>
            <w:tcW w:w="7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18"/>
        </w:trPr>
        <w:tc>
          <w:tcPr>
            <w:tcW w:w="6380" w:type="dxa"/>
            <w:vAlign w:val="bottom"/>
          </w:tcPr>
          <w:p>
            <w:pPr>
              <w:ind w:left="320"/>
              <w:spacing w:after="0"/>
              <w:rPr>
                <w:sz w:val="20"/>
                <w:szCs w:val="20"/>
                <w:color w:val="auto"/>
              </w:rPr>
            </w:pPr>
            <w:r>
              <w:rPr>
                <w:rFonts w:ascii="Arial" w:cs="Arial" w:eastAsia="Arial" w:hAnsi="Arial"/>
                <w:sz w:val="15"/>
                <w:szCs w:val="15"/>
                <w:color w:val="auto"/>
              </w:rPr>
              <w:t>Goodwill impairment</w:t>
            </w:r>
          </w:p>
        </w:tc>
        <w:tc>
          <w:tcPr>
            <w:tcW w:w="2540" w:type="dxa"/>
            <w:vAlign w:val="bottom"/>
          </w:tcPr>
          <w:p>
            <w:pPr>
              <w:jc w:val="right"/>
              <w:ind w:right="106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17.5 %</w:t>
            </w:r>
          </w:p>
        </w:tc>
        <w:tc>
          <w:tcPr>
            <w:tcW w:w="160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19"/>
        </w:trPr>
        <w:tc>
          <w:tcPr>
            <w:tcW w:w="63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Impairment of non-financial assets</w:t>
            </w:r>
          </w:p>
        </w:tc>
        <w:tc>
          <w:tcPr>
            <w:tcW w:w="2540" w:type="dxa"/>
            <w:vAlign w:val="bottom"/>
            <w:tcBorders>
              <w:bottom w:val="single" w:sz="8" w:color="auto"/>
            </w:tcBorders>
            <w:shd w:val="clear" w:color="auto" w:fill="CCEEFF"/>
          </w:tcPr>
          <w:p>
            <w:pPr>
              <w:jc w:val="right"/>
              <w:ind w:right="106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12"/>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from operations</w:t>
            </w:r>
          </w:p>
        </w:tc>
        <w:tc>
          <w:tcPr>
            <w:tcW w:w="254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color w:val="auto"/>
              </w:rPr>
              <w:t>9.8 %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NM</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Nine Months Ended September 30,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rPr>
              <w:t>Nine Months Ended</w:t>
            </w:r>
          </w:p>
        </w:tc>
        <w:tc>
          <w:tcPr>
            <w:tcW w:w="7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6"/>
        </w:trPr>
        <w:tc>
          <w:tcPr>
            <w:tcW w:w="2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2026</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 to 2026</w:t>
            </w:r>
          </w:p>
        </w:tc>
      </w:tr>
      <w:tr>
        <w:trPr>
          <w:trHeight w:val="160"/>
        </w:trPr>
        <w:tc>
          <w:tcPr>
            <w:tcW w:w="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center"/>
              <w:spacing w:after="0" w:line="161" w:lineRule="exact"/>
              <w:rPr>
                <w:sz w:val="20"/>
                <w:szCs w:val="20"/>
                <w:color w:val="auto"/>
              </w:rPr>
            </w:pPr>
            <w:r>
              <w:rPr>
                <w:rFonts w:ascii="Arial" w:cs="Arial" w:eastAsia="Arial" w:hAnsi="Arial"/>
                <w:sz w:val="15"/>
                <w:szCs w:val="15"/>
                <w:b w:val="1"/>
                <w:bCs w:val="1"/>
                <w:color w:val="auto"/>
              </w:rPr>
              <w:t>Percentage of Revenue</w:t>
            </w:r>
          </w:p>
        </w:tc>
        <w:tc>
          <w:tcPr>
            <w:tcW w:w="74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323"/>
              <w:spacing w:after="0" w:line="161" w:lineRule="exact"/>
              <w:rPr>
                <w:sz w:val="20"/>
                <w:szCs w:val="20"/>
                <w:color w:val="auto"/>
              </w:rPr>
            </w:pPr>
            <w:r>
              <w:rPr>
                <w:rFonts w:ascii="Arial" w:cs="Arial" w:eastAsia="Arial" w:hAnsi="Arial"/>
                <w:sz w:val="15"/>
                <w:szCs w:val="15"/>
                <w:b w:val="1"/>
                <w:bCs w:val="1"/>
                <w:color w:val="auto"/>
              </w:rPr>
              <w:t>Percentage</w:t>
            </w:r>
          </w:p>
        </w:tc>
      </w:tr>
      <w:tr>
        <w:trPr>
          <w:trHeight w:val="206"/>
        </w:trPr>
        <w:tc>
          <w:tcPr>
            <w:tcW w:w="2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Increase/(Decrease)</w:t>
            </w:r>
          </w:p>
        </w:tc>
      </w:tr>
      <w:tr>
        <w:trPr>
          <w:trHeight w:val="218"/>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Revenue</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ind w:right="163"/>
              <w:spacing w:after="0"/>
              <w:rPr>
                <w:sz w:val="20"/>
                <w:szCs w:val="20"/>
                <w:color w:val="auto"/>
              </w:rPr>
            </w:pPr>
            <w:r>
              <w:rPr>
                <w:rFonts w:ascii="Arial" w:cs="Arial" w:eastAsia="Arial" w:hAnsi="Arial"/>
                <w:sz w:val="15"/>
                <w:szCs w:val="15"/>
                <w:color w:val="auto"/>
              </w:rPr>
              <w:t>100.0 %</w:t>
            </w:r>
          </w:p>
        </w:tc>
        <w:tc>
          <w:tcPr>
            <w:tcW w:w="7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100.0 %</w:t>
            </w:r>
          </w:p>
        </w:tc>
        <w:tc>
          <w:tcPr>
            <w:tcW w:w="158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2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Costs and expenses:</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Direct costs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ind w:right="163"/>
              <w:spacing w:after="0"/>
              <w:rPr>
                <w:sz w:val="20"/>
                <w:szCs w:val="20"/>
                <w:color w:val="auto"/>
              </w:rPr>
            </w:pPr>
            <w:r>
              <w:rPr>
                <w:rFonts w:ascii="Arial" w:cs="Arial" w:eastAsia="Arial" w:hAnsi="Arial"/>
                <w:sz w:val="15"/>
                <w:szCs w:val="15"/>
                <w:color w:val="auto"/>
              </w:rPr>
              <w:t>76.4 %</w:t>
            </w:r>
          </w:p>
        </w:tc>
        <w:tc>
          <w:tcPr>
            <w:tcW w:w="7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72.5 %</w:t>
            </w:r>
          </w:p>
        </w:tc>
        <w:tc>
          <w:tcPr>
            <w:tcW w:w="1580" w:type="dxa"/>
            <w:vAlign w:val="bottom"/>
          </w:tcPr>
          <w:p>
            <w:pPr>
              <w:jc w:val="right"/>
              <w:spacing w:after="0"/>
              <w:rPr>
                <w:sz w:val="20"/>
                <w:szCs w:val="20"/>
                <w:color w:val="auto"/>
              </w:rPr>
            </w:pPr>
            <w:r>
              <w:rPr>
                <w:rFonts w:ascii="Arial" w:cs="Arial" w:eastAsia="Arial" w:hAnsi="Arial"/>
                <w:sz w:val="15"/>
                <w:szCs w:val="15"/>
                <w:color w:val="auto"/>
              </w:rPr>
              <w:t>5.2 %</w:t>
            </w:r>
          </w:p>
        </w:tc>
      </w:tr>
      <w:tr>
        <w:trPr>
          <w:trHeight w:val="22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Selling, general and administrative</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9.7 %</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9.8 %</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218"/>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Depreciation</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ind w:right="163"/>
              <w:spacing w:after="0"/>
              <w:rPr>
                <w:sz w:val="20"/>
                <w:szCs w:val="20"/>
                <w:color w:val="auto"/>
              </w:rPr>
            </w:pPr>
            <w:r>
              <w:rPr>
                <w:rFonts w:ascii="Arial" w:cs="Arial" w:eastAsia="Arial" w:hAnsi="Arial"/>
                <w:sz w:val="15"/>
                <w:szCs w:val="15"/>
                <w:color w:val="auto"/>
              </w:rPr>
              <w:t>2.1 %</w:t>
            </w:r>
          </w:p>
        </w:tc>
        <w:tc>
          <w:tcPr>
            <w:tcW w:w="7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1.9 %</w:t>
            </w:r>
          </w:p>
        </w:tc>
        <w:tc>
          <w:tcPr>
            <w:tcW w:w="1580" w:type="dxa"/>
            <w:vAlign w:val="bottom"/>
          </w:tcPr>
          <w:p>
            <w:pPr>
              <w:jc w:val="right"/>
              <w:spacing w:after="0"/>
              <w:rPr>
                <w:sz w:val="20"/>
                <w:szCs w:val="20"/>
                <w:color w:val="auto"/>
              </w:rPr>
            </w:pPr>
            <w:r>
              <w:rPr>
                <w:rFonts w:ascii="Arial" w:cs="Arial" w:eastAsia="Arial" w:hAnsi="Arial"/>
                <w:sz w:val="15"/>
                <w:szCs w:val="15"/>
                <w:color w:val="auto"/>
              </w:rPr>
              <w:t>11.1 %</w:t>
            </w:r>
          </w:p>
        </w:tc>
      </w:tr>
      <w:tr>
        <w:trPr>
          <w:trHeight w:val="22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Amortization of intangible assets</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2.4 %</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2.9 %</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r>
      <w:tr>
        <w:trPr>
          <w:trHeight w:val="218"/>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Transaction and integration related</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ind w:right="163"/>
              <w:spacing w:after="0"/>
              <w:rPr>
                <w:sz w:val="20"/>
                <w:szCs w:val="20"/>
                <w:color w:val="auto"/>
              </w:rPr>
            </w:pPr>
            <w:r>
              <w:rPr>
                <w:rFonts w:ascii="Arial" w:cs="Arial" w:eastAsia="Arial" w:hAnsi="Arial"/>
                <w:sz w:val="15"/>
                <w:szCs w:val="15"/>
                <w:color w:val="auto"/>
              </w:rPr>
              <w:t>0.1 %</w:t>
            </w:r>
          </w:p>
        </w:tc>
        <w:tc>
          <w:tcPr>
            <w:tcW w:w="72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0.3 %</w:t>
            </w:r>
          </w:p>
        </w:tc>
        <w:tc>
          <w:tcPr>
            <w:tcW w:w="1580" w:type="dxa"/>
            <w:vAlign w:val="bottom"/>
          </w:tcPr>
          <w:p>
            <w:pPr>
              <w:jc w:val="right"/>
              <w:spacing w:after="0"/>
              <w:rPr>
                <w:sz w:val="20"/>
                <w:szCs w:val="20"/>
                <w:color w:val="auto"/>
              </w:rPr>
            </w:pPr>
            <w:r>
              <w:rPr>
                <w:rFonts w:ascii="Arial" w:cs="Arial" w:eastAsia="Arial" w:hAnsi="Arial"/>
                <w:sz w:val="15"/>
                <w:szCs w:val="15"/>
                <w:color w:val="auto"/>
              </w:rPr>
              <w:t>(68.9)%</w:t>
            </w:r>
          </w:p>
        </w:tc>
      </w:tr>
      <w:tr>
        <w:trPr>
          <w:trHeight w:val="22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Restructuring</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0.5 %</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1.3 %</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w:t>
            </w:r>
          </w:p>
        </w:tc>
      </w:tr>
      <w:tr>
        <w:trPr>
          <w:trHeight w:val="218"/>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Loss on disposal of subsidiary undertaking</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ind w:right="163"/>
              <w:spacing w:after="0"/>
              <w:rPr>
                <w:sz w:val="20"/>
                <w:szCs w:val="20"/>
                <w:color w:val="auto"/>
              </w:rPr>
            </w:pPr>
            <w:r>
              <w:rPr>
                <w:rFonts w:ascii="Arial" w:cs="Arial" w:eastAsia="Arial" w:hAnsi="Arial"/>
                <w:sz w:val="15"/>
                <w:szCs w:val="15"/>
                <w:color w:val="auto"/>
              </w:rPr>
              <w:t>0.5 %</w:t>
            </w:r>
          </w:p>
        </w:tc>
        <w:tc>
          <w:tcPr>
            <w:tcW w:w="720" w:type="dxa"/>
            <w:vAlign w:val="bottom"/>
          </w:tcPr>
          <w:p>
            <w:pPr>
              <w:spacing w:after="0"/>
              <w:rPr>
                <w:sz w:val="18"/>
                <w:szCs w:val="18"/>
                <w:color w:val="auto"/>
              </w:rPr>
            </w:pPr>
          </w:p>
        </w:tc>
        <w:tc>
          <w:tcPr>
            <w:tcW w:w="7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2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Goodwill impairment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5.9 %</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18"/>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Impairment of non-financial assets</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NM</w:t>
            </w:r>
          </w:p>
        </w:tc>
      </w:tr>
      <w:tr>
        <w:trPr>
          <w:trHeight w:val="237"/>
        </w:trPr>
        <w:tc>
          <w:tcPr>
            <w:tcW w:w="20" w:type="dxa"/>
            <w:vAlign w:val="bottom"/>
            <w:tcBorders>
              <w:bottom w:val="single" w:sz="8" w:color="auto"/>
            </w:tcBorders>
            <w:shd w:val="clear" w:color="auto" w:fill="CCEEFF"/>
          </w:tcPr>
          <w:p>
            <w:pPr>
              <w:spacing w:after="0"/>
              <w:rPr>
                <w:sz w:val="20"/>
                <w:szCs w:val="20"/>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8.3 %</w:t>
            </w:r>
          </w:p>
        </w:tc>
        <w:tc>
          <w:tcPr>
            <w:tcW w:w="7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3.8 %</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54"/>
        </w:trPr>
        <w:tc>
          <w:tcPr>
            <w:tcW w:w="5280" w:type="dxa"/>
            <w:vAlign w:val="bottom"/>
            <w:gridSpan w:val="2"/>
          </w:tcPr>
          <w:p>
            <w:pPr>
              <w:spacing w:after="0"/>
              <w:rPr>
                <w:sz w:val="20"/>
                <w:szCs w:val="20"/>
                <w:color w:val="auto"/>
              </w:rPr>
            </w:pPr>
            <w:r>
              <w:rPr>
                <w:rFonts w:ascii="Arial" w:cs="Arial" w:eastAsia="Arial" w:hAnsi="Arial"/>
                <w:sz w:val="15"/>
                <w:szCs w:val="15"/>
                <w:i w:val="1"/>
                <w:iCs w:val="1"/>
                <w:color w:val="auto"/>
              </w:rPr>
              <w:t>*NM – Not Meaningful</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421"/>
        </w:trPr>
        <w:tc>
          <w:tcPr>
            <w:tcW w:w="52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Revenue</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97"/>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20" w:type="dxa"/>
            <w:vAlign w:val="bottom"/>
            <w:gridSpan w:val="3"/>
          </w:tcPr>
          <w:p>
            <w:pPr>
              <w:spacing w:after="0"/>
              <w:rPr>
                <w:sz w:val="8"/>
                <w:szCs w:val="8"/>
                <w:color w:val="auto"/>
              </w:rPr>
            </w:pPr>
          </w:p>
        </w:tc>
        <w:tc>
          <w:tcPr>
            <w:tcW w:w="720" w:type="dxa"/>
            <w:vAlign w:val="bottom"/>
          </w:tcPr>
          <w:p>
            <w:pPr>
              <w:spacing w:after="0"/>
              <w:rPr>
                <w:sz w:val="8"/>
                <w:szCs w:val="8"/>
                <w:color w:val="auto"/>
              </w:rPr>
            </w:pPr>
          </w:p>
        </w:tc>
        <w:tc>
          <w:tcPr>
            <w:tcW w:w="2320" w:type="dxa"/>
            <w:vAlign w:val="bottom"/>
            <w:gridSpan w:val="2"/>
          </w:tcPr>
          <w:p>
            <w:pPr>
              <w:spacing w:after="0"/>
              <w:rPr>
                <w:sz w:val="8"/>
                <w:szCs w:val="8"/>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300"/>
              <w:spacing w:after="0" w:line="168" w:lineRule="exact"/>
              <w:rPr>
                <w:sz w:val="20"/>
                <w:szCs w:val="20"/>
                <w:color w:val="auto"/>
              </w:rPr>
            </w:pPr>
            <w:r>
              <w:rPr>
                <w:rFonts w:ascii="Arial" w:cs="Arial" w:eastAsia="Arial" w:hAnsi="Arial"/>
                <w:sz w:val="15"/>
                <w:szCs w:val="15"/>
                <w:b w:val="1"/>
                <w:bCs w:val="1"/>
                <w:color w:val="auto"/>
              </w:rPr>
              <w:t>Three Months Ended</w:t>
            </w:r>
          </w:p>
        </w:tc>
        <w:tc>
          <w:tcPr>
            <w:tcW w:w="7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jc w:val="right"/>
              <w:ind w:right="1163"/>
              <w:spacing w:after="0" w:line="168" w:lineRule="exact"/>
              <w:rPr>
                <w:sz w:val="20"/>
                <w:szCs w:val="20"/>
                <w:color w:val="auto"/>
              </w:rPr>
            </w:pPr>
            <w:r>
              <w:rPr>
                <w:rFonts w:ascii="Arial" w:cs="Arial" w:eastAsia="Arial" w:hAnsi="Arial"/>
                <w:sz w:val="15"/>
                <w:szCs w:val="15"/>
                <w:b w:val="1"/>
                <w:bCs w:val="1"/>
                <w:color w:val="auto"/>
              </w:rPr>
              <w:t>Change</w:t>
            </w:r>
          </w:p>
        </w:tc>
      </w:tr>
      <w:tr>
        <w:trPr>
          <w:trHeight w:val="20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gridSpan w:val="3"/>
            <w:shd w:val="clear" w:color="auto" w:fill="CCEEFF"/>
          </w:tcPr>
          <w:p>
            <w:pPr>
              <w:jc w:val="right"/>
              <w:ind w:right="843"/>
              <w:spacing w:after="0"/>
              <w:rPr>
                <w:sz w:val="20"/>
                <w:szCs w:val="20"/>
                <w:color w:val="auto"/>
              </w:rPr>
            </w:pPr>
            <w:r>
              <w:rPr>
                <w:rFonts w:ascii="Arial" w:cs="Arial" w:eastAsia="Arial" w:hAnsi="Arial"/>
                <w:sz w:val="15"/>
                <w:szCs w:val="15"/>
                <w:b w:val="1"/>
                <w:bCs w:val="1"/>
                <w:color w:val="auto"/>
              </w:rPr>
              <w:t>September 30,</w:t>
            </w:r>
          </w:p>
        </w:tc>
        <w:tc>
          <w:tcPr>
            <w:tcW w:w="7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b w:val="1"/>
                <w:bCs w:val="1"/>
                <w:color w:val="auto"/>
              </w:rPr>
              <w:t>2026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2,024,757 $</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2,084,415</w:t>
            </w: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(59,658)</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Revenue for the three months ended September 30, 2026 decreased by $59.7 million, or 2.9%, to $2,024.8 million, compared to $2,084.4 million for the three months ended September 30, 2025. Revenue decreased by 2.5% in constant currency terms. The decrease in revenue for the three months ended September 30, 2026 was partially a result of the disposal of Symphony and changes in business mix.</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three months ended September 30, 2026, we derived 24.6%, 63.0% and 12.4% of our revenue in the United States, Europe and Rest of World respectively. Revenues from our top five customers amounted to $480.2 million in the three months ended September 30, 2026, compared to $501.3 million for the three months ended September 30, 2025 or 23.7% and 24.1% of total revenue respectively. New customer accounts are continually added across the full portfolio of large pharma customers, mid-tier pharma customers and biotech customers.</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Revenue in Ireland increased by $93.9 million for the three months ended September 30, 2026, to $895.7 million, compared to $801.8 million for the three months ended September 30, 2025. Revenue in Ireland during the three months ended September 30, 2026 increased by 11.7% compared to an overall decrease in ICON Group revenue of 2.9%. Revenue in Ireland is principally a function of our global contracting model (see Note 15 </w:t>
      </w:r>
      <w:r>
        <w:rPr>
          <w:rFonts w:ascii="Arial" w:cs="Arial" w:eastAsia="Arial" w:hAnsi="Arial"/>
          <w:sz w:val="15"/>
          <w:szCs w:val="15"/>
          <w:i w:val="1"/>
          <w:iCs w:val="1"/>
          <w:color w:val="auto"/>
        </w:rPr>
        <w:t>Business Segment and Geographical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Information </w:t>
      </w:r>
      <w:r>
        <w:rPr>
          <w:rFonts w:ascii="Arial" w:cs="Arial" w:eastAsia="Arial" w:hAnsi="Arial"/>
          <w:sz w:val="15"/>
          <w:szCs w:val="15"/>
          <w:color w:val="auto"/>
        </w:rPr>
        <w:t>for further details).</w:t>
      </w:r>
    </w:p>
    <w:p>
      <w:pPr>
        <w:spacing w:after="0" w:line="18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Revenue in our Rest of Europe region for the three months ended September 30, 2026 decreased by $19.1 million or 4.8%, to $379.9 million, compared to $399.0 million for the three months ended September 30, 2025. Revenue in the U.S. region decreased by $151.6 million or 23.4%, to $497.4 million, compared to $649.0 million for the three months ended September 30, 2025. Revenue in the Rest of World ('Other') region increased by $17.1 million or 7.3%, to $251.7 million, compared to $234.6 million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5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760" w:type="dxa"/>
            <w:vAlign w:val="bottom"/>
            <w:shd w:val="clear" w:color="auto" w:fill="CCEEFF"/>
          </w:tcPr>
          <w:p>
            <w:pPr>
              <w:ind w:left="320"/>
              <w:spacing w:after="0"/>
              <w:rPr>
                <w:sz w:val="20"/>
                <w:szCs w:val="20"/>
                <w:color w:val="auto"/>
              </w:rPr>
            </w:pPr>
            <w:r>
              <w:rPr>
                <w:rFonts w:ascii="Arial" w:cs="Arial" w:eastAsia="Arial" w:hAnsi="Arial"/>
                <w:sz w:val="15"/>
                <w:szCs w:val="15"/>
                <w:b w:val="1"/>
                <w:bCs w:val="1"/>
                <w:color w:val="auto"/>
              </w:rPr>
              <w:t>Nine months ended</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Change</w:t>
            </w:r>
          </w:p>
        </w:tc>
        <w:tc>
          <w:tcPr>
            <w:tcW w:w="860" w:type="dxa"/>
            <w:vAlign w:val="bottom"/>
            <w:shd w:val="clear" w:color="auto" w:fill="CCEEFF"/>
          </w:tcPr>
          <w:p>
            <w:pPr>
              <w:spacing w:after="0"/>
              <w:rPr>
                <w:sz w:val="14"/>
                <w:szCs w:val="14"/>
                <w:color w:val="auto"/>
              </w:rPr>
            </w:pPr>
          </w:p>
        </w:tc>
      </w:tr>
      <w:tr>
        <w:trPr>
          <w:trHeight w:val="206"/>
        </w:trPr>
        <w:tc>
          <w:tcPr>
            <w:tcW w:w="5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r>
      <w:tr>
        <w:trPr>
          <w:trHeight w:val="21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6,122,242 $</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6,138,823</w:t>
            </w: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rPr>
              <w:t>(16,581)</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bl>
    <w:p>
      <w:pPr>
        <w:spacing w:after="0" w:line="31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Revenue for the nine months ended September 30, 2026 decreased by $16.6 million, or 0.3%, to $6,122.2 million, compared to $6,138.8 million for the nine months ended September 30, 2025. Revenue decreased by 1.4% in constant currency terms. The decrease in revenue for the nine months ended September 30, 2026 was partially a result of the disposal of Symphony and changes in business mix.</w:t>
      </w:r>
    </w:p>
    <w:p>
      <w:pPr>
        <w:spacing w:after="0" w:line="19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nine months ended September 30, 2026, we derived 27.6%, 60.3% and 12.1% of our revenue in the United States, Europe and Rest of World respectively. Revenues from our top five customers amounted to $1,483.1 million in the nine months ended September 30, 2026, compared to $1,499.8 million for the nine months ended September 30, 2025 or 24.2% and 24.4% of total revenue respectively. New customer accounts are continually added across the full portfolio of large pharma customers, mid-tier pharma customers and biotech customers.</w:t>
      </w:r>
    </w:p>
    <w:p>
      <w:pPr>
        <w:spacing w:after="0" w:line="188"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 xml:space="preserve">Revenue in Ireland increased by $97.3 million for the nine months ended September 30, 2026, to $2,535.4 million, compared to $2,438.1 million for the nine months ended September 30, 2025. Revenue in Ireland during the nine months ended September 30, 2026 increased by 4.0% compared to an overall decrease in ICON Group revenue of 0.3%. Revenue in Ireland is principally a function of our global contracting model (see Note 15 </w:t>
      </w:r>
      <w:r>
        <w:rPr>
          <w:rFonts w:ascii="Arial" w:cs="Arial" w:eastAsia="Arial" w:hAnsi="Arial"/>
          <w:sz w:val="15"/>
          <w:szCs w:val="15"/>
          <w:i w:val="1"/>
          <w:iCs w:val="1"/>
          <w:color w:val="auto"/>
        </w:rPr>
        <w:t>Business Segment and</w:t>
      </w:r>
    </w:p>
    <w:p>
      <w:pPr>
        <w:spacing w:after="0"/>
        <w:rPr>
          <w:sz w:val="20"/>
          <w:szCs w:val="20"/>
          <w:color w:val="auto"/>
        </w:rPr>
      </w:pPr>
      <w:r>
        <w:rPr>
          <w:rFonts w:ascii="Arial" w:cs="Arial" w:eastAsia="Arial" w:hAnsi="Arial"/>
          <w:sz w:val="15"/>
          <w:szCs w:val="15"/>
          <w:i w:val="1"/>
          <w:iCs w:val="1"/>
          <w:color w:val="auto"/>
        </w:rPr>
        <w:t xml:space="preserve">Geographical Information </w:t>
      </w:r>
      <w:r>
        <w:rPr>
          <w:rFonts w:ascii="Arial" w:cs="Arial" w:eastAsia="Arial" w:hAnsi="Arial"/>
          <w:sz w:val="15"/>
          <w:szCs w:val="15"/>
          <w:color w:val="auto"/>
        </w:rPr>
        <w:t>for further details).</w:t>
      </w:r>
    </w:p>
    <w:p>
      <w:pPr>
        <w:spacing w:after="0" w:line="22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Revenue in our Rest of Europe region for the nine months ended September 30, 2026 increased by $20.8 million or 1.8%, to $1,155.8 million, compared to $1,135.0 million for the nine months ended September 30, 2025. Revenue in the U.S. region for the nine months ended September 30, 2026 decreased by $208.2 million or 11.0%, to $1,686.7 million, compared to $1,894.9 million for the nine months ended September 30, 2025. Revenue in the Rest of World ('Other') region for the nine months ended September 30, 2026 increased by $73.4 million or 10.9%, to $744.3 million, compared to $670.9 million for the nine months ended September 30, 2025.</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 costs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jc w:val="center"/>
              <w:ind w:right="323"/>
              <w:spacing w:after="0"/>
              <w:rPr>
                <w:sz w:val="20"/>
                <w:szCs w:val="20"/>
                <w:color w:val="auto"/>
              </w:rPr>
            </w:pPr>
            <w:r>
              <w:rPr>
                <w:rFonts w:ascii="Arial" w:cs="Arial" w:eastAsia="Arial" w:hAnsi="Arial"/>
                <w:sz w:val="15"/>
                <w:szCs w:val="15"/>
                <w:b w:val="1"/>
                <w:bCs w:val="1"/>
                <w:color w:val="auto"/>
              </w:rPr>
              <w:t>Three Months Ended</w:t>
            </w: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6"/>
        </w:trPr>
        <w:tc>
          <w:tcPr>
            <w:tcW w:w="1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gridSpan w:val="2"/>
            <w:shd w:val="clear" w:color="auto" w:fill="CCEEFF"/>
          </w:tcPr>
          <w:p>
            <w:pPr>
              <w:jc w:val="center"/>
              <w:ind w:left="483"/>
              <w:spacing w:after="0"/>
              <w:rPr>
                <w:sz w:val="20"/>
                <w:szCs w:val="20"/>
                <w:color w:val="auto"/>
              </w:rPr>
            </w:pPr>
            <w:r>
              <w:rPr>
                <w:rFonts w:ascii="Arial" w:cs="Arial" w:eastAsia="Arial" w:hAnsi="Arial"/>
                <w:sz w:val="15"/>
                <w:szCs w:val="15"/>
                <w:b w:val="1"/>
                <w:bCs w:val="1"/>
                <w:color w:val="auto"/>
              </w:rPr>
              <w:t>September 30,</w:t>
            </w: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September 30,</w:t>
            </w:r>
          </w:p>
        </w:tc>
        <w:tc>
          <w:tcPr>
            <w:tcW w:w="4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212"/>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212"/>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 costs</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1,532,925</w:t>
            </w: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1,538,951</w:t>
            </w: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(6,026)</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4,673,190</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4,443,967</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229,223</w:t>
            </w:r>
          </w:p>
        </w:tc>
      </w:tr>
      <w:tr>
        <w:trPr>
          <w:trHeight w:val="218"/>
        </w:trPr>
        <w:tc>
          <w:tcPr>
            <w:tcW w:w="17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75.7 %</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73.8 %</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(0.4)%</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76.4 %</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72.5 %</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5.2 %</w:t>
            </w:r>
          </w:p>
        </w:tc>
      </w:tr>
    </w:tbl>
    <w:p>
      <w:pPr>
        <w:spacing w:after="0" w:line="200" w:lineRule="exact"/>
        <w:rPr>
          <w:sz w:val="20"/>
          <w:szCs w:val="20"/>
          <w:color w:val="auto"/>
        </w:rPr>
      </w:pPr>
    </w:p>
    <w:p>
      <w:pPr>
        <w:spacing w:after="0" w:line="31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Direct costs for the three months ended September 30, 2026 decreased by $6.0 million, or 0.4%, to $1,532.9 million compared to $1,539.0 million for the three months ended September 30, 2025. Direct costs consist primarily of investigator and other reimbursable costs, compensation, associated fringe benefits and share-based compensation expense for project-related employees and other direct project driven costs. The decrease in costs for the three months ended September 30, 2026 is primarily due to decreases in data costs driven by the disposal of the Symphony business and decreases in personnel costs exceeding increases in reimbursable expenses. As a percentage of revenue, direct costs have increased to 75.7% of revenue during the three months ended September 30, 2026 compared to 73.8% for the three months ended September 30, 2025.</w:t>
      </w:r>
    </w:p>
    <w:p>
      <w:pPr>
        <w:spacing w:after="0" w:line="18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Direct costs for the nine months ended September 30, 2026 increased by $229.2 million, or 5.2%, to $4,673.2 million compared to $4,444.0 million for the nine months ended September 30, 2025. The increase in costs for the nine months ended September 30, 2026 is primarily due to increases in reimbursable expenses and personnel expenses for the period exceeding the reductions in data costs driven by the disposal of the Symphony business. As a percentage of revenue, direct costs have increased to 76.4% of revenue during the nine months ended September 30, 2026 compared to 72.5%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i w:val="1"/>
          <w:iCs w:val="1"/>
          <w:color w:val="auto"/>
        </w:rPr>
        <w:t>Selling, general and administrative</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jc w:val="center"/>
              <w:ind w:right="323"/>
              <w:spacing w:after="0"/>
              <w:rPr>
                <w:sz w:val="20"/>
                <w:szCs w:val="20"/>
                <w:color w:val="auto"/>
              </w:rPr>
            </w:pPr>
            <w:r>
              <w:rPr>
                <w:rFonts w:ascii="Arial" w:cs="Arial" w:eastAsia="Arial" w:hAnsi="Arial"/>
                <w:sz w:val="15"/>
                <w:szCs w:val="15"/>
                <w:b w:val="1"/>
                <w:bCs w:val="1"/>
                <w:color w:val="auto"/>
              </w:rPr>
              <w:t>Three Months Ended</w:t>
            </w: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Nine Months Ended</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6"/>
        </w:trPr>
        <w:tc>
          <w:tcPr>
            <w:tcW w:w="24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2"/>
            <w:shd w:val="clear" w:color="auto" w:fill="CCEEFF"/>
          </w:tcPr>
          <w:p>
            <w:pPr>
              <w:jc w:val="center"/>
              <w:ind w:left="343"/>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September 30,</w:t>
            </w:r>
          </w:p>
        </w:tc>
        <w:tc>
          <w:tcPr>
            <w:tcW w:w="4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12"/>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212"/>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196,850</w:t>
            </w: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197,049</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(199)</w:t>
            </w: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591,766</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600,439</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(8,673)</w:t>
            </w:r>
          </w:p>
        </w:tc>
      </w:tr>
      <w:tr>
        <w:trPr>
          <w:trHeight w:val="218"/>
        </w:trPr>
        <w:tc>
          <w:tcPr>
            <w:tcW w:w="2840" w:type="dxa"/>
            <w:vAlign w:val="bottom"/>
            <w:gridSpan w:val="2"/>
          </w:tcPr>
          <w:p>
            <w:pPr>
              <w:ind w:left="20"/>
              <w:spacing w:after="0"/>
              <w:rPr>
                <w:sz w:val="20"/>
                <w:szCs w:val="20"/>
                <w:color w:val="auto"/>
              </w:rPr>
            </w:pPr>
            <w:r>
              <w:rPr>
                <w:rFonts w:ascii="Arial" w:cs="Arial" w:eastAsia="Arial" w:hAnsi="Arial"/>
                <w:sz w:val="15"/>
                <w:szCs w:val="15"/>
                <w:color w:val="auto"/>
              </w:rPr>
              <w:t>% of revenue</w:t>
            </w:r>
          </w:p>
        </w:tc>
        <w:tc>
          <w:tcPr>
            <w:tcW w:w="1060" w:type="dxa"/>
            <w:vAlign w:val="bottom"/>
          </w:tcPr>
          <w:p>
            <w:pPr>
              <w:jc w:val="right"/>
              <w:spacing w:after="0"/>
              <w:rPr>
                <w:sz w:val="20"/>
                <w:szCs w:val="20"/>
                <w:color w:val="auto"/>
              </w:rPr>
            </w:pPr>
            <w:r>
              <w:rPr>
                <w:rFonts w:ascii="Arial" w:cs="Arial" w:eastAsia="Arial" w:hAnsi="Arial"/>
                <w:sz w:val="15"/>
                <w:szCs w:val="15"/>
                <w:color w:val="auto"/>
              </w:rPr>
              <w:t>9.7 %</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9.5 %</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(0.1)%</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9.7 %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9.8 %</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w:t>
            </w:r>
          </w:p>
        </w:tc>
      </w:tr>
    </w:tbl>
    <w:p>
      <w:pPr>
        <w:spacing w:after="0" w:line="2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Selling, general and administrative expenses for the three months ended September 30, 2026 were relatively consistent with selling, general and administrative expenses for the three months ended September 30, 2025, with a modest decrease of $0.2 million, or 0.1%. Selling, general and administrative expenses comprise primarily of compensation, related fringe benefits and share-based compensation expense for non-project-related employees, recruitment expenditure, professional service costs, advertising costs and costs related to facilities and information systems. Further, costs incurred relating to the investigation initiated by the Audit Committee in October 2025 and concluded in April 2026 (the "Investigation"), including out of scope audit fees resulting from the impact of the Investigation, and legal fees in defense of the putative class action (as referred to in Note 16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are classified within this category.</w:t>
      </w:r>
    </w:p>
    <w:p>
      <w:pPr>
        <w:spacing w:after="0" w:line="20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decrease of $0.2 million for the three months ended September 30, 2026 primarily results from an increase of $8.2 million due to a restructuring related accelerated amortization charge on right-of-use assets, $9.6 million due to professional fees, and foreign exchange movements offset by decreases in various other costs including general and personnel costs.</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Selling, general and administrative expenses for the nine months ended September 30, 2026 decreased by $8.7 million, or 1.4%, to $591.8 million, compared to $600.4 million for the nine months ended September 30, 2025. The decrease for the nine months ended September 30, 2026 primarily relates to decreases in general costs of $32.4 million, positive foreign exchange movements of $36.4 million and personnel costs, partially offset by an increase in professional fees of $59.2 million (primarily related to increased costs resulting from the impact of the Investigation) and an increase of $8.2 million due to a restructuring related accelerated amortization charge on right-of-use assets.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Depreciation and amortization of intangible assets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40" w:type="dxa"/>
            <w:vAlign w:val="bottom"/>
            <w:gridSpan w:val="3"/>
            <w:shd w:val="clear" w:color="auto" w:fill="CCEEFF"/>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Nine Months Ended</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6"/>
        </w:trPr>
        <w:tc>
          <w:tcPr>
            <w:tcW w:w="26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September 30,</w:t>
            </w:r>
          </w:p>
        </w:tc>
        <w:tc>
          <w:tcPr>
            <w:tcW w:w="7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September 30,</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212"/>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48,178</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40,342</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7,836</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128,889</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116,015</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12,874</w:t>
            </w:r>
          </w:p>
        </w:tc>
      </w:tr>
      <w:tr>
        <w:trPr>
          <w:trHeight w:val="218"/>
        </w:trPr>
        <w:tc>
          <w:tcPr>
            <w:tcW w:w="26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2.4 %</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19.4 %</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1.9 %</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11.1 %</w:t>
            </w:r>
          </w:p>
        </w:tc>
      </w:tr>
      <w:tr>
        <w:trPr>
          <w:trHeight w:val="220"/>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46,244</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58,688</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(12,444)</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146,631</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176,691</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(30,060)</w:t>
            </w:r>
          </w:p>
        </w:tc>
      </w:tr>
      <w:tr>
        <w:trPr>
          <w:trHeight w:val="218"/>
        </w:trPr>
        <w:tc>
          <w:tcPr>
            <w:tcW w:w="26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2.3 %</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(21.2)%</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2.9 %</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(17.0)%</w:t>
            </w:r>
          </w:p>
        </w:tc>
      </w:tr>
    </w:tbl>
    <w:p>
      <w:pPr>
        <w:spacing w:after="0" w:line="31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depreciation expense for the three months ended September 30, 2026 increased by $7.8 million, or 19.4%, to $48.2 million compared to $40.3 million for the three months ended September 30, 2025. The depreciation charge reflects investments in facilities, information systems and equipment. As a percentage of revenue, the depreciation expense increased to 2.4% of revenues, for the three months ended September 30, 2026 compared to 2.0% for the three months ended September 30, 2025. The depreciation expense for the nine months ended September 30, 2026 increased by $12.9 million, or 11.1%, to $128.9 million compared to $116.0 million for the nine months ended September 30, 2025. As a percentage of revenue, the depreciation expense increased to 2.1% of revenues, for the nine months ended September 30, 2026 compared to 1.9% for the nine months ended September 30, 2025. The depreciation charge has increased primarily due to accelerated charges of $7.4 million as part of the restructuring related office consolidation program.</w:t>
      </w:r>
    </w:p>
    <w:p>
      <w:pPr>
        <w:spacing w:after="0" w:line="20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amortization of intangible asset expense for the three months ended September 30, 2026 decreased by $12.4 million, or 21.2%, to $46.2 million compared to $58.7 million for the three months ended September 30, 2025. The amortization expense represents the amortization of intangible assets acquired in business combinations. As a percentage of revenue, the amortization expense was 2.3% for the three months ended September 30, 2026, compared to 2.8% for the three months ended September 30, 2025. Amortization expense for the nine months ended September 30, 2026 decreased by $30.1 million, or 17.0%, to $146.6 million compared to $176.7 million for the nine months ended September 30, 2025. The decrease in amortization for the three and nine months ended September 30, 2026 primarily reflects the impact of the impairment of the intangible assets related to the former Data Solutions reporting unit which occurred in the three months ended September 30, 2025 resulting in reduced amortization in subsequent periods.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Restructuring, transaction and integration related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Nine Months Ended</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6"/>
        </w:trPr>
        <w:tc>
          <w:tcPr>
            <w:tcW w:w="27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2"/>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September 30,</w:t>
            </w:r>
          </w:p>
        </w:tc>
        <w:tc>
          <w:tcPr>
            <w:tcW w:w="6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September 30,</w:t>
            </w: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12"/>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Transaction and integration related</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233</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7,020</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(6,787)</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5,949</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19,141</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(13,192)</w:t>
            </w:r>
          </w:p>
        </w:tc>
      </w:tr>
      <w:tr>
        <w:trPr>
          <w:trHeight w:val="218"/>
        </w:trPr>
        <w:tc>
          <w:tcPr>
            <w:tcW w:w="27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 %</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0.3 %</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(96.7)%</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0.1 %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0.3 %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(68.9)%</w:t>
            </w: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1,486</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1,486</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32,466</w:t>
            </w: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82,296</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(49,830)</w:t>
            </w:r>
          </w:p>
        </w:tc>
      </w:tr>
      <w:tr>
        <w:trPr>
          <w:trHeight w:val="218"/>
        </w:trPr>
        <w:tc>
          <w:tcPr>
            <w:tcW w:w="27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0.1 %</w:t>
            </w:r>
          </w:p>
        </w:tc>
        <w:tc>
          <w:tcPr>
            <w:tcW w:w="800" w:type="dxa"/>
            <w:vAlign w:val="bottom"/>
          </w:tcPr>
          <w:p>
            <w:pPr>
              <w:spacing w:after="0"/>
              <w:rPr>
                <w:sz w:val="18"/>
                <w:szCs w:val="18"/>
                <w:color w:val="auto"/>
              </w:rPr>
            </w:pPr>
          </w:p>
        </w:tc>
        <w:tc>
          <w:tcPr>
            <w:tcW w:w="6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NM</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0.5 %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*NM – Not Meaningful</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three and nine months ended September 30, 2026, the Company incurred $0.2 million and $5.9 million, respectively, for transaction and integration-related expenses. The charge includes costs associated with ongoing integration activities related to our recent acquisitions. Such costs include professional fees, legal costs and related integration costs.</w:t>
      </w:r>
    </w:p>
    <w:p>
      <w:pPr>
        <w:spacing w:after="0" w:line="19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During the nine months ended September 30, 2026 the Company has undertaken a restructuring program aimed at realigning its workforce reflecting a charge of $32.5 million (nine months ended September 30, 2025: $75.6 million). During the nine months ended September 30, 2025 an impairment charge of $6.7 million was also included related to an office consolidation program to optimize the Company's office footprint. Included within selling, general and administrative expenses as noted previously, is $8.2 million due to a restructuring related accelerated amortization charge on right-of-use assets; in addition, as included within depreciation and amortization of intangible assets, an accelerated depreciation charge of $7.4 million as part of the restructuring related office consolidation program.</w:t>
      </w: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impairment and impairment of non-financial assets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ind w:left="640"/>
              <w:spacing w:after="0"/>
              <w:rPr>
                <w:sz w:val="20"/>
                <w:szCs w:val="20"/>
                <w:color w:val="auto"/>
              </w:rPr>
            </w:pPr>
            <w:r>
              <w:rPr>
                <w:rFonts w:ascii="Arial" w:cs="Arial" w:eastAsia="Arial" w:hAnsi="Arial"/>
                <w:sz w:val="15"/>
                <w:szCs w:val="15"/>
                <w:b w:val="1"/>
                <w:bCs w:val="1"/>
                <w:color w:val="auto"/>
              </w:rPr>
              <w:t>Three Months Ended</w:t>
            </w:r>
          </w:p>
        </w:tc>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Nine Months Ended</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6"/>
        </w:trPr>
        <w:tc>
          <w:tcPr>
            <w:tcW w:w="2900" w:type="dxa"/>
            <w:vAlign w:val="bottom"/>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b w:val="1"/>
                <w:bCs w:val="1"/>
                <w:color w:val="auto"/>
              </w:rPr>
              <w:t>September 30,</w:t>
            </w:r>
          </w:p>
        </w:tc>
        <w:tc>
          <w:tcPr>
            <w:tcW w:w="8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September 30,</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r>
      <w:tr>
        <w:trPr>
          <w:trHeight w:val="212"/>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198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2026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Change</w:t>
            </w:r>
          </w:p>
        </w:tc>
        <w:tc>
          <w:tcPr>
            <w:tcW w:w="102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rPr>
              <w:t>2026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212"/>
        </w:trPr>
        <w:tc>
          <w:tcPr>
            <w:tcW w:w="2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impairment</w:t>
            </w:r>
          </w:p>
        </w:tc>
        <w:tc>
          <w:tcPr>
            <w:tcW w:w="198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 $</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364,248</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(364,248)</w:t>
            </w:r>
          </w:p>
        </w:tc>
        <w:tc>
          <w:tcPr>
            <w:tcW w:w="10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364,248</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(364,248)</w:t>
            </w:r>
          </w:p>
        </w:tc>
      </w:tr>
      <w:tr>
        <w:trPr>
          <w:trHeight w:val="218"/>
        </w:trPr>
        <w:tc>
          <w:tcPr>
            <w:tcW w:w="290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1980" w:type="dxa"/>
            <w:vAlign w:val="bottom"/>
          </w:tcPr>
          <w:p>
            <w:pPr>
              <w:ind w:left="110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17.5 %</w:t>
            </w:r>
          </w:p>
        </w:tc>
        <w:tc>
          <w:tcPr>
            <w:tcW w:w="400" w:type="dxa"/>
            <w:vAlign w:val="bottom"/>
          </w:tcPr>
          <w:p>
            <w:pPr>
              <w:spacing w:after="0"/>
              <w:rPr>
                <w:sz w:val="18"/>
                <w:szCs w:val="18"/>
                <w:color w:val="auto"/>
              </w:rPr>
            </w:pPr>
          </w:p>
        </w:tc>
        <w:tc>
          <w:tcPr>
            <w:tcW w:w="1440" w:type="dxa"/>
            <w:vAlign w:val="bottom"/>
          </w:tcPr>
          <w:p>
            <w:pPr>
              <w:jc w:val="right"/>
              <w:ind w:right="403"/>
              <w:spacing w:after="0"/>
              <w:rPr>
                <w:sz w:val="20"/>
                <w:szCs w:val="20"/>
                <w:color w:val="auto"/>
              </w:rPr>
            </w:pPr>
            <w:r>
              <w:rPr>
                <w:rFonts w:ascii="Arial" w:cs="Arial" w:eastAsia="Arial" w:hAnsi="Arial"/>
                <w:sz w:val="15"/>
                <w:szCs w:val="15"/>
                <w:color w:val="auto"/>
              </w:rPr>
              <w:t>NM</w:t>
            </w:r>
          </w:p>
        </w:tc>
        <w:tc>
          <w:tcPr>
            <w:tcW w:w="1020" w:type="dxa"/>
            <w:vAlign w:val="bottom"/>
          </w:tcPr>
          <w:p>
            <w:pPr>
              <w:ind w:left="64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5.9 %</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20"/>
        </w:trPr>
        <w:tc>
          <w:tcPr>
            <w:tcW w:w="2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of non-financial assets</w:t>
            </w:r>
          </w:p>
        </w:tc>
        <w:tc>
          <w:tcPr>
            <w:tcW w:w="198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 $</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101,027</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(101,027)</w:t>
            </w:r>
          </w:p>
        </w:tc>
        <w:tc>
          <w:tcPr>
            <w:tcW w:w="10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101,027</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(101,027)</w:t>
            </w:r>
          </w:p>
        </w:tc>
      </w:tr>
      <w:tr>
        <w:trPr>
          <w:trHeight w:val="218"/>
        </w:trPr>
        <w:tc>
          <w:tcPr>
            <w:tcW w:w="290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1980" w:type="dxa"/>
            <w:vAlign w:val="bottom"/>
          </w:tcPr>
          <w:p>
            <w:pPr>
              <w:ind w:left="110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4.8 %</w:t>
            </w:r>
          </w:p>
        </w:tc>
        <w:tc>
          <w:tcPr>
            <w:tcW w:w="400" w:type="dxa"/>
            <w:vAlign w:val="bottom"/>
          </w:tcPr>
          <w:p>
            <w:pPr>
              <w:spacing w:after="0"/>
              <w:rPr>
                <w:sz w:val="18"/>
                <w:szCs w:val="18"/>
                <w:color w:val="auto"/>
              </w:rPr>
            </w:pPr>
          </w:p>
        </w:tc>
        <w:tc>
          <w:tcPr>
            <w:tcW w:w="1440" w:type="dxa"/>
            <w:vAlign w:val="bottom"/>
          </w:tcPr>
          <w:p>
            <w:pPr>
              <w:jc w:val="right"/>
              <w:ind w:right="403"/>
              <w:spacing w:after="0"/>
              <w:rPr>
                <w:sz w:val="20"/>
                <w:szCs w:val="20"/>
                <w:color w:val="auto"/>
              </w:rPr>
            </w:pPr>
            <w:r>
              <w:rPr>
                <w:rFonts w:ascii="Arial" w:cs="Arial" w:eastAsia="Arial" w:hAnsi="Arial"/>
                <w:sz w:val="15"/>
                <w:szCs w:val="15"/>
                <w:color w:val="auto"/>
              </w:rPr>
              <w:t>NM</w:t>
            </w:r>
          </w:p>
        </w:tc>
        <w:tc>
          <w:tcPr>
            <w:tcW w:w="1020" w:type="dxa"/>
            <w:vAlign w:val="bottom"/>
          </w:tcPr>
          <w:p>
            <w:pPr>
              <w:ind w:left="64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1.6 %</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*NM – Not Meaningful</w:t>
      </w:r>
    </w:p>
    <w:p>
      <w:pPr>
        <w:spacing w:after="0" w:line="25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No goodwill impairment or impairment of non-financial assets was recorded for the three or nine months ended September 30, 2026. For the three months ended September 30, 2025 the Company recorded a goodwill impairment charge of $364.2 million in the Condensed Consolidated Statements of Operations related to the former Data Solutions reporting unit. This represented the entire balance of goodwill attributed to the Data Solutions reporting unit. This charge represents 17.5% of revenue for the three months ended September 30, 2025 (5.9% for the nine months ended September 30, 2025). Impairment of non-financial assets of $101.0 million was recorded related to property, plant and equipment and intangible assets in the Data Solutions reporting unit. This charge represented 4.8% of revenue for the three months ended September 30, 2025. (1.6% for the nine months ended September 30, 2025). The Data Solutions reporting unit was comprised of Symphony Health Solutions Corporation ("Symphony"), which was disposed of on May 8, 2026.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Loss on disposal of subsidiary undertaking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jc w:val="center"/>
              <w:ind w:left="863"/>
              <w:spacing w:after="0"/>
              <w:rPr>
                <w:sz w:val="20"/>
                <w:szCs w:val="20"/>
                <w:color w:val="auto"/>
              </w:rPr>
            </w:pPr>
            <w:r>
              <w:rPr>
                <w:rFonts w:ascii="Arial" w:cs="Arial" w:eastAsia="Arial" w:hAnsi="Arial"/>
                <w:sz w:val="15"/>
                <w:szCs w:val="15"/>
                <w:b w:val="1"/>
                <w:bCs w:val="1"/>
                <w:color w:val="auto"/>
              </w:rPr>
              <w:t>Three Months Ended</w:t>
            </w:r>
          </w:p>
        </w:tc>
        <w:tc>
          <w:tcPr>
            <w:tcW w:w="142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left="403"/>
              <w:spacing w:after="0"/>
              <w:rPr>
                <w:sz w:val="20"/>
                <w:szCs w:val="20"/>
                <w:color w:val="auto"/>
              </w:rPr>
            </w:pPr>
            <w:r>
              <w:rPr>
                <w:rFonts w:ascii="Arial" w:cs="Arial" w:eastAsia="Arial" w:hAnsi="Arial"/>
                <w:sz w:val="15"/>
                <w:szCs w:val="15"/>
                <w:b w:val="1"/>
                <w:bCs w:val="1"/>
                <w:color w:val="auto"/>
              </w:rPr>
              <w:t>Nine Months Ended</w:t>
            </w:r>
          </w:p>
        </w:tc>
        <w:tc>
          <w:tcPr>
            <w:tcW w:w="940" w:type="dxa"/>
            <w:vAlign w:val="bottom"/>
            <w:shd w:val="clear" w:color="auto" w:fill="CCEEFF"/>
          </w:tcPr>
          <w:p>
            <w:pPr>
              <w:spacing w:after="0"/>
              <w:rPr>
                <w:sz w:val="14"/>
                <w:szCs w:val="14"/>
                <w:color w:val="auto"/>
              </w:rPr>
            </w:pPr>
          </w:p>
        </w:tc>
      </w:tr>
      <w:tr>
        <w:trPr>
          <w:trHeight w:val="206"/>
        </w:trPr>
        <w:tc>
          <w:tcPr>
            <w:tcW w:w="28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center"/>
              <w:ind w:right="403"/>
              <w:spacing w:after="0"/>
              <w:rPr>
                <w:sz w:val="20"/>
                <w:szCs w:val="20"/>
                <w:color w:val="auto"/>
              </w:rPr>
            </w:pPr>
            <w:r>
              <w:rPr>
                <w:rFonts w:ascii="Arial" w:cs="Arial" w:eastAsia="Arial" w:hAnsi="Arial"/>
                <w:sz w:val="15"/>
                <w:szCs w:val="15"/>
                <w:b w:val="1"/>
                <w:bCs w:val="1"/>
                <w:color w:val="auto"/>
              </w:rPr>
              <w:t>September 30,</w:t>
            </w:r>
          </w:p>
        </w:tc>
        <w:tc>
          <w:tcPr>
            <w:tcW w:w="1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center"/>
              <w:ind w:right="563"/>
              <w:spacing w:after="0"/>
              <w:rPr>
                <w:sz w:val="20"/>
                <w:szCs w:val="20"/>
                <w:color w:val="auto"/>
              </w:rPr>
            </w:pPr>
            <w:r>
              <w:rPr>
                <w:rFonts w:ascii="Arial" w:cs="Arial" w:eastAsia="Arial" w:hAnsi="Arial"/>
                <w:sz w:val="15"/>
                <w:szCs w:val="15"/>
                <w:b w:val="1"/>
                <w:bCs w:val="1"/>
                <w:color w:val="auto"/>
              </w:rPr>
              <w:t>September 30,</w:t>
            </w:r>
          </w:p>
        </w:tc>
        <w:tc>
          <w:tcPr>
            <w:tcW w:w="940" w:type="dxa"/>
            <w:vAlign w:val="bottom"/>
            <w:tcBorders>
              <w:bottom w:val="single" w:sz="8" w:color="auto"/>
            </w:tcBorders>
            <w:shd w:val="clear" w:color="auto" w:fill="CCEEFF"/>
          </w:tcPr>
          <w:p>
            <w:pPr>
              <w:spacing w:after="0"/>
              <w:rPr>
                <w:sz w:val="17"/>
                <w:szCs w:val="17"/>
                <w:color w:val="auto"/>
              </w:rPr>
            </w:pPr>
          </w:p>
        </w:tc>
      </w:tr>
      <w:tr>
        <w:trPr>
          <w:trHeight w:val="212"/>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2026</w:t>
            </w:r>
          </w:p>
        </w:tc>
        <w:tc>
          <w:tcPr>
            <w:tcW w:w="17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Change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7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60"/>
        </w:trPr>
        <w:tc>
          <w:tcPr>
            <w:tcW w:w="282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Loss on disposal of subsidiary</w:t>
            </w:r>
          </w:p>
        </w:tc>
        <w:tc>
          <w:tcPr>
            <w:tcW w:w="1440" w:type="dxa"/>
            <w:vAlign w:val="bottom"/>
            <w:shd w:val="clear" w:color="auto" w:fill="CCEEFF"/>
          </w:tcPr>
          <w:p>
            <w:pPr>
              <w:ind w:left="1140"/>
              <w:spacing w:after="0" w:line="161" w:lineRule="exact"/>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ind w:left="1080"/>
              <w:spacing w:after="0" w:line="161" w:lineRule="exact"/>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ind w:left="720"/>
              <w:spacing w:after="0" w:line="161" w:lineRule="exact"/>
              <w:rPr>
                <w:sz w:val="20"/>
                <w:szCs w:val="20"/>
                <w:color w:val="auto"/>
              </w:rPr>
            </w:pPr>
            <w:r>
              <w:rPr>
                <w:rFonts w:ascii="Arial" w:cs="Arial" w:eastAsia="Arial" w:hAnsi="Arial"/>
                <w:sz w:val="15"/>
                <w:szCs w:val="15"/>
                <w:color w:val="auto"/>
              </w:rPr>
              <w:t>— $</w:t>
            </w:r>
          </w:p>
        </w:tc>
        <w:tc>
          <w:tcPr>
            <w:tcW w:w="1100" w:type="dxa"/>
            <w:vAlign w:val="bottom"/>
            <w:shd w:val="clear" w:color="auto" w:fill="CCEEFF"/>
          </w:tcPr>
          <w:p>
            <w:pPr>
              <w:jc w:val="right"/>
              <w:ind w:right="163"/>
              <w:spacing w:after="0" w:line="161" w:lineRule="exact"/>
              <w:rPr>
                <w:sz w:val="20"/>
                <w:szCs w:val="20"/>
                <w:color w:val="auto"/>
              </w:rPr>
            </w:pPr>
            <w:r>
              <w:rPr>
                <w:rFonts w:ascii="Arial" w:cs="Arial" w:eastAsia="Arial" w:hAnsi="Arial"/>
                <w:sz w:val="15"/>
                <w:szCs w:val="15"/>
                <w:color w:val="auto"/>
              </w:rPr>
              <w:t>32,947</w:t>
            </w:r>
          </w:p>
        </w:tc>
        <w:tc>
          <w:tcPr>
            <w:tcW w:w="1780" w:type="dxa"/>
            <w:vAlign w:val="bottom"/>
            <w:shd w:val="clear" w:color="auto" w:fill="CCEEFF"/>
          </w:tcPr>
          <w:p>
            <w:pPr>
              <w:ind w:left="1100"/>
              <w:spacing w:after="0" w:line="161" w:lineRule="exact"/>
              <w:rPr>
                <w:sz w:val="20"/>
                <w:szCs w:val="20"/>
                <w:color w:val="auto"/>
              </w:rPr>
            </w:pPr>
            <w:r>
              <w:rPr>
                <w:rFonts w:ascii="Arial" w:cs="Arial" w:eastAsia="Arial" w:hAnsi="Arial"/>
                <w:sz w:val="15"/>
                <w:szCs w:val="15"/>
                <w:color w:val="auto"/>
              </w:rPr>
              <w:t>— $</w:t>
            </w:r>
          </w:p>
        </w:tc>
        <w:tc>
          <w:tcPr>
            <w:tcW w:w="9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32,947</w:t>
            </w:r>
          </w:p>
        </w:tc>
      </w:tr>
      <w:tr>
        <w:trPr>
          <w:trHeight w:val="193"/>
        </w:trPr>
        <w:tc>
          <w:tcPr>
            <w:tcW w:w="2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undertaking</w:t>
            </w:r>
          </w:p>
        </w:tc>
        <w:tc>
          <w:tcPr>
            <w:tcW w:w="14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8"/>
        </w:trPr>
        <w:tc>
          <w:tcPr>
            <w:tcW w:w="282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1440" w:type="dxa"/>
            <w:vAlign w:val="bottom"/>
          </w:tcPr>
          <w:p>
            <w:pPr>
              <w:ind w:left="1140"/>
              <w:spacing w:after="0"/>
              <w:rPr>
                <w:sz w:val="20"/>
                <w:szCs w:val="20"/>
                <w:color w:val="auto"/>
              </w:rPr>
            </w:pPr>
            <w:r>
              <w:rPr>
                <w:rFonts w:ascii="Arial" w:cs="Arial" w:eastAsia="Arial" w:hAnsi="Arial"/>
                <w:sz w:val="15"/>
                <w:szCs w:val="15"/>
                <w:color w:val="auto"/>
              </w:rPr>
              <w:t>—</w:t>
            </w:r>
          </w:p>
        </w:tc>
        <w:tc>
          <w:tcPr>
            <w:tcW w:w="1740" w:type="dxa"/>
            <w:vAlign w:val="bottom"/>
          </w:tcPr>
          <w:p>
            <w:pPr>
              <w:ind w:left="1080"/>
              <w:spacing w:after="0"/>
              <w:rPr>
                <w:sz w:val="20"/>
                <w:szCs w:val="20"/>
                <w:color w:val="auto"/>
              </w:rPr>
            </w:pPr>
            <w:r>
              <w:rPr>
                <w:rFonts w:ascii="Arial" w:cs="Arial" w:eastAsia="Arial" w:hAnsi="Arial"/>
                <w:sz w:val="15"/>
                <w:szCs w:val="15"/>
                <w:color w:val="auto"/>
              </w:rPr>
              <w:t>—</w:t>
            </w:r>
          </w:p>
        </w:tc>
        <w:tc>
          <w:tcPr>
            <w:tcW w:w="1420" w:type="dxa"/>
            <w:vAlign w:val="bottom"/>
          </w:tcPr>
          <w:p>
            <w:pPr>
              <w:ind w:left="7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0.5 %</w:t>
            </w:r>
          </w:p>
        </w:tc>
        <w:tc>
          <w:tcPr>
            <w:tcW w:w="1780" w:type="dxa"/>
            <w:vAlign w:val="bottom"/>
          </w:tcPr>
          <w:p>
            <w:pPr>
              <w:ind w:left="11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*NM – Not Meaningful</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On May 8, 2026, ICON completed the disposal of Symphony and recognized a pre-tax loss on disposal, including transaction costs, of $32.9 million in the Condensed Consolidated Statements of Operations for the nine months ended September 30, 2026 related to this disposal.</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 (loss) from operations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jc w:val="center"/>
              <w:ind w:left="323"/>
              <w:spacing w:after="0"/>
              <w:rPr>
                <w:sz w:val="20"/>
                <w:szCs w:val="20"/>
                <w:color w:val="auto"/>
              </w:rPr>
            </w:pPr>
            <w:r>
              <w:rPr>
                <w:rFonts w:ascii="Arial" w:cs="Arial" w:eastAsia="Arial" w:hAnsi="Arial"/>
                <w:sz w:val="15"/>
                <w:szCs w:val="15"/>
                <w:b w:val="1"/>
                <w:bCs w:val="1"/>
                <w:color w:val="auto"/>
              </w:rPr>
              <w:t>Three Months Ended</w:t>
            </w:r>
          </w:p>
        </w:tc>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06"/>
        </w:trPr>
        <w:tc>
          <w:tcPr>
            <w:tcW w:w="54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2"/>
            <w:shd w:val="clear" w:color="auto" w:fill="CCEEFF"/>
          </w:tcPr>
          <w:p>
            <w:pPr>
              <w:jc w:val="center"/>
              <w:ind w:left="323"/>
              <w:spacing w:after="0"/>
              <w:rPr>
                <w:sz w:val="20"/>
                <w:szCs w:val="20"/>
                <w:color w:val="auto"/>
              </w:rPr>
            </w:pPr>
            <w:r>
              <w:rPr>
                <w:rFonts w:ascii="Arial" w:cs="Arial" w:eastAsia="Arial" w:hAnsi="Arial"/>
                <w:sz w:val="15"/>
                <w:szCs w:val="15"/>
                <w:b w:val="1"/>
                <w:bCs w:val="1"/>
                <w:color w:val="auto"/>
              </w:rPr>
              <w:t>September 30,</w:t>
            </w:r>
          </w:p>
        </w:tc>
        <w:tc>
          <w:tcPr>
            <w:tcW w:w="9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212"/>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 (loss) from operations</w:t>
            </w: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198,841</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(222,910)</w:t>
            </w: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421,751</w:t>
            </w:r>
          </w:p>
        </w:tc>
      </w:tr>
      <w:tr>
        <w:trPr>
          <w:trHeight w:val="218"/>
        </w:trPr>
        <w:tc>
          <w:tcPr>
            <w:tcW w:w="542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9.8 %</w:t>
            </w:r>
          </w:p>
        </w:tc>
        <w:tc>
          <w:tcPr>
            <w:tcW w:w="1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(10.7)%</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NM</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*NM – Not Meaningful</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Income from operations for the three months ended September 30, 2026 moved by $421.8 million to $198.8 million compared to a loss from operations of $222.9 million for the three months ended September 30, 2025. As a percentage of revenue, income / loss from operations increased to 9.8% compared to (10.7)% of revenue for the three months ended September 30, 2025.</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Excluding amortization of intangible assets, income from operations in Ireland for the three months ended September 30, 2026 decreased to $137.4 million compared to $165.0 million (which excluded amortization of intangible assets, the non-cash goodwill impairment charge and impairment of non financial assets) for three months ended September 30, 2025.</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Rest of Europe region, excluding amortization of intangible assets, income from operations for the three months ended September 30, 2026 decreased to $29.2 million compared to $51.0 million (which excluded amortization of intangible assets, the non-cash goodwill impairment charge and impairment of non financial assets) for the three months ended September 30, 2025. As a percentage of revenues, excluding amortization of intangible assets, income from operations in the Rest of Europe region decreased to 7.7% for the three months ended September 30, 2026 compared to 12.8% (which excluded amortization of intangible assets, the non-cash goodwill impairment charge and impairment of non financial assets) for the three months ended September 30, 2025.</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U.S. region, income from operations, excluding amortization of intangible assets, decreased to $63.1 million compared to $68.2 million (which excluded amortization of intangible assets, the non-cash goodwill impairment charge and impairment of non financial assets) for the three months ended September 30, 2025. As a percentage of revenues, excluding amortization of intangible assets, income from operations in the U.S. region increased to 12.7% for the three months ended September 30, 2026 compared to 10.5% (which excluded amortization of intangible assets, the non-cash goodwill impairment charge and impairment of non financial assets) for the three months ended September 30, 2025.</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Rest of World, income from operations, excluding amortization of intangible assets for the three months ended September 30, 2026, decreased to $15.4 million compared to $16.8 million (which excluded amortization of intangible assets, the non-cash goodwill impairment charge and impairment of non financial assets) for the three months ended September 30, 2025. As percentage of revenue, excluding amortization of intangible assets, income from operations in the Rest of World decreased to 6.1% compared to 7.2% (which excluded amortization of intangible assets, the non-cash goodwill impairment charge and impairment of non financial assets)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2"/>
        </w:trPr>
        <w:tc>
          <w:tcPr>
            <w:tcW w:w="5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jc w:val="center"/>
              <w:ind w:left="303"/>
              <w:spacing w:after="0"/>
              <w:rPr>
                <w:sz w:val="20"/>
                <w:szCs w:val="20"/>
                <w:color w:val="auto"/>
              </w:rPr>
            </w:pPr>
            <w:r>
              <w:rPr>
                <w:rFonts w:ascii="Arial" w:cs="Arial" w:eastAsia="Arial" w:hAnsi="Arial"/>
                <w:sz w:val="15"/>
                <w:szCs w:val="15"/>
                <w:b w:val="1"/>
                <w:bCs w:val="1"/>
                <w:color w:val="auto"/>
              </w:rPr>
              <w:t>Nine Months Ended</w:t>
            </w: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06"/>
        </w:trPr>
        <w:tc>
          <w:tcPr>
            <w:tcW w:w="53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2"/>
            <w:shd w:val="clear" w:color="auto" w:fill="CCEEFF"/>
          </w:tcPr>
          <w:p>
            <w:pPr>
              <w:jc w:val="center"/>
              <w:ind w:left="323"/>
              <w:spacing w:after="0"/>
              <w:rPr>
                <w:sz w:val="20"/>
                <w:szCs w:val="20"/>
                <w:color w:val="auto"/>
              </w:rPr>
            </w:pPr>
            <w:r>
              <w:rPr>
                <w:rFonts w:ascii="Arial" w:cs="Arial" w:eastAsia="Arial" w:hAnsi="Arial"/>
                <w:sz w:val="15"/>
                <w:szCs w:val="15"/>
                <w:b w:val="1"/>
                <w:bCs w:val="1"/>
                <w:color w:val="auto"/>
              </w:rPr>
              <w:t>September 30,</w:t>
            </w:r>
          </w:p>
        </w:tc>
        <w:tc>
          <w:tcPr>
            <w:tcW w:w="9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r>
      <w:tr>
        <w:trPr>
          <w:trHeight w:val="212"/>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1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510,404</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234,999</w:t>
            </w: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275,405</w:t>
            </w:r>
          </w:p>
        </w:tc>
      </w:tr>
      <w:tr>
        <w:trPr>
          <w:trHeight w:val="218"/>
        </w:trPr>
        <w:tc>
          <w:tcPr>
            <w:tcW w:w="53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8.3 %</w:t>
            </w:r>
          </w:p>
        </w:tc>
        <w:tc>
          <w:tcPr>
            <w:tcW w:w="1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3.8 %</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117.2 %</w:t>
            </w:r>
          </w:p>
        </w:tc>
      </w:tr>
    </w:tbl>
    <w:p>
      <w:pPr>
        <w:spacing w:after="0" w:line="31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Income from operations for the nine months ended September 30, 2026 increased by $275.4 million or 117.2% to $510.4 million compared to $235.0 million for the nine months ended September 30, 2025. As a percentage of revenue, income from operations increased to 8.3% compared to 3.8% of revenue for the nine months ended September 30, 2025.</w:t>
      </w:r>
    </w:p>
    <w:p>
      <w:pPr>
        <w:spacing w:after="0" w:line="19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Excluding amortization of intangible assets and loss on disposal of subsidiary undertaking, income from operations for the nine months ended September 30, 2026 in Ireland decreased to $386.3 million compared to $528.0 million (which excluded amortization of intangible assets, the non-cash goodwill impairment charge and impairment of non financial assets) for the nine months ended September 30, 2025.</w:t>
      </w:r>
    </w:p>
    <w:p>
      <w:pPr>
        <w:spacing w:after="0" w:line="17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the Rest of Europe region, excluding amortization of intangible assets and loss on disposal of subsidiary undertaking, income from operations for the nine months ended September 30, 2026 remained consistent at $95.9 million for both nine month periods. The nine months ended September 30, 2025 excluded amortization of intangible assets, the non-cash goodwill impairment charge and impairment of non financial assets. As a percentage of revenues, excluding amortization of intangible assets and loss on disposal of subsidiary undertaking, income from operations in the Rest of Europe region for the nine months ended September 30, 2026 decreased to 8.3% compared to 8.4% (which excluded amortization of intangible assets, the non-cash goodwill impairment charge and impairment of non financial assets) for the nine months ended September 30, 2025.</w:t>
      </w:r>
    </w:p>
    <w:p>
      <w:pPr>
        <w:spacing w:after="0" w:line="18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the U.S. region, excluding amortization of intangible assets and loss on disposal of subsidiary undertaking, income from operations for the nine months ended September 30, 2026 decreased to $151.2 million compared to $208.9 million (which excluded amortization of intangible assets, the non-cash goodwill impairment charge and impairment of non financial assets) for the nine months ended September 30, 2025. As a percentage of revenues, excluding amortization of intangible assets and loss on disposal of subsidiary undertaking, income from operations in the U.S. region decreased to 9.0% compared to 11.0% (which excluded amortization of intangible assets, the non-cash goodwill impairment charge and impairment of non financial assets) for the nine months ended September 30, 2025.</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Rest of World, income from operations, excluding amortization of intangible assets and loss on disposal of subsidiary undertaking, for the nine months ended September 30, 2026 increased to $56.6 million compared to $44.2 million (which excluded amortization of intangible assets, the non-cash goodwill impairment charge and impairment of non financial assets) for the nine months ended September 30, 2025. As a percentage of revenue, excluding amortization of intangible assets and loss on disposal of subsidiary undertaking, income from operations in Rest of World increased to 7.6% compared to 6.6% (which excluded amortization of intangible assets, the non-cash goodwill impairment charge and impairment of non financial assets) for the nine months ended September 30, 2025.</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income and expense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right"/>
              <w:ind w:right="323"/>
              <w:spacing w:after="0"/>
              <w:rPr>
                <w:sz w:val="20"/>
                <w:szCs w:val="20"/>
                <w:color w:val="auto"/>
              </w:rPr>
            </w:pPr>
            <w:r>
              <w:rPr>
                <w:rFonts w:ascii="Arial" w:cs="Arial" w:eastAsia="Arial" w:hAnsi="Arial"/>
                <w:sz w:val="15"/>
                <w:szCs w:val="15"/>
                <w:b w:val="1"/>
                <w:bCs w:val="1"/>
                <w:color w:val="auto"/>
              </w:rPr>
              <w:t>Three Months Ended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94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Nine Months Ended</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Change</w:t>
            </w:r>
          </w:p>
        </w:tc>
        <w:tc>
          <w:tcPr>
            <w:tcW w:w="620" w:type="dxa"/>
            <w:vAlign w:val="bottom"/>
            <w:shd w:val="clear" w:color="auto" w:fill="CCEEFF"/>
          </w:tcPr>
          <w:p>
            <w:pPr>
              <w:spacing w:after="0"/>
              <w:rPr>
                <w:sz w:val="15"/>
                <w:szCs w:val="15"/>
                <w:color w:val="auto"/>
              </w:rPr>
            </w:pPr>
          </w:p>
        </w:tc>
      </w:tr>
      <w:tr>
        <w:trPr>
          <w:trHeight w:val="206"/>
        </w:trPr>
        <w:tc>
          <w:tcPr>
            <w:tcW w:w="24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September 30,</w:t>
            </w:r>
          </w:p>
        </w:tc>
        <w:tc>
          <w:tcPr>
            <w:tcW w:w="6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3"/>
            <w:shd w:val="clear" w:color="auto" w:fill="CCEEFF"/>
          </w:tcPr>
          <w:p>
            <w:pPr>
              <w:jc w:val="right"/>
              <w:ind w:right="543"/>
              <w:spacing w:after="0"/>
              <w:rPr>
                <w:sz w:val="20"/>
                <w:szCs w:val="20"/>
                <w:color w:val="auto"/>
              </w:rPr>
            </w:pPr>
            <w:r>
              <w:rPr>
                <w:rFonts w:ascii="Arial" w:cs="Arial" w:eastAsia="Arial" w:hAnsi="Arial"/>
                <w:sz w:val="15"/>
                <w:szCs w:val="15"/>
                <w:b w:val="1"/>
                <w:bCs w:val="1"/>
                <w:color w:val="auto"/>
              </w:rPr>
              <w:t>September 30,</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r>
      <w:tr>
        <w:trPr>
          <w:trHeight w:val="212"/>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12"/>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5,612</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1,761</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3,851</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218.7 % $</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10,588</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5,617</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4,971</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88.5 %</w:t>
            </w:r>
          </w:p>
        </w:tc>
      </w:tr>
      <w:tr>
        <w:trPr>
          <w:trHeight w:val="218"/>
        </w:trPr>
        <w:tc>
          <w:tcPr>
            <w:tcW w:w="24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(66,175)</w:t>
            </w: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(50,243)</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03"/>
              <w:spacing w:after="0"/>
              <w:rPr>
                <w:sz w:val="20"/>
                <w:szCs w:val="20"/>
                <w:color w:val="auto"/>
              </w:rPr>
            </w:pPr>
            <w:r>
              <w:rPr>
                <w:rFonts w:ascii="Arial" w:cs="Arial" w:eastAsia="Arial" w:hAnsi="Arial"/>
                <w:sz w:val="15"/>
                <w:szCs w:val="15"/>
                <w:color w:val="auto"/>
              </w:rPr>
              <w:t>(15,932)</w:t>
            </w: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31.7 % $</w:t>
            </w:r>
          </w:p>
        </w:tc>
        <w:tc>
          <w:tcPr>
            <w:tcW w:w="880" w:type="dxa"/>
            <w:vAlign w:val="bottom"/>
          </w:tcPr>
          <w:p>
            <w:pPr>
              <w:jc w:val="right"/>
              <w:spacing w:after="0"/>
              <w:rPr>
                <w:sz w:val="20"/>
                <w:szCs w:val="20"/>
                <w:color w:val="auto"/>
              </w:rPr>
            </w:pPr>
            <w:r>
              <w:rPr>
                <w:rFonts w:ascii="Arial" w:cs="Arial" w:eastAsia="Arial" w:hAnsi="Arial"/>
                <w:sz w:val="15"/>
                <w:szCs w:val="15"/>
                <w:color w:val="auto"/>
              </w:rPr>
              <w:t>(162,959)</w:t>
            </w: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(148,003)</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(14,956)</w:t>
            </w:r>
          </w:p>
        </w:tc>
        <w:tc>
          <w:tcPr>
            <w:tcW w:w="620" w:type="dxa"/>
            <w:vAlign w:val="bottom"/>
          </w:tcPr>
          <w:p>
            <w:pPr>
              <w:jc w:val="right"/>
              <w:spacing w:after="0"/>
              <w:rPr>
                <w:sz w:val="20"/>
                <w:szCs w:val="20"/>
                <w:color w:val="auto"/>
              </w:rPr>
            </w:pPr>
            <w:r>
              <w:rPr>
                <w:rFonts w:ascii="Arial" w:cs="Arial" w:eastAsia="Arial" w:hAnsi="Arial"/>
                <w:sz w:val="15"/>
                <w:szCs w:val="15"/>
                <w:color w:val="auto"/>
              </w:rPr>
              <w:t>10.1 %</w:t>
            </w:r>
          </w:p>
        </w:tc>
      </w:tr>
    </w:tbl>
    <w:p>
      <w:pPr>
        <w:spacing w:after="0" w:line="29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Interest expense for the three months ended September 30, 2026 increased to $66.2 million, compared to $50.2 million for the three months ended September 30, 2025. The increase in the period primarily reflects a loss on extinguishment of $12.2 million incurred related to the repayment of debt facilities following the August 2026 debt issuance in addition to fees associated with the drawdown of the Bridge Secured Credit Facility.</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Interest income for the three months ended September 30, 2026 increased to $5.6 million compared to $1.8 million for the three months ended September 30, 2025 reflecting increased cash balances on deposit during the period and increases in interest rates in the United States.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ind w:firstLine="619"/>
        <w:spacing w:after="0" w:line="282" w:lineRule="auto"/>
        <w:rPr>
          <w:sz w:val="20"/>
          <w:szCs w:val="20"/>
          <w:color w:val="auto"/>
        </w:rPr>
      </w:pPr>
      <w:r>
        <w:rPr>
          <w:rFonts w:ascii="Arial" w:cs="Arial" w:eastAsia="Arial" w:hAnsi="Arial"/>
          <w:sz w:val="15"/>
          <w:szCs w:val="15"/>
          <w:color w:val="auto"/>
        </w:rPr>
        <w:t>Interest expense for the nine months ended September 30, 2026 increased to $163.0 million, compared to $148.0 million for the nine months ended September 30, 2025. The increase in the period primarily reflects a loss on extinguishment of $12.2 million incurred related to the repayment of debt facilities following the August 2026 debt issuance in addition to fees associated with the drawdown of the Bridge Secured Credit Facility.</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Interest income for the nine months ended September 30, 2026 was $10.6 million compared to $5.6 million for the nine months ended September 30, 2025 reflecting increased cash balances on deposit during the period and increases in interest rates in the 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of net gains from equity method investments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4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7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23"/>
              <w:spacing w:after="0"/>
              <w:rPr>
                <w:sz w:val="20"/>
                <w:szCs w:val="20"/>
                <w:color w:val="auto"/>
              </w:rPr>
            </w:pPr>
            <w:r>
              <w:rPr>
                <w:rFonts w:ascii="Arial" w:cs="Arial" w:eastAsia="Arial" w:hAnsi="Arial"/>
                <w:sz w:val="15"/>
                <w:szCs w:val="15"/>
                <w:b w:val="1"/>
                <w:bCs w:val="1"/>
                <w:color w:val="auto"/>
              </w:rPr>
              <w:t>Change</w:t>
            </w:r>
          </w:p>
        </w:tc>
        <w:tc>
          <w:tcPr>
            <w:tcW w:w="420" w:type="dxa"/>
            <w:vAlign w:val="bottom"/>
            <w:shd w:val="clear" w:color="auto" w:fill="CCEEFF"/>
          </w:tcPr>
          <w:p>
            <w:pPr>
              <w:spacing w:after="0"/>
              <w:rPr>
                <w:sz w:val="14"/>
                <w:szCs w:val="14"/>
                <w:color w:val="auto"/>
              </w:rPr>
            </w:pPr>
          </w:p>
        </w:tc>
        <w:tc>
          <w:tcPr>
            <w:tcW w:w="192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Nine Months Ended</w:t>
            </w:r>
          </w:p>
        </w:tc>
        <w:tc>
          <w:tcPr>
            <w:tcW w:w="7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Change</w:t>
            </w:r>
          </w:p>
        </w:tc>
      </w:tr>
      <w:tr>
        <w:trPr>
          <w:trHeight w:val="206"/>
        </w:trPr>
        <w:tc>
          <w:tcPr>
            <w:tcW w:w="26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5"/>
                <w:szCs w:val="15"/>
                <w:b w:val="1"/>
                <w:bCs w:val="1"/>
                <w:color w:val="auto"/>
              </w:rPr>
              <w:t>September 30,</w:t>
            </w:r>
          </w:p>
        </w:tc>
        <w:tc>
          <w:tcPr>
            <w:tcW w:w="7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5"/>
                <w:szCs w:val="15"/>
                <w:b w:val="1"/>
                <w:bCs w:val="1"/>
                <w:color w:val="auto"/>
              </w:rPr>
              <w:t>September 30,</w:t>
            </w:r>
          </w:p>
        </w:tc>
        <w:tc>
          <w:tcPr>
            <w:tcW w:w="7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212"/>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b w:val="1"/>
                <w:bCs w:val="1"/>
                <w:color w:val="auto"/>
              </w:rPr>
              <w:t>2026</w:t>
            </w: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2025</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2026</w:t>
            </w: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2025</w:t>
            </w:r>
          </w:p>
        </w:tc>
        <w:tc>
          <w:tcPr>
            <w:tcW w:w="1160" w:type="dxa"/>
            <w:vAlign w:val="bottom"/>
            <w:tcBorders>
              <w:bottom w:val="single" w:sz="8" w:color="auto"/>
            </w:tcBorders>
          </w:tcPr>
          <w:p>
            <w:pPr>
              <w:spacing w:after="0"/>
              <w:rPr>
                <w:sz w:val="18"/>
                <w:szCs w:val="18"/>
                <w:color w:val="auto"/>
              </w:rPr>
            </w:pPr>
          </w:p>
        </w:tc>
      </w:tr>
      <w:tr>
        <w:trPr>
          <w:trHeight w:val="160"/>
        </w:trPr>
        <w:tc>
          <w:tcPr>
            <w:tcW w:w="306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5"/>
                <w:szCs w:val="15"/>
                <w:color w:val="auto"/>
              </w:rPr>
              <w:t>Share of net gains from equity method $</w:t>
            </w:r>
          </w:p>
        </w:tc>
        <w:tc>
          <w:tcPr>
            <w:tcW w:w="1940" w:type="dxa"/>
            <w:vAlign w:val="bottom"/>
            <w:shd w:val="clear" w:color="auto" w:fill="CCEEFF"/>
          </w:tcPr>
          <w:p>
            <w:pPr>
              <w:ind w:left="500"/>
              <w:spacing w:after="0" w:line="161" w:lineRule="exact"/>
              <w:rPr>
                <w:sz w:val="20"/>
                <w:szCs w:val="20"/>
                <w:color w:val="auto"/>
              </w:rPr>
            </w:pPr>
            <w:r>
              <w:rPr>
                <w:rFonts w:ascii="Arial" w:cs="Arial" w:eastAsia="Arial" w:hAnsi="Arial"/>
                <w:sz w:val="15"/>
                <w:szCs w:val="15"/>
                <w:color w:val="auto"/>
              </w:rPr>
              <w:t>16,298</w:t>
            </w:r>
          </w:p>
        </w:tc>
        <w:tc>
          <w:tcPr>
            <w:tcW w:w="760" w:type="dxa"/>
            <w:vAlign w:val="bottom"/>
            <w:shd w:val="clear" w:color="auto" w:fill="CCEEFF"/>
          </w:tcPr>
          <w:p>
            <w:pPr>
              <w:jc w:val="right"/>
              <w:ind w:right="83"/>
              <w:spacing w:after="0" w:line="161" w:lineRule="exact"/>
              <w:rPr>
                <w:sz w:val="20"/>
                <w:szCs w:val="20"/>
                <w:color w:val="auto"/>
              </w:rPr>
            </w:pPr>
            <w:r>
              <w:rPr>
                <w:rFonts w:ascii="Arial" w:cs="Arial" w:eastAsia="Arial" w:hAnsi="Arial"/>
                <w:sz w:val="15"/>
                <w:szCs w:val="15"/>
                <w:color w:val="auto"/>
              </w:rPr>
              <w:t>— $</w:t>
            </w: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16,298</w:t>
            </w:r>
          </w:p>
        </w:tc>
        <w:tc>
          <w:tcPr>
            <w:tcW w:w="420" w:type="dxa"/>
            <w:vAlign w:val="bottom"/>
            <w:shd w:val="clear" w:color="auto" w:fill="CCEEFF"/>
          </w:tcPr>
          <w:p>
            <w:pPr>
              <w:jc w:val="right"/>
              <w:ind w:right="203"/>
              <w:spacing w:after="0" w:line="161" w:lineRule="exact"/>
              <w:rPr>
                <w:sz w:val="20"/>
                <w:szCs w:val="20"/>
                <w:color w:val="auto"/>
              </w:rPr>
            </w:pPr>
            <w:r>
              <w:rPr>
                <w:rFonts w:ascii="Arial" w:cs="Arial" w:eastAsia="Arial" w:hAnsi="Arial"/>
                <w:sz w:val="15"/>
                <w:szCs w:val="15"/>
                <w:color w:val="auto"/>
              </w:rPr>
              <w:t>$</w:t>
            </w:r>
          </w:p>
        </w:tc>
        <w:tc>
          <w:tcPr>
            <w:tcW w:w="1920" w:type="dxa"/>
            <w:vAlign w:val="bottom"/>
            <w:shd w:val="clear" w:color="auto" w:fill="CCEEFF"/>
          </w:tcPr>
          <w:p>
            <w:pPr>
              <w:ind w:left="480"/>
              <w:spacing w:after="0" w:line="161" w:lineRule="exact"/>
              <w:rPr>
                <w:sz w:val="20"/>
                <w:szCs w:val="20"/>
                <w:color w:val="auto"/>
              </w:rPr>
            </w:pPr>
            <w:r>
              <w:rPr>
                <w:rFonts w:ascii="Arial" w:cs="Arial" w:eastAsia="Arial" w:hAnsi="Arial"/>
                <w:sz w:val="15"/>
                <w:szCs w:val="15"/>
                <w:color w:val="auto"/>
              </w:rPr>
              <w:t>16,298</w:t>
            </w:r>
          </w:p>
        </w:tc>
        <w:tc>
          <w:tcPr>
            <w:tcW w:w="780" w:type="dxa"/>
            <w:vAlign w:val="bottom"/>
            <w:shd w:val="clear" w:color="auto" w:fill="CCEEFF"/>
          </w:tcPr>
          <w:p>
            <w:pPr>
              <w:jc w:val="right"/>
              <w:ind w:right="83"/>
              <w:spacing w:after="0" w:line="161" w:lineRule="exact"/>
              <w:rPr>
                <w:sz w:val="20"/>
                <w:szCs w:val="20"/>
                <w:color w:val="auto"/>
              </w:rPr>
            </w:pPr>
            <w:r>
              <w:rPr>
                <w:rFonts w:ascii="Arial" w:cs="Arial" w:eastAsia="Arial" w:hAnsi="Arial"/>
                <w:sz w:val="15"/>
                <w:szCs w:val="15"/>
                <w:color w:val="auto"/>
              </w:rPr>
              <w:t>— $</w:t>
            </w:r>
          </w:p>
        </w:tc>
        <w:tc>
          <w:tcPr>
            <w:tcW w:w="1160" w:type="dxa"/>
            <w:vAlign w:val="bottom"/>
            <w:shd w:val="clear" w:color="auto" w:fill="CCEEFF"/>
          </w:tcPr>
          <w:p>
            <w:pPr>
              <w:jc w:val="right"/>
              <w:ind w:right="3"/>
              <w:spacing w:after="0" w:line="161" w:lineRule="exact"/>
              <w:rPr>
                <w:sz w:val="20"/>
                <w:szCs w:val="20"/>
                <w:color w:val="auto"/>
              </w:rPr>
            </w:pPr>
            <w:r>
              <w:rPr>
                <w:rFonts w:ascii="Arial" w:cs="Arial" w:eastAsia="Arial" w:hAnsi="Arial"/>
                <w:sz w:val="15"/>
                <w:szCs w:val="15"/>
                <w:color w:val="auto"/>
              </w:rPr>
              <w:t>16,298</w:t>
            </w:r>
          </w:p>
        </w:tc>
      </w:tr>
      <w:tr>
        <w:trPr>
          <w:trHeight w:val="19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investments</w:t>
            </w:r>
          </w:p>
        </w:tc>
        <w:tc>
          <w:tcPr>
            <w:tcW w:w="19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Share of net gains from equity method investments for the three and nine months ended September 30, 2026 were $16.3 million, reflecting the Company's pro rata share of net gains in certain investments in equities accounted for under the equity method.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b w:val="1"/>
                <w:bCs w:val="1"/>
                <w:color w:val="auto"/>
              </w:rPr>
              <w:t>Three Months Ended</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Change</w:t>
            </w:r>
          </w:p>
        </w:tc>
        <w:tc>
          <w:tcPr>
            <w:tcW w:w="4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b w:val="1"/>
                <w:bCs w:val="1"/>
                <w:color w:val="auto"/>
              </w:rPr>
              <w:t>Nine Months Ended</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23"/>
              <w:spacing w:after="0"/>
              <w:rPr>
                <w:sz w:val="20"/>
                <w:szCs w:val="20"/>
                <w:color w:val="auto"/>
              </w:rPr>
            </w:pPr>
            <w:r>
              <w:rPr>
                <w:rFonts w:ascii="Arial" w:cs="Arial" w:eastAsia="Arial" w:hAnsi="Arial"/>
                <w:sz w:val="15"/>
                <w:szCs w:val="15"/>
                <w:b w:val="1"/>
                <w:bCs w:val="1"/>
                <w:color w:val="auto"/>
              </w:rPr>
              <w:t>Change</w:t>
            </w:r>
          </w:p>
        </w:tc>
      </w:tr>
      <w:tr>
        <w:trPr>
          <w:trHeight w:val="206"/>
        </w:trPr>
        <w:tc>
          <w:tcPr>
            <w:tcW w:w="25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2"/>
            <w:shd w:val="clear" w:color="auto" w:fill="CCEEFF"/>
          </w:tcPr>
          <w:p>
            <w:pPr>
              <w:jc w:val="center"/>
              <w:ind w:left="223"/>
              <w:spacing w:after="0"/>
              <w:rPr>
                <w:sz w:val="20"/>
                <w:szCs w:val="20"/>
                <w:color w:val="auto"/>
              </w:rPr>
            </w:pPr>
            <w:r>
              <w:rPr>
                <w:rFonts w:ascii="Arial" w:cs="Arial" w:eastAsia="Arial" w:hAnsi="Arial"/>
                <w:sz w:val="15"/>
                <w:szCs w:val="15"/>
                <w:b w:val="1"/>
                <w:bCs w:val="1"/>
                <w:color w:val="auto"/>
              </w:rPr>
              <w:t>September 30,</w:t>
            </w:r>
          </w:p>
        </w:tc>
        <w:tc>
          <w:tcPr>
            <w:tcW w:w="7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September 30,</w:t>
            </w:r>
          </w:p>
        </w:tc>
        <w:tc>
          <w:tcPr>
            <w:tcW w:w="7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12"/>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7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32,446</w:t>
            </w: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12,791</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19,655</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74,868</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12,468</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62,400</w:t>
            </w:r>
          </w:p>
        </w:tc>
      </w:tr>
      <w:tr>
        <w:trPr>
          <w:trHeight w:val="218"/>
        </w:trPr>
        <w:tc>
          <w:tcPr>
            <w:tcW w:w="252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23.5 %</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20.9 %</w:t>
            </w: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13.5 %</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31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Income tax expense increased to $32.4 million for the three months ended September 30, 2026 compared to $12.8 million for the three months ended September 30, 2025. The Company’s effective tax rate for the three months ended September 30, 2026 was 23.5% compared with (4.7)% for the three months ended September 30, 2025. This is primarily due to the $25.6 million net decrease in tax benefit associated with the impact of the release of deferred tax on intangible assets in the three months ended September 30, 2026 compared with the three months ended September 30, 2025 and the effect of the impairment of goodwill and non-financial assets on the loss before income tax expense in the three months ended September 30, 2025.</w:t>
      </w:r>
    </w:p>
    <w:p>
      <w:pPr>
        <w:spacing w:after="0" w:line="20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Income tax expense increased to $74.9 million for the nine months ended September 30, 2026 compared to a $12.5 million expense for the nine months ended September 30, 2025. The Company's effective tax rate for the nine months ended September 30, 2026 was 20.9% compared with 13.5% for the nine months ended September 30, 2025. This is primarily due to the net build of provisions for uncertain tax positions in the period of $6.4 million (nine months ended September 30, 2025: $23.4 million net release), no release of a deferred tax liability related to investments in foreign subsidiaries associated with unremitted earnings (nine months ended September 30, 2025: $29.8 million release), and the effect of the impairment of goodwill and non-financial assets on the income before income tax expense in the nine months ended September 30, 2025.</w:t>
      </w:r>
    </w:p>
    <w:p>
      <w:pPr>
        <w:spacing w:after="0" w:line="18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With the exception of the foregoing,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disposals and acquisitions. Financing activities primarily reflect the servicing of the Company's external debt and transactions pertaining to its ordinary shares.</w:t>
      </w:r>
    </w:p>
    <w:p>
      <w:pPr>
        <w:spacing w:after="0" w:line="18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Company’s principal sources of cash are its existing cash and cash equivalents as well as cash generated from operations. In addition, the Company may from time to time supplement its liquidity through additional issuances of debt, the refinancing of existing indebtedness, borrowings under its revolving credit facility, or proceeds from the sale of assets or short-term investments, subject to prevailing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Bridge Secured Credit Facility</w:t>
      </w:r>
    </w:p>
    <w:p>
      <w:pPr>
        <w:spacing w:after="0" w:line="266"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On July 15, 2026, the Company drew down on its Bridge Secured Credit Facility in full and used the proceeds of $500.0 million to repay in full the $500.0 million aggregate principal amount of the 2.875% Senior Secured Notes (the “2026 Notes”) issued by a subsidiary of the Company in July 2021 that matured on July 15, 2026. The Bridge Secured Credit Facility was repaid in full on August 17, 2026.</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August 2026 Issued Notes</w:t>
      </w:r>
    </w:p>
    <w:p>
      <w:pPr>
        <w:spacing w:after="0" w:line="240"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On August 13, 2026, ICON Investments Six Designated Activity Company (the “Issuer”), a wholly-owned subsidiary of ICON plc, sold and issued $2.15 billion of senior unsecured notes (collectively, the “August 2026 Issued Notes”), consisting of $500.0 million aggregate principal amount of 5.064% Notes due 2029, $1.0 billion aggregate principal amount of 5.421% Notes due 2031 and $650.0 million aggregate principal amount of 5.995% Notes due 2036. Interest on the August 2026 Issued Notes is payable on February 13 and August 13 of each year, commencing on February 13, 2027. The August 2026 Issued Notes are guaranteed on a senior unsecured basis by ICON plc.</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applied the net proceeds from the issuance to, (i) on August 13, 2026, repay all the outstanding Senior Secured Term Loan of $900.0 million,</w:t>
      </w:r>
    </w:p>
    <w:p>
      <w:pPr>
        <w:spacing w:after="0" w:line="22" w:lineRule="exact"/>
        <w:rPr>
          <w:sz w:val="20"/>
          <w:szCs w:val="20"/>
          <w:color w:val="auto"/>
        </w:rPr>
      </w:pPr>
    </w:p>
    <w:p>
      <w:pPr>
        <w:ind w:firstLine="3"/>
        <w:spacing w:after="0" w:line="275" w:lineRule="auto"/>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August 14, 2026, redeem, in full, the outstanding May 2027 Notes of $750.0 million, and (iii) on August 17, 2026, repay all outstanding borrowings under the Bridge Secured Credit Facility of $500.0 million.</w:t>
      </w:r>
    </w:p>
    <w:p>
      <w:pPr>
        <w:spacing w:after="0" w:line="19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together with the Company's available financing arrangements, is sufficient to meet the Company's present requirements.</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 and net borrowings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Balance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Net (drawn</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Net cash flow</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Other non-</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Effect of</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Balance</w:t>
            </w:r>
          </w:p>
        </w:tc>
      </w:tr>
      <w:tr>
        <w:trPr>
          <w:trHeight w:val="155"/>
        </w:trPr>
        <w:tc>
          <w:tcPr>
            <w:tcW w:w="3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December 31,</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down)/repaid</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40"/>
              <w:spacing w:after="0" w:line="155" w:lineRule="exact"/>
              <w:rPr>
                <w:sz w:val="20"/>
                <w:szCs w:val="20"/>
                <w:color w:val="auto"/>
              </w:rPr>
            </w:pPr>
            <w:r>
              <w:rPr>
                <w:rFonts w:ascii="Arial" w:cs="Arial" w:eastAsia="Arial" w:hAnsi="Arial"/>
                <w:sz w:val="15"/>
                <w:szCs w:val="15"/>
                <w:b w:val="1"/>
                <w:bCs w:val="1"/>
                <w:color w:val="auto"/>
              </w:rPr>
              <w:t>cash adjustments</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exchange</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September 30,</w:t>
            </w:r>
          </w:p>
        </w:tc>
      </w:tr>
      <w:tr>
        <w:trPr>
          <w:trHeight w:val="206"/>
        </w:trPr>
        <w:tc>
          <w:tcPr>
            <w:tcW w:w="3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rates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2026</w:t>
            </w:r>
          </w:p>
        </w:tc>
      </w:tr>
      <w:tr>
        <w:trPr>
          <w:trHeight w:val="212"/>
        </w:trPr>
        <w:tc>
          <w:tcPr>
            <w:tcW w:w="3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600"/>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647,295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166,821</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83"/>
              <w:spacing w:after="0"/>
              <w:rPr>
                <w:sz w:val="20"/>
                <w:szCs w:val="20"/>
                <w:color w:val="auto"/>
              </w:rPr>
            </w:pPr>
            <w:r>
              <w:rPr>
                <w:rFonts w:ascii="Arial" w:cs="Arial" w:eastAsia="Arial" w:hAnsi="Arial"/>
                <w:sz w:val="15"/>
                <w:szCs w:val="15"/>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(5,132)</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808,984</w:t>
            </w:r>
          </w:p>
        </w:tc>
      </w:tr>
      <w:tr>
        <w:trPr>
          <w:trHeight w:val="218"/>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Bank credit lines loan facilities and notes, net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(3,402,378)</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16,688</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24,520</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(17,937)</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(3,379,107)</w:t>
            </w:r>
          </w:p>
        </w:tc>
      </w:tr>
      <w:tr>
        <w:trPr>
          <w:trHeight w:val="162"/>
        </w:trPr>
        <w:tc>
          <w:tcPr>
            <w:tcW w:w="31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Net cash and cash equivalents and</w:t>
            </w: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(2,755,083)</w:t>
            </w:r>
          </w:p>
        </w:tc>
        <w:tc>
          <w:tcPr>
            <w:tcW w:w="2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16,688</w:t>
            </w:r>
          </w:p>
        </w:tc>
        <w:tc>
          <w:tcPr>
            <w:tcW w:w="2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191,341</w:t>
            </w:r>
          </w:p>
        </w:tc>
        <w:tc>
          <w:tcPr>
            <w:tcW w:w="5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(17,937)</w:t>
            </w:r>
          </w:p>
        </w:tc>
        <w:tc>
          <w:tcPr>
            <w:tcW w:w="360" w:type="dxa"/>
            <w:vAlign w:val="bottom"/>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(5,132)</w:t>
            </w:r>
          </w:p>
        </w:tc>
        <w:tc>
          <w:tcPr>
            <w:tcW w:w="18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(2,570,123)</w:t>
            </w:r>
          </w:p>
        </w:tc>
      </w:tr>
      <w:tr>
        <w:trPr>
          <w:trHeight w:val="230"/>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borrowings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and cash equivalents and borrowings is a useful measure that assists understanding of the Company’s liquidity and capital resources, which is relevant to the Company’s strategy. The Company’s cash and cash equivalents at September 30, 2026 amounted to $809.0 million compared with $647.3 million at December 31, 2025.</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 xml:space="preserve">Refer to Note 10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for details on the Company's outstanding debt. Refer to Note 9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for further details on the Company's contractual liabilities for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color w:val="auto"/>
        </w:rPr>
        <w:t>Cash flows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from operating activities</w:t>
      </w:r>
    </w:p>
    <w:p>
      <w:pPr>
        <w:spacing w:after="0" w:line="25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provided by operating activities decreased by $8.6 million to $793.4 million for the nine months ended September 30, 2026 as compared to net cash provided by operating activities of $802.0 million for the nine months ended September 30, 2025. The decrease in net cash provided by operating activities of $8.6 million is primarily due to a change of mix in revenue, pricing pressures and underlying cost increases.</w:t>
      </w:r>
    </w:p>
    <w:p>
      <w:pPr>
        <w:spacing w:after="0" w:line="17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change in working capital is primarily attributable to an increase in unbilled revenue related cash inflows of $221.6 million (as unbilled revenue balances decreased during the nine months ended September 30, 2026 compared to an increase during the nine months ended September 30, 2025), an increase in unearned revenue related cash inflows of $171.1 million (as unearned revenue balances increased to a greater extent during the nine months ended September 30, 2026 compared to the nine months ended September 30, 2025) offset by a decrease in accounts receivable related cash flows of $91.5 million (as accounts receivable balances (excluding the impact of the disposal of Symphony) increased to a greater extent during the nine months ended September 30, 2026 compared to the nine months ended September 30, 2025), and a decrease in other net assets related cash flows of $84.8 million.</w:t>
      </w:r>
    </w:p>
    <w:p>
      <w:pPr>
        <w:spacing w:after="0" w:line="18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Cash generated from working capital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investing activities</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Net cash used in investing activities was $198.4 million for the nine months ended September 30, 2026 compared to net cash used in investing activities of $131.6 million for the nine months ended September 30, 2025. Net cash used in investing activities during the nine months ended September 30, 2026 was primarily related to cash outflows of $111.2 million for capital expenditures made mainly relating to investment in facilities and IT infrastructure and $30.0 million of net cash outflows in relation to investments in equity and a cash outflow of $57.1 million related to the disposal of Symphony Health Solutions Corporation. Net cash used in investing activities during the nine months ended September 30, 2025 was primarily related to cash outflows of $114.9 million for capital expenditures made mainly relating to investment in facilities and IT infrastructure and $14.2 million in relation to investments in equity.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financing activities</w:t>
      </w:r>
    </w:p>
    <w:p>
      <w:pPr>
        <w:spacing w:after="0" w:line="25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Net cash used in financing activities during the nine months ended September 30, 2026 amounted to $428.2 million compared to net cash used in financing activities of $765.5 million for the nine months ended September 30, 2025. During the nine months ended September 30, 2026, the Company refinanced a certain</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amount of its existing debt facilities (See the C</w:t>
      </w:r>
      <w:r>
        <w:rPr>
          <w:rFonts w:ascii="Arial" w:cs="Arial" w:eastAsia="Arial" w:hAnsi="Arial"/>
          <w:sz w:val="15"/>
          <w:szCs w:val="15"/>
          <w:i w:val="1"/>
          <w:iCs w:val="1"/>
          <w:color w:val="auto"/>
        </w:rPr>
        <w:t>ondensed Consolidated Statements of Cash Flows</w:t>
      </w:r>
      <w:r>
        <w:rPr>
          <w:rFonts w:ascii="Arial" w:cs="Arial" w:eastAsia="Arial" w:hAnsi="Arial"/>
          <w:sz w:val="15"/>
          <w:szCs w:val="15"/>
          <w:color w:val="auto"/>
        </w:rPr>
        <w:t xml:space="preserve"> and Note 10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for further details).</w:t>
      </w:r>
    </w:p>
    <w:p>
      <w:pPr>
        <w:spacing w:after="0" w:line="18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Further, the Company repurchased 2,359,703 ordinary shares for a total consideration of $400.0 million. These outflows were offset by $13.1 million received by the Company from the exercise of equity compensation.</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nine months ended September 30, 2025, the Company made a net repayment of $22.3 million on external financing (See the C</w:t>
      </w:r>
      <w:r>
        <w:rPr>
          <w:rFonts w:ascii="Arial" w:cs="Arial" w:eastAsia="Arial" w:hAnsi="Arial"/>
          <w:sz w:val="15"/>
          <w:szCs w:val="15"/>
          <w:i w:val="1"/>
          <w:iCs w:val="1"/>
          <w:color w:val="auto"/>
        </w:rPr>
        <w:t>ondensed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Consolidated Statements of Cash Flows </w:t>
      </w:r>
      <w:r>
        <w:rPr>
          <w:rFonts w:ascii="Arial" w:cs="Arial" w:eastAsia="Arial" w:hAnsi="Arial"/>
          <w:sz w:val="15"/>
          <w:szCs w:val="15"/>
          <w:color w:val="auto"/>
        </w:rPr>
        <w:t>for further details). Further, the Company repurchased 4,504,330 ordinary shares for a total consideration of $750.0 million.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These outflows were offset by $7.3 million received by the Company from the exercise of equity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inflow</w:t>
      </w:r>
    </w:p>
    <w:p>
      <w:pPr>
        <w:spacing w:after="0" w:line="25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As a result of these cash flows, cash and cash equivalents increased by $161.7 million for the nine months ended September 30, 2026 compared to a decrease of $69.9 million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Legal proceedings</w:t>
      </w:r>
    </w:p>
    <w:p>
      <w:pPr>
        <w:spacing w:after="0" w:line="24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19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its former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et al.),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 original defendants.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lead plaintiffs filed a further amended complaint on June 26, 2026 (the “Second Amended Complaint”). The Second Amended Complaint adds two new named plaintiffs (Macomb County Retiree Health Care Fund and The Trustees of the Plumbers Local Union No. 690 Pension Fund), as well as the Company's current Chief Financial Officer and a former employee as additional defendants. The Second Amended Complaint asserts additional alleged misstatements regarding the company’s financial performance, as well as a “scheme liability” claim under Section 10(b). On September 1, 2026, ICON and certain named defendants filed a motion to dismiss the Second Amended Complaint. The motion is scheduled to be fully briefed by November 24, 2026.</w:t>
      </w:r>
    </w:p>
    <w:p>
      <w:pPr>
        <w:spacing w:after="0" w:line="20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Given the preliminary stage of the litigation, we are unable at this time to form a view as to whether an adverse outcome is either probable or remote or to estimate the amount or range of potential loss in the event of an adverse outcome.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5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color w:val="auto"/>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share repurchases; ongoing litigation;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filed on May 27, 2026 for a discussion of some of the principal risks that could adversely affect our business, operations and financial results. The Company’s forward-looking statements speak only as of the date of this report or as of the date they are made, and the Company undertakes no obligation to update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Exhibits of ICON plc and subsidiaries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Exhibit</w:t>
            </w:r>
          </w:p>
        </w:tc>
        <w:tc>
          <w:tcPr>
            <w:tcW w:w="9780" w:type="dxa"/>
            <w:vAlign w:val="bottom"/>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Title</w:t>
            </w:r>
          </w:p>
        </w:tc>
        <w:tc>
          <w:tcPr>
            <w:tcW w:w="0" w:type="dxa"/>
            <w:vAlign w:val="bottom"/>
          </w:tcPr>
          <w:p>
            <w:pPr>
              <w:spacing w:after="0"/>
              <w:rPr>
                <w:sz w:val="1"/>
                <w:szCs w:val="1"/>
                <w:color w:val="auto"/>
              </w:rPr>
            </w:pPr>
          </w:p>
        </w:tc>
      </w:tr>
      <w:tr>
        <w:trPr>
          <w:trHeight w:val="206"/>
        </w:trPr>
        <w:tc>
          <w:tcPr>
            <w:tcW w:w="14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Number</w:t>
            </w:r>
          </w:p>
        </w:tc>
        <w:tc>
          <w:tcPr>
            <w:tcW w:w="9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0000FF"/>
              </w:rPr>
              <w:t>99.</w:t>
            </w:r>
            <w:r>
              <w:rPr>
                <w:rFonts w:ascii="Arial" w:cs="Arial" w:eastAsia="Arial" w:hAnsi="Arial"/>
                <w:sz w:val="14"/>
                <w:szCs w:val="14"/>
                <w:u w:val="single" w:color="auto"/>
                <w:color w:val="0000FF"/>
              </w:rPr>
              <w:t>1*</w:t>
            </w:r>
          </w:p>
        </w:tc>
        <w:tc>
          <w:tcPr>
            <w:tcW w:w="9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ICON plc Consultants Share Option Plan 2008 (as amended and restated effective as of 14 February 2017 and further updated 14 May 2026 and 20</w:t>
            </w:r>
          </w:p>
        </w:tc>
        <w:tc>
          <w:tcPr>
            <w:tcW w:w="0" w:type="dxa"/>
            <w:vAlign w:val="bottom"/>
          </w:tcPr>
          <w:p>
            <w:pPr>
              <w:spacing w:after="0"/>
              <w:rPr>
                <w:sz w:val="1"/>
                <w:szCs w:val="1"/>
                <w:color w:val="auto"/>
              </w:rPr>
            </w:pPr>
          </w:p>
        </w:tc>
      </w:tr>
      <w:tr>
        <w:trPr>
          <w:trHeight w:val="16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97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October 2026).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0000FF"/>
              </w:rPr>
              <w:t>99.</w:t>
            </w:r>
            <w:r>
              <w:rPr>
                <w:rFonts w:ascii="Arial" w:cs="Arial" w:eastAsia="Arial" w:hAnsi="Arial"/>
                <w:sz w:val="14"/>
                <w:szCs w:val="14"/>
                <w:u w:val="single" w:color="auto"/>
                <w:color w:val="0000FF"/>
              </w:rPr>
              <w:t>2*</w:t>
            </w:r>
          </w:p>
        </w:tc>
        <w:tc>
          <w:tcPr>
            <w:tcW w:w="9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ICON plc Employee Share Option Plan 2008 As updated 16 December 2008 for Bonus Share Issue and further updated on 29 August 2012, 14</w:t>
            </w:r>
          </w:p>
        </w:tc>
        <w:tc>
          <w:tcPr>
            <w:tcW w:w="0" w:type="dxa"/>
            <w:vAlign w:val="bottom"/>
          </w:tcPr>
          <w:p>
            <w:pPr>
              <w:spacing w:after="0"/>
              <w:rPr>
                <w:sz w:val="1"/>
                <w:szCs w:val="1"/>
                <w:color w:val="auto"/>
              </w:rPr>
            </w:pPr>
          </w:p>
        </w:tc>
      </w:tr>
      <w:tr>
        <w:trPr>
          <w:trHeight w:val="16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97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February 2017 and 20 October 2026.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101.1*</w:t>
            </w:r>
          </w:p>
        </w:tc>
        <w:tc>
          <w:tcPr>
            <w:tcW w:w="9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Interactive Data Files (Inline XBRL – Related Documents).</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1100" w:type="dxa"/>
            <w:vAlign w:val="bottom"/>
            <w:tcBorders>
              <w:bottom w:val="single" w:sz="8" w:color="CCEEFF"/>
            </w:tcBorders>
            <w:shd w:val="clear" w:color="auto" w:fill="CCEEFF"/>
          </w:tcPr>
          <w:p>
            <w:pPr>
              <w:spacing w:after="0"/>
              <w:rPr>
                <w:sz w:val="17"/>
                <w:szCs w:val="17"/>
                <w:color w:val="auto"/>
              </w:rPr>
            </w:pPr>
          </w:p>
        </w:tc>
        <w:tc>
          <w:tcPr>
            <w:tcW w:w="9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Cover Page Interactive Data File (embedded within the Inline XBRL document and included in Exhibit 101).</w:t>
            </w:r>
          </w:p>
        </w:tc>
        <w:tc>
          <w:tcPr>
            <w:tcW w:w="0" w:type="dxa"/>
            <w:vAlign w:val="bottom"/>
          </w:tcPr>
          <w:p>
            <w:pPr>
              <w:spacing w:after="0"/>
              <w:rPr>
                <w:sz w:val="1"/>
                <w:szCs w:val="1"/>
                <w:color w:val="auto"/>
              </w:rPr>
            </w:pPr>
          </w:p>
        </w:tc>
      </w:tr>
      <w:tr>
        <w:trPr>
          <w:trHeight w:val="199"/>
        </w:trPr>
        <w:tc>
          <w:tcPr>
            <w:tcW w:w="1440" w:type="dxa"/>
            <w:vAlign w:val="bottom"/>
            <w:gridSpan w:val="3"/>
          </w:tcPr>
          <w:p>
            <w:pPr>
              <w:ind w:left="20"/>
              <w:spacing w:after="0"/>
              <w:rPr>
                <w:sz w:val="20"/>
                <w:szCs w:val="20"/>
                <w:color w:val="auto"/>
              </w:rPr>
            </w:pPr>
            <w:r>
              <w:rPr>
                <w:rFonts w:ascii="Arial" w:cs="Arial" w:eastAsia="Arial" w:hAnsi="Arial"/>
                <w:sz w:val="14"/>
                <w:szCs w:val="14"/>
                <w:color w:val="auto"/>
              </w:rPr>
              <w:t>* Filed herewith</w:t>
            </w:r>
          </w:p>
        </w:tc>
        <w:tc>
          <w:tcPr>
            <w:tcW w:w="9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b w:val="1"/>
          <w:bCs w:val="1"/>
          <w:color w:val="auto"/>
        </w:rPr>
        <w:t>SIGNATURE</w:t>
      </w:r>
    </w:p>
    <w:p>
      <w:pPr>
        <w:spacing w:after="0" w:line="242" w:lineRule="exact"/>
        <w:rPr>
          <w:sz w:val="20"/>
          <w:szCs w:val="20"/>
          <w:color w:val="auto"/>
        </w:rPr>
      </w:pPr>
    </w:p>
    <w:p>
      <w:pPr>
        <w:ind w:firstLine="213"/>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00" w:type="dxa"/>
            <w:vAlign w:val="bottom"/>
          </w:tcPr>
          <w:p>
            <w:pPr>
              <w:ind w:left="1580"/>
              <w:spacing w:after="0"/>
              <w:rPr>
                <w:sz w:val="20"/>
                <w:szCs w:val="20"/>
                <w:color w:val="auto"/>
              </w:rPr>
            </w:pPr>
            <w:r>
              <w:rPr>
                <w:rFonts w:ascii="Arial" w:cs="Arial" w:eastAsia="Arial" w:hAnsi="Arial"/>
                <w:sz w:val="15"/>
                <w:szCs w:val="15"/>
                <w:b w:val="1"/>
                <w:bCs w:val="1"/>
                <w:color w:val="auto"/>
              </w:rPr>
              <w:t>ICON plc</w:t>
            </w:r>
          </w:p>
        </w:tc>
        <w:tc>
          <w:tcPr>
            <w:tcW w:w="4260" w:type="dxa"/>
            <w:vAlign w:val="bottom"/>
          </w:tcPr>
          <w:p>
            <w:pPr>
              <w:spacing w:after="0"/>
              <w:rPr>
                <w:sz w:val="18"/>
                <w:szCs w:val="18"/>
                <w:color w:val="auto"/>
              </w:rPr>
            </w:pPr>
          </w:p>
        </w:tc>
      </w:tr>
      <w:tr>
        <w:trPr>
          <w:trHeight w:val="457"/>
        </w:trPr>
        <w:tc>
          <w:tcPr>
            <w:tcW w:w="520" w:type="dxa"/>
            <w:vAlign w:val="bottom"/>
          </w:tcPr>
          <w:p>
            <w:pPr>
              <w:spacing w:after="0"/>
              <w:rPr>
                <w:sz w:val="20"/>
                <w:szCs w:val="20"/>
                <w:color w:val="auto"/>
              </w:rPr>
            </w:pPr>
            <w:r>
              <w:rPr>
                <w:rFonts w:ascii="Arial" w:cs="Arial" w:eastAsia="Arial" w:hAnsi="Arial"/>
                <w:sz w:val="15"/>
                <w:szCs w:val="15"/>
                <w:color w:val="auto"/>
              </w:rPr>
              <w:t>Date:</w:t>
            </w:r>
          </w:p>
        </w:tc>
        <w:tc>
          <w:tcPr>
            <w:tcW w:w="2940" w:type="dxa"/>
            <w:vAlign w:val="bottom"/>
          </w:tcPr>
          <w:p>
            <w:pPr>
              <w:ind w:left="160"/>
              <w:spacing w:after="0"/>
              <w:rPr>
                <w:sz w:val="20"/>
                <w:szCs w:val="20"/>
                <w:color w:val="auto"/>
              </w:rPr>
            </w:pPr>
            <w:r>
              <w:rPr>
                <w:rFonts w:ascii="Arial" w:cs="Arial" w:eastAsia="Arial" w:hAnsi="Arial"/>
                <w:sz w:val="15"/>
                <w:szCs w:val="15"/>
                <w:color w:val="auto"/>
              </w:rPr>
              <w:t>October 27, 2026</w:t>
            </w:r>
          </w:p>
        </w:tc>
        <w:tc>
          <w:tcPr>
            <w:tcW w:w="3500" w:type="dxa"/>
            <w:vAlign w:val="bottom"/>
          </w:tcPr>
          <w:p>
            <w:pPr>
              <w:ind w:left="1580"/>
              <w:spacing w:after="0"/>
              <w:rPr>
                <w:sz w:val="20"/>
                <w:szCs w:val="20"/>
                <w:color w:val="auto"/>
              </w:rPr>
            </w:pPr>
            <w:r>
              <w:rPr>
                <w:rFonts w:ascii="Arial" w:cs="Arial" w:eastAsia="Arial" w:hAnsi="Arial"/>
                <w:sz w:val="15"/>
                <w:szCs w:val="15"/>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Nigel Clerkin</w:t>
            </w:r>
          </w:p>
        </w:tc>
      </w:tr>
      <w:tr>
        <w:trPr>
          <w:trHeight w:val="211"/>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00" w:type="dxa"/>
            <w:vAlign w:val="bottom"/>
          </w:tcPr>
          <w:p>
            <w:pPr>
              <w:ind w:left="1580"/>
              <w:spacing w:after="0"/>
              <w:rPr>
                <w:sz w:val="20"/>
                <w:szCs w:val="20"/>
                <w:color w:val="auto"/>
              </w:rPr>
            </w:pPr>
            <w:r>
              <w:rPr>
                <w:rFonts w:ascii="Arial" w:cs="Arial" w:eastAsia="Arial" w:hAnsi="Arial"/>
                <w:sz w:val="15"/>
                <w:szCs w:val="15"/>
                <w:color w:val="auto"/>
              </w:rPr>
              <w:t>Name:</w:t>
            </w:r>
          </w:p>
        </w:tc>
        <w:tc>
          <w:tcPr>
            <w:tcW w:w="4260" w:type="dxa"/>
            <w:vAlign w:val="bottom"/>
          </w:tcPr>
          <w:p>
            <w:pPr>
              <w:ind w:left="20"/>
              <w:spacing w:after="0"/>
              <w:rPr>
                <w:sz w:val="20"/>
                <w:szCs w:val="20"/>
                <w:color w:val="auto"/>
              </w:rPr>
            </w:pPr>
            <w:r>
              <w:rPr>
                <w:rFonts w:ascii="Arial" w:cs="Arial" w:eastAsia="Arial" w:hAnsi="Arial"/>
                <w:sz w:val="15"/>
                <w:szCs w:val="15"/>
                <w:color w:val="auto"/>
              </w:rPr>
              <w:t>Nigel Clerkin</w:t>
            </w:r>
          </w:p>
        </w:tc>
      </w:tr>
      <w:tr>
        <w:trPr>
          <w:trHeight w:val="219"/>
        </w:trPr>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500" w:type="dxa"/>
            <w:vAlign w:val="bottom"/>
          </w:tcPr>
          <w:p>
            <w:pPr>
              <w:ind w:left="1580"/>
              <w:spacing w:after="0"/>
              <w:rPr>
                <w:sz w:val="20"/>
                <w:szCs w:val="20"/>
                <w:color w:val="auto"/>
              </w:rPr>
            </w:pPr>
            <w:r>
              <w:rPr>
                <w:rFonts w:ascii="Arial" w:cs="Arial" w:eastAsia="Arial" w:hAnsi="Arial"/>
                <w:sz w:val="15"/>
                <w:szCs w:val="15"/>
                <w:color w:val="auto"/>
              </w:rPr>
              <w:t>Title:</w:t>
            </w:r>
          </w:p>
        </w:tc>
        <w:tc>
          <w:tcPr>
            <w:tcW w:w="4260" w:type="dxa"/>
            <w:vAlign w:val="bottom"/>
          </w:tcPr>
          <w:p>
            <w:pPr>
              <w:ind w:left="20"/>
              <w:spacing w:after="0"/>
              <w:rPr>
                <w:sz w:val="20"/>
                <w:szCs w:val="20"/>
                <w:color w:val="auto"/>
              </w:rPr>
            </w:pPr>
            <w:r>
              <w:rPr>
                <w:rFonts w:ascii="Arial" w:cs="Arial" w:eastAsia="Arial" w:hAnsi="Arial"/>
                <w:sz w:val="15"/>
                <w:szCs w:val="15"/>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240"/>
          </w:cols>
          <w:pgMar w:left="320" w:top="86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ICON plc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CONSULTANTS SHARE OPTION PLAN 2008</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amended and restated effective as of 14 February 2017 and further updated 14 May 2026 and 20 October 2026)</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 CONSULTANTS AND NON-EXECUTIVE DIRECTORS)</w:t>
      </w:r>
    </w:p>
    <w:p>
      <w:pPr>
        <w:sectPr>
          <w:pgSz w:w="11900" w:h="16838" w:orient="portrait"/>
          <w:cols w:equalWidth="0" w:num="1">
            <w:col w:w="9019"/>
          </w:cols>
          <w:pgMar w:left="1440" w:top="1440" w:right="1440" w:bottom="1440" w:gutter="0" w:footer="0" w:header="0"/>
        </w:sectPr>
      </w:pPr>
    </w:p>
    <w:bookmarkStart w:id="44" w:name="page45"/>
    <w:bookmarkEnd w:id="44"/>
    <w:p>
      <w:pPr>
        <w:ind w:left="2720"/>
        <w:spacing w:after="0"/>
        <w:rPr>
          <w:sz w:val="20"/>
          <w:szCs w:val="20"/>
          <w:color w:val="auto"/>
        </w:rPr>
      </w:pPr>
      <w:r>
        <w:rPr>
          <w:rFonts w:ascii="Arial" w:cs="Arial" w:eastAsia="Arial" w:hAnsi="Arial"/>
          <w:sz w:val="17"/>
          <w:szCs w:val="17"/>
          <w:b w:val="1"/>
          <w:bCs w:val="1"/>
          <w:color w:val="auto"/>
        </w:rPr>
        <w:t>TABLE OF CONTENTS</w:t>
      </w:r>
    </w:p>
    <w:p>
      <w:pPr>
        <w:spacing w:after="0" w:line="204" w:lineRule="exact"/>
        <w:rPr>
          <w:sz w:val="20"/>
          <w:szCs w:val="20"/>
          <w:color w:val="auto"/>
        </w:rPr>
      </w:pPr>
    </w:p>
    <w:p>
      <w:pPr>
        <w:ind w:left="620" w:hanging="61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INTRODUCTION  </w:t>
      </w:r>
      <w:r>
        <w:rPr>
          <w:rFonts w:ascii="Arial" w:cs="Arial" w:eastAsia="Arial" w:hAnsi="Arial"/>
          <w:sz w:val="17"/>
          <w:szCs w:val="17"/>
          <w:color w:val="auto"/>
        </w:rPr>
        <w:t>4</w:t>
      </w:r>
    </w:p>
    <w:p>
      <w:pPr>
        <w:spacing w:after="0" w:line="217" w:lineRule="exact"/>
        <w:rPr>
          <w:rFonts w:ascii="Arial" w:cs="Arial" w:eastAsia="Arial" w:hAnsi="Arial"/>
          <w:sz w:val="17"/>
          <w:szCs w:val="17"/>
          <w:b w:val="1"/>
          <w:bCs w:val="1"/>
          <w:color w:val="auto"/>
        </w:rPr>
      </w:pPr>
    </w:p>
    <w:p>
      <w:pPr>
        <w:ind w:left="620" w:hanging="61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4</w:t>
      </w:r>
    </w:p>
    <w:tbl>
      <w:tblPr>
        <w:tblLayout w:type="fixed"/>
        <w:tblInd w:w="0" w:type="dxa"/>
        <w:tblCellMar>
          <w:top w:w="0" w:type="dxa"/>
          <w:left w:w="0" w:type="dxa"/>
          <w:bottom w:w="0" w:type="dxa"/>
          <w:right w:w="0" w:type="dxa"/>
        </w:tblCellMar>
      </w:tblP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2.1.</w:t>
            </w:r>
          </w:p>
        </w:tc>
        <w:tc>
          <w:tcPr>
            <w:tcW w:w="2340" w:type="dxa"/>
            <w:vAlign w:val="bottom"/>
            <w:gridSpan w:val="6"/>
          </w:tcPr>
          <w:p>
            <w:pPr>
              <w:ind w:left="20"/>
              <w:spacing w:after="0" w:line="194" w:lineRule="exact"/>
              <w:rPr>
                <w:sz w:val="20"/>
                <w:szCs w:val="20"/>
                <w:color w:val="auto"/>
              </w:rPr>
            </w:pPr>
            <w:r>
              <w:rPr>
                <w:rFonts w:ascii="Arial" w:cs="Arial" w:eastAsia="Arial" w:hAnsi="Arial"/>
                <w:sz w:val="17"/>
                <w:szCs w:val="17"/>
                <w:color w:val="auto"/>
              </w:rPr>
              <w:t>Administration by Committee</w:t>
            </w:r>
          </w:p>
        </w:tc>
        <w:tc>
          <w:tcPr>
            <w:tcW w:w="720" w:type="dxa"/>
            <w:vAlign w:val="bottom"/>
          </w:tcPr>
          <w:p>
            <w:pPr>
              <w:jc w:val="right"/>
              <w:ind w:right="474"/>
              <w:spacing w:after="0" w:line="194" w:lineRule="exact"/>
              <w:rPr>
                <w:sz w:val="20"/>
                <w:szCs w:val="20"/>
                <w:color w:val="auto"/>
              </w:rPr>
            </w:pPr>
            <w:r>
              <w:rPr>
                <w:rFonts w:ascii="Arial" w:cs="Arial" w:eastAsia="Arial" w:hAnsi="Arial"/>
                <w:sz w:val="17"/>
                <w:szCs w:val="17"/>
                <w:color w:val="auto"/>
              </w:rPr>
              <w:t>4</w:t>
            </w:r>
          </w:p>
        </w:tc>
        <w:tc>
          <w:tcPr>
            <w:tcW w:w="2460" w:type="dxa"/>
            <w:vAlign w:val="bottom"/>
          </w:tcPr>
          <w:p>
            <w:pPr>
              <w:spacing w:after="0"/>
              <w:rPr>
                <w:sz w:val="16"/>
                <w:szCs w:val="16"/>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2.2.</w:t>
            </w:r>
          </w:p>
        </w:tc>
        <w:tc>
          <w:tcPr>
            <w:tcW w:w="2340" w:type="dxa"/>
            <w:vAlign w:val="bottom"/>
            <w:gridSpan w:val="6"/>
          </w:tcPr>
          <w:p>
            <w:pPr>
              <w:ind w:left="20"/>
              <w:spacing w:after="0" w:line="194" w:lineRule="exact"/>
              <w:rPr>
                <w:sz w:val="20"/>
                <w:szCs w:val="20"/>
                <w:color w:val="auto"/>
              </w:rPr>
            </w:pPr>
            <w:r>
              <w:rPr>
                <w:rFonts w:ascii="Arial" w:cs="Arial" w:eastAsia="Arial" w:hAnsi="Arial"/>
                <w:sz w:val="17"/>
                <w:szCs w:val="17"/>
                <w:color w:val="auto"/>
              </w:rPr>
              <w:t>Committee Responsibilities.</w:t>
            </w:r>
          </w:p>
        </w:tc>
        <w:tc>
          <w:tcPr>
            <w:tcW w:w="720" w:type="dxa"/>
            <w:vAlign w:val="bottom"/>
          </w:tcPr>
          <w:p>
            <w:pPr>
              <w:jc w:val="right"/>
              <w:ind w:right="494"/>
              <w:spacing w:after="0" w:line="194" w:lineRule="exact"/>
              <w:rPr>
                <w:sz w:val="20"/>
                <w:szCs w:val="20"/>
                <w:color w:val="auto"/>
              </w:rPr>
            </w:pPr>
            <w:r>
              <w:rPr>
                <w:rFonts w:ascii="Arial" w:cs="Arial" w:eastAsia="Arial" w:hAnsi="Arial"/>
                <w:sz w:val="17"/>
                <w:szCs w:val="17"/>
                <w:color w:val="auto"/>
              </w:rPr>
              <w:t>4</w:t>
            </w:r>
          </w:p>
        </w:tc>
        <w:tc>
          <w:tcPr>
            <w:tcW w:w="2460" w:type="dxa"/>
            <w:vAlign w:val="bottom"/>
          </w:tcPr>
          <w:p>
            <w:pPr>
              <w:spacing w:after="0"/>
              <w:rPr>
                <w:sz w:val="16"/>
                <w:szCs w:val="16"/>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2.3.</w:t>
            </w:r>
          </w:p>
        </w:tc>
        <w:tc>
          <w:tcPr>
            <w:tcW w:w="2020" w:type="dxa"/>
            <w:vAlign w:val="bottom"/>
            <w:gridSpan w:val="5"/>
          </w:tcPr>
          <w:p>
            <w:pPr>
              <w:ind w:left="20"/>
              <w:spacing w:after="0"/>
              <w:rPr>
                <w:sz w:val="20"/>
                <w:szCs w:val="20"/>
                <w:color w:val="auto"/>
              </w:rPr>
            </w:pPr>
            <w:r>
              <w:rPr>
                <w:rFonts w:ascii="Arial" w:cs="Arial" w:eastAsia="Arial" w:hAnsi="Arial"/>
                <w:sz w:val="17"/>
                <w:szCs w:val="17"/>
                <w:color w:val="auto"/>
              </w:rPr>
              <w:t>No Right to Participation.</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4</w:t>
            </w: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80"/>
        </w:trPr>
        <w:tc>
          <w:tcPr>
            <w:tcW w:w="320" w:type="dxa"/>
            <w:vAlign w:val="bottom"/>
          </w:tcPr>
          <w:p>
            <w:pPr>
              <w:spacing w:after="0"/>
              <w:rPr>
                <w:sz w:val="20"/>
                <w:szCs w:val="20"/>
                <w:color w:val="auto"/>
              </w:rPr>
            </w:pPr>
            <w:r>
              <w:rPr>
                <w:rFonts w:ascii="Arial" w:cs="Arial" w:eastAsia="Arial" w:hAnsi="Arial"/>
                <w:sz w:val="17"/>
                <w:szCs w:val="17"/>
                <w:b w:val="1"/>
                <w:bCs w:val="1"/>
                <w:color w:val="auto"/>
              </w:rPr>
              <w:t>3.</w:t>
            </w:r>
          </w:p>
        </w:tc>
        <w:tc>
          <w:tcPr>
            <w:tcW w:w="5520" w:type="dxa"/>
            <w:vAlign w:val="bottom"/>
            <w:gridSpan w:val="8"/>
          </w:tcPr>
          <w:p>
            <w:pPr>
              <w:ind w:left="300"/>
              <w:spacing w:after="0"/>
              <w:rPr>
                <w:sz w:val="20"/>
                <w:szCs w:val="20"/>
                <w:color w:val="auto"/>
              </w:rPr>
            </w:pPr>
            <w:r>
              <w:rPr>
                <w:rFonts w:ascii="Arial" w:cs="Arial" w:eastAsia="Arial" w:hAnsi="Arial"/>
                <w:sz w:val="17"/>
                <w:szCs w:val="17"/>
                <w:b w:val="1"/>
                <w:bCs w:val="1"/>
                <w:color w:val="auto"/>
              </w:rPr>
              <w:t xml:space="preserve">SHARES AVAILABLE FOR GRANTS  </w:t>
            </w:r>
            <w:r>
              <w:rPr>
                <w:rFonts w:ascii="Arial" w:cs="Arial" w:eastAsia="Arial" w:hAnsi="Arial"/>
                <w:sz w:val="17"/>
                <w:szCs w:val="17"/>
                <w:color w:val="auto"/>
              </w:rPr>
              <w:t>4</w:t>
            </w: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3.1.</w:t>
            </w:r>
          </w:p>
        </w:tc>
        <w:tc>
          <w:tcPr>
            <w:tcW w:w="12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Basic Limitation</w:t>
            </w:r>
          </w:p>
        </w:tc>
        <w:tc>
          <w:tcPr>
            <w:tcW w:w="160" w:type="dxa"/>
            <w:vAlign w:val="bottom"/>
          </w:tcPr>
          <w:p>
            <w:pPr>
              <w:spacing w:after="0"/>
              <w:rPr>
                <w:sz w:val="16"/>
                <w:szCs w:val="16"/>
                <w:color w:val="auto"/>
              </w:rPr>
            </w:pPr>
          </w:p>
        </w:tc>
        <w:tc>
          <w:tcPr>
            <w:tcW w:w="280" w:type="dxa"/>
            <w:vAlign w:val="bottom"/>
          </w:tcPr>
          <w:p>
            <w:pPr>
              <w:jc w:val="right"/>
              <w:ind w:right="56"/>
              <w:spacing w:after="0" w:line="194" w:lineRule="exact"/>
              <w:rPr>
                <w:sz w:val="20"/>
                <w:szCs w:val="20"/>
                <w:color w:val="auto"/>
              </w:rPr>
            </w:pPr>
            <w:r>
              <w:rPr>
                <w:rFonts w:ascii="Arial" w:cs="Arial" w:eastAsia="Arial" w:hAnsi="Arial"/>
                <w:sz w:val="17"/>
                <w:szCs w:val="17"/>
                <w:color w:val="auto"/>
              </w:rPr>
              <w:t>4</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3.2.</w:t>
            </w:r>
          </w:p>
        </w:tc>
        <w:tc>
          <w:tcPr>
            <w:tcW w:w="1420" w:type="dxa"/>
            <w:vAlign w:val="bottom"/>
            <w:gridSpan w:val="3"/>
          </w:tcPr>
          <w:p>
            <w:pPr>
              <w:ind w:left="20"/>
              <w:spacing w:after="0"/>
              <w:rPr>
                <w:sz w:val="20"/>
                <w:szCs w:val="20"/>
                <w:color w:val="auto"/>
              </w:rPr>
            </w:pPr>
            <w:r>
              <w:rPr>
                <w:rFonts w:ascii="Arial" w:cs="Arial" w:eastAsia="Arial" w:hAnsi="Arial"/>
                <w:sz w:val="17"/>
                <w:szCs w:val="17"/>
                <w:color w:val="auto"/>
              </w:rPr>
              <w:t>Additional Shares</w:t>
            </w: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68"/>
        </w:trPr>
        <w:tc>
          <w:tcPr>
            <w:tcW w:w="320" w:type="dxa"/>
            <w:vAlign w:val="bottom"/>
          </w:tcPr>
          <w:p>
            <w:pPr>
              <w:spacing w:after="0"/>
              <w:rPr>
                <w:sz w:val="20"/>
                <w:szCs w:val="20"/>
                <w:color w:val="auto"/>
              </w:rPr>
            </w:pPr>
            <w:r>
              <w:rPr>
                <w:rFonts w:ascii="Arial" w:cs="Arial" w:eastAsia="Arial" w:hAnsi="Arial"/>
                <w:sz w:val="17"/>
                <w:szCs w:val="17"/>
                <w:b w:val="1"/>
                <w:bCs w:val="1"/>
                <w:color w:val="auto"/>
              </w:rPr>
              <w:t>4.</w:t>
            </w:r>
          </w:p>
        </w:tc>
        <w:tc>
          <w:tcPr>
            <w:tcW w:w="1420" w:type="dxa"/>
            <w:vAlign w:val="bottom"/>
            <w:gridSpan w:val="3"/>
          </w:tcPr>
          <w:p>
            <w:pPr>
              <w:ind w:left="300"/>
              <w:spacing w:after="0"/>
              <w:rPr>
                <w:sz w:val="20"/>
                <w:szCs w:val="20"/>
                <w:color w:val="auto"/>
              </w:rPr>
            </w:pPr>
            <w:r>
              <w:rPr>
                <w:rFonts w:ascii="Arial" w:cs="Arial" w:eastAsia="Arial" w:hAnsi="Arial"/>
                <w:sz w:val="17"/>
                <w:szCs w:val="17"/>
                <w:b w:val="1"/>
                <w:bCs w:val="1"/>
                <w:color w:val="auto"/>
              </w:rPr>
              <w:t>ELIGIBILITY</w:t>
            </w:r>
          </w:p>
        </w:tc>
        <w:tc>
          <w:tcPr>
            <w:tcW w:w="280" w:type="dxa"/>
            <w:vAlign w:val="bottom"/>
          </w:tcPr>
          <w:p>
            <w:pPr>
              <w:jc w:val="right"/>
              <w:ind w:right="56"/>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4.1.</w:t>
            </w:r>
          </w:p>
        </w:tc>
        <w:tc>
          <w:tcPr>
            <w:tcW w:w="1260" w:type="dxa"/>
            <w:vAlign w:val="bottom"/>
            <w:gridSpan w:val="2"/>
          </w:tcPr>
          <w:p>
            <w:pPr>
              <w:ind w:left="20"/>
              <w:spacing w:after="0"/>
              <w:rPr>
                <w:sz w:val="20"/>
                <w:szCs w:val="20"/>
                <w:color w:val="auto"/>
              </w:rPr>
            </w:pPr>
            <w:r>
              <w:rPr>
                <w:rFonts w:ascii="Arial" w:cs="Arial" w:eastAsia="Arial" w:hAnsi="Arial"/>
                <w:sz w:val="17"/>
                <w:szCs w:val="17"/>
                <w:color w:val="auto"/>
              </w:rPr>
              <w:t>General Rules</w:t>
            </w:r>
          </w:p>
        </w:tc>
        <w:tc>
          <w:tcPr>
            <w:tcW w:w="160" w:type="dxa"/>
            <w:vAlign w:val="bottom"/>
          </w:tcPr>
          <w:p>
            <w:pPr>
              <w:jc w:val="right"/>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68"/>
        </w:trPr>
        <w:tc>
          <w:tcPr>
            <w:tcW w:w="320" w:type="dxa"/>
            <w:vAlign w:val="bottom"/>
          </w:tcPr>
          <w:p>
            <w:pPr>
              <w:spacing w:after="0"/>
              <w:rPr>
                <w:sz w:val="20"/>
                <w:szCs w:val="20"/>
                <w:color w:val="auto"/>
              </w:rPr>
            </w:pPr>
            <w:r>
              <w:rPr>
                <w:rFonts w:ascii="Arial" w:cs="Arial" w:eastAsia="Arial" w:hAnsi="Arial"/>
                <w:sz w:val="17"/>
                <w:szCs w:val="17"/>
                <w:b w:val="1"/>
                <w:bCs w:val="1"/>
                <w:color w:val="auto"/>
              </w:rPr>
              <w:t>5.</w:t>
            </w:r>
          </w:p>
        </w:tc>
        <w:tc>
          <w:tcPr>
            <w:tcW w:w="1080" w:type="dxa"/>
            <w:vAlign w:val="bottom"/>
          </w:tcPr>
          <w:p>
            <w:pPr>
              <w:ind w:left="300"/>
              <w:spacing w:after="0"/>
              <w:rPr>
                <w:sz w:val="20"/>
                <w:szCs w:val="20"/>
                <w:color w:val="auto"/>
              </w:rPr>
            </w:pPr>
            <w:r>
              <w:rPr>
                <w:rFonts w:ascii="Arial" w:cs="Arial" w:eastAsia="Arial" w:hAnsi="Arial"/>
                <w:sz w:val="17"/>
                <w:szCs w:val="17"/>
                <w:b w:val="1"/>
                <w:bCs w:val="1"/>
                <w:color w:val="auto"/>
                <w:w w:val="99"/>
              </w:rPr>
              <w:t>OPTIONS</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5.1.</w:t>
            </w:r>
          </w:p>
        </w:tc>
        <w:tc>
          <w:tcPr>
            <w:tcW w:w="2020" w:type="dxa"/>
            <w:vAlign w:val="bottom"/>
            <w:gridSpan w:val="5"/>
          </w:tcPr>
          <w:p>
            <w:pPr>
              <w:ind w:left="20"/>
              <w:spacing w:after="0" w:line="194" w:lineRule="exact"/>
              <w:rPr>
                <w:sz w:val="20"/>
                <w:szCs w:val="20"/>
                <w:color w:val="auto"/>
              </w:rPr>
            </w:pPr>
            <w:r>
              <w:rPr>
                <w:rFonts w:ascii="Arial" w:cs="Arial" w:eastAsia="Arial" w:hAnsi="Arial"/>
                <w:sz w:val="17"/>
                <w:szCs w:val="17"/>
                <w:color w:val="auto"/>
              </w:rPr>
              <w:t>Stock Option Agreement.</w:t>
            </w:r>
          </w:p>
        </w:tc>
        <w:tc>
          <w:tcPr>
            <w:tcW w:w="32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w:t>
            </w: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5.2.</w:t>
            </w:r>
          </w:p>
        </w:tc>
        <w:tc>
          <w:tcPr>
            <w:tcW w:w="1700" w:type="dxa"/>
            <w:vAlign w:val="bottom"/>
            <w:gridSpan w:val="4"/>
          </w:tcPr>
          <w:p>
            <w:pPr>
              <w:ind w:left="20"/>
              <w:spacing w:after="0"/>
              <w:rPr>
                <w:sz w:val="20"/>
                <w:szCs w:val="20"/>
                <w:color w:val="auto"/>
              </w:rPr>
            </w:pPr>
            <w:r>
              <w:rPr>
                <w:rFonts w:ascii="Arial" w:cs="Arial" w:eastAsia="Arial" w:hAnsi="Arial"/>
                <w:sz w:val="17"/>
                <w:szCs w:val="17"/>
                <w:color w:val="auto"/>
              </w:rPr>
              <w:t>Transfer of Awards.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5</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5.3.</w:t>
            </w:r>
          </w:p>
        </w:tc>
        <w:tc>
          <w:tcPr>
            <w:tcW w:w="5520" w:type="dxa"/>
            <w:vAlign w:val="bottom"/>
            <w:gridSpan w:val="8"/>
          </w:tcPr>
          <w:p>
            <w:pPr>
              <w:ind w:left="20"/>
              <w:spacing w:after="0" w:line="194" w:lineRule="exact"/>
              <w:rPr>
                <w:sz w:val="20"/>
                <w:szCs w:val="20"/>
                <w:color w:val="auto"/>
              </w:rPr>
            </w:pPr>
            <w:r>
              <w:rPr>
                <w:rFonts w:ascii="Arial" w:cs="Arial" w:eastAsia="Arial" w:hAnsi="Arial"/>
                <w:sz w:val="17"/>
                <w:szCs w:val="17"/>
                <w:color w:val="auto"/>
              </w:rPr>
              <w:t>Waiver of an Option and failure to complete Stock Option Agreement  5</w:t>
            </w: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5.4.</w:t>
            </w:r>
          </w:p>
        </w:tc>
        <w:tc>
          <w:tcPr>
            <w:tcW w:w="142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Number of Shares</w:t>
            </w:r>
          </w:p>
        </w:tc>
        <w:tc>
          <w:tcPr>
            <w:tcW w:w="28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5.5.</w:t>
            </w:r>
          </w:p>
        </w:tc>
        <w:tc>
          <w:tcPr>
            <w:tcW w:w="12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Exercise Price</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rPr>
              <w:t>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5.6.</w:t>
            </w:r>
          </w:p>
        </w:tc>
        <w:tc>
          <w:tcPr>
            <w:tcW w:w="2020" w:type="dxa"/>
            <w:vAlign w:val="bottom"/>
            <w:gridSpan w:val="5"/>
          </w:tcPr>
          <w:p>
            <w:pPr>
              <w:ind w:left="20"/>
              <w:spacing w:after="0" w:line="194" w:lineRule="exact"/>
              <w:rPr>
                <w:sz w:val="20"/>
                <w:szCs w:val="20"/>
                <w:color w:val="auto"/>
              </w:rPr>
            </w:pPr>
            <w:r>
              <w:rPr>
                <w:rFonts w:ascii="Arial" w:cs="Arial" w:eastAsia="Arial" w:hAnsi="Arial"/>
                <w:sz w:val="17"/>
                <w:szCs w:val="17"/>
                <w:color w:val="auto"/>
              </w:rPr>
              <w:t>Exercisability and Term.</w:t>
            </w:r>
          </w:p>
        </w:tc>
        <w:tc>
          <w:tcPr>
            <w:tcW w:w="320" w:type="dxa"/>
            <w:vAlign w:val="bottom"/>
          </w:tcPr>
          <w:p>
            <w:pPr>
              <w:jc w:val="right"/>
              <w:ind w:right="134"/>
              <w:spacing w:after="0" w:line="194" w:lineRule="exact"/>
              <w:rPr>
                <w:sz w:val="20"/>
                <w:szCs w:val="20"/>
                <w:color w:val="auto"/>
              </w:rPr>
            </w:pPr>
            <w:r>
              <w:rPr>
                <w:rFonts w:ascii="Arial" w:cs="Arial" w:eastAsia="Arial" w:hAnsi="Arial"/>
                <w:sz w:val="17"/>
                <w:szCs w:val="17"/>
                <w:color w:val="auto"/>
                <w:w w:val="84"/>
              </w:rPr>
              <w:t>5</w:t>
            </w: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5.7.</w:t>
            </w:r>
          </w:p>
        </w:tc>
        <w:tc>
          <w:tcPr>
            <w:tcW w:w="3060" w:type="dxa"/>
            <w:vAlign w:val="bottom"/>
            <w:gridSpan w:val="7"/>
          </w:tcPr>
          <w:p>
            <w:pPr>
              <w:ind w:left="20"/>
              <w:spacing w:after="0"/>
              <w:rPr>
                <w:sz w:val="20"/>
                <w:szCs w:val="20"/>
                <w:color w:val="auto"/>
              </w:rPr>
            </w:pPr>
            <w:r>
              <w:rPr>
                <w:rFonts w:ascii="Arial" w:cs="Arial" w:eastAsia="Arial" w:hAnsi="Arial"/>
                <w:sz w:val="17"/>
                <w:szCs w:val="17"/>
                <w:color w:val="auto"/>
              </w:rPr>
              <w:t>Acceleration Upon Change in Control.</w:t>
            </w:r>
          </w:p>
        </w:tc>
        <w:tc>
          <w:tcPr>
            <w:tcW w:w="2460" w:type="dxa"/>
            <w:vAlign w:val="bottom"/>
          </w:tcPr>
          <w:p>
            <w:pPr>
              <w:jc w:val="right"/>
              <w:ind w:right="2194"/>
              <w:spacing w:after="0"/>
              <w:rPr>
                <w:sz w:val="20"/>
                <w:szCs w:val="20"/>
                <w:color w:val="auto"/>
              </w:rPr>
            </w:pPr>
            <w:r>
              <w:rPr>
                <w:rFonts w:ascii="Arial" w:cs="Arial" w:eastAsia="Arial" w:hAnsi="Arial"/>
                <w:sz w:val="17"/>
                <w:szCs w:val="17"/>
                <w:color w:val="auto"/>
              </w:rPr>
              <w:t>5</w:t>
            </w: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5.8.</w:t>
            </w:r>
          </w:p>
        </w:tc>
        <w:tc>
          <w:tcPr>
            <w:tcW w:w="3060" w:type="dxa"/>
            <w:vAlign w:val="bottom"/>
            <w:gridSpan w:val="7"/>
          </w:tcPr>
          <w:p>
            <w:pPr>
              <w:ind w:left="20"/>
              <w:spacing w:after="0" w:line="194" w:lineRule="exact"/>
              <w:rPr>
                <w:sz w:val="20"/>
                <w:szCs w:val="20"/>
                <w:color w:val="auto"/>
              </w:rPr>
            </w:pPr>
            <w:r>
              <w:rPr>
                <w:rFonts w:ascii="Arial" w:cs="Arial" w:eastAsia="Arial" w:hAnsi="Arial"/>
                <w:sz w:val="17"/>
                <w:szCs w:val="17"/>
                <w:color w:val="auto"/>
              </w:rPr>
              <w:t>Modification or Assumption of Options.</w:t>
            </w:r>
          </w:p>
        </w:tc>
        <w:tc>
          <w:tcPr>
            <w:tcW w:w="2460" w:type="dxa"/>
            <w:vAlign w:val="bottom"/>
          </w:tcPr>
          <w:p>
            <w:pPr>
              <w:jc w:val="right"/>
              <w:ind w:right="2194"/>
              <w:spacing w:after="0" w:line="194" w:lineRule="exact"/>
              <w:rPr>
                <w:sz w:val="20"/>
                <w:szCs w:val="20"/>
                <w:color w:val="auto"/>
              </w:rPr>
            </w:pPr>
            <w:r>
              <w:rPr>
                <w:rFonts w:ascii="Arial" w:cs="Arial" w:eastAsia="Arial" w:hAnsi="Arial"/>
                <w:sz w:val="17"/>
                <w:szCs w:val="17"/>
                <w:color w:val="auto"/>
              </w:rPr>
              <w:t>5</w:t>
            </w: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5.9.</w:t>
            </w:r>
          </w:p>
        </w:tc>
        <w:tc>
          <w:tcPr>
            <w:tcW w:w="1080" w:type="dxa"/>
            <w:vAlign w:val="bottom"/>
          </w:tcPr>
          <w:p>
            <w:pPr>
              <w:ind w:left="20"/>
              <w:spacing w:after="0"/>
              <w:rPr>
                <w:sz w:val="20"/>
                <w:szCs w:val="20"/>
                <w:color w:val="auto"/>
              </w:rPr>
            </w:pPr>
            <w:r>
              <w:rPr>
                <w:rFonts w:ascii="Arial" w:cs="Arial" w:eastAsia="Arial" w:hAnsi="Arial"/>
                <w:sz w:val="17"/>
                <w:szCs w:val="17"/>
                <w:color w:val="auto"/>
              </w:rPr>
              <w:t>Liquidation.</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68"/>
        </w:trPr>
        <w:tc>
          <w:tcPr>
            <w:tcW w:w="320" w:type="dxa"/>
            <w:vAlign w:val="bottom"/>
          </w:tcPr>
          <w:p>
            <w:pPr>
              <w:spacing w:after="0"/>
              <w:rPr>
                <w:sz w:val="20"/>
                <w:szCs w:val="20"/>
                <w:color w:val="auto"/>
              </w:rPr>
            </w:pPr>
            <w:r>
              <w:rPr>
                <w:rFonts w:ascii="Arial" w:cs="Arial" w:eastAsia="Arial" w:hAnsi="Arial"/>
                <w:sz w:val="17"/>
                <w:szCs w:val="17"/>
                <w:b w:val="1"/>
                <w:bCs w:val="1"/>
                <w:color w:val="auto"/>
              </w:rPr>
              <w:t>6.</w:t>
            </w:r>
          </w:p>
        </w:tc>
        <w:tc>
          <w:tcPr>
            <w:tcW w:w="3060" w:type="dxa"/>
            <w:vAlign w:val="bottom"/>
            <w:gridSpan w:val="7"/>
          </w:tcPr>
          <w:p>
            <w:pPr>
              <w:ind w:left="300"/>
              <w:spacing w:after="0"/>
              <w:rPr>
                <w:sz w:val="20"/>
                <w:szCs w:val="20"/>
                <w:color w:val="auto"/>
              </w:rPr>
            </w:pPr>
            <w:r>
              <w:rPr>
                <w:rFonts w:ascii="Arial" w:cs="Arial" w:eastAsia="Arial" w:hAnsi="Arial"/>
                <w:sz w:val="17"/>
                <w:szCs w:val="17"/>
                <w:b w:val="1"/>
                <w:bCs w:val="1"/>
                <w:color w:val="auto"/>
              </w:rPr>
              <w:t>PAYMENT FOR OPTION SHARES</w:t>
            </w:r>
          </w:p>
        </w:tc>
        <w:tc>
          <w:tcPr>
            <w:tcW w:w="2460" w:type="dxa"/>
            <w:vAlign w:val="bottom"/>
          </w:tcPr>
          <w:p>
            <w:pPr>
              <w:jc w:val="right"/>
              <w:ind w:right="2174"/>
              <w:spacing w:after="0"/>
              <w:rPr>
                <w:sz w:val="20"/>
                <w:szCs w:val="20"/>
                <w:color w:val="auto"/>
              </w:rPr>
            </w:pPr>
            <w:r>
              <w:rPr>
                <w:rFonts w:ascii="Arial" w:cs="Arial" w:eastAsia="Arial" w:hAnsi="Arial"/>
                <w:sz w:val="17"/>
                <w:szCs w:val="17"/>
                <w:color w:val="auto"/>
              </w:rPr>
              <w:t>5</w:t>
            </w: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6.1.</w:t>
            </w:r>
          </w:p>
        </w:tc>
        <w:tc>
          <w:tcPr>
            <w:tcW w:w="1080" w:type="dxa"/>
            <w:vAlign w:val="bottom"/>
          </w:tcPr>
          <w:p>
            <w:pPr>
              <w:ind w:left="20"/>
              <w:spacing w:after="0" w:line="194" w:lineRule="exact"/>
              <w:rPr>
                <w:sz w:val="20"/>
                <w:szCs w:val="20"/>
                <w:color w:val="auto"/>
              </w:rPr>
            </w:pPr>
            <w:r>
              <w:rPr>
                <w:rFonts w:ascii="Arial" w:cs="Arial" w:eastAsia="Arial" w:hAnsi="Arial"/>
                <w:sz w:val="17"/>
                <w:szCs w:val="17"/>
                <w:color w:val="auto"/>
                <w:w w:val="99"/>
              </w:rPr>
              <w:t>General Rule.</w:t>
            </w:r>
          </w:p>
        </w:tc>
        <w:tc>
          <w:tcPr>
            <w:tcW w:w="18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6</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6.2.</w:t>
            </w:r>
          </w:p>
        </w:tc>
        <w:tc>
          <w:tcPr>
            <w:tcW w:w="1080" w:type="dxa"/>
            <w:vAlign w:val="bottom"/>
          </w:tcPr>
          <w:p>
            <w:pPr>
              <w:ind w:left="20"/>
              <w:spacing w:after="0" w:line="194" w:lineRule="exact"/>
              <w:rPr>
                <w:sz w:val="20"/>
                <w:szCs w:val="20"/>
                <w:color w:val="auto"/>
              </w:rPr>
            </w:pPr>
            <w:r>
              <w:rPr>
                <w:rFonts w:ascii="Arial" w:cs="Arial" w:eastAsia="Arial" w:hAnsi="Arial"/>
                <w:sz w:val="17"/>
                <w:szCs w:val="17"/>
                <w:color w:val="auto"/>
              </w:rPr>
              <w:t>Exercise/Sale</w:t>
            </w:r>
          </w:p>
        </w:tc>
        <w:tc>
          <w:tcPr>
            <w:tcW w:w="18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6</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6.3.</w:t>
            </w:r>
          </w:p>
        </w:tc>
        <w:tc>
          <w:tcPr>
            <w:tcW w:w="2020" w:type="dxa"/>
            <w:vAlign w:val="bottom"/>
            <w:gridSpan w:val="5"/>
          </w:tcPr>
          <w:p>
            <w:pPr>
              <w:ind w:left="20"/>
              <w:spacing w:after="0"/>
              <w:rPr>
                <w:sz w:val="20"/>
                <w:szCs w:val="20"/>
                <w:color w:val="auto"/>
              </w:rPr>
            </w:pPr>
            <w:r>
              <w:rPr>
                <w:rFonts w:ascii="Arial" w:cs="Arial" w:eastAsia="Arial" w:hAnsi="Arial"/>
                <w:sz w:val="17"/>
                <w:szCs w:val="17"/>
                <w:color w:val="auto"/>
              </w:rPr>
              <w:t>Other forms of Payment.</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6</w:t>
            </w: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80"/>
        </w:trPr>
        <w:tc>
          <w:tcPr>
            <w:tcW w:w="320" w:type="dxa"/>
            <w:vAlign w:val="bottom"/>
          </w:tcPr>
          <w:p>
            <w:pPr>
              <w:spacing w:after="0"/>
              <w:rPr>
                <w:sz w:val="20"/>
                <w:szCs w:val="20"/>
                <w:color w:val="auto"/>
              </w:rPr>
            </w:pPr>
            <w:r>
              <w:rPr>
                <w:rFonts w:ascii="Arial" w:cs="Arial" w:eastAsia="Arial" w:hAnsi="Arial"/>
                <w:sz w:val="17"/>
                <w:szCs w:val="17"/>
                <w:b w:val="1"/>
                <w:bCs w:val="1"/>
                <w:color w:val="auto"/>
              </w:rPr>
              <w:t>7.</w:t>
            </w:r>
          </w:p>
        </w:tc>
        <w:tc>
          <w:tcPr>
            <w:tcW w:w="3060" w:type="dxa"/>
            <w:vAlign w:val="bottom"/>
            <w:gridSpan w:val="7"/>
          </w:tcPr>
          <w:p>
            <w:pPr>
              <w:ind w:left="300"/>
              <w:spacing w:after="0"/>
              <w:rPr>
                <w:sz w:val="20"/>
                <w:szCs w:val="20"/>
                <w:color w:val="auto"/>
              </w:rPr>
            </w:pPr>
            <w:r>
              <w:rPr>
                <w:rFonts w:ascii="Arial" w:cs="Arial" w:eastAsia="Arial" w:hAnsi="Arial"/>
                <w:sz w:val="17"/>
                <w:szCs w:val="17"/>
                <w:b w:val="1"/>
                <w:bCs w:val="1"/>
                <w:color w:val="auto"/>
              </w:rPr>
              <w:t xml:space="preserve">ADJUSTMENT OF SHARES  </w:t>
            </w:r>
            <w:r>
              <w:rPr>
                <w:rFonts w:ascii="Arial" w:cs="Arial" w:eastAsia="Arial" w:hAnsi="Arial"/>
                <w:sz w:val="17"/>
                <w:szCs w:val="17"/>
                <w:color w:val="auto"/>
              </w:rPr>
              <w:t>6</w:t>
            </w:r>
          </w:p>
        </w:tc>
        <w:tc>
          <w:tcPr>
            <w:tcW w:w="2460" w:type="dxa"/>
            <w:vAlign w:val="bottom"/>
          </w:tcPr>
          <w:p>
            <w:pPr>
              <w:spacing w:after="0"/>
              <w:rPr>
                <w:sz w:val="24"/>
                <w:szCs w:val="24"/>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7.1.</w:t>
            </w:r>
          </w:p>
        </w:tc>
        <w:tc>
          <w:tcPr>
            <w:tcW w:w="1080" w:type="dxa"/>
            <w:vAlign w:val="bottom"/>
          </w:tcPr>
          <w:p>
            <w:pPr>
              <w:ind w:left="20"/>
              <w:spacing w:after="0" w:line="194" w:lineRule="exact"/>
              <w:rPr>
                <w:sz w:val="20"/>
                <w:szCs w:val="20"/>
                <w:color w:val="auto"/>
              </w:rPr>
            </w:pPr>
            <w:r>
              <w:rPr>
                <w:rFonts w:ascii="Arial" w:cs="Arial" w:eastAsia="Arial" w:hAnsi="Arial"/>
                <w:sz w:val="17"/>
                <w:szCs w:val="17"/>
                <w:color w:val="auto"/>
              </w:rPr>
              <w:t>Adjustments</w:t>
            </w:r>
          </w:p>
        </w:tc>
        <w:tc>
          <w:tcPr>
            <w:tcW w:w="180" w:type="dxa"/>
            <w:vAlign w:val="bottom"/>
          </w:tcPr>
          <w:p>
            <w:pPr>
              <w:jc w:val="right"/>
              <w:spacing w:after="0" w:line="194" w:lineRule="exact"/>
              <w:rPr>
                <w:sz w:val="20"/>
                <w:szCs w:val="20"/>
                <w:color w:val="auto"/>
              </w:rPr>
            </w:pPr>
            <w:r>
              <w:rPr>
                <w:rFonts w:ascii="Arial" w:cs="Arial" w:eastAsia="Arial" w:hAnsi="Arial"/>
                <w:sz w:val="17"/>
                <w:szCs w:val="17"/>
                <w:color w:val="auto"/>
              </w:rPr>
              <w:t>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7.2.</w:t>
            </w:r>
          </w:p>
        </w:tc>
        <w:tc>
          <w:tcPr>
            <w:tcW w:w="1260" w:type="dxa"/>
            <w:vAlign w:val="bottom"/>
            <w:gridSpan w:val="2"/>
          </w:tcPr>
          <w:p>
            <w:pPr>
              <w:ind w:left="20"/>
              <w:spacing w:after="0"/>
              <w:rPr>
                <w:sz w:val="20"/>
                <w:szCs w:val="20"/>
                <w:color w:val="auto"/>
              </w:rPr>
            </w:pPr>
            <w:r>
              <w:rPr>
                <w:rFonts w:ascii="Arial" w:cs="Arial" w:eastAsia="Arial" w:hAnsi="Arial"/>
                <w:sz w:val="17"/>
                <w:szCs w:val="17"/>
                <w:color w:val="auto"/>
              </w:rPr>
              <w:t>Reorganisation.</w:t>
            </w:r>
          </w:p>
        </w:tc>
        <w:tc>
          <w:tcPr>
            <w:tcW w:w="16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Arial" w:cs="Arial" w:eastAsia="Arial" w:hAnsi="Arial"/>
                <w:sz w:val="15"/>
                <w:szCs w:val="15"/>
                <w:color w:val="auto"/>
                <w:w w:val="71"/>
              </w:rPr>
              <w:t>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68"/>
        </w:trPr>
        <w:tc>
          <w:tcPr>
            <w:tcW w:w="320" w:type="dxa"/>
            <w:vAlign w:val="bottom"/>
          </w:tcPr>
          <w:p>
            <w:pPr>
              <w:spacing w:after="0"/>
              <w:rPr>
                <w:sz w:val="20"/>
                <w:szCs w:val="20"/>
                <w:color w:val="auto"/>
              </w:rPr>
            </w:pPr>
            <w:r>
              <w:rPr>
                <w:rFonts w:ascii="Arial" w:cs="Arial" w:eastAsia="Arial" w:hAnsi="Arial"/>
                <w:sz w:val="17"/>
                <w:szCs w:val="17"/>
                <w:b w:val="1"/>
                <w:bCs w:val="1"/>
                <w:color w:val="auto"/>
              </w:rPr>
              <w:t>8.</w:t>
            </w:r>
          </w:p>
        </w:tc>
        <w:tc>
          <w:tcPr>
            <w:tcW w:w="2340" w:type="dxa"/>
            <w:vAlign w:val="bottom"/>
            <w:gridSpan w:val="6"/>
          </w:tcPr>
          <w:p>
            <w:pPr>
              <w:ind w:left="300"/>
              <w:spacing w:after="0"/>
              <w:rPr>
                <w:sz w:val="20"/>
                <w:szCs w:val="20"/>
                <w:color w:val="auto"/>
              </w:rPr>
            </w:pPr>
            <w:r>
              <w:rPr>
                <w:rFonts w:ascii="Arial" w:cs="Arial" w:eastAsia="Arial" w:hAnsi="Arial"/>
                <w:sz w:val="17"/>
                <w:szCs w:val="17"/>
                <w:b w:val="1"/>
                <w:bCs w:val="1"/>
                <w:color w:val="auto"/>
              </w:rPr>
              <w:t>LIMITATION ON RIGHTS</w:t>
            </w:r>
          </w:p>
        </w:tc>
        <w:tc>
          <w:tcPr>
            <w:tcW w:w="720" w:type="dxa"/>
            <w:vAlign w:val="bottom"/>
          </w:tcPr>
          <w:p>
            <w:pPr>
              <w:jc w:val="right"/>
              <w:ind w:right="434"/>
              <w:spacing w:after="0"/>
              <w:rPr>
                <w:sz w:val="20"/>
                <w:szCs w:val="20"/>
                <w:color w:val="auto"/>
              </w:rPr>
            </w:pPr>
            <w:r>
              <w:rPr>
                <w:rFonts w:ascii="Arial" w:cs="Arial" w:eastAsia="Arial" w:hAnsi="Arial"/>
                <w:sz w:val="17"/>
                <w:szCs w:val="17"/>
                <w:color w:val="auto"/>
              </w:rPr>
              <w:t>7</w:t>
            </w:r>
          </w:p>
        </w:tc>
        <w:tc>
          <w:tcPr>
            <w:tcW w:w="2460" w:type="dxa"/>
            <w:vAlign w:val="bottom"/>
          </w:tcPr>
          <w:p>
            <w:pPr>
              <w:spacing w:after="0"/>
              <w:rPr>
                <w:sz w:val="24"/>
                <w:szCs w:val="24"/>
                <w:color w:val="auto"/>
              </w:rPr>
            </w:pP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8.1.</w:t>
            </w:r>
          </w:p>
        </w:tc>
        <w:tc>
          <w:tcPr>
            <w:tcW w:w="5520" w:type="dxa"/>
            <w:vAlign w:val="bottom"/>
            <w:gridSpan w:val="8"/>
          </w:tcPr>
          <w:p>
            <w:pPr>
              <w:ind w:left="20"/>
              <w:spacing w:after="0" w:line="194" w:lineRule="exact"/>
              <w:rPr>
                <w:sz w:val="20"/>
                <w:szCs w:val="20"/>
                <w:color w:val="auto"/>
              </w:rPr>
            </w:pPr>
            <w:r>
              <w:rPr>
                <w:rFonts w:ascii="Arial" w:cs="Arial" w:eastAsia="Arial" w:hAnsi="Arial"/>
                <w:sz w:val="17"/>
                <w:szCs w:val="17"/>
                <w:color w:val="auto"/>
              </w:rPr>
              <w:t>Retention Rights and Cessation of Engagement  7</w:t>
            </w:r>
          </w:p>
        </w:tc>
      </w:tr>
      <w:tr>
        <w:trPr>
          <w:trHeight w:val="193"/>
        </w:trPr>
        <w:tc>
          <w:tcPr>
            <w:tcW w:w="320" w:type="dxa"/>
            <w:vAlign w:val="bottom"/>
          </w:tcPr>
          <w:p>
            <w:pPr>
              <w:spacing w:after="0" w:line="194" w:lineRule="exact"/>
              <w:rPr>
                <w:sz w:val="20"/>
                <w:szCs w:val="20"/>
                <w:color w:val="auto"/>
              </w:rPr>
            </w:pPr>
            <w:r>
              <w:rPr>
                <w:rFonts w:ascii="Arial" w:cs="Arial" w:eastAsia="Arial" w:hAnsi="Arial"/>
                <w:sz w:val="17"/>
                <w:szCs w:val="17"/>
                <w:color w:val="auto"/>
              </w:rPr>
              <w:t>8.2.</w:t>
            </w:r>
          </w:p>
        </w:tc>
        <w:tc>
          <w:tcPr>
            <w:tcW w:w="1700" w:type="dxa"/>
            <w:vAlign w:val="bottom"/>
            <w:gridSpan w:val="4"/>
          </w:tcPr>
          <w:p>
            <w:pPr>
              <w:ind w:left="20"/>
              <w:spacing w:after="0" w:line="194" w:lineRule="exact"/>
              <w:rPr>
                <w:sz w:val="20"/>
                <w:szCs w:val="20"/>
                <w:color w:val="auto"/>
              </w:rPr>
            </w:pPr>
            <w:r>
              <w:rPr>
                <w:rFonts w:ascii="Arial" w:cs="Arial" w:eastAsia="Arial" w:hAnsi="Arial"/>
                <w:sz w:val="17"/>
                <w:szCs w:val="17"/>
                <w:color w:val="auto"/>
              </w:rPr>
              <w:t>Shareholders’ Rights.</w:t>
            </w:r>
          </w:p>
        </w:tc>
        <w:tc>
          <w:tcPr>
            <w:tcW w:w="320" w:type="dxa"/>
            <w:vAlign w:val="bottom"/>
          </w:tcPr>
          <w:p>
            <w:pPr>
              <w:jc w:val="right"/>
              <w:spacing w:after="0" w:line="194" w:lineRule="exact"/>
              <w:rPr>
                <w:sz w:val="20"/>
                <w:szCs w:val="20"/>
                <w:color w:val="auto"/>
              </w:rPr>
            </w:pPr>
            <w:r>
              <w:rPr>
                <w:rFonts w:ascii="Arial" w:cs="Arial" w:eastAsia="Arial" w:hAnsi="Arial"/>
                <w:sz w:val="17"/>
                <w:szCs w:val="17"/>
                <w:color w:val="auto"/>
              </w:rPr>
              <w:t>7</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8.3.</w:t>
            </w:r>
          </w:p>
        </w:tc>
        <w:tc>
          <w:tcPr>
            <w:tcW w:w="2020" w:type="dxa"/>
            <w:vAlign w:val="bottom"/>
            <w:gridSpan w:val="5"/>
          </w:tcPr>
          <w:p>
            <w:pPr>
              <w:ind w:left="20"/>
              <w:spacing w:after="0"/>
              <w:rPr>
                <w:sz w:val="20"/>
                <w:szCs w:val="20"/>
                <w:color w:val="auto"/>
              </w:rPr>
            </w:pPr>
            <w:r>
              <w:rPr>
                <w:rFonts w:ascii="Arial" w:cs="Arial" w:eastAsia="Arial" w:hAnsi="Arial"/>
                <w:sz w:val="17"/>
                <w:szCs w:val="17"/>
                <w:color w:val="auto"/>
              </w:rPr>
              <w:t>Regulatory Requirements.</w:t>
            </w: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72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72"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7</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Arial" w:cs="Arial" w:eastAsia="Arial" w:hAnsi="Arial"/>
                <w:sz w:val="17"/>
                <w:szCs w:val="17"/>
                <w:color w:val="auto"/>
              </w:rPr>
              <w:t>9.1.</w:t>
            </w:r>
          </w:p>
        </w:tc>
        <w:tc>
          <w:tcPr>
            <w:tcW w:w="1360" w:type="dxa"/>
            <w:vAlign w:val="bottom"/>
          </w:tcPr>
          <w:p>
            <w:pPr>
              <w:ind w:left="20"/>
              <w:spacing w:after="0"/>
              <w:rPr>
                <w:sz w:val="20"/>
                <w:szCs w:val="20"/>
                <w:color w:val="auto"/>
              </w:rPr>
            </w:pPr>
            <w:r>
              <w:rPr>
                <w:rFonts w:ascii="Arial" w:cs="Arial" w:eastAsia="Arial" w:hAnsi="Arial"/>
                <w:sz w:val="17"/>
                <w:szCs w:val="17"/>
                <w:color w:val="auto"/>
              </w:rPr>
              <w:t>Withholding Tax</w:t>
            </w:r>
          </w:p>
        </w:tc>
        <w:tc>
          <w:tcPr>
            <w:tcW w:w="900" w:type="dxa"/>
            <w:vAlign w:val="bottom"/>
          </w:tcPr>
          <w:p>
            <w:pPr>
              <w:jc w:val="right"/>
              <w:ind w:right="654"/>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6"/>
                <w:szCs w:val="16"/>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9.2.</w:t>
            </w:r>
          </w:p>
        </w:tc>
        <w:tc>
          <w:tcPr>
            <w:tcW w:w="1360" w:type="dxa"/>
            <w:vAlign w:val="bottom"/>
          </w:tcPr>
          <w:p>
            <w:pPr>
              <w:ind w:left="20"/>
              <w:spacing w:after="0"/>
              <w:rPr>
                <w:sz w:val="20"/>
                <w:szCs w:val="20"/>
                <w:color w:val="auto"/>
              </w:rPr>
            </w:pPr>
            <w:r>
              <w:rPr>
                <w:rFonts w:ascii="Arial" w:cs="Arial" w:eastAsia="Arial" w:hAnsi="Arial"/>
                <w:sz w:val="17"/>
                <w:szCs w:val="17"/>
                <w:color w:val="auto"/>
              </w:rPr>
              <w:t>Section 409A  7</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68"/>
        </w:trPr>
        <w:tc>
          <w:tcPr>
            <w:tcW w:w="320" w:type="dxa"/>
            <w:vAlign w:val="bottom"/>
          </w:tcPr>
          <w:p>
            <w:pPr>
              <w:spacing w:after="0"/>
              <w:rPr>
                <w:sz w:val="20"/>
                <w:szCs w:val="20"/>
                <w:color w:val="auto"/>
              </w:rPr>
            </w:pPr>
            <w:r>
              <w:rPr>
                <w:rFonts w:ascii="Arial" w:cs="Arial" w:eastAsia="Arial" w:hAnsi="Arial"/>
                <w:sz w:val="17"/>
                <w:szCs w:val="17"/>
                <w:b w:val="1"/>
                <w:bCs w:val="1"/>
                <w:color w:val="auto"/>
              </w:rPr>
              <w:t>10.</w:t>
            </w:r>
          </w:p>
        </w:tc>
        <w:tc>
          <w:tcPr>
            <w:tcW w:w="2260" w:type="dxa"/>
            <w:vAlign w:val="bottom"/>
            <w:gridSpan w:val="2"/>
          </w:tcPr>
          <w:p>
            <w:pPr>
              <w:ind w:left="300"/>
              <w:spacing w:after="0"/>
              <w:rPr>
                <w:sz w:val="20"/>
                <w:szCs w:val="20"/>
                <w:color w:val="auto"/>
              </w:rPr>
            </w:pPr>
            <w:r>
              <w:rPr>
                <w:rFonts w:ascii="Arial" w:cs="Arial" w:eastAsia="Arial" w:hAnsi="Arial"/>
                <w:sz w:val="17"/>
                <w:szCs w:val="17"/>
                <w:b w:val="1"/>
                <w:bCs w:val="1"/>
                <w:color w:val="auto"/>
              </w:rPr>
              <w:t>FUTURE OF THE PLAN</w:t>
            </w:r>
          </w:p>
        </w:tc>
        <w:tc>
          <w:tcPr>
            <w:tcW w:w="2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193"/>
        </w:trPr>
        <w:tc>
          <w:tcPr>
            <w:tcW w:w="1680" w:type="dxa"/>
            <w:vAlign w:val="bottom"/>
            <w:gridSpan w:val="2"/>
          </w:tcPr>
          <w:p>
            <w:pPr>
              <w:spacing w:after="0" w:line="194" w:lineRule="exact"/>
              <w:rPr>
                <w:sz w:val="20"/>
                <w:szCs w:val="20"/>
                <w:color w:val="auto"/>
              </w:rPr>
            </w:pPr>
            <w:r>
              <w:rPr>
                <w:rFonts w:ascii="Arial" w:cs="Arial" w:eastAsia="Arial" w:hAnsi="Arial"/>
                <w:sz w:val="17"/>
                <w:szCs w:val="17"/>
                <w:color w:val="auto"/>
              </w:rPr>
              <w:t>10.1.Term of the Plan</w:t>
            </w:r>
          </w:p>
        </w:tc>
        <w:tc>
          <w:tcPr>
            <w:tcW w:w="900" w:type="dxa"/>
            <w:vAlign w:val="bottom"/>
          </w:tcPr>
          <w:p>
            <w:pPr>
              <w:jc w:val="right"/>
              <w:ind w:right="574"/>
              <w:spacing w:after="0" w:line="194" w:lineRule="exact"/>
              <w:rPr>
                <w:sz w:val="20"/>
                <w:szCs w:val="20"/>
                <w:color w:val="auto"/>
              </w:rPr>
            </w:pPr>
            <w:r>
              <w:rPr>
                <w:rFonts w:ascii="Arial" w:cs="Arial" w:eastAsia="Arial" w:hAnsi="Arial"/>
                <w:sz w:val="17"/>
                <w:szCs w:val="17"/>
                <w:color w:val="auto"/>
              </w:rPr>
              <w:t>8</w:t>
            </w:r>
          </w:p>
        </w:tc>
        <w:tc>
          <w:tcPr>
            <w:tcW w:w="220" w:type="dxa"/>
            <w:vAlign w:val="bottom"/>
          </w:tcPr>
          <w:p>
            <w:pPr>
              <w:spacing w:after="0"/>
              <w:rPr>
                <w:sz w:val="16"/>
                <w:szCs w:val="16"/>
                <w:color w:val="auto"/>
              </w:rPr>
            </w:pPr>
          </w:p>
        </w:tc>
      </w:tr>
      <w:tr>
        <w:trPr>
          <w:trHeight w:val="226"/>
        </w:trPr>
        <w:tc>
          <w:tcPr>
            <w:tcW w:w="2580" w:type="dxa"/>
            <w:vAlign w:val="bottom"/>
            <w:gridSpan w:val="3"/>
          </w:tcPr>
          <w:p>
            <w:pPr>
              <w:spacing w:after="0"/>
              <w:rPr>
                <w:sz w:val="20"/>
                <w:szCs w:val="20"/>
                <w:color w:val="auto"/>
              </w:rPr>
            </w:pPr>
            <w:r>
              <w:rPr>
                <w:rFonts w:ascii="Arial" w:cs="Arial" w:eastAsia="Arial" w:hAnsi="Arial"/>
                <w:sz w:val="17"/>
                <w:szCs w:val="17"/>
                <w:color w:val="auto"/>
              </w:rPr>
              <w:t>10.2.Amendment or Termination</w:t>
            </w:r>
          </w:p>
        </w:tc>
        <w:tc>
          <w:tcPr>
            <w:tcW w:w="220" w:type="dxa"/>
            <w:vAlign w:val="bottom"/>
          </w:tcPr>
          <w:p>
            <w:pPr>
              <w:jc w:val="right"/>
              <w:spacing w:after="0"/>
              <w:rPr>
                <w:sz w:val="20"/>
                <w:szCs w:val="20"/>
                <w:color w:val="auto"/>
              </w:rPr>
            </w:pPr>
            <w:r>
              <w:rPr>
                <w:rFonts w:ascii="Arial" w:cs="Arial" w:eastAsia="Arial" w:hAnsi="Arial"/>
                <w:sz w:val="17"/>
                <w:szCs w:val="17"/>
                <w:color w:val="auto"/>
              </w:rPr>
              <w:t>8</w:t>
            </w:r>
          </w:p>
        </w:tc>
      </w:tr>
    </w:tbl>
    <w:p>
      <w:pPr>
        <w:spacing w:after="0" w:line="172" w:lineRule="exact"/>
        <w:rPr>
          <w:sz w:val="20"/>
          <w:szCs w:val="20"/>
          <w:color w:val="auto"/>
        </w:rPr>
      </w:pPr>
    </w:p>
    <w:p>
      <w:pPr>
        <w:ind w:right="8159" w:firstLine="3"/>
        <w:spacing w:after="0" w:line="256" w:lineRule="auto"/>
        <w:tabs>
          <w:tab w:leader="none" w:pos="603"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8</w:t>
      </w:r>
      <w:r>
        <w:rPr>
          <w:rFonts w:ascii="Arial" w:cs="Arial" w:eastAsia="Arial" w:hAnsi="Arial"/>
          <w:sz w:val="17"/>
          <w:szCs w:val="17"/>
          <w:b w:val="1"/>
          <w:bCs w:val="1"/>
          <w:color w:val="auto"/>
        </w:rPr>
        <w:t xml:space="preserve"> </w:t>
      </w:r>
      <w:r>
        <w:rPr>
          <w:rFonts w:ascii="Arial" w:cs="Arial" w:eastAsia="Arial" w:hAnsi="Arial"/>
          <w:sz w:val="17"/>
          <w:szCs w:val="17"/>
          <w:color w:val="auto"/>
        </w:rPr>
        <w:t>11.1.Award. 8</w:t>
      </w:r>
    </w:p>
    <w:p>
      <w:pPr>
        <w:spacing w:after="0"/>
        <w:rPr>
          <w:rFonts w:ascii="Arial" w:cs="Arial" w:eastAsia="Arial" w:hAnsi="Arial"/>
          <w:sz w:val="17"/>
          <w:szCs w:val="17"/>
          <w:b w:val="1"/>
          <w:bCs w:val="1"/>
          <w:color w:val="auto"/>
        </w:rPr>
      </w:pPr>
      <w:r>
        <w:rPr>
          <w:rFonts w:ascii="Arial" w:cs="Arial" w:eastAsia="Arial" w:hAnsi="Arial"/>
          <w:sz w:val="17"/>
          <w:szCs w:val="17"/>
          <w:color w:val="auto"/>
        </w:rPr>
        <w:t>11.2.Board   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auto"/>
              </w:rPr>
              <w:t>11.4.Code   9</w:t>
            </w:r>
          </w:p>
        </w:tc>
        <w:tc>
          <w:tcPr>
            <w:tcW w:w="220" w:type="dxa"/>
            <w:vAlign w:val="bottom"/>
          </w:tcPr>
          <w:p>
            <w:pPr>
              <w:spacing w:after="0"/>
              <w:rPr>
                <w:sz w:val="16"/>
                <w:szCs w:val="16"/>
                <w:color w:val="auto"/>
              </w:rPr>
            </w:pPr>
          </w:p>
        </w:tc>
      </w:tr>
      <w:tr>
        <w:trPr>
          <w:trHeight w:val="193"/>
        </w:trPr>
        <w:tc>
          <w:tcPr>
            <w:tcW w:w="1260" w:type="dxa"/>
            <w:vAlign w:val="bottom"/>
          </w:tcPr>
          <w:p>
            <w:pPr>
              <w:spacing w:after="0" w:line="194" w:lineRule="exact"/>
              <w:rPr>
                <w:sz w:val="20"/>
                <w:szCs w:val="20"/>
                <w:color w:val="auto"/>
              </w:rPr>
            </w:pPr>
            <w:r>
              <w:rPr>
                <w:rFonts w:ascii="Arial" w:cs="Arial" w:eastAsia="Arial" w:hAnsi="Arial"/>
                <w:sz w:val="17"/>
                <w:szCs w:val="17"/>
                <w:color w:val="auto"/>
              </w:rPr>
              <w:t>11.5 Committee</w:t>
            </w:r>
          </w:p>
        </w:tc>
        <w:tc>
          <w:tcPr>
            <w:tcW w:w="22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r>
      <w:tr>
        <w:trPr>
          <w:trHeight w:val="226"/>
        </w:trPr>
        <w:tc>
          <w:tcPr>
            <w:tcW w:w="1260" w:type="dxa"/>
            <w:vAlign w:val="bottom"/>
          </w:tcPr>
          <w:p>
            <w:pPr>
              <w:spacing w:after="0"/>
              <w:rPr>
                <w:sz w:val="20"/>
                <w:szCs w:val="20"/>
                <w:color w:val="auto"/>
              </w:rPr>
            </w:pPr>
            <w:r>
              <w:rPr>
                <w:rFonts w:ascii="Arial" w:cs="Arial" w:eastAsia="Arial" w:hAnsi="Arial"/>
                <w:sz w:val="17"/>
                <w:szCs w:val="17"/>
                <w:color w:val="auto"/>
              </w:rPr>
              <w:t>11.6 Company</w:t>
            </w:r>
          </w:p>
        </w:tc>
        <w:tc>
          <w:tcPr>
            <w:tcW w:w="220" w:type="dxa"/>
            <w:vAlign w:val="bottom"/>
          </w:tcPr>
          <w:p>
            <w:pPr>
              <w:jc w:val="right"/>
              <w:spacing w:after="0"/>
              <w:rPr>
                <w:sz w:val="20"/>
                <w:szCs w:val="20"/>
                <w:color w:val="auto"/>
              </w:rPr>
            </w:pPr>
            <w:r>
              <w:rPr>
                <w:rFonts w:ascii="Arial" w:cs="Arial" w:eastAsia="Arial" w:hAnsi="Arial"/>
                <w:sz w:val="17"/>
                <w:szCs w:val="17"/>
                <w:color w:val="auto"/>
              </w:rPr>
              <w:t>9</w:t>
            </w:r>
          </w:p>
        </w:tc>
      </w:tr>
    </w:tbl>
    <w:p>
      <w:pPr>
        <w:sectPr>
          <w:pgSz w:w="11900" w:h="16838" w:orient="portrait"/>
          <w:cols w:equalWidth="0" w:num="1">
            <w:col w:w="10139"/>
          </w:cols>
          <w:pgMar w:left="320" w:top="1371"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gridSpan w:val="2"/>
          </w:tcPr>
          <w:p>
            <w:pPr>
              <w:spacing w:after="0"/>
              <w:rPr>
                <w:sz w:val="20"/>
                <w:szCs w:val="20"/>
                <w:color w:val="auto"/>
              </w:rPr>
            </w:pPr>
            <w:r>
              <w:rPr>
                <w:rFonts w:ascii="Arial" w:cs="Arial" w:eastAsia="Arial" w:hAnsi="Arial"/>
                <w:sz w:val="17"/>
                <w:szCs w:val="17"/>
                <w:color w:val="auto"/>
              </w:rPr>
              <w:t>11.7 Consultant</w:t>
            </w:r>
          </w:p>
        </w:tc>
        <w:tc>
          <w:tcPr>
            <w:tcW w:w="360" w:type="dxa"/>
            <w:vAlign w:val="bottom"/>
          </w:tcPr>
          <w:p>
            <w:pPr>
              <w:jc w:val="right"/>
              <w:ind w:right="134"/>
              <w:spacing w:after="0"/>
              <w:rPr>
                <w:sz w:val="20"/>
                <w:szCs w:val="20"/>
                <w:color w:val="auto"/>
              </w:rPr>
            </w:pPr>
            <w:r>
              <w:rPr>
                <w:rFonts w:ascii="Arial" w:cs="Arial" w:eastAsia="Arial" w:hAnsi="Arial"/>
                <w:sz w:val="17"/>
                <w:szCs w:val="17"/>
                <w:color w:val="auto"/>
              </w:rPr>
              <w:t>9</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6"/>
        </w:trPr>
        <w:tc>
          <w:tcPr>
            <w:tcW w:w="1700" w:type="dxa"/>
            <w:vAlign w:val="bottom"/>
            <w:gridSpan w:val="3"/>
          </w:tcPr>
          <w:p>
            <w:pPr>
              <w:spacing w:after="0"/>
              <w:rPr>
                <w:sz w:val="20"/>
                <w:szCs w:val="20"/>
                <w:color w:val="auto"/>
              </w:rPr>
            </w:pPr>
            <w:r>
              <w:rPr>
                <w:rFonts w:ascii="Arial" w:cs="Arial" w:eastAsia="Arial" w:hAnsi="Arial"/>
                <w:sz w:val="17"/>
                <w:szCs w:val="17"/>
                <w:color w:val="auto"/>
              </w:rPr>
              <w:t>11.8.Date of Grant  9</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1700" w:type="dxa"/>
            <w:vAlign w:val="bottom"/>
            <w:gridSpan w:val="3"/>
          </w:tcPr>
          <w:p>
            <w:pPr>
              <w:spacing w:after="0" w:line="194" w:lineRule="exact"/>
              <w:rPr>
                <w:sz w:val="20"/>
                <w:szCs w:val="20"/>
                <w:color w:val="auto"/>
              </w:rPr>
            </w:pPr>
            <w:r>
              <w:rPr>
                <w:rFonts w:ascii="Arial" w:cs="Arial" w:eastAsia="Arial" w:hAnsi="Arial"/>
                <w:sz w:val="17"/>
                <w:szCs w:val="17"/>
                <w:color w:val="auto"/>
              </w:rPr>
              <w:t>11.9.Employee Plan</w:t>
            </w:r>
          </w:p>
        </w:tc>
        <w:tc>
          <w:tcPr>
            <w:tcW w:w="840" w:type="dxa"/>
            <w:vAlign w:val="bottom"/>
          </w:tcPr>
          <w:p>
            <w:pPr>
              <w:jc w:val="right"/>
              <w:ind w:right="594"/>
              <w:spacing w:after="0" w:line="194" w:lineRule="exact"/>
              <w:rPr>
                <w:sz w:val="20"/>
                <w:szCs w:val="20"/>
                <w:color w:val="auto"/>
              </w:rPr>
            </w:pPr>
            <w:r>
              <w:rPr>
                <w:rFonts w:ascii="Arial" w:cs="Arial" w:eastAsia="Arial" w:hAnsi="Arial"/>
                <w:sz w:val="17"/>
                <w:szCs w:val="17"/>
                <w:color w:val="auto"/>
              </w:rPr>
              <w:t>9</w:t>
            </w:r>
          </w:p>
        </w:tc>
        <w:tc>
          <w:tcPr>
            <w:tcW w:w="1100" w:type="dxa"/>
            <w:vAlign w:val="bottom"/>
          </w:tcPr>
          <w:p>
            <w:pPr>
              <w:spacing w:after="0"/>
              <w:rPr>
                <w:sz w:val="16"/>
                <w:szCs w:val="16"/>
                <w:color w:val="auto"/>
              </w:rPr>
            </w:pPr>
          </w:p>
        </w:tc>
      </w:tr>
      <w:tr>
        <w:trPr>
          <w:trHeight w:val="193"/>
        </w:trPr>
        <w:tc>
          <w:tcPr>
            <w:tcW w:w="1700" w:type="dxa"/>
            <w:vAlign w:val="bottom"/>
            <w:gridSpan w:val="3"/>
          </w:tcPr>
          <w:p>
            <w:pPr>
              <w:spacing w:after="0" w:line="194" w:lineRule="exact"/>
              <w:rPr>
                <w:sz w:val="20"/>
                <w:szCs w:val="20"/>
                <w:color w:val="auto"/>
              </w:rPr>
            </w:pPr>
            <w:r>
              <w:rPr>
                <w:rFonts w:ascii="Arial" w:cs="Arial" w:eastAsia="Arial" w:hAnsi="Arial"/>
                <w:sz w:val="17"/>
                <w:szCs w:val="17"/>
                <w:color w:val="auto"/>
              </w:rPr>
              <w:t>11.10.Exchange Act</w:t>
            </w:r>
          </w:p>
        </w:tc>
        <w:tc>
          <w:tcPr>
            <w:tcW w:w="840" w:type="dxa"/>
            <w:vAlign w:val="bottom"/>
          </w:tcPr>
          <w:p>
            <w:pPr>
              <w:jc w:val="right"/>
              <w:ind w:right="634"/>
              <w:spacing w:after="0" w:line="194" w:lineRule="exact"/>
              <w:rPr>
                <w:sz w:val="20"/>
                <w:szCs w:val="20"/>
                <w:color w:val="auto"/>
              </w:rPr>
            </w:pPr>
            <w:r>
              <w:rPr>
                <w:rFonts w:ascii="Arial" w:cs="Arial" w:eastAsia="Arial" w:hAnsi="Arial"/>
                <w:sz w:val="17"/>
                <w:szCs w:val="17"/>
                <w:color w:val="auto"/>
              </w:rPr>
              <w:t>9</w:t>
            </w:r>
          </w:p>
        </w:tc>
        <w:tc>
          <w:tcPr>
            <w:tcW w:w="1100" w:type="dxa"/>
            <w:vAlign w:val="bottom"/>
          </w:tcPr>
          <w:p>
            <w:pPr>
              <w:spacing w:after="0"/>
              <w:rPr>
                <w:sz w:val="16"/>
                <w:szCs w:val="16"/>
                <w:color w:val="auto"/>
              </w:rPr>
            </w:pPr>
          </w:p>
        </w:tc>
      </w:tr>
      <w:tr>
        <w:trPr>
          <w:trHeight w:val="193"/>
        </w:trPr>
        <w:tc>
          <w:tcPr>
            <w:tcW w:w="1700" w:type="dxa"/>
            <w:vAlign w:val="bottom"/>
            <w:gridSpan w:val="3"/>
          </w:tcPr>
          <w:p>
            <w:pPr>
              <w:spacing w:after="0" w:line="194" w:lineRule="exact"/>
              <w:rPr>
                <w:sz w:val="20"/>
                <w:szCs w:val="20"/>
                <w:color w:val="auto"/>
              </w:rPr>
            </w:pPr>
            <w:r>
              <w:rPr>
                <w:rFonts w:ascii="Arial" w:cs="Arial" w:eastAsia="Arial" w:hAnsi="Arial"/>
                <w:sz w:val="17"/>
                <w:szCs w:val="17"/>
                <w:color w:val="auto"/>
              </w:rPr>
              <w:t>11.11.Exercise Price .</w:t>
            </w:r>
          </w:p>
        </w:tc>
        <w:tc>
          <w:tcPr>
            <w:tcW w:w="840" w:type="dxa"/>
            <w:vAlign w:val="bottom"/>
          </w:tcPr>
          <w:p>
            <w:pPr>
              <w:jc w:val="right"/>
              <w:ind w:right="474"/>
              <w:spacing w:after="0" w:line="194" w:lineRule="exact"/>
              <w:rPr>
                <w:sz w:val="20"/>
                <w:szCs w:val="20"/>
                <w:color w:val="auto"/>
              </w:rPr>
            </w:pPr>
            <w:r>
              <w:rPr>
                <w:rFonts w:ascii="Arial" w:cs="Arial" w:eastAsia="Arial" w:hAnsi="Arial"/>
                <w:sz w:val="17"/>
                <w:szCs w:val="17"/>
                <w:color w:val="auto"/>
              </w:rPr>
              <w:t>9</w:t>
            </w:r>
          </w:p>
        </w:tc>
        <w:tc>
          <w:tcPr>
            <w:tcW w:w="1100" w:type="dxa"/>
            <w:vAlign w:val="bottom"/>
          </w:tcPr>
          <w:p>
            <w:pPr>
              <w:spacing w:after="0"/>
              <w:rPr>
                <w:sz w:val="16"/>
                <w:szCs w:val="16"/>
                <w:color w:val="auto"/>
              </w:rPr>
            </w:pPr>
          </w:p>
        </w:tc>
      </w:tr>
      <w:tr>
        <w:trPr>
          <w:trHeight w:val="193"/>
        </w:trPr>
        <w:tc>
          <w:tcPr>
            <w:tcW w:w="2540" w:type="dxa"/>
            <w:vAlign w:val="bottom"/>
            <w:gridSpan w:val="4"/>
          </w:tcPr>
          <w:p>
            <w:pPr>
              <w:spacing w:after="0" w:line="194" w:lineRule="exact"/>
              <w:rPr>
                <w:sz w:val="20"/>
                <w:szCs w:val="20"/>
                <w:color w:val="auto"/>
              </w:rPr>
            </w:pPr>
            <w:r>
              <w:rPr>
                <w:rFonts w:ascii="Arial" w:cs="Arial" w:eastAsia="Arial" w:hAnsi="Arial"/>
                <w:sz w:val="17"/>
                <w:szCs w:val="17"/>
                <w:color w:val="auto"/>
              </w:rPr>
              <w:t>11.12.Internal Revenue Service .</w:t>
            </w:r>
          </w:p>
        </w:tc>
        <w:tc>
          <w:tcPr>
            <w:tcW w:w="1100" w:type="dxa"/>
            <w:vAlign w:val="bottom"/>
          </w:tcPr>
          <w:p>
            <w:pPr>
              <w:jc w:val="right"/>
              <w:ind w:right="774"/>
              <w:spacing w:after="0" w:line="194" w:lineRule="exact"/>
              <w:rPr>
                <w:sz w:val="20"/>
                <w:szCs w:val="20"/>
                <w:color w:val="auto"/>
              </w:rPr>
            </w:pPr>
            <w:r>
              <w:rPr>
                <w:rFonts w:ascii="Arial" w:cs="Arial" w:eastAsia="Arial" w:hAnsi="Arial"/>
                <w:sz w:val="17"/>
                <w:szCs w:val="17"/>
                <w:color w:val="auto"/>
              </w:rPr>
              <w:t>9</w:t>
            </w:r>
          </w:p>
        </w:tc>
      </w:tr>
      <w:tr>
        <w:trPr>
          <w:trHeight w:val="206"/>
        </w:trPr>
        <w:tc>
          <w:tcPr>
            <w:tcW w:w="1700" w:type="dxa"/>
            <w:vAlign w:val="bottom"/>
            <w:gridSpan w:val="3"/>
          </w:tcPr>
          <w:p>
            <w:pPr>
              <w:spacing w:after="0"/>
              <w:rPr>
                <w:sz w:val="20"/>
                <w:szCs w:val="20"/>
                <w:color w:val="auto"/>
              </w:rPr>
            </w:pPr>
            <w:r>
              <w:rPr>
                <w:rFonts w:ascii="Arial" w:cs="Arial" w:eastAsia="Arial" w:hAnsi="Arial"/>
                <w:sz w:val="17"/>
                <w:szCs w:val="17"/>
                <w:color w:val="auto"/>
              </w:rPr>
              <w:t>11.13.Market Value</w:t>
            </w: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9</w:t>
            </w:r>
          </w:p>
        </w:tc>
        <w:tc>
          <w:tcPr>
            <w:tcW w:w="1100" w:type="dxa"/>
            <w:vAlign w:val="bottom"/>
          </w:tcPr>
          <w:p>
            <w:pPr>
              <w:spacing w:after="0"/>
              <w:rPr>
                <w:sz w:val="17"/>
                <w:szCs w:val="17"/>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rPr>
              <w:t>11.14.NSO</w:t>
            </w:r>
          </w:p>
        </w:tc>
        <w:tc>
          <w:tcPr>
            <w:tcW w:w="3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9</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rPr>
              <w:t>11.15.Option</w:t>
            </w:r>
          </w:p>
        </w:tc>
        <w:tc>
          <w:tcPr>
            <w:tcW w:w="34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1340" w:type="dxa"/>
            <w:vAlign w:val="bottom"/>
            <w:gridSpan w:val="2"/>
          </w:tcPr>
          <w:p>
            <w:pPr>
              <w:spacing w:after="0" w:line="194" w:lineRule="exact"/>
              <w:rPr>
                <w:sz w:val="20"/>
                <w:szCs w:val="20"/>
                <w:color w:val="auto"/>
              </w:rPr>
            </w:pPr>
            <w:r>
              <w:rPr>
                <w:rFonts w:ascii="Arial" w:cs="Arial" w:eastAsia="Arial" w:hAnsi="Arial"/>
                <w:sz w:val="17"/>
                <w:szCs w:val="17"/>
                <w:color w:val="auto"/>
              </w:rPr>
              <w:t>11.16.Optionee</w:t>
            </w:r>
          </w:p>
        </w:tc>
        <w:tc>
          <w:tcPr>
            <w:tcW w:w="36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9</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2540" w:type="dxa"/>
            <w:vAlign w:val="bottom"/>
            <w:gridSpan w:val="4"/>
          </w:tcPr>
          <w:p>
            <w:pPr>
              <w:spacing w:after="0" w:line="194" w:lineRule="exact"/>
              <w:rPr>
                <w:sz w:val="20"/>
                <w:szCs w:val="20"/>
                <w:color w:val="auto"/>
              </w:rPr>
            </w:pPr>
            <w:r>
              <w:rPr>
                <w:rFonts w:ascii="Arial" w:cs="Arial" w:eastAsia="Arial" w:hAnsi="Arial"/>
                <w:sz w:val="17"/>
                <w:szCs w:val="17"/>
                <w:color w:val="auto"/>
              </w:rPr>
              <w:t>11.17.Ordinary Share .  9</w:t>
            </w:r>
          </w:p>
        </w:tc>
        <w:tc>
          <w:tcPr>
            <w:tcW w:w="1100" w:type="dxa"/>
            <w:vAlign w:val="bottom"/>
          </w:tcPr>
          <w:p>
            <w:pPr>
              <w:spacing w:after="0"/>
              <w:rPr>
                <w:sz w:val="16"/>
                <w:szCs w:val="16"/>
                <w:color w:val="auto"/>
              </w:rPr>
            </w:pPr>
          </w:p>
        </w:tc>
      </w:tr>
      <w:tr>
        <w:trPr>
          <w:trHeight w:val="206"/>
        </w:trPr>
        <w:tc>
          <w:tcPr>
            <w:tcW w:w="1000" w:type="dxa"/>
            <w:vAlign w:val="bottom"/>
          </w:tcPr>
          <w:p>
            <w:pPr>
              <w:spacing w:after="0"/>
              <w:rPr>
                <w:sz w:val="20"/>
                <w:szCs w:val="20"/>
                <w:color w:val="auto"/>
              </w:rPr>
            </w:pPr>
            <w:r>
              <w:rPr>
                <w:rFonts w:ascii="Arial" w:cs="Arial" w:eastAsia="Arial" w:hAnsi="Arial"/>
                <w:sz w:val="17"/>
                <w:szCs w:val="17"/>
                <w:color w:val="auto"/>
              </w:rPr>
              <w:t>11.18.Plan .</w:t>
            </w:r>
          </w:p>
        </w:tc>
        <w:tc>
          <w:tcPr>
            <w:tcW w:w="340" w:type="dxa"/>
            <w:vAlign w:val="bottom"/>
          </w:tcPr>
          <w:p>
            <w:pPr>
              <w:jc w:val="right"/>
              <w:ind w:right="54"/>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3640" w:type="dxa"/>
            <w:vAlign w:val="bottom"/>
            <w:gridSpan w:val="5"/>
          </w:tcPr>
          <w:p>
            <w:pPr>
              <w:spacing w:after="0" w:line="194" w:lineRule="exact"/>
              <w:rPr>
                <w:sz w:val="20"/>
                <w:szCs w:val="20"/>
                <w:color w:val="auto"/>
              </w:rPr>
            </w:pPr>
            <w:r>
              <w:rPr>
                <w:rFonts w:ascii="Arial" w:cs="Arial" w:eastAsia="Arial" w:hAnsi="Arial"/>
                <w:sz w:val="17"/>
                <w:szCs w:val="17"/>
                <w:color w:val="auto"/>
              </w:rPr>
              <w:t>11.19.Securities and Exchange Commission  9</w:t>
            </w: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rPr>
              <w:t>11.20.Share</w:t>
            </w:r>
          </w:p>
        </w:tc>
        <w:tc>
          <w:tcPr>
            <w:tcW w:w="34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2540" w:type="dxa"/>
            <w:vAlign w:val="bottom"/>
            <w:gridSpan w:val="4"/>
          </w:tcPr>
          <w:p>
            <w:pPr>
              <w:spacing w:after="0" w:line="194" w:lineRule="exact"/>
              <w:rPr>
                <w:sz w:val="20"/>
                <w:szCs w:val="20"/>
                <w:color w:val="auto"/>
              </w:rPr>
            </w:pPr>
            <w:r>
              <w:rPr>
                <w:rFonts w:ascii="Arial" w:cs="Arial" w:eastAsia="Arial" w:hAnsi="Arial"/>
                <w:sz w:val="17"/>
                <w:szCs w:val="17"/>
                <w:color w:val="auto"/>
              </w:rPr>
              <w:t>11.21.Stock Option Agreement.</w:t>
            </w:r>
          </w:p>
        </w:tc>
        <w:tc>
          <w:tcPr>
            <w:tcW w:w="1100" w:type="dxa"/>
            <w:vAlign w:val="bottom"/>
          </w:tcPr>
          <w:p>
            <w:pPr>
              <w:jc w:val="right"/>
              <w:ind w:right="874"/>
              <w:spacing w:after="0" w:line="194" w:lineRule="exact"/>
              <w:rPr>
                <w:sz w:val="20"/>
                <w:szCs w:val="20"/>
                <w:color w:val="auto"/>
              </w:rPr>
            </w:pPr>
            <w:r>
              <w:rPr>
                <w:rFonts w:ascii="Arial" w:cs="Arial" w:eastAsia="Arial" w:hAnsi="Arial"/>
                <w:sz w:val="17"/>
                <w:szCs w:val="17"/>
                <w:color w:val="auto"/>
              </w:rPr>
              <w:t>9</w:t>
            </w:r>
          </w:p>
        </w:tc>
      </w:tr>
      <w:tr>
        <w:trPr>
          <w:trHeight w:val="226"/>
        </w:trPr>
        <w:tc>
          <w:tcPr>
            <w:tcW w:w="1340" w:type="dxa"/>
            <w:vAlign w:val="bottom"/>
            <w:gridSpan w:val="2"/>
          </w:tcPr>
          <w:p>
            <w:pPr>
              <w:spacing w:after="0"/>
              <w:rPr>
                <w:sz w:val="20"/>
                <w:szCs w:val="20"/>
                <w:color w:val="auto"/>
              </w:rPr>
            </w:pPr>
            <w:r>
              <w:rPr>
                <w:rFonts w:ascii="Arial" w:cs="Arial" w:eastAsia="Arial" w:hAnsi="Arial"/>
                <w:sz w:val="17"/>
                <w:szCs w:val="17"/>
                <w:color w:val="auto"/>
              </w:rPr>
              <w:t>11.22 Subsidiary</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9</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ectPr>
          <w:pgSz w:w="11900" w:h="16838" w:orient="portrait"/>
          <w:cols w:equalWidth="0" w:num="1">
            <w:col w:w="10139"/>
          </w:cols>
          <w:pgMar w:left="320" w:top="1358"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ICON plc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CONSULTANTS SHARE OPTION PLAN 2008</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amended and restated effective as of 14 February 2017 and further updated 14 May 2026 and 20 October 2026)</w:t>
      </w:r>
    </w:p>
    <w:p>
      <w:pPr>
        <w:spacing w:after="0" w:line="200" w:lineRule="exact"/>
        <w:rPr>
          <w:sz w:val="20"/>
          <w:szCs w:val="20"/>
          <w:color w:val="auto"/>
        </w:rPr>
      </w:pPr>
    </w:p>
    <w:p>
      <w:pPr>
        <w:spacing w:after="0" w:line="205"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INTRODUCTION</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The Plan was originally established pursuant to a resolution of shareholders dated 21 July 2008 and was amended and restated pursuant to a resolution of Directors dated 14 February, 2017 and further updated pursuant to resolutions of Directors dated 14 May 2026 and 20 October 2026.</w:t>
      </w:r>
    </w:p>
    <w:p>
      <w:pPr>
        <w:ind w:right="80"/>
        <w:spacing w:after="0" w:line="246" w:lineRule="auto"/>
        <w:rPr>
          <w:sz w:val="20"/>
          <w:szCs w:val="20"/>
          <w:color w:val="auto"/>
        </w:rPr>
      </w:pPr>
      <w:r>
        <w:rPr>
          <w:rFonts w:ascii="Arial" w:cs="Arial" w:eastAsia="Arial" w:hAnsi="Arial"/>
          <w:sz w:val="17"/>
          <w:szCs w:val="17"/>
          <w:color w:val="auto"/>
        </w:rPr>
        <w:t>The purpose of the Plan is to establish a share option plan for Consultants (including non-executive directors) of the Company or any Subsidiary as a share incentive scheme to promote the long-term success of the Company and the creation of shareholder value by (a) encouraging Consultants to focus on critical long-range objectives, (b) encouraging the attraction and retention of Consultants, and (c) linking Consultants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376"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206"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u w:val="single" w:color="auto"/>
          <w:color w:val="auto"/>
        </w:rPr>
        <w:t>Administration by Committee</w:t>
      </w:r>
      <w:r>
        <w:rPr>
          <w:rFonts w:ascii="Arial" w:cs="Arial" w:eastAsia="Arial" w:hAnsi="Arial"/>
          <w:sz w:val="17"/>
          <w:szCs w:val="17"/>
          <w:color w:val="auto"/>
        </w:rPr>
        <w:t>. The Plan shall be administered by the Committee.</w:t>
      </w:r>
    </w:p>
    <w:p>
      <w:pPr>
        <w:spacing w:after="0" w:line="191" w:lineRule="exact"/>
        <w:rPr>
          <w:sz w:val="20"/>
          <w:szCs w:val="20"/>
          <w:color w:val="auto"/>
        </w:rPr>
      </w:pPr>
    </w:p>
    <w:p>
      <w:pPr>
        <w:ind w:left="600" w:right="260" w:hanging="618"/>
        <w:spacing w:after="0" w:line="255" w:lineRule="auto"/>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Committee Responsibilities</w:t>
      </w:r>
      <w:r>
        <w:rPr>
          <w:rFonts w:ascii="Arial" w:cs="Arial" w:eastAsia="Arial" w:hAnsi="Arial"/>
          <w:sz w:val="17"/>
          <w:szCs w:val="17"/>
          <w:color w:val="auto"/>
        </w:rPr>
        <w:t>. The Committee shall (a) select the Consultants who are eligible to receive Awards under the Plan, (b)</w:t>
      </w:r>
      <w:r>
        <w:rPr>
          <w:rFonts w:ascii="Arial" w:cs="Arial" w:eastAsia="Arial" w:hAnsi="Arial"/>
          <w:sz w:val="17"/>
          <w:szCs w:val="17"/>
          <w:u w:val="single" w:color="auto"/>
          <w:color w:val="auto"/>
        </w:rPr>
        <w:t xml:space="preserve"> </w:t>
      </w:r>
      <w:r>
        <w:rPr>
          <w:rFonts w:ascii="Arial" w:cs="Arial" w:eastAsia="Arial" w:hAnsi="Arial"/>
          <w:sz w:val="17"/>
          <w:szCs w:val="17"/>
          <w:color w:val="auto"/>
        </w:rPr>
        <w:t>determine the type, number, vesting requirements and other</w:t>
      </w:r>
    </w:p>
    <w:p>
      <w:pPr>
        <w:jc w:val="both"/>
        <w:ind w:left="620" w:right="60"/>
        <w:spacing w:after="0" w:line="246" w:lineRule="auto"/>
        <w:rPr>
          <w:sz w:val="20"/>
          <w:szCs w:val="20"/>
          <w:color w:val="auto"/>
        </w:rPr>
      </w:pPr>
      <w:r>
        <w:rPr>
          <w:rFonts w:ascii="Arial" w:cs="Arial" w:eastAsia="Arial" w:hAnsi="Arial"/>
          <w:sz w:val="17"/>
          <w:szCs w:val="17"/>
          <w:color w:val="auto"/>
        </w:rPr>
        <w:t>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169" w:lineRule="exact"/>
        <w:rPr>
          <w:sz w:val="20"/>
          <w:szCs w:val="20"/>
          <w:color w:val="auto"/>
        </w:rPr>
      </w:pPr>
    </w:p>
    <w:p>
      <w:pPr>
        <w:ind w:left="520" w:right="360" w:hanging="618"/>
        <w:spacing w:after="0" w:line="274" w:lineRule="auto"/>
        <w:tabs>
          <w:tab w:leader="none" w:pos="5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u w:val="single" w:color="auto"/>
          <w:color w:val="auto"/>
        </w:rPr>
        <w:t>No Right to Participation</w:t>
      </w:r>
      <w:r>
        <w:rPr>
          <w:rFonts w:ascii="Arial" w:cs="Arial" w:eastAsia="Arial" w:hAnsi="Arial"/>
          <w:sz w:val="17"/>
          <w:szCs w:val="17"/>
          <w:color w:val="auto"/>
        </w:rPr>
        <w:t>. No person shall be entitled as of right to participate in the Plan, and decisions regarding participation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made by the Committee in its absolute discretion.</w:t>
      </w:r>
    </w:p>
    <w:p>
      <w:pPr>
        <w:spacing w:after="0" w:line="145"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SHARES AVAILABLE FOR GRANTS</w:t>
      </w:r>
    </w:p>
    <w:p>
      <w:pPr>
        <w:spacing w:after="0" w:line="193" w:lineRule="exact"/>
        <w:rPr>
          <w:sz w:val="20"/>
          <w:szCs w:val="20"/>
          <w:color w:val="auto"/>
        </w:rPr>
      </w:pPr>
    </w:p>
    <w:p>
      <w:pPr>
        <w:jc w:val="both"/>
        <w:ind w:left="540" w:right="60" w:hanging="618"/>
        <w:spacing w:after="0" w:line="255" w:lineRule="auto"/>
        <w:tabs>
          <w:tab w:leader="none" w:pos="5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u w:val="single" w:color="auto"/>
          <w:color w:val="auto"/>
        </w:rPr>
        <w:t>Basic Limitation</w:t>
      </w:r>
      <w:r>
        <w:rPr>
          <w:rFonts w:ascii="Arial" w:cs="Arial" w:eastAsia="Arial" w:hAnsi="Arial"/>
          <w:sz w:val="17"/>
          <w:szCs w:val="17"/>
          <w:color w:val="auto"/>
        </w:rPr>
        <w:t>. Any Shares over which Options may be issued pursuant to the Plan shall be authorised but unissued shares. The total</w:t>
      </w:r>
      <w:r>
        <w:rPr>
          <w:rFonts w:ascii="Arial" w:cs="Arial" w:eastAsia="Arial" w:hAnsi="Arial"/>
          <w:sz w:val="17"/>
          <w:szCs w:val="17"/>
          <w:u w:val="single" w:color="auto"/>
          <w:color w:val="auto"/>
        </w:rPr>
        <w:t xml:space="preserve"> </w:t>
      </w:r>
      <w:r>
        <w:rPr>
          <w:rFonts w:ascii="Arial" w:cs="Arial" w:eastAsia="Arial" w:hAnsi="Arial"/>
          <w:sz w:val="17"/>
          <w:szCs w:val="17"/>
          <w:color w:val="auto"/>
        </w:rPr>
        <w:t>number of Shares that may be issued under the Plan shall not exceed 1,000,000 Shares. The Company shall keep available sufficient authorised but unissued Shares to meet in full the exercise of all Options. The limitations of this Section 3.1 shall be subject to adjustment pursuant to Article 7.</w:t>
      </w:r>
    </w:p>
    <w:p>
      <w:pPr>
        <w:spacing w:after="0" w:line="149" w:lineRule="exact"/>
        <w:rPr>
          <w:sz w:val="20"/>
          <w:szCs w:val="20"/>
          <w:color w:val="auto"/>
        </w:rPr>
      </w:pPr>
    </w:p>
    <w:p>
      <w:pPr>
        <w:ind w:left="560" w:right="300" w:hanging="618"/>
        <w:spacing w:after="0" w:line="274" w:lineRule="auto"/>
        <w:tabs>
          <w:tab w:leader="none" w:pos="5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u w:val="single" w:color="auto"/>
          <w:color w:val="auto"/>
        </w:rPr>
        <w:t>Additional Shares</w:t>
      </w:r>
      <w:r>
        <w:rPr>
          <w:rFonts w:ascii="Arial" w:cs="Arial" w:eastAsia="Arial" w:hAnsi="Arial"/>
          <w:sz w:val="17"/>
          <w:szCs w:val="17"/>
          <w:color w:val="auto"/>
        </w:rPr>
        <w:t>. If any Options are forfeited or if any Options terminate for any other reason before being exercised, then Shares</w:t>
      </w:r>
      <w:r>
        <w:rPr>
          <w:rFonts w:ascii="Arial" w:cs="Arial" w:eastAsia="Arial" w:hAnsi="Arial"/>
          <w:sz w:val="17"/>
          <w:szCs w:val="17"/>
          <w:u w:val="single" w:color="auto"/>
          <w:color w:val="auto"/>
        </w:rPr>
        <w:t xml:space="preserve"> </w:t>
      </w:r>
      <w:r>
        <w:rPr>
          <w:rFonts w:ascii="Arial" w:cs="Arial" w:eastAsia="Arial" w:hAnsi="Arial"/>
          <w:sz w:val="17"/>
          <w:szCs w:val="17"/>
          <w:color w:val="auto"/>
        </w:rPr>
        <w:t>subject to such Options shall again become available for Awards under the Plan.</w:t>
      </w:r>
    </w:p>
    <w:p>
      <w:pPr>
        <w:spacing w:after="0" w:line="145"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u w:val="single" w:color="auto"/>
          <w:color w:val="auto"/>
        </w:rPr>
        <w:t>General Rules</w:t>
      </w:r>
      <w:r>
        <w:rPr>
          <w:rFonts w:ascii="Arial" w:cs="Arial" w:eastAsia="Arial" w:hAnsi="Arial"/>
          <w:sz w:val="17"/>
          <w:szCs w:val="17"/>
          <w:color w:val="auto"/>
        </w:rPr>
        <w:t>. Only Consultants shall be eligible for designation as participants by the Committee.</w:t>
      </w:r>
    </w:p>
    <w:p>
      <w:pPr>
        <w:spacing w:after="0" w:line="202"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OPTIONS</w:t>
      </w:r>
    </w:p>
    <w:p>
      <w:pPr>
        <w:spacing w:after="0" w:line="193" w:lineRule="exact"/>
        <w:rPr>
          <w:sz w:val="20"/>
          <w:szCs w:val="20"/>
          <w:color w:val="auto"/>
        </w:rPr>
      </w:pPr>
    </w:p>
    <w:p>
      <w:pPr>
        <w:jc w:val="both"/>
        <w:ind w:left="580" w:right="860" w:hanging="618"/>
        <w:spacing w:after="0" w:line="263" w:lineRule="auto"/>
        <w:tabs>
          <w:tab w:leader="none" w:pos="5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 xml:space="preserve">Stock </w:t>
      </w:r>
      <w:r>
        <w:rPr>
          <w:rFonts w:ascii="Arial" w:cs="Arial" w:eastAsia="Arial" w:hAnsi="Arial"/>
          <w:sz w:val="17"/>
          <w:szCs w:val="17"/>
          <w:u w:val="single" w:color="auto"/>
          <w:color w:val="auto"/>
        </w:rPr>
        <w:t>Option Agreement</w:t>
      </w:r>
      <w:r>
        <w:rPr>
          <w:rFonts w:ascii="Arial" w:cs="Arial" w:eastAsia="Arial" w:hAnsi="Arial"/>
          <w:sz w:val="17"/>
          <w:szCs w:val="17"/>
          <w:color w:val="auto"/>
        </w:rPr>
        <w:t>. Each grant of an Option under the Plan (unless the Committee determines otherwise in its absolute discretion) shall be evidenced by a Stock Option Agreement between the Optionee and the Company. Such Option shall be subject to all applicable terms of the Plan and may be subject to any other terms that are not inconsistent with the Plan. The</w:t>
      </w:r>
    </w:p>
    <w:p>
      <w:pPr>
        <w:sectPr>
          <w:pgSz w:w="11900" w:h="16838" w:orient="portrait"/>
          <w:cols w:equalWidth="0" w:num="1">
            <w:col w:w="11240"/>
          </w:cols>
          <w:pgMar w:left="320" w:top="118" w:right="339" w:bottom="1440" w:gutter="0" w:footer="0" w:header="0"/>
        </w:sectPr>
      </w:pPr>
    </w:p>
    <w:bookmarkStart w:id="47" w:name="page48"/>
    <w:bookmarkEnd w:id="47"/>
    <w:p>
      <w:pPr>
        <w:ind w:left="10680"/>
        <w:spacing w:after="0"/>
        <w:rPr>
          <w:sz w:val="20"/>
          <w:szCs w:val="20"/>
          <w:color w:val="auto"/>
        </w:rPr>
      </w:pPr>
      <w:r>
        <w:rPr>
          <w:rFonts w:ascii="Times New Roman" w:cs="Times New Roman" w:eastAsia="Times New Roman" w:hAnsi="Times New Roman"/>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provisions of the various Stock Option Agreements entered into under the Plan need not be identical.</w:t>
      </w:r>
    </w:p>
    <w:p>
      <w:pPr>
        <w:spacing w:after="0" w:line="204" w:lineRule="exact"/>
        <w:rPr>
          <w:sz w:val="20"/>
          <w:szCs w:val="20"/>
          <w:color w:val="auto"/>
        </w:rPr>
      </w:pPr>
    </w:p>
    <w:p>
      <w:pPr>
        <w:ind w:right="160" w:hanging="618"/>
        <w:spacing w:after="0" w:line="249" w:lineRule="auto"/>
        <w:rPr>
          <w:sz w:val="20"/>
          <w:szCs w:val="20"/>
          <w:color w:val="auto"/>
        </w:rPr>
      </w:pPr>
      <w:r>
        <w:rPr>
          <w:rFonts w:ascii="Arial" w:cs="Arial" w:eastAsia="Arial" w:hAnsi="Arial"/>
          <w:sz w:val="17"/>
          <w:szCs w:val="17"/>
          <w:color w:val="auto"/>
        </w:rPr>
        <w:t>5.2.</w:t>
      </w:r>
      <w:r>
        <w:rPr>
          <w:sz w:val="20"/>
          <w:szCs w:val="20"/>
          <w:color w:val="auto"/>
        </w:rPr>
        <w:t xml:space="preserve"> </w:t>
      </w:r>
      <w:r>
        <w:rPr>
          <w:rFonts w:ascii="Arial" w:cs="Arial" w:eastAsia="Arial" w:hAnsi="Arial"/>
          <w:sz w:val="17"/>
          <w:szCs w:val="17"/>
          <w:u w:val="single" w:color="auto"/>
          <w:color w:val="auto"/>
        </w:rPr>
        <w:t>Transfer of Awards</w:t>
      </w:r>
      <w:r>
        <w:rPr>
          <w:rFonts w:ascii="Arial" w:cs="Arial" w:eastAsia="Arial" w:hAnsi="Arial"/>
          <w:sz w:val="17"/>
          <w:szCs w:val="17"/>
          <w:color w:val="auto"/>
        </w:rPr>
        <w:t>. Options shall not be transferable, save that an Option Agreement may permit a transfer of the Option on death to an</w:t>
      </w:r>
      <w:r>
        <w:rPr>
          <w:rFonts w:ascii="Arial" w:cs="Arial" w:eastAsia="Arial" w:hAnsi="Arial"/>
          <w:sz w:val="17"/>
          <w:szCs w:val="17"/>
          <w:u w:val="single" w:color="auto"/>
          <w:color w:val="auto"/>
        </w:rPr>
        <w:t xml:space="preserve"> </w:t>
      </w:r>
      <w:r>
        <w:rPr>
          <w:rFonts w:ascii="Arial" w:cs="Arial" w:eastAsia="Arial" w:hAnsi="Arial"/>
          <w:sz w:val="17"/>
          <w:szCs w:val="17"/>
          <w:color w:val="auto"/>
        </w:rPr>
        <w:t>Optionee’s personal representatives, by will or the laws for intestate succession.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169" w:lineRule="exact"/>
        <w:rPr>
          <w:sz w:val="20"/>
          <w:szCs w:val="20"/>
          <w:color w:val="auto"/>
        </w:rPr>
      </w:pPr>
    </w:p>
    <w:p>
      <w:pPr>
        <w:jc w:val="both"/>
        <w:ind w:hanging="618"/>
        <w:spacing w:after="0" w:line="246" w:lineRule="auto"/>
        <w:rPr>
          <w:sz w:val="20"/>
          <w:szCs w:val="20"/>
          <w:color w:val="auto"/>
        </w:rPr>
      </w:pPr>
      <w:r>
        <w:rPr>
          <w:rFonts w:ascii="Arial" w:cs="Arial" w:eastAsia="Arial" w:hAnsi="Arial"/>
          <w:sz w:val="17"/>
          <w:szCs w:val="17"/>
          <w:color w:val="auto"/>
        </w:rPr>
        <w:t>5.3.</w:t>
      </w:r>
      <w:r>
        <w:rPr>
          <w:sz w:val="20"/>
          <w:szCs w:val="20"/>
          <w:color w:val="auto"/>
        </w:rPr>
        <w:t xml:space="preserve"> </w:t>
      </w:r>
      <w:r>
        <w:rPr>
          <w:rFonts w:ascii="Arial" w:cs="Arial" w:eastAsia="Arial" w:hAnsi="Arial"/>
          <w:sz w:val="17"/>
          <w:szCs w:val="17"/>
          <w:u w:val="single" w:color="auto"/>
          <w:color w:val="auto"/>
        </w:rPr>
        <w:t>Waiver of an Option and failure to complete Stock Option Agreement</w:t>
      </w:r>
      <w:r>
        <w:rPr>
          <w:rFonts w:ascii="Arial" w:cs="Arial" w:eastAsia="Arial" w:hAnsi="Arial"/>
          <w:sz w:val="17"/>
          <w:szCs w:val="17"/>
          <w:color w:val="auto"/>
        </w:rPr>
        <w:t>. An Optionee may by notice in writing given within 60 days of the Date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Grant of 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171" w:lineRule="exact"/>
        <w:rPr>
          <w:sz w:val="20"/>
          <w:szCs w:val="20"/>
          <w:color w:val="auto"/>
        </w:rPr>
      </w:pPr>
    </w:p>
    <w:p>
      <w:pPr>
        <w:jc w:val="both"/>
        <w:ind w:right="3420" w:hanging="618"/>
        <w:spacing w:after="0" w:line="255" w:lineRule="auto"/>
        <w:rPr>
          <w:sz w:val="20"/>
          <w:szCs w:val="20"/>
          <w:color w:val="auto"/>
        </w:rPr>
      </w:pPr>
      <w:r>
        <w:rPr>
          <w:rFonts w:ascii="Arial" w:cs="Arial" w:eastAsia="Arial" w:hAnsi="Arial"/>
          <w:sz w:val="17"/>
          <w:szCs w:val="17"/>
          <w:color w:val="auto"/>
        </w:rPr>
        <w:t>5.4.</w:t>
      </w:r>
      <w:r>
        <w:rPr>
          <w:sz w:val="20"/>
          <w:szCs w:val="20"/>
          <w:color w:val="auto"/>
        </w:rPr>
        <w:t xml:space="preserve"> </w:t>
      </w:r>
      <w:r>
        <w:rPr>
          <w:rFonts w:ascii="Arial" w:cs="Arial" w:eastAsia="Arial" w:hAnsi="Arial"/>
          <w:sz w:val="17"/>
          <w:szCs w:val="17"/>
          <w:u w:val="single" w:color="auto"/>
          <w:color w:val="auto"/>
        </w:rPr>
        <w:t>Number of Shares</w:t>
      </w:r>
      <w:r>
        <w:rPr>
          <w:rFonts w:ascii="Arial" w:cs="Arial" w:eastAsia="Arial" w:hAnsi="Arial"/>
          <w:sz w:val="17"/>
          <w:szCs w:val="17"/>
          <w:color w:val="auto"/>
        </w:rPr>
        <w:t>. Each Stock Option Agreement shall specify the number of Shares over which</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Option is granted and shall provide for the adjustment as provided in Article 7. An Optionee may elect, upon exercise of an Option, to acquire Ordinary Shares of the Company.</w:t>
      </w:r>
    </w:p>
    <w:p>
      <w:pPr>
        <w:spacing w:after="0" w:line="150" w:lineRule="exact"/>
        <w:rPr>
          <w:sz w:val="20"/>
          <w:szCs w:val="20"/>
          <w:color w:val="auto"/>
        </w:rPr>
      </w:pPr>
    </w:p>
    <w:p>
      <w:pPr>
        <w:ind w:left="60" w:right="360" w:hanging="618"/>
        <w:spacing w:after="0" w:line="274" w:lineRule="auto"/>
        <w:tabs>
          <w:tab w:leader="none" w:pos="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u w:val="single" w:color="auto"/>
          <w:color w:val="auto"/>
        </w:rPr>
        <w:t>Exercise Price</w:t>
      </w:r>
      <w:r>
        <w:rPr>
          <w:rFonts w:ascii="Arial" w:cs="Arial" w:eastAsia="Arial" w:hAnsi="Arial"/>
          <w:sz w:val="17"/>
          <w:szCs w:val="17"/>
          <w:color w:val="auto"/>
        </w:rPr>
        <w:t>. Each Stock Option Agreement shall specify the Exercise Price. The Exercise Price shall not be less than 100%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Market Value of a Share on the Date of Grant.</w:t>
      </w:r>
    </w:p>
    <w:p>
      <w:pPr>
        <w:spacing w:after="0" w:line="147" w:lineRule="exact"/>
        <w:rPr>
          <w:sz w:val="20"/>
          <w:szCs w:val="20"/>
          <w:color w:val="auto"/>
        </w:rPr>
      </w:pPr>
    </w:p>
    <w:p>
      <w:pPr>
        <w:jc w:val="both"/>
        <w:ind w:left="20" w:hanging="618"/>
        <w:spacing w:after="0" w:line="236" w:lineRule="auto"/>
        <w:rPr>
          <w:sz w:val="20"/>
          <w:szCs w:val="20"/>
          <w:color w:val="auto"/>
        </w:rPr>
      </w:pPr>
      <w:r>
        <w:rPr>
          <w:rFonts w:ascii="Arial" w:cs="Arial" w:eastAsia="Arial" w:hAnsi="Arial"/>
          <w:sz w:val="17"/>
          <w:szCs w:val="17"/>
          <w:color w:val="auto"/>
        </w:rPr>
        <w:t>5.6.</w:t>
      </w:r>
      <w:r>
        <w:rPr>
          <w:sz w:val="20"/>
          <w:szCs w:val="20"/>
          <w:color w:val="auto"/>
        </w:rPr>
        <w:t xml:space="preserve"> </w:t>
      </w:r>
      <w:r>
        <w:rPr>
          <w:rFonts w:ascii="Arial" w:cs="Arial" w:eastAsia="Arial" w:hAnsi="Arial"/>
          <w:sz w:val="17"/>
          <w:szCs w:val="17"/>
          <w:u w:val="single" w:color="auto"/>
          <w:color w:val="auto"/>
        </w:rPr>
        <w:t>Exercisability and Term</w:t>
      </w:r>
      <w:r>
        <w:rPr>
          <w:rFonts w:ascii="Arial" w:cs="Arial" w:eastAsia="Arial" w:hAnsi="Arial"/>
          <w:sz w:val="17"/>
          <w:szCs w:val="17"/>
          <w:color w:val="auto"/>
        </w:rPr>
        <w:t>. Each Stock Option Agreement shall specify the date when all or any instalment of the Option may be exercised.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Option Agreement shall also specify the term of the Option; provided that the term of an Option shall in no event exceed 10 years from the date of grant. Notwithstanding the foregoing, if the Option would expire at a time when the exercise or sale of Shares is prohibited by the Company Share Trading Policy or by applicable securities laws or regulations restricting insider trading, then the Option expiry shall be automatically extended until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trading day following the expiration of such prohibition; provided, however, that in no event shall</w:t>
      </w:r>
    </w:p>
    <w:p>
      <w:pPr>
        <w:spacing w:after="0" w:line="4" w:lineRule="exact"/>
        <w:rPr>
          <w:sz w:val="20"/>
          <w:szCs w:val="20"/>
          <w:color w:val="auto"/>
        </w:rPr>
      </w:pPr>
    </w:p>
    <w:p>
      <w:pPr>
        <w:jc w:val="both"/>
        <w:ind w:left="140"/>
        <w:spacing w:after="0" w:line="243" w:lineRule="auto"/>
        <w:rPr>
          <w:sz w:val="20"/>
          <w:szCs w:val="20"/>
          <w:color w:val="auto"/>
        </w:rPr>
      </w:pPr>
      <w:r>
        <w:rPr>
          <w:rFonts w:ascii="Arial" w:cs="Arial" w:eastAsia="Arial" w:hAnsi="Arial"/>
          <w:sz w:val="17"/>
          <w:szCs w:val="17"/>
          <w:color w:val="auto"/>
        </w:rPr>
        <w:t>such extension cause the Option to remain exercisable beyond the date that is ten (10) years from the Date of Grant. A Stock Option Agreement may provide for accelerated exercisability in the event of the Optionee’s death or disability or other events and may provide for expiration prior to the end of its term in the event of the termination of the Optionee’s engagement or office with the Company or any Subsidiary, or otherwise.</w:t>
      </w:r>
    </w:p>
    <w:p>
      <w:pPr>
        <w:spacing w:after="0" w:line="172" w:lineRule="exact"/>
        <w:rPr>
          <w:sz w:val="20"/>
          <w:szCs w:val="20"/>
          <w:color w:val="auto"/>
        </w:rPr>
      </w:pPr>
    </w:p>
    <w:p>
      <w:pPr>
        <w:jc w:val="both"/>
        <w:ind w:right="320" w:hanging="618"/>
        <w:spacing w:after="0" w:line="255" w:lineRule="auto"/>
        <w:rPr>
          <w:sz w:val="20"/>
          <w:szCs w:val="20"/>
          <w:color w:val="auto"/>
        </w:rPr>
      </w:pPr>
      <w:r>
        <w:rPr>
          <w:rFonts w:ascii="Arial" w:cs="Arial" w:eastAsia="Arial" w:hAnsi="Arial"/>
          <w:sz w:val="17"/>
          <w:szCs w:val="17"/>
          <w:color w:val="auto"/>
        </w:rPr>
        <w:t>5.7.</w:t>
      </w:r>
      <w:r>
        <w:rPr>
          <w:sz w:val="20"/>
          <w:szCs w:val="20"/>
          <w:color w:val="auto"/>
        </w:rPr>
        <w:t xml:space="preserve"> </w:t>
      </w:r>
      <w:r>
        <w:rPr>
          <w:rFonts w:ascii="Arial" w:cs="Arial" w:eastAsia="Arial" w:hAnsi="Arial"/>
          <w:sz w:val="17"/>
          <w:szCs w:val="17"/>
          <w:u w:val="single" w:color="auto"/>
          <w:color w:val="auto"/>
        </w:rPr>
        <w:t>Acceleration Upon Change in Control</w:t>
      </w:r>
      <w:r>
        <w:rPr>
          <w:rFonts w:ascii="Arial" w:cs="Arial" w:eastAsia="Arial" w:hAnsi="Arial"/>
          <w:sz w:val="17"/>
          <w:szCs w:val="17"/>
          <w:color w:val="auto"/>
        </w:rPr>
        <w:t>. The Committee may determine, at the time of granting an Option or thereafter, that such Option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become exercisable as to all or part of the Shares subject to such Option in the event that a Change in Control occurs with respect to the Company.</w:t>
      </w:r>
    </w:p>
    <w:p>
      <w:pPr>
        <w:spacing w:after="0" w:line="163" w:lineRule="exact"/>
        <w:rPr>
          <w:sz w:val="20"/>
          <w:szCs w:val="20"/>
          <w:color w:val="auto"/>
        </w:rPr>
      </w:pPr>
    </w:p>
    <w:p>
      <w:pPr>
        <w:jc w:val="both"/>
        <w:ind w:left="100" w:right="60" w:hanging="618"/>
        <w:spacing w:after="0" w:line="244" w:lineRule="auto"/>
        <w:tabs>
          <w:tab w:leader="none" w:pos="8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u w:val="single" w:color="auto"/>
          <w:color w:val="auto"/>
        </w:rPr>
        <w:t>Modification or Assumption of Options</w:t>
      </w:r>
      <w:r>
        <w:rPr>
          <w:rFonts w:ascii="Arial" w:cs="Arial" w:eastAsia="Arial" w:hAnsi="Arial"/>
          <w:sz w:val="17"/>
          <w:szCs w:val="17"/>
          <w:color w:val="auto"/>
        </w:rPr>
        <w:t>. Within the limitations of the Plan, the Committee may modify, extend or assume (i.e., succeed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operation of contract to all rights and obligations under) outstanding Options or accept the cancellation of outstanding options (whether granted by the Company or by another issuer) in return for the grant of new Options for the same or a different number of Shares and at the same or a different Exercise Price. Notwithstanding the foregoing, except as provided in the first sentence of Section 7.1 hereof, unless the approval of shareholders of the Company is obtained, Options issued under the Plan shall not be amended to lower their Exercise Price, Options issued under the Plan will not be exchanged for other Options with lower Exercise Prices, and no other action shall be taken with respect to Options that would be treated as a repricing under the rules of the principal stock exchange on which the Shares are listed. Any other provision of the Plan notwithstanding, no modification of an Option shall, without the consent of the Optionee, impair his or her rights or obligations under such Option.</w:t>
      </w:r>
    </w:p>
    <w:p>
      <w:pPr>
        <w:sectPr>
          <w:pgSz w:w="11900" w:h="16838" w:orient="portrait"/>
          <w:cols w:equalWidth="0" w:num="1">
            <w:col w:w="10760"/>
          </w:cols>
          <w:pgMar w:left="800" w:top="11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9"/>
          <w:szCs w:val="1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480" w:right="240" w:hanging="618"/>
        <w:spacing w:after="0" w:line="263" w:lineRule="auto"/>
        <w:tabs>
          <w:tab w:leader="none" w:pos="46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7"/>
          <w:szCs w:val="17"/>
          <w:u w:val="single" w:color="auto"/>
          <w:color w:val="auto"/>
        </w:rPr>
        <w:t>Liquidation</w:t>
      </w:r>
      <w:r>
        <w:rPr>
          <w:rFonts w:ascii="Arial" w:cs="Arial" w:eastAsia="Arial" w:hAnsi="Arial"/>
          <w:sz w:val="17"/>
          <w:szCs w:val="17"/>
          <w:color w:val="auto"/>
        </w:rPr>
        <w:t>. In the event of the liquidation, dissolution or other winding up of the Company, all Options shall cease to be exercisable (unless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Committee at its sole discretion shall determine otherwise). Optionees shall not be entitled to damages or other compensation of any kind.</w:t>
      </w:r>
    </w:p>
    <w:p>
      <w:pPr>
        <w:spacing w:after="0" w:line="387"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PAYMENT FOR OPTION SHARES</w:t>
      </w:r>
    </w:p>
    <w:p>
      <w:pPr>
        <w:spacing w:after="0" w:line="193" w:lineRule="exact"/>
        <w:rPr>
          <w:sz w:val="20"/>
          <w:szCs w:val="20"/>
          <w:color w:val="auto"/>
        </w:rPr>
      </w:pPr>
    </w:p>
    <w:p>
      <w:pPr>
        <w:jc w:val="both"/>
        <w:ind w:left="480" w:right="180" w:hanging="618"/>
        <w:spacing w:after="0" w:line="263" w:lineRule="auto"/>
        <w:tabs>
          <w:tab w:leader="none" w:pos="46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u w:val="single" w:color="auto"/>
          <w:color w:val="auto"/>
        </w:rPr>
        <w:t>General Rule</w:t>
      </w:r>
      <w:r>
        <w:rPr>
          <w:rFonts w:ascii="Arial" w:cs="Arial" w:eastAsia="Arial" w:hAnsi="Arial"/>
          <w:sz w:val="17"/>
          <w:szCs w:val="17"/>
          <w:color w:val="auto"/>
        </w:rPr>
        <w:t>. The entire Exercise Price of Shares issued upon exercise of Options shall be payable in cash at the time when such Shares</w:t>
      </w:r>
      <w:r>
        <w:rPr>
          <w:rFonts w:ascii="Arial" w:cs="Arial" w:eastAsia="Arial" w:hAnsi="Arial"/>
          <w:sz w:val="17"/>
          <w:szCs w:val="17"/>
          <w:u w:val="single" w:color="auto"/>
          <w:color w:val="auto"/>
        </w:rPr>
        <w:t xml:space="preserve"> </w:t>
      </w:r>
      <w:r>
        <w:rPr>
          <w:rFonts w:ascii="Arial" w:cs="Arial" w:eastAsia="Arial" w:hAnsi="Arial"/>
          <w:sz w:val="17"/>
          <w:szCs w:val="17"/>
          <w:color w:val="auto"/>
        </w:rPr>
        <w:t>are acquired, except that the Stock Option Agreement may specify that payment may be made in any other form(s) described in this Article 6.</w:t>
      </w:r>
    </w:p>
    <w:p>
      <w:pPr>
        <w:spacing w:after="0" w:line="144" w:lineRule="exact"/>
        <w:rPr>
          <w:sz w:val="20"/>
          <w:szCs w:val="20"/>
          <w:color w:val="auto"/>
        </w:rPr>
      </w:pPr>
    </w:p>
    <w:p>
      <w:pPr>
        <w:jc w:val="both"/>
        <w:ind w:left="580" w:hanging="618"/>
        <w:spacing w:after="0" w:line="255" w:lineRule="auto"/>
        <w:tabs>
          <w:tab w:leader="none" w:pos="5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u w:val="single" w:color="auto"/>
          <w:color w:val="auto"/>
        </w:rPr>
        <w:t>Exercise/Sale</w:t>
      </w:r>
      <w:r>
        <w:rPr>
          <w:rFonts w:ascii="Arial" w:cs="Arial" w:eastAsia="Arial" w:hAnsi="Arial"/>
          <w:sz w:val="17"/>
          <w:szCs w:val="17"/>
          <w:color w:val="auto"/>
        </w:rPr>
        <w:t>. If permitted by the applicable Stock Option Agreement, payment may be made by delivery (on a form prescribed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Company) of an undertaking to pay constituted by an irrevocable direction to a securities broker approved by the Company to sell Shares and to deliver all or part of the sales proceeds to the Company in payment of all or part of the Exercise Price and any withholding taxes.</w:t>
      </w:r>
    </w:p>
    <w:p>
      <w:pPr>
        <w:spacing w:after="0" w:line="163" w:lineRule="exact"/>
        <w:rPr>
          <w:sz w:val="20"/>
          <w:szCs w:val="20"/>
          <w:color w:val="auto"/>
        </w:rPr>
      </w:pPr>
    </w:p>
    <w:p>
      <w:pPr>
        <w:jc w:val="both"/>
        <w:ind w:left="500" w:hanging="618"/>
        <w:spacing w:after="0" w:line="274" w:lineRule="auto"/>
        <w:tabs>
          <w:tab w:leader="none" w:pos="48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u w:val="single" w:color="auto"/>
          <w:color w:val="auto"/>
        </w:rPr>
        <w:t>Other forms of Payment</w:t>
      </w:r>
      <w:r>
        <w:rPr>
          <w:rFonts w:ascii="Arial" w:cs="Arial" w:eastAsia="Arial" w:hAnsi="Arial"/>
          <w:sz w:val="17"/>
          <w:szCs w:val="17"/>
          <w:color w:val="auto"/>
        </w:rPr>
        <w:t>. If permitted by the applicable Stock Option Agreement, payment may be made in any other form that is consistent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applicable laws, regulations and rules.</w:t>
      </w:r>
    </w:p>
    <w:p>
      <w:pPr>
        <w:spacing w:after="0" w:line="145"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 OF SHARES</w:t>
      </w:r>
    </w:p>
    <w:p>
      <w:pPr>
        <w:spacing w:after="0" w:line="193" w:lineRule="exact"/>
        <w:rPr>
          <w:sz w:val="20"/>
          <w:szCs w:val="20"/>
          <w:color w:val="auto"/>
        </w:rPr>
      </w:pPr>
    </w:p>
    <w:p>
      <w:pPr>
        <w:jc w:val="both"/>
        <w:ind w:left="480" w:hanging="618"/>
        <w:spacing w:after="0" w:line="244" w:lineRule="auto"/>
        <w:tabs>
          <w:tab w:leader="none" w:pos="4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 subdivision of the Shares; a declaration of a dividend payable in Shares; a declaration of a dividend payable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under the Plan, the Committee shall make appropriate adjustments in one or more of (a) the number and kind of Shares available for future Awards under Article 3; (b) the definitions of Share and/or Ordinary Share; (c) the number and kind of Shares covered by each outstanding Option and (d) the Exercise Price under each outstanding Option (provided that the Exercise Price may not be reduced below the nominal value of a Share).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173" w:lineRule="exact"/>
        <w:rPr>
          <w:sz w:val="20"/>
          <w:szCs w:val="20"/>
          <w:color w:val="auto"/>
        </w:rPr>
      </w:pPr>
    </w:p>
    <w:p>
      <w:pPr>
        <w:jc w:val="both"/>
        <w:ind w:left="580" w:hanging="618"/>
        <w:spacing w:after="0" w:line="242" w:lineRule="auto"/>
        <w:tabs>
          <w:tab w:leader="none" w:pos="56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u w:val="single" w:color="auto"/>
          <w:color w:val="auto"/>
        </w:rPr>
        <w:t>Reorganisation</w:t>
      </w:r>
      <w:r>
        <w:rPr>
          <w:rFonts w:ascii="Arial" w:cs="Arial" w:eastAsia="Arial" w:hAnsi="Arial"/>
          <w:sz w:val="17"/>
          <w:szCs w:val="17"/>
          <w:color w:val="auto"/>
        </w:rPr>
        <w:t>. In the event that the Company is a party to a merger, takeover, Change in Control or other reorganization, outstanding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Options shall be subject to the agreement of merger or reorganization, the terms of the relevant scheme of arrangement or other applicable transaction agreement. Such agreement may provide, without limitation, for one or more of the following: (a) the continuation or assumption of outstanding Awards by the Company or the surviving company (the term “surviving company” for purposes of this Section 7.2 shall include reference to an acquiring company in a takeover situation) or its parent; (b)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(c) cancellation of all or any portion of the outstanding Awards (and the expiration of the balance, as appropriate) in exchange for a cash payment of the excess, if any, of the Market Value at the date of cancellation of the Shares subject to such outstanding Awards or portion thereof being cancelled over the aggregate Exercise Price, with respect to such Awards or portion thereof being cancelled; or (d) the acceleration of the vesting and exercisability of all or a portion of such outstanding Awards (and the expiration of the balance, as appropriate) to take effect at such time before or after completion of the merger, takeover, Change in Control or other reorganization as the Committee shall in its absolute discretion determine, followed by the lapse of any such Awards not so exercised, all in any case without the Optionee’s consent. In the event that the</w:t>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9"/>
          <w:szCs w:val="19"/>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20"/>
        <w:spacing w:after="0" w:line="274" w:lineRule="auto"/>
        <w:rPr>
          <w:sz w:val="20"/>
          <w:szCs w:val="20"/>
          <w:color w:val="auto"/>
        </w:rPr>
      </w:pPr>
      <w:r>
        <w:rPr>
          <w:rFonts w:ascii="Arial" w:cs="Arial" w:eastAsia="Arial" w:hAnsi="Arial"/>
          <w:sz w:val="17"/>
          <w:szCs w:val="17"/>
          <w:color w:val="auto"/>
        </w:rPr>
        <w:t>relevant transaction agreement or document does not provide for any of the above, the Board has discretion to determine whether any one or more of (a) to (d) will apply to all or any portion of such outstanding Awards.</w:t>
      </w:r>
    </w:p>
    <w:p>
      <w:pPr>
        <w:spacing w:after="0" w:line="200" w:lineRule="exact"/>
        <w:rPr>
          <w:sz w:val="20"/>
          <w:szCs w:val="20"/>
          <w:color w:val="auto"/>
        </w:rPr>
      </w:pPr>
    </w:p>
    <w:p>
      <w:pPr>
        <w:spacing w:after="0" w:line="331"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 ON RIGHTS</w:t>
      </w:r>
    </w:p>
    <w:p>
      <w:pPr>
        <w:spacing w:after="0" w:line="206" w:lineRule="exact"/>
        <w:rPr>
          <w:sz w:val="20"/>
          <w:szCs w:val="20"/>
          <w:color w:val="auto"/>
        </w:rPr>
      </w:pPr>
    </w:p>
    <w:p>
      <w:pPr>
        <w:ind w:left="480" w:right="20" w:hanging="618"/>
        <w:spacing w:after="0" w:line="246" w:lineRule="auto"/>
        <w:tabs>
          <w:tab w:leader="none" w:pos="4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u w:val="single" w:color="auto"/>
          <w:color w:val="auto"/>
        </w:rPr>
        <w:t>Retention Rights and Cessation of Engagement</w:t>
      </w:r>
      <w:r>
        <w:rPr>
          <w:rFonts w:ascii="Arial" w:cs="Arial" w:eastAsia="Arial" w:hAnsi="Arial"/>
          <w:sz w:val="17"/>
          <w:szCs w:val="17"/>
          <w:color w:val="auto"/>
        </w:rPr>
        <w:t>. Neither the Plan nor any Option granted under the Plan shall be deemed to give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individual a right to be or remain an employee, or a Consultant or director of the Company or a Subsidiary. The Company and its Subsidiaries reserve the right to terminate the service or engagement of any party at any time, with or without cause, subject to applicable laws, the Company’s Memorandum and Articles of Association and contractual agreement (if any). Under no circumstances will any Optionee ceasing to be a Consultant be entitled to any compensation for any loss of any right or benefit or prospective right or benefit under the Plan which he might otherwise have enjoyed whether such compensation is claimed by way of damages for wrongful dismissal or removal or other breach of contract or by way of compensation for loss of office or otherwise howsoever.</w:t>
      </w:r>
    </w:p>
    <w:p>
      <w:pPr>
        <w:spacing w:after="0" w:line="157" w:lineRule="exact"/>
        <w:rPr>
          <w:sz w:val="20"/>
          <w:szCs w:val="20"/>
          <w:color w:val="auto"/>
        </w:rPr>
      </w:pPr>
    </w:p>
    <w:p>
      <w:pPr>
        <w:ind w:left="480" w:right="20" w:hanging="618"/>
        <w:spacing w:after="0" w:line="255" w:lineRule="auto"/>
        <w:tabs>
          <w:tab w:leader="none" w:pos="4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u w:val="single" w:color="auto"/>
          <w:color w:val="auto"/>
        </w:rPr>
        <w:t>Shareholders’ Rights</w:t>
      </w:r>
      <w:r>
        <w:rPr>
          <w:rFonts w:ascii="Arial" w:cs="Arial" w:eastAsia="Arial" w:hAnsi="Arial"/>
          <w:sz w:val="17"/>
          <w:szCs w:val="17"/>
          <w:color w:val="auto"/>
        </w:rPr>
        <w:t>. An Optionee shall have no dividend rights, voting rights or other rights as a shareholder with respect to any Shares</w:t>
      </w:r>
      <w:r>
        <w:rPr>
          <w:rFonts w:ascii="Arial" w:cs="Arial" w:eastAsia="Arial" w:hAnsi="Arial"/>
          <w:sz w:val="17"/>
          <w:szCs w:val="17"/>
          <w:u w:val="single" w:color="auto"/>
          <w:color w:val="auto"/>
        </w:rPr>
        <w:t xml:space="preserve"> </w:t>
      </w:r>
      <w:r>
        <w:rPr>
          <w:rFonts w:ascii="Arial" w:cs="Arial" w:eastAsia="Arial" w:hAnsi="Arial"/>
          <w:sz w:val="17"/>
          <w:szCs w:val="17"/>
          <w:color w:val="auto"/>
        </w:rPr>
        <w:t>covered by 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149" w:lineRule="exact"/>
        <w:rPr>
          <w:sz w:val="20"/>
          <w:szCs w:val="20"/>
          <w:color w:val="auto"/>
        </w:rPr>
      </w:pPr>
    </w:p>
    <w:p>
      <w:pPr>
        <w:ind w:left="480" w:right="180" w:hanging="618"/>
        <w:spacing w:after="0" w:line="250" w:lineRule="auto"/>
        <w:tabs>
          <w:tab w:leader="none" w:pos="46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u w:val="single" w:color="auto"/>
          <w:color w:val="auto"/>
        </w:rPr>
        <w:t>Regulatory Requirements</w:t>
      </w:r>
      <w:r>
        <w:rPr>
          <w:rFonts w:ascii="Arial" w:cs="Arial" w:eastAsia="Arial" w:hAnsi="Arial"/>
          <w:sz w:val="17"/>
          <w:szCs w:val="17"/>
          <w:color w:val="auto"/>
        </w:rPr>
        <w:t>. Any other provision of the Plan notwithstanding, the obligation of the Company to issue Shares under the Plan</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be 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66" w:lineRule="exact"/>
        <w:rPr>
          <w:sz w:val="20"/>
          <w:szCs w:val="20"/>
          <w:color w:val="auto"/>
        </w:rPr>
      </w:pPr>
    </w:p>
    <w:p>
      <w:pPr>
        <w:ind w:left="620" w:hanging="617"/>
        <w:spacing w:after="0"/>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TAXES</w:t>
      </w:r>
    </w:p>
    <w:p>
      <w:pPr>
        <w:spacing w:after="0" w:line="193" w:lineRule="exact"/>
        <w:rPr>
          <w:sz w:val="20"/>
          <w:szCs w:val="20"/>
          <w:color w:val="auto"/>
        </w:rPr>
      </w:pPr>
    </w:p>
    <w:p>
      <w:pPr>
        <w:ind w:left="480" w:right="80" w:hanging="618"/>
        <w:spacing w:after="0" w:line="245" w:lineRule="auto"/>
        <w:tabs>
          <w:tab w:leader="none" w:pos="46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u w:val="single" w:color="auto"/>
          <w:color w:val="auto"/>
        </w:rPr>
        <w:t>Withholding Tax</w:t>
      </w:r>
      <w:r>
        <w:rPr>
          <w:rFonts w:ascii="Arial" w:cs="Arial" w:eastAsia="Arial" w:hAnsi="Arial"/>
          <w:sz w:val="17"/>
          <w:szCs w:val="17"/>
          <w:color w:val="auto"/>
        </w:rPr>
        <w:t>. The Company or any Subsidiary is authorized to withhold from any Award granted, any payment relating to an Award under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Plan, including from a distribution of Shares, or any payment to a Consultant, amounts of withholding social insurance, levies and other taxes due in connection with any transaction involving an Award, and to take such other action as the Committee may deem advisable to enable the Company and Consultant to satisfy obligations for the payment of withholding taxes and other tax obligations relating to any Award. This authority shall include authority to withhold or receive Shares or other property and to make cash payments in respect thereof in satisfaction of a Consultant’s tax obligations; provided, however, that the amount of tax withholding to be satisfied by withholding Shares shall be limited to the minimum amount of taxes and any amount of social insurance and/or levies, including employment taxes, required to be withheld under applicable law in any relevant jurisdiction (including, without limitation, Federal, state and local law in the United States and the laws of Ireland or any other jurisdiction in which the Consultant is subject to tax).</w:t>
      </w:r>
    </w:p>
    <w:p>
      <w:pPr>
        <w:spacing w:after="0" w:line="164" w:lineRule="exact"/>
        <w:rPr>
          <w:sz w:val="20"/>
          <w:szCs w:val="20"/>
          <w:color w:val="auto"/>
        </w:rPr>
      </w:pPr>
    </w:p>
    <w:p>
      <w:pPr>
        <w:ind w:left="480" w:right="60" w:hanging="618"/>
        <w:spacing w:after="0" w:line="255" w:lineRule="auto"/>
        <w:tabs>
          <w:tab w:leader="none" w:pos="46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u w:val="single" w:color="auto"/>
          <w:color w:val="auto"/>
        </w:rPr>
        <w:t>Section 409A</w:t>
      </w:r>
      <w:r>
        <w:rPr>
          <w:rFonts w:ascii="Arial" w:cs="Arial" w:eastAsia="Arial" w:hAnsi="Arial"/>
          <w:sz w:val="17"/>
          <w:szCs w:val="17"/>
          <w:color w:val="auto"/>
        </w:rPr>
        <w:t>. It is intended that the Plan and Awards issued thereunder will comply with Section 409A of the Code (and any regulations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9"/>
          <w:szCs w:val="19"/>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20" w:hanging="617"/>
        <w:spacing w:after="0"/>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FUTURE OF THE PLAN</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u w:val="single" w:color="auto"/>
          <w:color w:val="auto"/>
        </w:rPr>
        <w:t>Term of the Plan</w:t>
      </w:r>
      <w:r>
        <w:rPr>
          <w:rFonts w:ascii="Arial" w:cs="Arial" w:eastAsia="Arial" w:hAnsi="Arial"/>
          <w:sz w:val="16"/>
          <w:szCs w:val="16"/>
          <w:color w:val="auto"/>
        </w:rPr>
        <w:t>. The Plan was originally effective upon its approval by the Company’s shareholders at an Annual General Meeting held on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 July 2008, was amended and restated pursuant to a resolution of Directors dated 14 February 2017 and was further amended pursuant to a</w:t>
      </w:r>
    </w:p>
    <w:p>
      <w:pPr>
        <w:spacing w:after="0" w:line="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resolution of Directors 20 October 2026. The Plan shall remain in effect until it is terminated under Section 10.2, except that no Option shall be granted after the 14 February 2037.</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Amendment or Termination</w:t>
      </w:r>
      <w:r>
        <w:rPr>
          <w:rFonts w:ascii="Arial" w:cs="Arial" w:eastAsia="Arial" w:hAnsi="Arial"/>
          <w:sz w:val="17"/>
          <w:szCs w:val="17"/>
          <w:color w:val="auto"/>
        </w:rPr>
        <w:t>. The Board may, at any time and for any reason, amend or terminate the Plan. An amendment of the Plan shall be subject to the approval of the Company’s shareholders only to the extent required by applicable laws, regulations or rules. No Awards shall be granted under the Plan after the termination thereof. The termination of the Plan shall not affect any Option previously granted under the Plan. Notwithstanding such termination, the Company shall continue to act, administer and manage the Plan in accordance with its terms. Plan amendments may affect Options which have previously been granted under the Plan; provided, however, that no amendment to the Plan which would adversely affect the rights of an Optionee in respect of an Option previously granted to them shall apply to such existing Option without the consent of the Optionee.</w:t>
      </w:r>
    </w:p>
    <w:p>
      <w:pPr>
        <w:spacing w:after="0" w:line="160" w:lineRule="exact"/>
        <w:rPr>
          <w:sz w:val="20"/>
          <w:szCs w:val="20"/>
          <w:color w:val="auto"/>
        </w:rPr>
      </w:pPr>
    </w:p>
    <w:p>
      <w:pPr>
        <w:ind w:left="420" w:hanging="417"/>
        <w:spacing w:after="0"/>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DEFINITIONS</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b w:val="1"/>
          <w:bCs w:val="1"/>
          <w:color w:val="auto"/>
        </w:rPr>
        <w:t xml:space="preserve">Award </w:t>
      </w:r>
      <w:r>
        <w:rPr>
          <w:rFonts w:ascii="Arial" w:cs="Arial" w:eastAsia="Arial" w:hAnsi="Arial"/>
          <w:sz w:val="16"/>
          <w:szCs w:val="16"/>
          <w:color w:val="auto"/>
        </w:rPr>
        <w:t>means any grant of an Option under the Plan.</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Company’s Board of Directors, as constituted from time to time.</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means:</w:t>
      </w:r>
    </w:p>
    <w:p>
      <w:pPr>
        <w:spacing w:after="0" w:line="206" w:lineRule="exact"/>
        <w:rPr>
          <w:sz w:val="20"/>
          <w:szCs w:val="20"/>
          <w:color w:val="auto"/>
        </w:rPr>
      </w:pPr>
    </w:p>
    <w:p>
      <w:pPr>
        <w:jc w:val="both"/>
        <w:ind w:left="1240" w:right="120" w:hanging="556"/>
        <w:spacing w:after="0" w:line="250" w:lineRule="auto"/>
        <w:tabs>
          <w:tab w:leader="none" w:pos="12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142" w:lineRule="exact"/>
        <w:rPr>
          <w:rFonts w:ascii="Arial" w:cs="Arial" w:eastAsia="Arial" w:hAnsi="Arial"/>
          <w:sz w:val="17"/>
          <w:szCs w:val="17"/>
          <w:color w:val="auto"/>
        </w:rPr>
      </w:pPr>
    </w:p>
    <w:p>
      <w:pPr>
        <w:ind w:left="1220" w:hanging="536"/>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sale, transfer or other disposition of all or substantially all of the Company’s assets;</w:t>
      </w:r>
    </w:p>
    <w:p>
      <w:pPr>
        <w:spacing w:after="0" w:line="204" w:lineRule="exact"/>
        <w:rPr>
          <w:rFonts w:ascii="Arial" w:cs="Arial" w:eastAsia="Arial" w:hAnsi="Arial"/>
          <w:sz w:val="17"/>
          <w:szCs w:val="17"/>
          <w:color w:val="auto"/>
        </w:rPr>
      </w:pPr>
    </w:p>
    <w:p>
      <w:pPr>
        <w:jc w:val="both"/>
        <w:ind w:left="1240" w:right="60" w:hanging="556"/>
        <w:spacing w:after="0" w:line="250" w:lineRule="auto"/>
        <w:tabs>
          <w:tab w:leader="none" w:pos="12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167" w:lineRule="exact"/>
        <w:rPr>
          <w:rFonts w:ascii="Arial" w:cs="Arial" w:eastAsia="Arial" w:hAnsi="Arial"/>
          <w:sz w:val="17"/>
          <w:szCs w:val="17"/>
          <w:color w:val="auto"/>
        </w:rPr>
      </w:pPr>
    </w:p>
    <w:p>
      <w:pPr>
        <w:jc w:val="both"/>
        <w:ind w:left="1240" w:hanging="556"/>
        <w:spacing w:after="0" w:line="244" w:lineRule="auto"/>
        <w:tabs>
          <w:tab w:leader="none" w:pos="12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174" w:lineRule="exact"/>
        <w:rPr>
          <w:sz w:val="20"/>
          <w:szCs w:val="20"/>
          <w:color w:val="auto"/>
        </w:rPr>
      </w:pPr>
    </w:p>
    <w:p>
      <w:pPr>
        <w:ind w:left="680" w:right="320"/>
        <w:spacing w:after="0" w:line="274" w:lineRule="auto"/>
        <w:rPr>
          <w:sz w:val="20"/>
          <w:szCs w:val="20"/>
          <w:color w:val="auto"/>
        </w:rPr>
      </w:pPr>
      <w:r>
        <w:rPr>
          <w:rFonts w:ascii="Arial" w:cs="Arial" w:eastAsia="Arial" w:hAnsi="Arial"/>
          <w:sz w:val="17"/>
          <w:szCs w:val="17"/>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9"/>
          <w:szCs w:val="19"/>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US Internal Revenue Code of 1986, as amended.</w:t>
      </w:r>
    </w:p>
    <w:p>
      <w:pPr>
        <w:spacing w:after="0" w:line="204" w:lineRule="exact"/>
        <w:rPr>
          <w:sz w:val="20"/>
          <w:szCs w:val="20"/>
          <w:color w:val="auto"/>
        </w:rPr>
      </w:pPr>
    </w:p>
    <w:p>
      <w:pPr>
        <w:ind w:right="800"/>
        <w:spacing w:after="0" w:line="276"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color w:val="auto"/>
        </w:rPr>
        <w:t>Committee</w:t>
      </w:r>
      <w:r>
        <w:rPr>
          <w:rFonts w:ascii="Arial" w:cs="Arial" w:eastAsia="Arial" w:hAnsi="Arial"/>
          <w:sz w:val="17"/>
          <w:szCs w:val="17"/>
          <w:color w:val="auto"/>
        </w:rPr>
        <w:t xml:space="preserve"> means the Compensation Committee of the Board or such other committee of the Board, as the Board may appoint to administer the Plan from time to time.</w:t>
      </w:r>
    </w:p>
    <w:p>
      <w:pPr>
        <w:spacing w:after="0" w:line="143"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ICON plc, an Irish corporation and its successor corporations.</w:t>
      </w:r>
    </w:p>
    <w:p>
      <w:pPr>
        <w:spacing w:after="0" w:line="204" w:lineRule="exact"/>
        <w:rPr>
          <w:sz w:val="20"/>
          <w:szCs w:val="20"/>
          <w:color w:val="auto"/>
        </w:rPr>
      </w:pPr>
    </w:p>
    <w:p>
      <w:pPr>
        <w:ind w:left="560" w:right="260" w:hanging="618"/>
        <w:spacing w:after="0" w:line="276" w:lineRule="auto"/>
        <w:tabs>
          <w:tab w:leader="none" w:pos="54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b w:val="1"/>
          <w:bCs w:val="1"/>
          <w:color w:val="auto"/>
        </w:rPr>
        <w:t xml:space="preserve">Consultant </w:t>
      </w:r>
      <w:r>
        <w:rPr>
          <w:rFonts w:ascii="Arial" w:cs="Arial" w:eastAsia="Arial" w:hAnsi="Arial"/>
          <w:sz w:val="17"/>
          <w:szCs w:val="17"/>
          <w:color w:val="auto"/>
        </w:rPr>
        <w:t>means a consultant or adviser or non-executive director retained by the Company or any Subsidiary to render services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Subsidiary.</w:t>
      </w:r>
    </w:p>
    <w:p>
      <w:pPr>
        <w:spacing w:after="0" w:line="143" w:lineRule="exact"/>
        <w:rPr>
          <w:sz w:val="20"/>
          <w:szCs w:val="20"/>
          <w:color w:val="auto"/>
        </w:rPr>
      </w:pPr>
    </w:p>
    <w:p>
      <w:pPr>
        <w:ind w:left="580" w:right="180" w:hanging="618"/>
        <w:spacing w:after="0" w:line="276" w:lineRule="auto"/>
        <w:tabs>
          <w:tab w:leader="none" w:pos="56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7"/>
          <w:szCs w:val="17"/>
          <w:b w:val="1"/>
          <w:bCs w:val="1"/>
          <w:color w:val="auto"/>
        </w:rPr>
        <w:t xml:space="preserve">Date of Grant </w:t>
      </w:r>
      <w:r>
        <w:rPr>
          <w:rFonts w:ascii="Arial" w:cs="Arial" w:eastAsia="Arial" w:hAnsi="Arial"/>
          <w:sz w:val="17"/>
          <w:szCs w:val="17"/>
          <w:color w:val="auto"/>
        </w:rPr>
        <w:t>means the date of the Committee resolution under which an Option is granted or as otherwise specified in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approving the Option Grant.</w:t>
      </w:r>
    </w:p>
    <w:p>
      <w:pPr>
        <w:spacing w:after="0" w:line="143" w:lineRule="exact"/>
        <w:rPr>
          <w:sz w:val="20"/>
          <w:szCs w:val="20"/>
          <w:color w:val="auto"/>
        </w:rPr>
      </w:pPr>
    </w:p>
    <w:p>
      <w:pPr>
        <w:ind w:left="560" w:right="340" w:hanging="618"/>
        <w:spacing w:after="0" w:line="292" w:lineRule="auto"/>
        <w:tabs>
          <w:tab w:leader="none" w:pos="54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b w:val="1"/>
          <w:bCs w:val="1"/>
          <w:color w:val="auto"/>
        </w:rPr>
        <w:t xml:space="preserve">Employee Plan </w:t>
      </w:r>
      <w:r>
        <w:rPr>
          <w:rFonts w:ascii="Arial" w:cs="Arial" w:eastAsia="Arial" w:hAnsi="Arial"/>
          <w:sz w:val="17"/>
          <w:szCs w:val="17"/>
          <w:color w:val="auto"/>
        </w:rPr>
        <w:t>means the ICON plc Employee Share Option Plan 2008 established pursuant to a resolution of shareholders passed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date as the resolution approving this Plan.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means the US Securities Exchange Act of 1934, as amended.</w:t>
      </w:r>
    </w:p>
    <w:p>
      <w:pPr>
        <w:spacing w:after="0" w:line="204" w:lineRule="exact"/>
        <w:rPr>
          <w:sz w:val="20"/>
          <w:szCs w:val="20"/>
          <w:color w:val="auto"/>
        </w:rPr>
      </w:pPr>
    </w:p>
    <w:p>
      <w:pPr>
        <w:ind w:left="620" w:right="800" w:hanging="618"/>
        <w:spacing w:after="0" w:line="276"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b w:val="1"/>
          <w:bCs w:val="1"/>
          <w:color w:val="auto"/>
        </w:rPr>
        <w:t>Exercise Price</w:t>
      </w:r>
      <w:r>
        <w:rPr>
          <w:rFonts w:ascii="Arial" w:cs="Arial" w:eastAsia="Arial" w:hAnsi="Arial"/>
          <w:sz w:val="17"/>
          <w:szCs w:val="17"/>
          <w:color w:val="auto"/>
        </w:rPr>
        <w:t xml:space="preserve"> means the amount for which one Share may be acquired upon exercise of an Option, as specified in the applicable Stock Option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b w:val="1"/>
          <w:bCs w:val="1"/>
          <w:color w:val="auto"/>
        </w:rPr>
        <w:t>Internal Revenue Service</w:t>
      </w:r>
      <w:r>
        <w:rPr>
          <w:rFonts w:ascii="Arial" w:cs="Arial" w:eastAsia="Arial" w:hAnsi="Arial"/>
          <w:sz w:val="17"/>
          <w:szCs w:val="17"/>
          <w:color w:val="auto"/>
        </w:rPr>
        <w:t xml:space="preserve"> means the US Internal Revenue Service.</w:t>
      </w:r>
    </w:p>
    <w:p>
      <w:pPr>
        <w:spacing w:after="0" w:line="204" w:lineRule="exact"/>
        <w:rPr>
          <w:sz w:val="20"/>
          <w:szCs w:val="20"/>
          <w:color w:val="auto"/>
        </w:rPr>
      </w:pPr>
    </w:p>
    <w:p>
      <w:pPr>
        <w:ind w:left="620" w:right="60" w:hanging="618"/>
        <w:spacing w:after="0" w:line="248"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b w:val="1"/>
          <w:bCs w:val="1"/>
          <w:color w:val="auto"/>
        </w:rPr>
        <w:t>Market Value</w:t>
      </w:r>
      <w:r>
        <w:rPr>
          <w:rFonts w:ascii="Arial" w:cs="Arial" w:eastAsia="Arial" w:hAnsi="Arial"/>
          <w:sz w:val="17"/>
          <w:szCs w:val="17"/>
          <w:color w:val="auto"/>
        </w:rPr>
        <w:t xml:space="preserve"> means the market price of Shares, determined by the Committee as follows: (i) if Shares are listed on a stock exchange on the date in question, then the Market Value shall be equal to the higher of par and the closing price reported for such date by the applicable composite-transactions report or, if the Shares were not traded on that day, the next preceding day that the Shares were traded; and (ii) if Shares are not traded on a stock exchange on the date in question, the Market Value shall be determined by the Committee in good faith on such basis as it deems appropriate. Whenever possible, the determination of Market Value by the Committee shall be based on the prices reported in The Wall Street Journal, Eastern Edition, USA. Such determination shall be conclusive and binding on all persons.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b w:val="1"/>
          <w:bCs w:val="1"/>
          <w:color w:val="auto"/>
        </w:rPr>
        <w:t>NSO</w:t>
      </w:r>
      <w:r>
        <w:rPr>
          <w:rFonts w:ascii="Arial" w:cs="Arial" w:eastAsia="Arial" w:hAnsi="Arial"/>
          <w:sz w:val="17"/>
          <w:szCs w:val="17"/>
          <w:color w:val="auto"/>
        </w:rPr>
        <w:t xml:space="preserve"> means an employee stock option (within the meaning of the Code) not described in section 422 of the Code.</w:t>
      </w:r>
    </w:p>
    <w:p>
      <w:pPr>
        <w:spacing w:after="0" w:line="204" w:lineRule="exact"/>
        <w:rPr>
          <w:sz w:val="20"/>
          <w:szCs w:val="20"/>
          <w:color w:val="auto"/>
        </w:rPr>
      </w:pPr>
    </w:p>
    <w:p>
      <w:pPr>
        <w:ind w:left="620" w:right="600" w:hanging="618"/>
        <w:spacing w:after="0" w:line="276"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b w:val="1"/>
          <w:bCs w:val="1"/>
          <w:color w:val="auto"/>
        </w:rPr>
        <w:t>Option</w:t>
      </w:r>
      <w:r>
        <w:rPr>
          <w:rFonts w:ascii="Arial" w:cs="Arial" w:eastAsia="Arial" w:hAnsi="Arial"/>
          <w:sz w:val="17"/>
          <w:szCs w:val="17"/>
          <w:color w:val="auto"/>
        </w:rPr>
        <w:t xml:space="preserve"> means a NSO granted under the Plan and entitling the holder to purchase by way of subscription (as such term is understood under Irish law) Shares.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11.16. </w:t>
      </w:r>
      <w:r>
        <w:rPr>
          <w:rFonts w:ascii="Arial" w:cs="Arial" w:eastAsia="Arial" w:hAnsi="Arial"/>
          <w:sz w:val="17"/>
          <w:szCs w:val="17"/>
          <w:b w:val="1"/>
          <w:bCs w:val="1"/>
          <w:color w:val="auto"/>
        </w:rPr>
        <w:t>Optionee</w:t>
      </w:r>
      <w:r>
        <w:rPr>
          <w:rFonts w:ascii="Arial" w:cs="Arial" w:eastAsia="Arial" w:hAnsi="Arial"/>
          <w:sz w:val="17"/>
          <w:szCs w:val="17"/>
          <w:color w:val="auto"/>
        </w:rPr>
        <w:t xml:space="preserve"> means an individual or estate who holds an Option.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11.17. </w:t>
      </w:r>
      <w:r>
        <w:rPr>
          <w:rFonts w:ascii="Arial" w:cs="Arial" w:eastAsia="Arial" w:hAnsi="Arial"/>
          <w:sz w:val="17"/>
          <w:szCs w:val="17"/>
          <w:b w:val="1"/>
          <w:bCs w:val="1"/>
          <w:color w:val="auto"/>
        </w:rPr>
        <w:t>Ordinary Share</w:t>
      </w:r>
      <w:r>
        <w:rPr>
          <w:rFonts w:ascii="Arial" w:cs="Arial" w:eastAsia="Arial" w:hAnsi="Arial"/>
          <w:sz w:val="17"/>
          <w:szCs w:val="17"/>
          <w:color w:val="auto"/>
        </w:rPr>
        <w:t xml:space="preserve"> means one ordinary share in the capital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11.18. </w:t>
      </w:r>
      <w:r>
        <w:rPr>
          <w:rFonts w:ascii="Arial" w:cs="Arial" w:eastAsia="Arial" w:hAnsi="Arial"/>
          <w:sz w:val="17"/>
          <w:szCs w:val="17"/>
          <w:b w:val="1"/>
          <w:bCs w:val="1"/>
          <w:color w:val="auto"/>
        </w:rPr>
        <w:t>Plan</w:t>
      </w:r>
      <w:r>
        <w:rPr>
          <w:rFonts w:ascii="Arial" w:cs="Arial" w:eastAsia="Arial" w:hAnsi="Arial"/>
          <w:sz w:val="17"/>
          <w:szCs w:val="17"/>
          <w:color w:val="auto"/>
        </w:rPr>
        <w:t xml:space="preserve"> means this ICON plc Consultants Share Option Plan 2008, as it may be amended from time to time.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11.19. </w:t>
      </w:r>
      <w:r>
        <w:rPr>
          <w:rFonts w:ascii="Arial" w:cs="Arial" w:eastAsia="Arial" w:hAnsi="Arial"/>
          <w:sz w:val="17"/>
          <w:szCs w:val="17"/>
          <w:b w:val="1"/>
          <w:bCs w:val="1"/>
          <w:color w:val="auto"/>
        </w:rPr>
        <w:t>Securities and Exchange Commission</w:t>
      </w:r>
      <w:r>
        <w:rPr>
          <w:rFonts w:ascii="Arial" w:cs="Arial" w:eastAsia="Arial" w:hAnsi="Arial"/>
          <w:sz w:val="17"/>
          <w:szCs w:val="17"/>
          <w:color w:val="auto"/>
        </w:rPr>
        <w:t xml:space="preserve"> means the US Securities and Exchange Commission.</w:t>
      </w:r>
    </w:p>
    <w:p>
      <w:pPr>
        <w:spacing w:after="0" w:line="204" w:lineRule="exact"/>
        <w:rPr>
          <w:sz w:val="20"/>
          <w:szCs w:val="20"/>
          <w:color w:val="auto"/>
        </w:rPr>
      </w:pPr>
    </w:p>
    <w:p>
      <w:pPr>
        <w:jc w:val="right"/>
        <w:ind w:right="3480"/>
        <w:spacing w:after="0"/>
        <w:rPr>
          <w:sz w:val="20"/>
          <w:szCs w:val="20"/>
          <w:color w:val="auto"/>
        </w:rPr>
      </w:pPr>
      <w:r>
        <w:rPr>
          <w:rFonts w:ascii="Arial" w:cs="Arial" w:eastAsia="Arial" w:hAnsi="Arial"/>
          <w:sz w:val="17"/>
          <w:szCs w:val="17"/>
          <w:color w:val="auto"/>
        </w:rPr>
        <w:t xml:space="preserve">11.20. </w:t>
      </w:r>
      <w:r>
        <w:rPr>
          <w:rFonts w:ascii="Arial" w:cs="Arial" w:eastAsia="Arial" w:hAnsi="Arial"/>
          <w:sz w:val="17"/>
          <w:szCs w:val="17"/>
          <w:b w:val="1"/>
          <w:bCs w:val="1"/>
          <w:color w:val="auto"/>
        </w:rPr>
        <w:t>Share</w:t>
      </w:r>
      <w:r>
        <w:rPr>
          <w:rFonts w:ascii="Arial" w:cs="Arial" w:eastAsia="Arial" w:hAnsi="Arial"/>
          <w:sz w:val="17"/>
          <w:szCs w:val="17"/>
          <w:color w:val="auto"/>
        </w:rPr>
        <w:t xml:space="preserve"> means either one Ordinary Share or one ordinary share in the capital of the Company as represented by one American Depository share and as evidenced by an American Depository</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Receipt.</w:t>
      </w:r>
    </w:p>
    <w:p>
      <w:pPr>
        <w:spacing w:after="0" w:line="199" w:lineRule="exact"/>
        <w:rPr>
          <w:sz w:val="20"/>
          <w:szCs w:val="20"/>
          <w:color w:val="auto"/>
        </w:rPr>
      </w:pPr>
    </w:p>
    <w:p>
      <w:pPr>
        <w:ind w:left="620" w:right="3260" w:hanging="618"/>
        <w:spacing w:after="0" w:line="263" w:lineRule="auto"/>
        <w:rPr>
          <w:sz w:val="20"/>
          <w:szCs w:val="20"/>
          <w:color w:val="auto"/>
        </w:rPr>
      </w:pPr>
      <w:r>
        <w:rPr>
          <w:rFonts w:ascii="Arial" w:cs="Arial" w:eastAsia="Arial" w:hAnsi="Arial"/>
          <w:sz w:val="16"/>
          <w:szCs w:val="16"/>
          <w:color w:val="auto"/>
        </w:rPr>
        <w:t xml:space="preserve">11.21. </w:t>
      </w:r>
      <w:r>
        <w:rPr>
          <w:rFonts w:ascii="Arial" w:cs="Arial" w:eastAsia="Arial" w:hAnsi="Arial"/>
          <w:sz w:val="16"/>
          <w:szCs w:val="16"/>
          <w:b w:val="1"/>
          <w:bCs w:val="1"/>
          <w:color w:val="auto"/>
        </w:rPr>
        <w:t>Stock Option Agreement</w:t>
      </w:r>
      <w:r>
        <w:rPr>
          <w:rFonts w:ascii="Arial" w:cs="Arial" w:eastAsia="Arial" w:hAnsi="Arial"/>
          <w:sz w:val="16"/>
          <w:szCs w:val="16"/>
          <w:color w:val="auto"/>
        </w:rPr>
        <w:t xml:space="preserve"> means the agreement between the Company and an Optionee which contains the terms, conditions and restrictions pertaining to his or her Option and which shall be in</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such form as the Committee shall determine in its absolute discretion.</w:t>
      </w:r>
    </w:p>
    <w:p>
      <w:pPr>
        <w:spacing w:after="0" w:line="186" w:lineRule="exact"/>
        <w:rPr>
          <w:sz w:val="20"/>
          <w:szCs w:val="20"/>
          <w:color w:val="auto"/>
        </w:rPr>
      </w:pPr>
    </w:p>
    <w:p>
      <w:pPr>
        <w:ind w:left="620" w:right="60" w:hanging="618"/>
        <w:spacing w:after="0" w:line="276" w:lineRule="auto"/>
        <w:rPr>
          <w:sz w:val="20"/>
          <w:szCs w:val="20"/>
          <w:color w:val="auto"/>
        </w:rPr>
      </w:pPr>
      <w:r>
        <w:rPr>
          <w:rFonts w:ascii="Arial" w:cs="Arial" w:eastAsia="Arial" w:hAnsi="Arial"/>
          <w:sz w:val="17"/>
          <w:szCs w:val="17"/>
          <w:color w:val="auto"/>
        </w:rPr>
        <w:t xml:space="preserve">11.22.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means any company, if the Company and / or one or more other Subsidiaries own not less than 50% of the total combined voting power of all classes of outstanding stock (e.g., issued</w:t>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shares) of such company. A company that attains the status of a Subsidiary on a date after the adoption of the Plan shall be considered a Subsidiary commencing as of such date.</w:t>
      </w:r>
    </w:p>
    <w:p>
      <w:pPr>
        <w:sectPr>
          <w:pgSz w:w="11900" w:h="16838" w:orient="portrait"/>
          <w:cols w:equalWidth="0" w:num="1">
            <w:col w:w="10620"/>
          </w:cols>
          <w:pgMar w:left="940" w:top="118"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ICON plc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 SHARE OPTION PLAN 2008</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updated 16 December 2008 for Bonus Share Issue and further updated on 29 August 2012, 14 February 2017 and 20 October 2026.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EMPLOYEES AND SALARIED DIRECTORS)</w:t>
      </w:r>
    </w:p>
    <w:p>
      <w:pPr>
        <w:sectPr>
          <w:pgSz w:w="11900" w:h="16838" w:orient="portrait"/>
          <w:cols w:equalWidth="0" w:num="1">
            <w:col w:w="10840"/>
          </w:cols>
          <w:pgMar w:left="520" w:top="1440" w:right="539" w:bottom="1440" w:gutter="0" w:footer="0" w:header="0"/>
        </w:sectPr>
      </w:pPr>
    </w:p>
    <w:bookmarkStart w:id="54" w:name="page55"/>
    <w:bookmarkEnd w:id="54"/>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TABLE OF CONTENTS</w:t>
      </w:r>
    </w:p>
    <w:p>
      <w:pPr>
        <w:spacing w:after="0" w:line="243" w:lineRule="exact"/>
        <w:rPr>
          <w:sz w:val="20"/>
          <w:szCs w:val="20"/>
          <w:color w:val="auto"/>
        </w:rPr>
      </w:pPr>
    </w:p>
    <w:p>
      <w:pPr>
        <w:ind w:left="340" w:hanging="337"/>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INTRODUCTION  </w:t>
      </w:r>
      <w:r>
        <w:rPr>
          <w:rFonts w:ascii="Arial" w:cs="Arial" w:eastAsia="Arial" w:hAnsi="Arial"/>
          <w:sz w:val="17"/>
          <w:szCs w:val="17"/>
          <w:color w:val="auto"/>
        </w:rPr>
        <w:t>4</w:t>
      </w:r>
    </w:p>
    <w:p>
      <w:pPr>
        <w:spacing w:after="0" w:line="242" w:lineRule="exact"/>
        <w:rPr>
          <w:rFonts w:ascii="Arial" w:cs="Arial" w:eastAsia="Arial" w:hAnsi="Arial"/>
          <w:sz w:val="17"/>
          <w:szCs w:val="17"/>
          <w:color w:val="auto"/>
        </w:rPr>
      </w:pPr>
    </w:p>
    <w:p>
      <w:pPr>
        <w:ind w:left="340" w:hanging="337"/>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4</w:t>
      </w:r>
    </w:p>
    <w:p>
      <w:pPr>
        <w:spacing w:after="0" w:line="29" w:lineRule="exact"/>
        <w:rPr>
          <w:sz w:val="20"/>
          <w:szCs w:val="20"/>
          <w:color w:val="auto"/>
        </w:rPr>
      </w:pPr>
    </w:p>
    <w:p>
      <w:pPr>
        <w:spacing w:after="0"/>
        <w:tabs>
          <w:tab w:leader="none" w:pos="460" w:val="left"/>
          <w:tab w:leader="none" w:pos="2940" w:val="left"/>
        </w:tabs>
        <w:rPr>
          <w:sz w:val="20"/>
          <w:szCs w:val="20"/>
          <w:color w:val="auto"/>
        </w:rPr>
      </w:pPr>
      <w:r>
        <w:rPr>
          <w:rFonts w:ascii="Arial" w:cs="Arial" w:eastAsia="Arial" w:hAnsi="Arial"/>
          <w:sz w:val="17"/>
          <w:szCs w:val="17"/>
          <w:color w:val="auto"/>
        </w:rPr>
        <w:t>2.1.</w:t>
        <w:tab/>
        <w:t>Administration by Committee..</w:t>
      </w:r>
      <w:r>
        <w:rPr>
          <w:sz w:val="20"/>
          <w:szCs w:val="20"/>
          <w:color w:val="auto"/>
        </w:rPr>
        <w:tab/>
      </w:r>
      <w:r>
        <w:rPr>
          <w:rFonts w:ascii="Arial" w:cs="Arial" w:eastAsia="Arial" w:hAnsi="Arial"/>
          <w:sz w:val="14"/>
          <w:szCs w:val="14"/>
          <w:color w:val="auto"/>
        </w:rPr>
        <w:t>4</w:t>
      </w:r>
    </w:p>
    <w:p>
      <w:pPr>
        <w:spacing w:after="0" w:line="11" w:lineRule="exact"/>
        <w:rPr>
          <w:sz w:val="20"/>
          <w:szCs w:val="20"/>
          <w:color w:val="auto"/>
        </w:rPr>
      </w:pPr>
    </w:p>
    <w:p>
      <w:pPr>
        <w:spacing w:after="0"/>
        <w:tabs>
          <w:tab w:leader="none" w:pos="460" w:val="left"/>
          <w:tab w:leader="none" w:pos="2780" w:val="left"/>
        </w:tabs>
        <w:rPr>
          <w:sz w:val="20"/>
          <w:szCs w:val="20"/>
          <w:color w:val="auto"/>
        </w:rPr>
      </w:pPr>
      <w:r>
        <w:rPr>
          <w:rFonts w:ascii="Arial" w:cs="Arial" w:eastAsia="Arial" w:hAnsi="Arial"/>
          <w:sz w:val="17"/>
          <w:szCs w:val="17"/>
          <w:color w:val="auto"/>
        </w:rPr>
        <w:t>2.2.</w:t>
        <w:tab/>
        <w:t>Committee Responsibilities.</w:t>
      </w:r>
      <w:r>
        <w:rPr>
          <w:sz w:val="20"/>
          <w:szCs w:val="20"/>
          <w:color w:val="auto"/>
        </w:rPr>
        <w:tab/>
      </w:r>
      <w:r>
        <w:rPr>
          <w:rFonts w:ascii="Arial" w:cs="Arial" w:eastAsia="Arial" w:hAnsi="Arial"/>
          <w:sz w:val="14"/>
          <w:szCs w:val="14"/>
          <w:color w:val="auto"/>
        </w:rPr>
        <w:t>4</w:t>
      </w:r>
    </w:p>
    <w:p>
      <w:pPr>
        <w:spacing w:after="0" w:line="11" w:lineRule="exact"/>
        <w:rPr>
          <w:sz w:val="20"/>
          <w:szCs w:val="20"/>
          <w:color w:val="auto"/>
        </w:rPr>
      </w:pPr>
    </w:p>
    <w:p>
      <w:pPr>
        <w:spacing w:after="0"/>
        <w:tabs>
          <w:tab w:leader="none" w:pos="460" w:val="left"/>
          <w:tab w:leader="none" w:pos="2560" w:val="left"/>
        </w:tabs>
        <w:rPr>
          <w:sz w:val="20"/>
          <w:szCs w:val="20"/>
          <w:color w:val="auto"/>
        </w:rPr>
      </w:pPr>
      <w:r>
        <w:rPr>
          <w:rFonts w:ascii="Arial" w:cs="Arial" w:eastAsia="Arial" w:hAnsi="Arial"/>
          <w:sz w:val="17"/>
          <w:szCs w:val="17"/>
          <w:color w:val="auto"/>
        </w:rPr>
        <w:t>2.3.</w:t>
        <w:tab/>
        <w:t>No Right to Participation.</w:t>
      </w:r>
      <w:r>
        <w:rPr>
          <w:sz w:val="20"/>
          <w:szCs w:val="20"/>
          <w:color w:val="auto"/>
        </w:rPr>
        <w:tab/>
      </w:r>
      <w:r>
        <w:rPr>
          <w:rFonts w:ascii="Arial" w:cs="Arial" w:eastAsia="Arial" w:hAnsi="Arial"/>
          <w:sz w:val="14"/>
          <w:szCs w:val="14"/>
          <w:color w:val="auto"/>
        </w:rPr>
        <w:t>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 w:type="dxa"/>
            <w:vAlign w:val="bottom"/>
          </w:tcPr>
          <w:p>
            <w:pPr>
              <w:spacing w:after="0"/>
              <w:rPr>
                <w:sz w:val="20"/>
                <w:szCs w:val="20"/>
                <w:color w:val="auto"/>
              </w:rPr>
            </w:pPr>
            <w:r>
              <w:rPr>
                <w:rFonts w:ascii="Arial" w:cs="Arial" w:eastAsia="Arial" w:hAnsi="Arial"/>
                <w:sz w:val="17"/>
                <w:szCs w:val="17"/>
                <w:color w:val="auto"/>
              </w:rPr>
              <w:t>3.</w:t>
            </w:r>
          </w:p>
        </w:tc>
        <w:tc>
          <w:tcPr>
            <w:tcW w:w="3200" w:type="dxa"/>
            <w:vAlign w:val="bottom"/>
            <w:gridSpan w:val="2"/>
          </w:tcPr>
          <w:p>
            <w:pPr>
              <w:ind w:left="20"/>
              <w:spacing w:after="0"/>
              <w:rPr>
                <w:sz w:val="20"/>
                <w:szCs w:val="20"/>
                <w:color w:val="auto"/>
              </w:rPr>
            </w:pPr>
            <w:r>
              <w:rPr>
                <w:rFonts w:ascii="Arial" w:cs="Arial" w:eastAsia="Arial" w:hAnsi="Arial"/>
                <w:sz w:val="17"/>
                <w:szCs w:val="17"/>
                <w:b w:val="1"/>
                <w:bCs w:val="1"/>
                <w:color w:val="auto"/>
              </w:rPr>
              <w:t xml:space="preserve">SHARES AVAILABLE FOR GRANTS  </w:t>
            </w:r>
            <w:r>
              <w:rPr>
                <w:rFonts w:ascii="Arial" w:cs="Arial" w:eastAsia="Arial" w:hAnsi="Arial"/>
                <w:sz w:val="17"/>
                <w:szCs w:val="17"/>
                <w:color w:val="auto"/>
              </w:rPr>
              <w:t>4</w:t>
            </w: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3.1.</w:t>
            </w:r>
          </w:p>
        </w:tc>
        <w:tc>
          <w:tcPr>
            <w:tcW w:w="1540" w:type="dxa"/>
            <w:vAlign w:val="bottom"/>
          </w:tcPr>
          <w:p>
            <w:pPr>
              <w:ind w:left="160"/>
              <w:spacing w:after="0"/>
              <w:rPr>
                <w:sz w:val="20"/>
                <w:szCs w:val="20"/>
                <w:color w:val="auto"/>
              </w:rPr>
            </w:pPr>
            <w:r>
              <w:rPr>
                <w:rFonts w:ascii="Arial" w:cs="Arial" w:eastAsia="Arial" w:hAnsi="Arial"/>
                <w:sz w:val="17"/>
                <w:szCs w:val="17"/>
                <w:color w:val="auto"/>
              </w:rPr>
              <w:t>Basic Limitation.</w:t>
            </w:r>
          </w:p>
        </w:tc>
        <w:tc>
          <w:tcPr>
            <w:tcW w:w="1660" w:type="dxa"/>
            <w:vAlign w:val="bottom"/>
          </w:tcPr>
          <w:p>
            <w:pPr>
              <w:jc w:val="right"/>
              <w:ind w:right="1414"/>
              <w:spacing w:after="0"/>
              <w:rPr>
                <w:sz w:val="20"/>
                <w:szCs w:val="20"/>
                <w:color w:val="auto"/>
              </w:rPr>
            </w:pPr>
            <w:r>
              <w:rPr>
                <w:rFonts w:ascii="Arial" w:cs="Arial" w:eastAsia="Arial" w:hAnsi="Arial"/>
                <w:sz w:val="17"/>
                <w:szCs w:val="17"/>
                <w:color w:val="auto"/>
              </w:rPr>
              <w:t>4</w:t>
            </w: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3.2.</w:t>
            </w:r>
          </w:p>
        </w:tc>
        <w:tc>
          <w:tcPr>
            <w:tcW w:w="1540" w:type="dxa"/>
            <w:vAlign w:val="bottom"/>
          </w:tcPr>
          <w:p>
            <w:pPr>
              <w:ind w:left="160"/>
              <w:spacing w:after="0"/>
              <w:rPr>
                <w:sz w:val="20"/>
                <w:szCs w:val="20"/>
                <w:color w:val="auto"/>
              </w:rPr>
            </w:pPr>
            <w:r>
              <w:rPr>
                <w:rFonts w:ascii="Arial" w:cs="Arial" w:eastAsia="Arial" w:hAnsi="Arial"/>
                <w:sz w:val="17"/>
                <w:szCs w:val="17"/>
                <w:color w:val="auto"/>
                <w:w w:val="98"/>
              </w:rPr>
              <w:t>Additional Shares.</w:t>
            </w:r>
          </w:p>
        </w:tc>
        <w:tc>
          <w:tcPr>
            <w:tcW w:w="1660" w:type="dxa"/>
            <w:vAlign w:val="bottom"/>
          </w:tcPr>
          <w:p>
            <w:pPr>
              <w:jc w:val="right"/>
              <w:ind w:right="1274"/>
              <w:spacing w:after="0"/>
              <w:rPr>
                <w:sz w:val="20"/>
                <w:szCs w:val="20"/>
                <w:color w:val="auto"/>
              </w:rPr>
            </w:pPr>
            <w:r>
              <w:rPr>
                <w:rFonts w:ascii="Arial" w:cs="Arial" w:eastAsia="Arial" w:hAnsi="Arial"/>
                <w:sz w:val="17"/>
                <w:szCs w:val="17"/>
                <w:color w:val="auto"/>
              </w:rPr>
              <w:t>4</w:t>
            </w:r>
          </w:p>
        </w:tc>
      </w:tr>
      <w:tr>
        <w:trPr>
          <w:trHeight w:val="419"/>
        </w:trPr>
        <w:tc>
          <w:tcPr>
            <w:tcW w:w="320" w:type="dxa"/>
            <w:vAlign w:val="bottom"/>
          </w:tcPr>
          <w:p>
            <w:pPr>
              <w:spacing w:after="0"/>
              <w:rPr>
                <w:sz w:val="20"/>
                <w:szCs w:val="20"/>
                <w:color w:val="auto"/>
              </w:rPr>
            </w:pPr>
            <w:r>
              <w:rPr>
                <w:rFonts w:ascii="Arial" w:cs="Arial" w:eastAsia="Arial" w:hAnsi="Arial"/>
                <w:sz w:val="17"/>
                <w:szCs w:val="17"/>
                <w:color w:val="auto"/>
              </w:rPr>
              <w:t>4.</w:t>
            </w:r>
          </w:p>
        </w:tc>
        <w:tc>
          <w:tcPr>
            <w:tcW w:w="1540" w:type="dxa"/>
            <w:vAlign w:val="bottom"/>
          </w:tcPr>
          <w:p>
            <w:pPr>
              <w:ind w:left="20"/>
              <w:spacing w:after="0"/>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4</w:t>
            </w:r>
          </w:p>
        </w:tc>
        <w:tc>
          <w:tcPr>
            <w:tcW w:w="1660" w:type="dxa"/>
            <w:vAlign w:val="bottom"/>
          </w:tcPr>
          <w:p>
            <w:pPr>
              <w:spacing w:after="0"/>
              <w:rPr>
                <w:sz w:val="24"/>
                <w:szCs w:val="24"/>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4.1.</w:t>
            </w:r>
          </w:p>
        </w:tc>
        <w:tc>
          <w:tcPr>
            <w:tcW w:w="1540" w:type="dxa"/>
            <w:vAlign w:val="bottom"/>
          </w:tcPr>
          <w:p>
            <w:pPr>
              <w:ind w:left="160"/>
              <w:spacing w:after="0"/>
              <w:rPr>
                <w:sz w:val="20"/>
                <w:szCs w:val="20"/>
                <w:color w:val="auto"/>
              </w:rPr>
            </w:pPr>
            <w:r>
              <w:rPr>
                <w:rFonts w:ascii="Arial" w:cs="Arial" w:eastAsia="Arial" w:hAnsi="Arial"/>
                <w:sz w:val="17"/>
                <w:szCs w:val="17"/>
                <w:color w:val="auto"/>
              </w:rPr>
              <w:t>General Rules.</w:t>
            </w:r>
          </w:p>
        </w:tc>
        <w:tc>
          <w:tcPr>
            <w:tcW w:w="1660" w:type="dxa"/>
            <w:vAlign w:val="bottom"/>
          </w:tcPr>
          <w:p>
            <w:pPr>
              <w:jc w:val="right"/>
              <w:ind w:right="1474"/>
              <w:spacing w:after="0"/>
              <w:rPr>
                <w:sz w:val="20"/>
                <w:szCs w:val="20"/>
                <w:color w:val="auto"/>
              </w:rPr>
            </w:pPr>
            <w:r>
              <w:rPr>
                <w:rFonts w:ascii="Arial" w:cs="Arial" w:eastAsia="Arial" w:hAnsi="Arial"/>
                <w:sz w:val="17"/>
                <w:szCs w:val="17"/>
                <w:color w:val="auto"/>
                <w:w w:val="84"/>
              </w:rPr>
              <w:t>4</w:t>
            </w:r>
          </w:p>
        </w:tc>
      </w:tr>
    </w:tbl>
    <w:p>
      <w:pPr>
        <w:spacing w:after="0" w:line="211" w:lineRule="exact"/>
        <w:rPr>
          <w:sz w:val="20"/>
          <w:szCs w:val="20"/>
          <w:color w:val="auto"/>
        </w:rPr>
      </w:pPr>
    </w:p>
    <w:p>
      <w:pPr>
        <w:ind w:left="340" w:hanging="337"/>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OPTIONS  </w:t>
      </w:r>
      <w:r>
        <w:rPr>
          <w:rFonts w:ascii="Arial" w:cs="Arial" w:eastAsia="Arial" w:hAnsi="Arial"/>
          <w:sz w:val="17"/>
          <w:szCs w:val="17"/>
          <w:color w:val="auto"/>
        </w:rPr>
        <w:t>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Arial" w:cs="Arial" w:eastAsia="Arial" w:hAnsi="Arial"/>
                <w:sz w:val="17"/>
                <w:szCs w:val="17"/>
                <w:color w:val="auto"/>
              </w:rPr>
              <w:t>5.1.</w:t>
            </w:r>
          </w:p>
        </w:tc>
        <w:tc>
          <w:tcPr>
            <w:tcW w:w="2160" w:type="dxa"/>
            <w:vAlign w:val="bottom"/>
            <w:gridSpan w:val="4"/>
          </w:tcPr>
          <w:p>
            <w:pPr>
              <w:ind w:left="160"/>
              <w:spacing w:after="0"/>
              <w:rPr>
                <w:sz w:val="20"/>
                <w:szCs w:val="20"/>
                <w:color w:val="auto"/>
              </w:rPr>
            </w:pPr>
            <w:r>
              <w:rPr>
                <w:rFonts w:ascii="Arial" w:cs="Arial" w:eastAsia="Arial" w:hAnsi="Arial"/>
                <w:sz w:val="17"/>
                <w:szCs w:val="17"/>
                <w:color w:val="auto"/>
              </w:rPr>
              <w:t>Stock Option Agreement.</w:t>
            </w:r>
          </w:p>
        </w:tc>
        <w:tc>
          <w:tcPr>
            <w:tcW w:w="960" w:type="dxa"/>
            <w:vAlign w:val="bottom"/>
          </w:tcPr>
          <w:p>
            <w:pPr>
              <w:jc w:val="right"/>
              <w:ind w:right="674"/>
              <w:spacing w:after="0"/>
              <w:rPr>
                <w:sz w:val="20"/>
                <w:szCs w:val="20"/>
                <w:color w:val="auto"/>
              </w:rPr>
            </w:pPr>
            <w:r>
              <w:rPr>
                <w:rFonts w:ascii="Arial" w:cs="Arial" w:eastAsia="Arial" w:hAnsi="Arial"/>
                <w:sz w:val="17"/>
                <w:szCs w:val="17"/>
                <w:color w:val="auto"/>
              </w:rPr>
              <w:t>5</w:t>
            </w:r>
          </w:p>
        </w:tc>
        <w:tc>
          <w:tcPr>
            <w:tcW w:w="2540" w:type="dxa"/>
            <w:vAlign w:val="bottom"/>
          </w:tcPr>
          <w:p>
            <w:pPr>
              <w:spacing w:after="0"/>
              <w:rPr>
                <w:sz w:val="16"/>
                <w:szCs w:val="16"/>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5.2.</w:t>
            </w:r>
          </w:p>
        </w:tc>
        <w:tc>
          <w:tcPr>
            <w:tcW w:w="1700" w:type="dxa"/>
            <w:vAlign w:val="bottom"/>
            <w:gridSpan w:val="3"/>
          </w:tcPr>
          <w:p>
            <w:pPr>
              <w:ind w:left="160"/>
              <w:spacing w:after="0"/>
              <w:rPr>
                <w:sz w:val="20"/>
                <w:szCs w:val="20"/>
                <w:color w:val="auto"/>
              </w:rPr>
            </w:pPr>
            <w:r>
              <w:rPr>
                <w:rFonts w:ascii="Arial" w:cs="Arial" w:eastAsia="Arial" w:hAnsi="Arial"/>
                <w:sz w:val="17"/>
                <w:szCs w:val="17"/>
                <w:color w:val="auto"/>
              </w:rPr>
              <w:t>Transfer of Awards</w:t>
            </w:r>
          </w:p>
        </w:tc>
        <w:tc>
          <w:tcPr>
            <w:tcW w:w="460" w:type="dxa"/>
            <w:vAlign w:val="bottom"/>
          </w:tcPr>
          <w:p>
            <w:pPr>
              <w:jc w:val="right"/>
              <w:ind w:right="194"/>
              <w:spacing w:after="0"/>
              <w:rPr>
                <w:sz w:val="20"/>
                <w:szCs w:val="20"/>
                <w:color w:val="auto"/>
              </w:rPr>
            </w:pPr>
            <w:r>
              <w:rPr>
                <w:rFonts w:ascii="Arial" w:cs="Arial" w:eastAsia="Arial" w:hAnsi="Arial"/>
                <w:sz w:val="17"/>
                <w:szCs w:val="17"/>
                <w:color w:val="auto"/>
              </w:rPr>
              <w:t>5</w:t>
            </w: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5.3.</w:t>
            </w:r>
          </w:p>
        </w:tc>
        <w:tc>
          <w:tcPr>
            <w:tcW w:w="5660" w:type="dxa"/>
            <w:vAlign w:val="bottom"/>
            <w:gridSpan w:val="6"/>
          </w:tcPr>
          <w:p>
            <w:pPr>
              <w:ind w:left="160"/>
              <w:spacing w:after="0"/>
              <w:rPr>
                <w:sz w:val="20"/>
                <w:szCs w:val="20"/>
                <w:color w:val="auto"/>
              </w:rPr>
            </w:pPr>
            <w:r>
              <w:rPr>
                <w:rFonts w:ascii="Arial" w:cs="Arial" w:eastAsia="Arial" w:hAnsi="Arial"/>
                <w:sz w:val="17"/>
                <w:szCs w:val="17"/>
                <w:color w:val="auto"/>
              </w:rPr>
              <w:t>Waiver of an Option and failure to complete Stock Option Agreement  5</w:t>
            </w: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5.4.</w:t>
            </w:r>
          </w:p>
        </w:tc>
        <w:tc>
          <w:tcPr>
            <w:tcW w:w="1700" w:type="dxa"/>
            <w:vAlign w:val="bottom"/>
            <w:gridSpan w:val="3"/>
          </w:tcPr>
          <w:p>
            <w:pPr>
              <w:ind w:left="160"/>
              <w:spacing w:after="0"/>
              <w:rPr>
                <w:sz w:val="20"/>
                <w:szCs w:val="20"/>
                <w:color w:val="auto"/>
              </w:rPr>
            </w:pPr>
            <w:r>
              <w:rPr>
                <w:rFonts w:ascii="Arial" w:cs="Arial" w:eastAsia="Arial" w:hAnsi="Arial"/>
                <w:sz w:val="17"/>
                <w:szCs w:val="17"/>
                <w:color w:val="auto"/>
              </w:rPr>
              <w:t>Number of Shares</w:t>
            </w:r>
          </w:p>
        </w:tc>
        <w:tc>
          <w:tcPr>
            <w:tcW w:w="460" w:type="dxa"/>
            <w:vAlign w:val="bottom"/>
          </w:tcPr>
          <w:p>
            <w:pPr>
              <w:jc w:val="right"/>
              <w:ind w:right="234"/>
              <w:spacing w:after="0"/>
              <w:rPr>
                <w:sz w:val="20"/>
                <w:szCs w:val="20"/>
                <w:color w:val="auto"/>
              </w:rPr>
            </w:pPr>
            <w:r>
              <w:rPr>
                <w:rFonts w:ascii="Arial" w:cs="Arial" w:eastAsia="Arial" w:hAnsi="Arial"/>
                <w:sz w:val="17"/>
                <w:szCs w:val="17"/>
                <w:color w:val="auto"/>
              </w:rPr>
              <w:t>5</w:t>
            </w: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5.5.</w:t>
            </w:r>
          </w:p>
        </w:tc>
        <w:tc>
          <w:tcPr>
            <w:tcW w:w="1380" w:type="dxa"/>
            <w:vAlign w:val="bottom"/>
            <w:gridSpan w:val="2"/>
          </w:tcPr>
          <w:p>
            <w:pPr>
              <w:ind w:left="160"/>
              <w:spacing w:after="0"/>
              <w:rPr>
                <w:sz w:val="20"/>
                <w:szCs w:val="20"/>
                <w:color w:val="auto"/>
              </w:rPr>
            </w:pPr>
            <w:r>
              <w:rPr>
                <w:rFonts w:ascii="Arial" w:cs="Arial" w:eastAsia="Arial" w:hAnsi="Arial"/>
                <w:sz w:val="17"/>
                <w:szCs w:val="17"/>
                <w:color w:val="auto"/>
              </w:rPr>
              <w:t>Exercise Price</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5</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5.6.</w:t>
            </w:r>
          </w:p>
        </w:tc>
        <w:tc>
          <w:tcPr>
            <w:tcW w:w="2160" w:type="dxa"/>
            <w:vAlign w:val="bottom"/>
            <w:gridSpan w:val="4"/>
          </w:tcPr>
          <w:p>
            <w:pPr>
              <w:ind w:left="160"/>
              <w:spacing w:after="0"/>
              <w:rPr>
                <w:sz w:val="20"/>
                <w:szCs w:val="20"/>
                <w:color w:val="auto"/>
              </w:rPr>
            </w:pPr>
            <w:r>
              <w:rPr>
                <w:rFonts w:ascii="Arial" w:cs="Arial" w:eastAsia="Arial" w:hAnsi="Arial"/>
                <w:sz w:val="17"/>
                <w:szCs w:val="17"/>
                <w:color w:val="auto"/>
              </w:rPr>
              <w:t>Exercisability and Term.</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5</w:t>
            </w:r>
          </w:p>
        </w:tc>
        <w:tc>
          <w:tcPr>
            <w:tcW w:w="2540" w:type="dxa"/>
            <w:vAlign w:val="bottom"/>
          </w:tcPr>
          <w:p>
            <w:pPr>
              <w:spacing w:after="0"/>
              <w:rPr>
                <w:sz w:val="17"/>
                <w:szCs w:val="17"/>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5.7.</w:t>
            </w:r>
          </w:p>
        </w:tc>
        <w:tc>
          <w:tcPr>
            <w:tcW w:w="3120" w:type="dxa"/>
            <w:vAlign w:val="bottom"/>
            <w:gridSpan w:val="5"/>
          </w:tcPr>
          <w:p>
            <w:pPr>
              <w:ind w:left="160"/>
              <w:spacing w:after="0"/>
              <w:rPr>
                <w:sz w:val="20"/>
                <w:szCs w:val="20"/>
                <w:color w:val="auto"/>
              </w:rPr>
            </w:pPr>
            <w:r>
              <w:rPr>
                <w:rFonts w:ascii="Arial" w:cs="Arial" w:eastAsia="Arial" w:hAnsi="Arial"/>
                <w:sz w:val="17"/>
                <w:szCs w:val="17"/>
                <w:color w:val="auto"/>
              </w:rPr>
              <w:t>Acceleration Upon Change in Control</w:t>
            </w:r>
          </w:p>
        </w:tc>
        <w:tc>
          <w:tcPr>
            <w:tcW w:w="2540" w:type="dxa"/>
            <w:vAlign w:val="bottom"/>
          </w:tcPr>
          <w:p>
            <w:pPr>
              <w:jc w:val="right"/>
              <w:ind w:right="2294"/>
              <w:spacing w:after="0"/>
              <w:rPr>
                <w:sz w:val="20"/>
                <w:szCs w:val="20"/>
                <w:color w:val="auto"/>
              </w:rPr>
            </w:pPr>
            <w:r>
              <w:rPr>
                <w:rFonts w:ascii="Arial" w:cs="Arial" w:eastAsia="Arial" w:hAnsi="Arial"/>
                <w:sz w:val="17"/>
                <w:szCs w:val="17"/>
                <w:color w:val="auto"/>
              </w:rPr>
              <w:t>5</w:t>
            </w: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5.8.</w:t>
            </w:r>
          </w:p>
        </w:tc>
        <w:tc>
          <w:tcPr>
            <w:tcW w:w="3120" w:type="dxa"/>
            <w:vAlign w:val="bottom"/>
            <w:gridSpan w:val="5"/>
          </w:tcPr>
          <w:p>
            <w:pPr>
              <w:ind w:left="160"/>
              <w:spacing w:after="0"/>
              <w:rPr>
                <w:sz w:val="20"/>
                <w:szCs w:val="20"/>
                <w:color w:val="auto"/>
              </w:rPr>
            </w:pPr>
            <w:r>
              <w:rPr>
                <w:rFonts w:ascii="Arial" w:cs="Arial" w:eastAsia="Arial" w:hAnsi="Arial"/>
                <w:sz w:val="17"/>
                <w:szCs w:val="17"/>
                <w:color w:val="auto"/>
              </w:rPr>
              <w:t>Modification or Assumption of Options</w:t>
            </w:r>
          </w:p>
        </w:tc>
        <w:tc>
          <w:tcPr>
            <w:tcW w:w="2540" w:type="dxa"/>
            <w:vAlign w:val="bottom"/>
          </w:tcPr>
          <w:p>
            <w:pPr>
              <w:jc w:val="right"/>
              <w:ind w:right="2234"/>
              <w:spacing w:after="0"/>
              <w:rPr>
                <w:sz w:val="20"/>
                <w:szCs w:val="20"/>
                <w:color w:val="auto"/>
              </w:rPr>
            </w:pPr>
            <w:r>
              <w:rPr>
                <w:rFonts w:ascii="Arial" w:cs="Arial" w:eastAsia="Arial" w:hAnsi="Arial"/>
                <w:sz w:val="17"/>
                <w:szCs w:val="17"/>
                <w:color w:val="auto"/>
              </w:rPr>
              <w:t>5</w:t>
            </w: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5.9.</w:t>
            </w:r>
          </w:p>
        </w:tc>
        <w:tc>
          <w:tcPr>
            <w:tcW w:w="1220" w:type="dxa"/>
            <w:vAlign w:val="bottom"/>
          </w:tcPr>
          <w:p>
            <w:pPr>
              <w:ind w:left="160"/>
              <w:spacing w:after="0"/>
              <w:rPr>
                <w:sz w:val="20"/>
                <w:szCs w:val="20"/>
                <w:color w:val="auto"/>
              </w:rPr>
            </w:pPr>
            <w:r>
              <w:rPr>
                <w:rFonts w:ascii="Arial" w:cs="Arial" w:eastAsia="Arial" w:hAnsi="Arial"/>
                <w:sz w:val="17"/>
                <w:szCs w:val="17"/>
                <w:color w:val="auto"/>
              </w:rPr>
              <w:t>Liquidation.</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6</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7"/>
                <w:szCs w:val="17"/>
                <w:color w:val="auto"/>
              </w:rPr>
              <w:t>6.</w:t>
            </w:r>
          </w:p>
        </w:tc>
        <w:tc>
          <w:tcPr>
            <w:tcW w:w="3120" w:type="dxa"/>
            <w:vAlign w:val="bottom"/>
            <w:gridSpan w:val="5"/>
          </w:tcPr>
          <w:p>
            <w:pPr>
              <w:ind w:left="20"/>
              <w:spacing w:after="0"/>
              <w:rPr>
                <w:sz w:val="20"/>
                <w:szCs w:val="20"/>
                <w:color w:val="auto"/>
              </w:rPr>
            </w:pPr>
            <w:r>
              <w:rPr>
                <w:rFonts w:ascii="Arial" w:cs="Arial" w:eastAsia="Arial" w:hAnsi="Arial"/>
                <w:sz w:val="17"/>
                <w:szCs w:val="17"/>
                <w:b w:val="1"/>
                <w:bCs w:val="1"/>
                <w:color w:val="auto"/>
              </w:rPr>
              <w:t xml:space="preserve">PAYMENT FOR OPTION SHARES  </w:t>
            </w:r>
            <w:r>
              <w:rPr>
                <w:rFonts w:ascii="Arial" w:cs="Arial" w:eastAsia="Arial" w:hAnsi="Arial"/>
                <w:sz w:val="17"/>
                <w:szCs w:val="17"/>
                <w:color w:val="auto"/>
              </w:rPr>
              <w:t>6</w:t>
            </w:r>
          </w:p>
        </w:tc>
        <w:tc>
          <w:tcPr>
            <w:tcW w:w="2540" w:type="dxa"/>
            <w:vAlign w:val="bottom"/>
          </w:tcPr>
          <w:p>
            <w:pPr>
              <w:spacing w:after="0"/>
              <w:rPr>
                <w:sz w:val="24"/>
                <w:szCs w:val="24"/>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6.1.</w:t>
            </w:r>
          </w:p>
        </w:tc>
        <w:tc>
          <w:tcPr>
            <w:tcW w:w="1220" w:type="dxa"/>
            <w:vAlign w:val="bottom"/>
          </w:tcPr>
          <w:p>
            <w:pPr>
              <w:ind w:left="160"/>
              <w:spacing w:after="0"/>
              <w:rPr>
                <w:sz w:val="20"/>
                <w:szCs w:val="20"/>
                <w:color w:val="auto"/>
              </w:rPr>
            </w:pPr>
            <w:r>
              <w:rPr>
                <w:rFonts w:ascii="Arial" w:cs="Arial" w:eastAsia="Arial" w:hAnsi="Arial"/>
                <w:sz w:val="17"/>
                <w:szCs w:val="17"/>
                <w:color w:val="auto"/>
                <w:w w:val="99"/>
              </w:rPr>
              <w:t>General Rule.</w:t>
            </w:r>
          </w:p>
        </w:tc>
        <w:tc>
          <w:tcPr>
            <w:tcW w:w="160" w:type="dxa"/>
            <w:vAlign w:val="bottom"/>
          </w:tcPr>
          <w:p>
            <w:pPr>
              <w:spacing w:after="0"/>
              <w:rPr>
                <w:sz w:val="17"/>
                <w:szCs w:val="17"/>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6</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6.2.</w:t>
            </w:r>
          </w:p>
        </w:tc>
        <w:tc>
          <w:tcPr>
            <w:tcW w:w="1380" w:type="dxa"/>
            <w:vAlign w:val="bottom"/>
            <w:gridSpan w:val="2"/>
          </w:tcPr>
          <w:p>
            <w:pPr>
              <w:ind w:left="160"/>
              <w:spacing w:after="0"/>
              <w:rPr>
                <w:sz w:val="20"/>
                <w:szCs w:val="20"/>
                <w:color w:val="auto"/>
              </w:rPr>
            </w:pPr>
            <w:r>
              <w:rPr>
                <w:rFonts w:ascii="Arial" w:cs="Arial" w:eastAsia="Arial" w:hAnsi="Arial"/>
                <w:sz w:val="17"/>
                <w:szCs w:val="17"/>
                <w:color w:val="auto"/>
              </w:rPr>
              <w:t>Exercise/Sale.</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6</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6.3.</w:t>
            </w:r>
          </w:p>
        </w:tc>
        <w:tc>
          <w:tcPr>
            <w:tcW w:w="2160" w:type="dxa"/>
            <w:vAlign w:val="bottom"/>
            <w:gridSpan w:val="4"/>
          </w:tcPr>
          <w:p>
            <w:pPr>
              <w:ind w:left="160"/>
              <w:spacing w:after="0"/>
              <w:rPr>
                <w:sz w:val="20"/>
                <w:szCs w:val="20"/>
                <w:color w:val="auto"/>
              </w:rPr>
            </w:pPr>
            <w:r>
              <w:rPr>
                <w:rFonts w:ascii="Arial" w:cs="Arial" w:eastAsia="Arial" w:hAnsi="Arial"/>
                <w:sz w:val="17"/>
                <w:szCs w:val="17"/>
                <w:color w:val="auto"/>
              </w:rPr>
              <w:t>Other forms of Payment.</w:t>
            </w:r>
          </w:p>
        </w:tc>
        <w:tc>
          <w:tcPr>
            <w:tcW w:w="960" w:type="dxa"/>
            <w:vAlign w:val="bottom"/>
          </w:tcPr>
          <w:p>
            <w:pPr>
              <w:jc w:val="right"/>
              <w:ind w:right="714"/>
              <w:spacing w:after="0"/>
              <w:rPr>
                <w:sz w:val="20"/>
                <w:szCs w:val="20"/>
                <w:color w:val="auto"/>
              </w:rPr>
            </w:pPr>
            <w:r>
              <w:rPr>
                <w:rFonts w:ascii="Arial" w:cs="Arial" w:eastAsia="Arial" w:hAnsi="Arial"/>
                <w:sz w:val="17"/>
                <w:szCs w:val="17"/>
                <w:color w:val="auto"/>
              </w:rPr>
              <w:t>6</w:t>
            </w:r>
          </w:p>
        </w:tc>
        <w:tc>
          <w:tcPr>
            <w:tcW w:w="2540" w:type="dxa"/>
            <w:vAlign w:val="bottom"/>
          </w:tcPr>
          <w:p>
            <w:pPr>
              <w:spacing w:after="0"/>
              <w:rPr>
                <w:sz w:val="19"/>
                <w:szCs w:val="19"/>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7"/>
                <w:szCs w:val="17"/>
                <w:color w:val="auto"/>
              </w:rPr>
              <w:t>7.</w:t>
            </w:r>
          </w:p>
        </w:tc>
        <w:tc>
          <w:tcPr>
            <w:tcW w:w="3120" w:type="dxa"/>
            <w:vAlign w:val="bottom"/>
            <w:gridSpan w:val="5"/>
          </w:tcPr>
          <w:p>
            <w:pPr>
              <w:ind w:left="20"/>
              <w:spacing w:after="0"/>
              <w:rPr>
                <w:sz w:val="20"/>
                <w:szCs w:val="20"/>
                <w:color w:val="auto"/>
              </w:rPr>
            </w:pPr>
            <w:r>
              <w:rPr>
                <w:rFonts w:ascii="Arial" w:cs="Arial" w:eastAsia="Arial" w:hAnsi="Arial"/>
                <w:sz w:val="17"/>
                <w:szCs w:val="17"/>
                <w:b w:val="1"/>
                <w:bCs w:val="1"/>
                <w:color w:val="auto"/>
              </w:rPr>
              <w:t xml:space="preserve">ADJUSTMENT OF SHARES  </w:t>
            </w:r>
            <w:r>
              <w:rPr>
                <w:rFonts w:ascii="Arial" w:cs="Arial" w:eastAsia="Arial" w:hAnsi="Arial"/>
                <w:sz w:val="17"/>
                <w:szCs w:val="17"/>
                <w:color w:val="auto"/>
              </w:rPr>
              <w:t>6</w:t>
            </w:r>
          </w:p>
        </w:tc>
        <w:tc>
          <w:tcPr>
            <w:tcW w:w="2540" w:type="dxa"/>
            <w:vAlign w:val="bottom"/>
          </w:tcPr>
          <w:p>
            <w:pPr>
              <w:spacing w:after="0"/>
              <w:rPr>
                <w:sz w:val="24"/>
                <w:szCs w:val="24"/>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7.1.</w:t>
            </w:r>
          </w:p>
        </w:tc>
        <w:tc>
          <w:tcPr>
            <w:tcW w:w="1220" w:type="dxa"/>
            <w:vAlign w:val="bottom"/>
          </w:tcPr>
          <w:p>
            <w:pPr>
              <w:ind w:left="160"/>
              <w:spacing w:after="0"/>
              <w:rPr>
                <w:sz w:val="20"/>
                <w:szCs w:val="20"/>
                <w:color w:val="auto"/>
              </w:rPr>
            </w:pPr>
            <w:r>
              <w:rPr>
                <w:rFonts w:ascii="Arial" w:cs="Arial" w:eastAsia="Arial" w:hAnsi="Arial"/>
                <w:sz w:val="17"/>
                <w:szCs w:val="17"/>
                <w:color w:val="auto"/>
              </w:rPr>
              <w:t>Adjustments.</w:t>
            </w:r>
          </w:p>
        </w:tc>
        <w:tc>
          <w:tcPr>
            <w:tcW w:w="480" w:type="dxa"/>
            <w:vAlign w:val="bottom"/>
            <w:gridSpan w:val="2"/>
          </w:tcPr>
          <w:p>
            <w:pPr>
              <w:jc w:val="right"/>
              <w:ind w:right="174"/>
              <w:spacing w:after="0"/>
              <w:rPr>
                <w:sz w:val="20"/>
                <w:szCs w:val="20"/>
                <w:color w:val="auto"/>
              </w:rPr>
            </w:pPr>
            <w:r>
              <w:rPr>
                <w:rFonts w:ascii="Arial" w:cs="Arial" w:eastAsia="Arial" w:hAnsi="Arial"/>
                <w:sz w:val="17"/>
                <w:szCs w:val="17"/>
                <w:color w:val="auto"/>
              </w:rPr>
              <w:t>6</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7.2.</w:t>
            </w:r>
          </w:p>
        </w:tc>
        <w:tc>
          <w:tcPr>
            <w:tcW w:w="1380" w:type="dxa"/>
            <w:vAlign w:val="bottom"/>
            <w:gridSpan w:val="2"/>
          </w:tcPr>
          <w:p>
            <w:pPr>
              <w:ind w:left="160"/>
              <w:spacing w:after="0"/>
              <w:rPr>
                <w:sz w:val="20"/>
                <w:szCs w:val="20"/>
                <w:color w:val="auto"/>
              </w:rPr>
            </w:pPr>
            <w:r>
              <w:rPr>
                <w:rFonts w:ascii="Arial" w:cs="Arial" w:eastAsia="Arial" w:hAnsi="Arial"/>
                <w:sz w:val="17"/>
                <w:szCs w:val="17"/>
                <w:color w:val="auto"/>
              </w:rPr>
              <w:t>Reorganisation.</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7"/>
                <w:szCs w:val="17"/>
                <w:color w:val="auto"/>
              </w:rPr>
              <w:t>8.</w:t>
            </w:r>
          </w:p>
        </w:tc>
        <w:tc>
          <w:tcPr>
            <w:tcW w:w="2160" w:type="dxa"/>
            <w:vAlign w:val="bottom"/>
            <w:gridSpan w:val="4"/>
          </w:tcPr>
          <w:p>
            <w:pPr>
              <w:ind w:left="20"/>
              <w:spacing w:after="0"/>
              <w:rPr>
                <w:sz w:val="20"/>
                <w:szCs w:val="20"/>
                <w:color w:val="auto"/>
              </w:rPr>
            </w:pPr>
            <w:r>
              <w:rPr>
                <w:rFonts w:ascii="Arial" w:cs="Arial" w:eastAsia="Arial" w:hAnsi="Arial"/>
                <w:sz w:val="17"/>
                <w:szCs w:val="17"/>
                <w:b w:val="1"/>
                <w:bCs w:val="1"/>
                <w:color w:val="auto"/>
              </w:rPr>
              <w:t>LIMITATION ON RIGHTS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7</w:t>
            </w:r>
          </w:p>
        </w:tc>
        <w:tc>
          <w:tcPr>
            <w:tcW w:w="2540" w:type="dxa"/>
            <w:vAlign w:val="bottom"/>
          </w:tcPr>
          <w:p>
            <w:pPr>
              <w:spacing w:after="0"/>
              <w:rPr>
                <w:sz w:val="24"/>
                <w:szCs w:val="24"/>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8.1.</w:t>
            </w:r>
          </w:p>
        </w:tc>
        <w:tc>
          <w:tcPr>
            <w:tcW w:w="5660" w:type="dxa"/>
            <w:vAlign w:val="bottom"/>
            <w:gridSpan w:val="6"/>
          </w:tcPr>
          <w:p>
            <w:pPr>
              <w:ind w:left="160"/>
              <w:spacing w:after="0"/>
              <w:rPr>
                <w:sz w:val="20"/>
                <w:szCs w:val="20"/>
                <w:color w:val="auto"/>
              </w:rPr>
            </w:pPr>
            <w:r>
              <w:rPr>
                <w:rFonts w:ascii="Arial" w:cs="Arial" w:eastAsia="Arial" w:hAnsi="Arial"/>
                <w:sz w:val="17"/>
                <w:szCs w:val="17"/>
                <w:color w:val="auto"/>
              </w:rPr>
              <w:t>Retention Rights and Cessation of Employment.  7</w:t>
            </w:r>
          </w:p>
        </w:tc>
      </w:tr>
      <w:tr>
        <w:trPr>
          <w:trHeight w:val="206"/>
        </w:trPr>
        <w:tc>
          <w:tcPr>
            <w:tcW w:w="320" w:type="dxa"/>
            <w:vAlign w:val="bottom"/>
          </w:tcPr>
          <w:p>
            <w:pPr>
              <w:spacing w:after="0"/>
              <w:rPr>
                <w:sz w:val="20"/>
                <w:szCs w:val="20"/>
                <w:color w:val="auto"/>
              </w:rPr>
            </w:pPr>
            <w:r>
              <w:rPr>
                <w:rFonts w:ascii="Arial" w:cs="Arial" w:eastAsia="Arial" w:hAnsi="Arial"/>
                <w:sz w:val="17"/>
                <w:szCs w:val="17"/>
                <w:color w:val="auto"/>
              </w:rPr>
              <w:t>8.2.</w:t>
            </w:r>
          </w:p>
        </w:tc>
        <w:tc>
          <w:tcPr>
            <w:tcW w:w="2160" w:type="dxa"/>
            <w:vAlign w:val="bottom"/>
            <w:gridSpan w:val="4"/>
          </w:tcPr>
          <w:p>
            <w:pPr>
              <w:ind w:left="160"/>
              <w:spacing w:after="0"/>
              <w:rPr>
                <w:sz w:val="20"/>
                <w:szCs w:val="20"/>
                <w:color w:val="auto"/>
              </w:rPr>
            </w:pPr>
            <w:r>
              <w:rPr>
                <w:rFonts w:ascii="Arial" w:cs="Arial" w:eastAsia="Arial" w:hAnsi="Arial"/>
                <w:sz w:val="17"/>
                <w:szCs w:val="17"/>
                <w:color w:val="auto"/>
              </w:rPr>
              <w:t>Shareholders’ Rights.  7</w:t>
            </w:r>
          </w:p>
        </w:tc>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26"/>
        </w:trPr>
        <w:tc>
          <w:tcPr>
            <w:tcW w:w="320" w:type="dxa"/>
            <w:vAlign w:val="bottom"/>
          </w:tcPr>
          <w:p>
            <w:pPr>
              <w:spacing w:after="0"/>
              <w:rPr>
                <w:sz w:val="20"/>
                <w:szCs w:val="20"/>
                <w:color w:val="auto"/>
              </w:rPr>
            </w:pPr>
            <w:r>
              <w:rPr>
                <w:rFonts w:ascii="Arial" w:cs="Arial" w:eastAsia="Arial" w:hAnsi="Arial"/>
                <w:sz w:val="17"/>
                <w:szCs w:val="17"/>
                <w:color w:val="auto"/>
              </w:rPr>
              <w:t>8.3.</w:t>
            </w:r>
          </w:p>
        </w:tc>
        <w:tc>
          <w:tcPr>
            <w:tcW w:w="2160" w:type="dxa"/>
            <w:vAlign w:val="bottom"/>
            <w:gridSpan w:val="4"/>
          </w:tcPr>
          <w:p>
            <w:pPr>
              <w:ind w:left="160"/>
              <w:spacing w:after="0"/>
              <w:rPr>
                <w:sz w:val="20"/>
                <w:szCs w:val="20"/>
                <w:color w:val="auto"/>
              </w:rPr>
            </w:pPr>
            <w:r>
              <w:rPr>
                <w:rFonts w:ascii="Arial" w:cs="Arial" w:eastAsia="Arial" w:hAnsi="Arial"/>
                <w:sz w:val="17"/>
                <w:szCs w:val="17"/>
                <w:color w:val="auto"/>
              </w:rPr>
              <w:t>Regulatory Requirements.</w:t>
            </w:r>
          </w:p>
        </w:tc>
        <w:tc>
          <w:tcPr>
            <w:tcW w:w="960" w:type="dxa"/>
            <w:vAlign w:val="bottom"/>
          </w:tcPr>
          <w:p>
            <w:pPr>
              <w:jc w:val="right"/>
              <w:ind w:right="594"/>
              <w:spacing w:after="0"/>
              <w:rPr>
                <w:sz w:val="20"/>
                <w:szCs w:val="20"/>
                <w:color w:val="auto"/>
              </w:rPr>
            </w:pPr>
            <w:r>
              <w:rPr>
                <w:rFonts w:ascii="Arial" w:cs="Arial" w:eastAsia="Arial" w:hAnsi="Arial"/>
                <w:sz w:val="17"/>
                <w:szCs w:val="17"/>
                <w:color w:val="auto"/>
              </w:rPr>
              <w:t>7</w:t>
            </w:r>
          </w:p>
        </w:tc>
        <w:tc>
          <w:tcPr>
            <w:tcW w:w="2540" w:type="dxa"/>
            <w:vAlign w:val="bottom"/>
          </w:tcPr>
          <w:p>
            <w:pPr>
              <w:spacing w:after="0"/>
              <w:rPr>
                <w:sz w:val="19"/>
                <w:szCs w:val="19"/>
                <w:color w:val="auto"/>
              </w:rPr>
            </w:pPr>
          </w:p>
        </w:tc>
      </w:tr>
    </w:tbl>
    <w:p>
      <w:pPr>
        <w:spacing w:after="0" w:line="211" w:lineRule="exact"/>
        <w:rPr>
          <w:sz w:val="20"/>
          <w:szCs w:val="20"/>
          <w:color w:val="auto"/>
        </w:rPr>
      </w:pPr>
    </w:p>
    <w:p>
      <w:pPr>
        <w:ind w:left="340" w:hanging="337"/>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7</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20"/>
                <w:szCs w:val="20"/>
                <w:color w:val="auto"/>
              </w:rPr>
            </w:pPr>
            <w:r>
              <w:rPr>
                <w:rFonts w:ascii="Arial" w:cs="Arial" w:eastAsia="Arial" w:hAnsi="Arial"/>
                <w:sz w:val="17"/>
                <w:szCs w:val="17"/>
                <w:color w:val="auto"/>
              </w:rPr>
              <w:t>9.1.</w:t>
            </w:r>
          </w:p>
        </w:tc>
        <w:tc>
          <w:tcPr>
            <w:tcW w:w="1360" w:type="dxa"/>
            <w:vAlign w:val="bottom"/>
          </w:tcPr>
          <w:p>
            <w:pPr>
              <w:ind w:left="120"/>
              <w:spacing w:after="0"/>
              <w:rPr>
                <w:sz w:val="20"/>
                <w:szCs w:val="20"/>
                <w:color w:val="auto"/>
              </w:rPr>
            </w:pPr>
            <w:r>
              <w:rPr>
                <w:rFonts w:ascii="Arial" w:cs="Arial" w:eastAsia="Arial" w:hAnsi="Arial"/>
                <w:sz w:val="17"/>
                <w:szCs w:val="17"/>
                <w:color w:val="auto"/>
              </w:rPr>
              <w:t>Withholding Tax</w:t>
            </w:r>
          </w:p>
        </w:tc>
        <w:tc>
          <w:tcPr>
            <w:tcW w:w="880" w:type="dxa"/>
            <w:vAlign w:val="bottom"/>
          </w:tcPr>
          <w:p>
            <w:pPr>
              <w:jc w:val="right"/>
              <w:ind w:right="534"/>
              <w:spacing w:after="0"/>
              <w:rPr>
                <w:sz w:val="20"/>
                <w:szCs w:val="20"/>
                <w:color w:val="auto"/>
              </w:rPr>
            </w:pPr>
            <w:r>
              <w:rPr>
                <w:rFonts w:ascii="Arial" w:cs="Arial" w:eastAsia="Arial" w:hAnsi="Arial"/>
                <w:sz w:val="17"/>
                <w:szCs w:val="17"/>
                <w:color w:val="auto"/>
              </w:rPr>
              <w:t>7</w:t>
            </w:r>
          </w:p>
        </w:tc>
      </w:tr>
      <w:tr>
        <w:trPr>
          <w:trHeight w:val="226"/>
        </w:trPr>
        <w:tc>
          <w:tcPr>
            <w:tcW w:w="360" w:type="dxa"/>
            <w:vAlign w:val="bottom"/>
          </w:tcPr>
          <w:p>
            <w:pPr>
              <w:spacing w:after="0"/>
              <w:rPr>
                <w:sz w:val="20"/>
                <w:szCs w:val="20"/>
                <w:color w:val="auto"/>
              </w:rPr>
            </w:pPr>
            <w:r>
              <w:rPr>
                <w:rFonts w:ascii="Arial" w:cs="Arial" w:eastAsia="Arial" w:hAnsi="Arial"/>
                <w:sz w:val="17"/>
                <w:szCs w:val="17"/>
                <w:color w:val="auto"/>
              </w:rPr>
              <w:t>9.2.</w:t>
            </w:r>
          </w:p>
        </w:tc>
        <w:tc>
          <w:tcPr>
            <w:tcW w:w="1360" w:type="dxa"/>
            <w:vAlign w:val="bottom"/>
          </w:tcPr>
          <w:p>
            <w:pPr>
              <w:ind w:left="120"/>
              <w:spacing w:after="0"/>
              <w:rPr>
                <w:sz w:val="20"/>
                <w:szCs w:val="20"/>
                <w:color w:val="auto"/>
              </w:rPr>
            </w:pPr>
            <w:r>
              <w:rPr>
                <w:rFonts w:ascii="Arial" w:cs="Arial" w:eastAsia="Arial" w:hAnsi="Arial"/>
                <w:sz w:val="17"/>
                <w:szCs w:val="17"/>
                <w:color w:val="auto"/>
              </w:rPr>
              <w:t>Section 409A.</w:t>
            </w:r>
          </w:p>
        </w:tc>
        <w:tc>
          <w:tcPr>
            <w:tcW w:w="880" w:type="dxa"/>
            <w:vAlign w:val="bottom"/>
          </w:tcPr>
          <w:p>
            <w:pPr>
              <w:jc w:val="right"/>
              <w:ind w:right="674"/>
              <w:spacing w:after="0"/>
              <w:rPr>
                <w:sz w:val="20"/>
                <w:szCs w:val="20"/>
                <w:color w:val="auto"/>
              </w:rPr>
            </w:pPr>
            <w:r>
              <w:rPr>
                <w:rFonts w:ascii="Arial" w:cs="Arial" w:eastAsia="Arial" w:hAnsi="Arial"/>
                <w:sz w:val="17"/>
                <w:szCs w:val="17"/>
                <w:color w:val="auto"/>
              </w:rPr>
              <w:t>7</w:t>
            </w:r>
          </w:p>
        </w:tc>
      </w:tr>
      <w:tr>
        <w:trPr>
          <w:trHeight w:val="419"/>
        </w:trPr>
        <w:tc>
          <w:tcPr>
            <w:tcW w:w="360" w:type="dxa"/>
            <w:vAlign w:val="bottom"/>
          </w:tcPr>
          <w:p>
            <w:pPr>
              <w:spacing w:after="0"/>
              <w:rPr>
                <w:sz w:val="20"/>
                <w:szCs w:val="20"/>
                <w:color w:val="auto"/>
              </w:rPr>
            </w:pPr>
            <w:r>
              <w:rPr>
                <w:rFonts w:ascii="Arial" w:cs="Arial" w:eastAsia="Arial" w:hAnsi="Arial"/>
                <w:sz w:val="17"/>
                <w:szCs w:val="17"/>
                <w:color w:val="auto"/>
              </w:rPr>
              <w:t>10.</w:t>
            </w:r>
          </w:p>
        </w:tc>
        <w:tc>
          <w:tcPr>
            <w:tcW w:w="2240" w:type="dxa"/>
            <w:vAlign w:val="bottom"/>
            <w:gridSpan w:val="2"/>
          </w:tcPr>
          <w:p>
            <w:pPr>
              <w:ind w:left="80"/>
              <w:spacing w:after="0"/>
              <w:rPr>
                <w:sz w:val="20"/>
                <w:szCs w:val="20"/>
                <w:color w:val="auto"/>
              </w:rPr>
            </w:pPr>
            <w:r>
              <w:rPr>
                <w:rFonts w:ascii="Arial" w:cs="Arial" w:eastAsia="Arial" w:hAnsi="Arial"/>
                <w:sz w:val="17"/>
                <w:szCs w:val="17"/>
                <w:b w:val="1"/>
                <w:bCs w:val="1"/>
                <w:color w:val="auto"/>
              </w:rPr>
              <w:t xml:space="preserve">FUTURE OF THE PLAN  </w:t>
            </w:r>
            <w:r>
              <w:rPr>
                <w:rFonts w:ascii="Arial" w:cs="Arial" w:eastAsia="Arial" w:hAnsi="Arial"/>
                <w:sz w:val="17"/>
                <w:szCs w:val="17"/>
                <w:color w:val="auto"/>
              </w:rPr>
              <w:t>8</w:t>
            </w:r>
          </w:p>
        </w:tc>
      </w:tr>
      <w:tr>
        <w:trPr>
          <w:trHeight w:val="222"/>
        </w:trPr>
        <w:tc>
          <w:tcPr>
            <w:tcW w:w="1720" w:type="dxa"/>
            <w:vAlign w:val="bottom"/>
            <w:gridSpan w:val="2"/>
          </w:tcPr>
          <w:p>
            <w:pPr>
              <w:spacing w:after="0"/>
              <w:rPr>
                <w:sz w:val="20"/>
                <w:szCs w:val="20"/>
                <w:color w:val="auto"/>
              </w:rPr>
            </w:pPr>
            <w:r>
              <w:rPr>
                <w:rFonts w:ascii="Arial" w:cs="Arial" w:eastAsia="Arial" w:hAnsi="Arial"/>
                <w:sz w:val="17"/>
                <w:szCs w:val="17"/>
                <w:color w:val="auto"/>
              </w:rPr>
              <w:t>10.1.Term of the Plan</w:t>
            </w:r>
          </w:p>
        </w:tc>
        <w:tc>
          <w:tcPr>
            <w:tcW w:w="880" w:type="dxa"/>
            <w:vAlign w:val="bottom"/>
          </w:tcPr>
          <w:p>
            <w:pPr>
              <w:jc w:val="right"/>
              <w:ind w:right="594"/>
              <w:spacing w:after="0"/>
              <w:rPr>
                <w:sz w:val="20"/>
                <w:szCs w:val="20"/>
                <w:color w:val="auto"/>
              </w:rPr>
            </w:pPr>
            <w:r>
              <w:rPr>
                <w:rFonts w:ascii="Arial" w:cs="Arial" w:eastAsia="Arial" w:hAnsi="Arial"/>
                <w:sz w:val="17"/>
                <w:szCs w:val="17"/>
                <w:color w:val="auto"/>
              </w:rPr>
              <w:t>8</w:t>
            </w:r>
          </w:p>
        </w:tc>
      </w:tr>
    </w:tbl>
    <w:p>
      <w:pPr>
        <w:spacing w:after="0"/>
        <w:tabs>
          <w:tab w:leader="none" w:pos="2760" w:val="left"/>
        </w:tabs>
        <w:rPr>
          <w:sz w:val="20"/>
          <w:szCs w:val="20"/>
          <w:color w:val="auto"/>
        </w:rPr>
      </w:pPr>
      <w:r>
        <w:rPr>
          <w:rFonts w:ascii="Arial" w:cs="Arial" w:eastAsia="Arial" w:hAnsi="Arial"/>
          <w:sz w:val="17"/>
          <w:szCs w:val="17"/>
          <w:color w:val="auto"/>
        </w:rPr>
        <w:t>10.2.Amendment or Termination. .</w:t>
        <w:tab/>
        <w:t>8</w:t>
      </w:r>
    </w:p>
    <w:p>
      <w:pPr>
        <w:spacing w:after="0" w:line="225" w:lineRule="exact"/>
        <w:rPr>
          <w:sz w:val="20"/>
          <w:szCs w:val="20"/>
          <w:color w:val="auto"/>
        </w:rPr>
      </w:pPr>
    </w:p>
    <w:p>
      <w:pPr>
        <w:ind w:left="420" w:hanging="417"/>
        <w:spacing w:after="0"/>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FINANCIAL ASSISTANCE  </w:t>
      </w:r>
      <w:r>
        <w:rPr>
          <w:rFonts w:ascii="Arial" w:cs="Arial" w:eastAsia="Arial" w:hAnsi="Arial"/>
          <w:sz w:val="17"/>
          <w:szCs w:val="17"/>
          <w:color w:val="auto"/>
        </w:rPr>
        <w:t>8</w:t>
      </w:r>
    </w:p>
    <w:p>
      <w:pPr>
        <w:spacing w:after="0" w:line="242" w:lineRule="exact"/>
        <w:rPr>
          <w:rFonts w:ascii="Arial" w:cs="Arial" w:eastAsia="Arial" w:hAnsi="Arial"/>
          <w:sz w:val="17"/>
          <w:szCs w:val="17"/>
          <w:color w:val="auto"/>
        </w:rPr>
      </w:pPr>
    </w:p>
    <w:p>
      <w:pPr>
        <w:ind w:left="440" w:hanging="437"/>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8</w:t>
      </w:r>
    </w:p>
    <w:p>
      <w:pPr>
        <w:spacing w:after="0" w:line="29" w:lineRule="exact"/>
        <w:rPr>
          <w:sz w:val="20"/>
          <w:szCs w:val="20"/>
          <w:color w:val="auto"/>
        </w:rPr>
      </w:pPr>
    </w:p>
    <w:p>
      <w:pPr>
        <w:spacing w:after="0"/>
        <w:tabs>
          <w:tab w:leader="none" w:pos="540" w:val="left"/>
          <w:tab w:leader="none" w:pos="1260" w:val="left"/>
        </w:tabs>
        <w:rPr>
          <w:sz w:val="20"/>
          <w:szCs w:val="20"/>
          <w:color w:val="auto"/>
        </w:rPr>
      </w:pPr>
      <w:r>
        <w:rPr>
          <w:rFonts w:ascii="Arial" w:cs="Arial" w:eastAsia="Arial" w:hAnsi="Arial"/>
          <w:sz w:val="17"/>
          <w:szCs w:val="17"/>
          <w:color w:val="auto"/>
        </w:rPr>
        <w:t>12.1.</w:t>
        <w:tab/>
        <w:t>Award.</w:t>
        <w:tab/>
        <w:t>8</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12.2.</w:t>
            </w:r>
          </w:p>
        </w:tc>
        <w:tc>
          <w:tcPr>
            <w:tcW w:w="680" w:type="dxa"/>
            <w:vAlign w:val="bottom"/>
          </w:tcPr>
          <w:p>
            <w:pPr>
              <w:ind w:left="100"/>
              <w:spacing w:after="0"/>
              <w:rPr>
                <w:sz w:val="20"/>
                <w:szCs w:val="20"/>
                <w:color w:val="auto"/>
              </w:rPr>
            </w:pPr>
            <w:r>
              <w:rPr>
                <w:rFonts w:ascii="Arial" w:cs="Arial" w:eastAsia="Arial" w:hAnsi="Arial"/>
                <w:sz w:val="17"/>
                <w:szCs w:val="17"/>
                <w:color w:val="auto"/>
              </w:rPr>
              <w:t>Board.</w:t>
            </w:r>
          </w:p>
        </w:tc>
        <w:tc>
          <w:tcPr>
            <w:tcW w:w="340" w:type="dxa"/>
            <w:vAlign w:val="bottom"/>
          </w:tcPr>
          <w:p>
            <w:pPr>
              <w:jc w:val="right"/>
              <w:ind w:right="54"/>
              <w:spacing w:after="0"/>
              <w:rPr>
                <w:sz w:val="20"/>
                <w:szCs w:val="20"/>
                <w:color w:val="auto"/>
              </w:rPr>
            </w:pPr>
            <w:r>
              <w:rPr>
                <w:rFonts w:ascii="Arial" w:cs="Arial" w:eastAsia="Arial" w:hAnsi="Arial"/>
                <w:sz w:val="17"/>
                <w:szCs w:val="17"/>
                <w:color w:val="auto"/>
              </w:rPr>
              <w:t>8</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12.3.</w:t>
            </w:r>
          </w:p>
        </w:tc>
        <w:tc>
          <w:tcPr>
            <w:tcW w:w="1560" w:type="dxa"/>
            <w:vAlign w:val="bottom"/>
            <w:gridSpan w:val="3"/>
          </w:tcPr>
          <w:p>
            <w:pPr>
              <w:ind w:left="100"/>
              <w:spacing w:after="0"/>
              <w:rPr>
                <w:sz w:val="20"/>
                <w:szCs w:val="20"/>
                <w:color w:val="auto"/>
              </w:rPr>
            </w:pPr>
            <w:r>
              <w:rPr>
                <w:rFonts w:ascii="Arial" w:cs="Arial" w:eastAsia="Arial" w:hAnsi="Arial"/>
                <w:sz w:val="17"/>
                <w:szCs w:val="17"/>
                <w:color w:val="auto"/>
              </w:rPr>
              <w:t>Change in Control</w:t>
            </w:r>
          </w:p>
        </w:tc>
        <w:tc>
          <w:tcPr>
            <w:tcW w:w="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6"/>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12.4.</w:t>
            </w:r>
          </w:p>
        </w:tc>
        <w:tc>
          <w:tcPr>
            <w:tcW w:w="680" w:type="dxa"/>
            <w:vAlign w:val="bottom"/>
          </w:tcPr>
          <w:p>
            <w:pPr>
              <w:ind w:left="100"/>
              <w:spacing w:after="0"/>
              <w:rPr>
                <w:sz w:val="20"/>
                <w:szCs w:val="20"/>
                <w:color w:val="auto"/>
              </w:rPr>
            </w:pPr>
            <w:r>
              <w:rPr>
                <w:rFonts w:ascii="Arial" w:cs="Arial" w:eastAsia="Arial" w:hAnsi="Arial"/>
                <w:sz w:val="17"/>
                <w:szCs w:val="17"/>
                <w:color w:val="auto"/>
              </w:rPr>
              <w:t>Code.</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9</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12.5.</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Committee.</w:t>
            </w:r>
          </w:p>
        </w:tc>
        <w:tc>
          <w:tcPr>
            <w:tcW w:w="540" w:type="dxa"/>
            <w:vAlign w:val="bottom"/>
          </w:tcPr>
          <w:p>
            <w:pPr>
              <w:jc w:val="right"/>
              <w:ind w:right="214"/>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r>
      <w:tr>
        <w:trPr>
          <w:trHeight w:val="206"/>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12.6.</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Company.</w:t>
            </w:r>
          </w:p>
        </w:tc>
        <w:tc>
          <w:tcPr>
            <w:tcW w:w="540" w:type="dxa"/>
            <w:vAlign w:val="bottom"/>
          </w:tcPr>
          <w:p>
            <w:pPr>
              <w:jc w:val="right"/>
              <w:ind w:right="314"/>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r>
      <w:tr>
        <w:trPr>
          <w:trHeight w:val="206"/>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12.7.</w:t>
            </w:r>
          </w:p>
        </w:tc>
        <w:tc>
          <w:tcPr>
            <w:tcW w:w="1560" w:type="dxa"/>
            <w:vAlign w:val="bottom"/>
            <w:gridSpan w:val="3"/>
          </w:tcPr>
          <w:p>
            <w:pPr>
              <w:ind w:left="100"/>
              <w:spacing w:after="0"/>
              <w:rPr>
                <w:sz w:val="20"/>
                <w:szCs w:val="20"/>
                <w:color w:val="auto"/>
              </w:rPr>
            </w:pPr>
            <w:r>
              <w:rPr>
                <w:rFonts w:ascii="Arial" w:cs="Arial" w:eastAsia="Arial" w:hAnsi="Arial"/>
                <w:sz w:val="17"/>
                <w:szCs w:val="17"/>
                <w:color w:val="auto"/>
              </w:rPr>
              <w:t>Consultants Plan.</w:t>
            </w:r>
          </w:p>
        </w:tc>
        <w:tc>
          <w:tcPr>
            <w:tcW w:w="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6"/>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12.8.</w:t>
            </w:r>
          </w:p>
        </w:tc>
        <w:tc>
          <w:tcPr>
            <w:tcW w:w="1560" w:type="dxa"/>
            <w:vAlign w:val="bottom"/>
            <w:gridSpan w:val="3"/>
          </w:tcPr>
          <w:p>
            <w:pPr>
              <w:ind w:left="100"/>
              <w:spacing w:after="0"/>
              <w:rPr>
                <w:sz w:val="20"/>
                <w:szCs w:val="20"/>
                <w:color w:val="auto"/>
              </w:rPr>
            </w:pPr>
            <w:r>
              <w:rPr>
                <w:rFonts w:ascii="Arial" w:cs="Arial" w:eastAsia="Arial" w:hAnsi="Arial"/>
                <w:sz w:val="17"/>
                <w:szCs w:val="17"/>
                <w:color w:val="auto"/>
              </w:rPr>
              <w:t>Date of Grant.  9</w:t>
            </w:r>
          </w:p>
        </w:tc>
        <w:tc>
          <w:tcPr>
            <w:tcW w:w="200" w:type="dxa"/>
            <w:vAlign w:val="bottom"/>
          </w:tcPr>
          <w:p>
            <w:pPr>
              <w:spacing w:after="0"/>
              <w:rPr>
                <w:sz w:val="17"/>
                <w:szCs w:val="17"/>
                <w:color w:val="auto"/>
              </w:rPr>
            </w:pPr>
          </w:p>
        </w:tc>
      </w:tr>
      <w:tr>
        <w:trPr>
          <w:trHeight w:val="222"/>
        </w:trPr>
        <w:tc>
          <w:tcPr>
            <w:tcW w:w="480" w:type="dxa"/>
            <w:vAlign w:val="bottom"/>
          </w:tcPr>
          <w:p>
            <w:pPr>
              <w:jc w:val="right"/>
              <w:ind w:right="14"/>
              <w:spacing w:after="0"/>
              <w:rPr>
                <w:sz w:val="20"/>
                <w:szCs w:val="20"/>
                <w:color w:val="auto"/>
              </w:rPr>
            </w:pPr>
            <w:r>
              <w:rPr>
                <w:rFonts w:ascii="Arial" w:cs="Arial" w:eastAsia="Arial" w:hAnsi="Arial"/>
                <w:sz w:val="17"/>
                <w:szCs w:val="17"/>
                <w:color w:val="auto"/>
                <w:w w:val="95"/>
              </w:rPr>
              <w:t>12.9.</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Employee.</w:t>
            </w:r>
          </w:p>
        </w:tc>
        <w:tc>
          <w:tcPr>
            <w:tcW w:w="540" w:type="dxa"/>
            <w:vAlign w:val="bottom"/>
          </w:tcPr>
          <w:p>
            <w:pPr>
              <w:jc w:val="right"/>
              <w:ind w:right="274"/>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line="190" w:lineRule="exact"/>
              <w:rPr>
                <w:sz w:val="20"/>
                <w:szCs w:val="20"/>
                <w:color w:val="auto"/>
              </w:rPr>
            </w:pPr>
            <w:r>
              <w:rPr>
                <w:rFonts w:ascii="Arial" w:cs="Arial" w:eastAsia="Arial" w:hAnsi="Arial"/>
                <w:sz w:val="17"/>
                <w:szCs w:val="17"/>
                <w:color w:val="auto"/>
              </w:rPr>
              <w:t>12.10.</w:t>
            </w:r>
          </w:p>
        </w:tc>
        <w:tc>
          <w:tcPr>
            <w:tcW w:w="1400" w:type="dxa"/>
            <w:vAlign w:val="bottom"/>
            <w:gridSpan w:val="3"/>
          </w:tcPr>
          <w:p>
            <w:pPr>
              <w:ind w:left="120"/>
              <w:spacing w:after="0" w:line="190" w:lineRule="exact"/>
              <w:rPr>
                <w:sz w:val="20"/>
                <w:szCs w:val="20"/>
                <w:color w:val="auto"/>
              </w:rPr>
            </w:pPr>
            <w:r>
              <w:rPr>
                <w:rFonts w:ascii="Arial" w:cs="Arial" w:eastAsia="Arial" w:hAnsi="Arial"/>
                <w:sz w:val="17"/>
                <w:szCs w:val="17"/>
                <w:color w:val="auto"/>
              </w:rPr>
              <w:t>Exchange Act.</w:t>
            </w:r>
          </w:p>
        </w:tc>
        <w:tc>
          <w:tcPr>
            <w:tcW w:w="760" w:type="dxa"/>
            <w:vAlign w:val="bottom"/>
          </w:tcPr>
          <w:p>
            <w:pPr>
              <w:jc w:val="right"/>
              <w:ind w:right="574"/>
              <w:spacing w:after="0" w:line="190" w:lineRule="exact"/>
              <w:rPr>
                <w:sz w:val="20"/>
                <w:szCs w:val="20"/>
                <w:color w:val="auto"/>
              </w:rPr>
            </w:pPr>
            <w:r>
              <w:rPr>
                <w:rFonts w:ascii="Arial" w:cs="Arial" w:eastAsia="Arial" w:hAnsi="Arial"/>
                <w:sz w:val="17"/>
                <w:szCs w:val="17"/>
                <w:color w:val="auto"/>
                <w:w w:val="84"/>
              </w:rPr>
              <w:t>9</w:t>
            </w:r>
          </w:p>
        </w:tc>
        <w:tc>
          <w:tcPr>
            <w:tcW w:w="1280" w:type="dxa"/>
            <w:vAlign w:val="bottom"/>
          </w:tcPr>
          <w:p>
            <w:pPr>
              <w:spacing w:after="0"/>
              <w:rPr>
                <w:sz w:val="16"/>
                <w:szCs w:val="16"/>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12.11.</w:t>
            </w:r>
          </w:p>
        </w:tc>
        <w:tc>
          <w:tcPr>
            <w:tcW w:w="1400" w:type="dxa"/>
            <w:vAlign w:val="bottom"/>
            <w:gridSpan w:val="3"/>
          </w:tcPr>
          <w:p>
            <w:pPr>
              <w:ind w:left="100"/>
              <w:spacing w:after="0"/>
              <w:rPr>
                <w:sz w:val="20"/>
                <w:szCs w:val="20"/>
                <w:color w:val="auto"/>
              </w:rPr>
            </w:pPr>
            <w:r>
              <w:rPr>
                <w:rFonts w:ascii="Arial" w:cs="Arial" w:eastAsia="Arial" w:hAnsi="Arial"/>
                <w:sz w:val="17"/>
                <w:szCs w:val="17"/>
                <w:color w:val="auto"/>
              </w:rPr>
              <w:t>Exercise Price.</w:t>
            </w:r>
          </w:p>
        </w:tc>
        <w:tc>
          <w:tcPr>
            <w:tcW w:w="760" w:type="dxa"/>
            <w:vAlign w:val="bottom"/>
          </w:tcPr>
          <w:p>
            <w:pPr>
              <w:jc w:val="right"/>
              <w:ind w:right="534"/>
              <w:spacing w:after="0"/>
              <w:rPr>
                <w:sz w:val="20"/>
                <w:szCs w:val="20"/>
                <w:color w:val="auto"/>
              </w:rPr>
            </w:pPr>
            <w:r>
              <w:rPr>
                <w:rFonts w:ascii="Arial" w:cs="Arial" w:eastAsia="Arial" w:hAnsi="Arial"/>
                <w:sz w:val="17"/>
                <w:szCs w:val="17"/>
                <w:color w:val="auto"/>
              </w:rPr>
              <w:t>9</w:t>
            </w: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12.12.</w:t>
            </w:r>
          </w:p>
        </w:tc>
        <w:tc>
          <w:tcPr>
            <w:tcW w:w="2160" w:type="dxa"/>
            <w:vAlign w:val="bottom"/>
            <w:gridSpan w:val="4"/>
          </w:tcPr>
          <w:p>
            <w:pPr>
              <w:ind w:left="120"/>
              <w:spacing w:after="0"/>
              <w:rPr>
                <w:sz w:val="20"/>
                <w:szCs w:val="20"/>
                <w:color w:val="auto"/>
              </w:rPr>
            </w:pPr>
            <w:r>
              <w:rPr>
                <w:rFonts w:ascii="Arial" w:cs="Arial" w:eastAsia="Arial" w:hAnsi="Arial"/>
                <w:sz w:val="17"/>
                <w:szCs w:val="17"/>
                <w:color w:val="auto"/>
              </w:rPr>
              <w:t>Internal Revenue Service.</w:t>
            </w:r>
          </w:p>
        </w:tc>
        <w:tc>
          <w:tcPr>
            <w:tcW w:w="1280" w:type="dxa"/>
            <w:vAlign w:val="bottom"/>
          </w:tcPr>
          <w:p>
            <w:pPr>
              <w:jc w:val="right"/>
              <w:ind w:right="974"/>
              <w:spacing w:after="0"/>
              <w:rPr>
                <w:sz w:val="20"/>
                <w:szCs w:val="20"/>
                <w:color w:val="auto"/>
              </w:rPr>
            </w:pPr>
            <w:r>
              <w:rPr>
                <w:rFonts w:ascii="Arial" w:cs="Arial" w:eastAsia="Arial" w:hAnsi="Arial"/>
                <w:sz w:val="17"/>
                <w:szCs w:val="17"/>
                <w:color w:val="auto"/>
              </w:rPr>
              <w:t>9</w:t>
            </w: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12.13.</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w w:val="97"/>
              </w:rPr>
              <w:t>Market Value</w:t>
            </w: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12.14.</w:t>
            </w:r>
          </w:p>
        </w:tc>
        <w:tc>
          <w:tcPr>
            <w:tcW w:w="680" w:type="dxa"/>
            <w:vAlign w:val="bottom"/>
          </w:tcPr>
          <w:p>
            <w:pPr>
              <w:ind w:left="120"/>
              <w:spacing w:after="0"/>
              <w:rPr>
                <w:sz w:val="20"/>
                <w:szCs w:val="20"/>
                <w:color w:val="auto"/>
              </w:rPr>
            </w:pPr>
            <w:r>
              <w:rPr>
                <w:rFonts w:ascii="Arial" w:cs="Arial" w:eastAsia="Arial" w:hAnsi="Arial"/>
                <w:sz w:val="17"/>
                <w:szCs w:val="17"/>
                <w:color w:val="auto"/>
              </w:rPr>
              <w:t>NSO.</w:t>
            </w:r>
          </w:p>
        </w:tc>
        <w:tc>
          <w:tcPr>
            <w:tcW w:w="440" w:type="dxa"/>
            <w:vAlign w:val="bottom"/>
          </w:tcPr>
          <w:p>
            <w:pPr>
              <w:jc w:val="right"/>
              <w:ind w:right="214"/>
              <w:spacing w:after="0"/>
              <w:rPr>
                <w:sz w:val="20"/>
                <w:szCs w:val="20"/>
                <w:color w:val="auto"/>
              </w:rPr>
            </w:pPr>
            <w:r>
              <w:rPr>
                <w:rFonts w:ascii="Arial" w:cs="Arial" w:eastAsia="Arial" w:hAnsi="Arial"/>
                <w:sz w:val="17"/>
                <w:szCs w:val="17"/>
                <w:color w:val="auto"/>
              </w:rPr>
              <w:t>9</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12.15.</w:t>
            </w:r>
          </w:p>
        </w:tc>
        <w:tc>
          <w:tcPr>
            <w:tcW w:w="680" w:type="dxa"/>
            <w:vAlign w:val="bottom"/>
          </w:tcPr>
          <w:p>
            <w:pPr>
              <w:ind w:left="120"/>
              <w:spacing w:after="0"/>
              <w:rPr>
                <w:sz w:val="20"/>
                <w:szCs w:val="20"/>
                <w:color w:val="auto"/>
              </w:rPr>
            </w:pPr>
            <w:r>
              <w:rPr>
                <w:rFonts w:ascii="Arial" w:cs="Arial" w:eastAsia="Arial" w:hAnsi="Arial"/>
                <w:sz w:val="17"/>
                <w:szCs w:val="17"/>
                <w:color w:val="auto"/>
                <w:w w:val="98"/>
              </w:rPr>
              <w:t>Option.</w:t>
            </w: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12.16.</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rPr>
              <w:t>Optionee.  10</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12.17.</w:t>
            </w:r>
          </w:p>
        </w:tc>
        <w:tc>
          <w:tcPr>
            <w:tcW w:w="1400" w:type="dxa"/>
            <w:vAlign w:val="bottom"/>
            <w:gridSpan w:val="3"/>
          </w:tcPr>
          <w:p>
            <w:pPr>
              <w:ind w:left="120"/>
              <w:spacing w:after="0"/>
              <w:rPr>
                <w:sz w:val="20"/>
                <w:szCs w:val="20"/>
                <w:color w:val="auto"/>
              </w:rPr>
            </w:pPr>
            <w:r>
              <w:rPr>
                <w:rFonts w:ascii="Arial" w:cs="Arial" w:eastAsia="Arial" w:hAnsi="Arial"/>
                <w:sz w:val="17"/>
                <w:szCs w:val="17"/>
                <w:color w:val="auto"/>
              </w:rPr>
              <w:t>Ordinary Share.</w:t>
            </w:r>
          </w:p>
        </w:tc>
        <w:tc>
          <w:tcPr>
            <w:tcW w:w="760" w:type="dxa"/>
            <w:vAlign w:val="bottom"/>
          </w:tcPr>
          <w:p>
            <w:pPr>
              <w:jc w:val="right"/>
              <w:ind w:right="374"/>
              <w:spacing w:after="0"/>
              <w:rPr>
                <w:sz w:val="20"/>
                <w:szCs w:val="20"/>
                <w:color w:val="auto"/>
              </w:rPr>
            </w:pPr>
            <w:r>
              <w:rPr>
                <w:rFonts w:ascii="Arial" w:cs="Arial" w:eastAsia="Arial" w:hAnsi="Arial"/>
                <w:sz w:val="17"/>
                <w:szCs w:val="17"/>
                <w:color w:val="auto"/>
              </w:rPr>
              <w:t>10</w:t>
            </w: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12.18.</w:t>
            </w:r>
          </w:p>
        </w:tc>
        <w:tc>
          <w:tcPr>
            <w:tcW w:w="680" w:type="dxa"/>
            <w:vAlign w:val="bottom"/>
          </w:tcPr>
          <w:p>
            <w:pPr>
              <w:ind w:left="120"/>
              <w:spacing w:after="0"/>
              <w:rPr>
                <w:sz w:val="20"/>
                <w:szCs w:val="20"/>
                <w:color w:val="auto"/>
              </w:rPr>
            </w:pPr>
            <w:r>
              <w:rPr>
                <w:rFonts w:ascii="Arial" w:cs="Arial" w:eastAsia="Arial" w:hAnsi="Arial"/>
                <w:sz w:val="17"/>
                <w:szCs w:val="17"/>
                <w:color w:val="auto"/>
              </w:rPr>
              <w:t>Plan.</w:t>
            </w:r>
          </w:p>
        </w:tc>
        <w:tc>
          <w:tcPr>
            <w:tcW w:w="440" w:type="dxa"/>
            <w:vAlign w:val="bottom"/>
          </w:tcPr>
          <w:p>
            <w:pPr>
              <w:jc w:val="right"/>
              <w:ind w:right="154"/>
              <w:spacing w:after="0"/>
              <w:rPr>
                <w:sz w:val="20"/>
                <w:szCs w:val="20"/>
                <w:color w:val="auto"/>
              </w:rPr>
            </w:pPr>
            <w:r>
              <w:rPr>
                <w:rFonts w:ascii="Arial" w:cs="Arial" w:eastAsia="Arial" w:hAnsi="Arial"/>
                <w:sz w:val="17"/>
                <w:szCs w:val="17"/>
                <w:color w:val="auto"/>
                <w:w w:val="94"/>
              </w:rPr>
              <w:t>10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12.19.</w:t>
            </w:r>
          </w:p>
        </w:tc>
        <w:tc>
          <w:tcPr>
            <w:tcW w:w="3440" w:type="dxa"/>
            <w:vAlign w:val="bottom"/>
            <w:gridSpan w:val="5"/>
          </w:tcPr>
          <w:p>
            <w:pPr>
              <w:ind w:left="120"/>
              <w:spacing w:after="0"/>
              <w:rPr>
                <w:sz w:val="20"/>
                <w:szCs w:val="20"/>
                <w:color w:val="auto"/>
              </w:rPr>
            </w:pPr>
            <w:r>
              <w:rPr>
                <w:rFonts w:ascii="Arial" w:cs="Arial" w:eastAsia="Arial" w:hAnsi="Arial"/>
                <w:sz w:val="17"/>
                <w:szCs w:val="17"/>
                <w:color w:val="auto"/>
              </w:rPr>
              <w:t>Securities and Exchange Commission.  10</w:t>
            </w: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12.20.</w:t>
            </w:r>
          </w:p>
        </w:tc>
        <w:tc>
          <w:tcPr>
            <w:tcW w:w="680" w:type="dxa"/>
            <w:vAlign w:val="bottom"/>
          </w:tcPr>
          <w:p>
            <w:pPr>
              <w:ind w:left="120"/>
              <w:spacing w:after="0"/>
              <w:rPr>
                <w:sz w:val="20"/>
                <w:szCs w:val="20"/>
                <w:color w:val="auto"/>
              </w:rPr>
            </w:pPr>
            <w:r>
              <w:rPr>
                <w:rFonts w:ascii="Arial" w:cs="Arial" w:eastAsia="Arial" w:hAnsi="Arial"/>
                <w:sz w:val="17"/>
                <w:szCs w:val="17"/>
                <w:color w:val="auto"/>
              </w:rPr>
              <w:t>Share.</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12.21.</w:t>
            </w:r>
          </w:p>
        </w:tc>
        <w:tc>
          <w:tcPr>
            <w:tcW w:w="2160" w:type="dxa"/>
            <w:vAlign w:val="bottom"/>
            <w:gridSpan w:val="4"/>
          </w:tcPr>
          <w:p>
            <w:pPr>
              <w:ind w:left="120"/>
              <w:spacing w:after="0"/>
              <w:rPr>
                <w:sz w:val="20"/>
                <w:szCs w:val="20"/>
                <w:color w:val="auto"/>
              </w:rPr>
            </w:pPr>
            <w:r>
              <w:rPr>
                <w:rFonts w:ascii="Arial" w:cs="Arial" w:eastAsia="Arial" w:hAnsi="Arial"/>
                <w:sz w:val="17"/>
                <w:szCs w:val="17"/>
                <w:color w:val="auto"/>
              </w:rPr>
              <w:t>Stock Option Agreement.</w:t>
            </w:r>
          </w:p>
        </w:tc>
        <w:tc>
          <w:tcPr>
            <w:tcW w:w="1280" w:type="dxa"/>
            <w:vAlign w:val="bottom"/>
          </w:tcPr>
          <w:p>
            <w:pPr>
              <w:jc w:val="right"/>
              <w:ind w:right="934"/>
              <w:spacing w:after="0"/>
              <w:rPr>
                <w:sz w:val="20"/>
                <w:szCs w:val="20"/>
                <w:color w:val="auto"/>
              </w:rPr>
            </w:pPr>
            <w:r>
              <w:rPr>
                <w:rFonts w:ascii="Arial" w:cs="Arial" w:eastAsia="Arial" w:hAnsi="Arial"/>
                <w:sz w:val="17"/>
                <w:szCs w:val="17"/>
                <w:color w:val="auto"/>
              </w:rPr>
              <w:t>10</w:t>
            </w:r>
          </w:p>
        </w:tc>
      </w:tr>
      <w:tr>
        <w:trPr>
          <w:trHeight w:val="226"/>
        </w:trPr>
        <w:tc>
          <w:tcPr>
            <w:tcW w:w="560" w:type="dxa"/>
            <w:vAlign w:val="bottom"/>
          </w:tcPr>
          <w:p>
            <w:pPr>
              <w:spacing w:after="0"/>
              <w:rPr>
                <w:sz w:val="20"/>
                <w:szCs w:val="20"/>
                <w:color w:val="auto"/>
              </w:rPr>
            </w:pPr>
            <w:r>
              <w:rPr>
                <w:rFonts w:ascii="Arial" w:cs="Arial" w:eastAsia="Arial" w:hAnsi="Arial"/>
                <w:sz w:val="17"/>
                <w:szCs w:val="17"/>
                <w:color w:val="auto"/>
              </w:rPr>
              <w:t>12.22.</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Subsidiary.</w:t>
            </w:r>
          </w:p>
        </w:tc>
        <w:tc>
          <w:tcPr>
            <w:tcW w:w="280" w:type="dxa"/>
            <w:vAlign w:val="bottom"/>
          </w:tcPr>
          <w:p>
            <w:pPr>
              <w:jc w:val="right"/>
              <w:spacing w:after="0"/>
              <w:rPr>
                <w:sz w:val="20"/>
                <w:szCs w:val="20"/>
                <w:color w:val="auto"/>
              </w:rPr>
            </w:pPr>
            <w:r>
              <w:rPr>
                <w:rFonts w:ascii="Arial" w:cs="Arial" w:eastAsia="Arial" w:hAnsi="Arial"/>
                <w:sz w:val="17"/>
                <w:szCs w:val="17"/>
                <w:color w:val="auto"/>
              </w:rPr>
              <w:t>10</w:t>
            </w: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1"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ICON plc</w:t>
      </w:r>
    </w:p>
    <w:p>
      <w:pPr>
        <w:spacing w:after="0" w:line="2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u w:val="single" w:color="auto"/>
          <w:color w:val="auto"/>
        </w:rPr>
        <w:t>EMPLOYEE SHARE OPTION PLAN 2008</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(as amended and restated effective as of 14 February 2017 and further updated 20 October 2026)</w:t>
      </w:r>
    </w:p>
    <w:p>
      <w:pPr>
        <w:spacing w:after="0" w:line="243" w:lineRule="exact"/>
        <w:rPr>
          <w:sz w:val="20"/>
          <w:szCs w:val="20"/>
          <w:color w:val="auto"/>
        </w:rPr>
      </w:pPr>
    </w:p>
    <w:p>
      <w:pPr>
        <w:ind w:left="329" w:hanging="329"/>
        <w:spacing w:after="0"/>
        <w:tabs>
          <w:tab w:leader="none" w:pos="329"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INTRODUCTION</w:t>
      </w:r>
    </w:p>
    <w:p>
      <w:pPr>
        <w:spacing w:after="0" w:line="245" w:lineRule="exact"/>
        <w:rPr>
          <w:sz w:val="20"/>
          <w:szCs w:val="20"/>
          <w:color w:val="auto"/>
        </w:rPr>
      </w:pPr>
    </w:p>
    <w:p>
      <w:pPr>
        <w:ind w:left="9" w:right="60"/>
        <w:spacing w:after="0" w:line="259" w:lineRule="auto"/>
        <w:rPr>
          <w:sz w:val="20"/>
          <w:szCs w:val="20"/>
          <w:color w:val="auto"/>
        </w:rPr>
      </w:pPr>
      <w:r>
        <w:rPr>
          <w:rFonts w:ascii="Arial" w:cs="Arial" w:eastAsia="Arial" w:hAnsi="Arial"/>
          <w:sz w:val="17"/>
          <w:szCs w:val="17"/>
          <w:color w:val="auto"/>
        </w:rPr>
        <w:t>The Plan is established pursuant to a resolution of shareholders dated 21 July 2008 and was amended and restated pursuant to a resolution of Directors dated 14 February 2017 and further updated pursuant to a resolution of Directors dated 20 October 2026. The purpose of the Plan is to establish an employees’ share scheme within the meaning of Section 2 of the Companies (Amendment) Act 1983 as a share incentive scheme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200" w:lineRule="exact"/>
        <w:rPr>
          <w:sz w:val="20"/>
          <w:szCs w:val="20"/>
          <w:color w:val="auto"/>
        </w:rPr>
      </w:pPr>
    </w:p>
    <w:p>
      <w:pPr>
        <w:spacing w:after="0" w:line="229" w:lineRule="exact"/>
        <w:rPr>
          <w:sz w:val="20"/>
          <w:szCs w:val="20"/>
          <w:color w:val="auto"/>
        </w:rPr>
      </w:pPr>
    </w:p>
    <w:p>
      <w:pPr>
        <w:ind w:left="329" w:hanging="329"/>
        <w:spacing w:after="0"/>
        <w:tabs>
          <w:tab w:leader="none" w:pos="329"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ADMINISTRATION</w:t>
      </w:r>
    </w:p>
    <w:p>
      <w:pPr>
        <w:spacing w:after="0" w:line="245" w:lineRule="exact"/>
        <w:rPr>
          <w:sz w:val="20"/>
          <w:szCs w:val="20"/>
          <w:color w:val="auto"/>
        </w:rPr>
      </w:pPr>
    </w:p>
    <w:p>
      <w:pPr>
        <w:ind w:left="9"/>
        <w:spacing w:after="0"/>
        <w:tabs>
          <w:tab w:leader="none" w:pos="469"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u w:val="single" w:color="auto"/>
          <w:color w:val="auto"/>
        </w:rPr>
        <w:t>Administration by Committee</w:t>
      </w:r>
      <w:r>
        <w:rPr>
          <w:rFonts w:ascii="Arial" w:cs="Arial" w:eastAsia="Arial" w:hAnsi="Arial"/>
          <w:sz w:val="17"/>
          <w:szCs w:val="17"/>
          <w:color w:val="auto"/>
        </w:rPr>
        <w:t>. The Plan shall be administered by the Committee.</w:t>
      </w:r>
    </w:p>
    <w:p>
      <w:pPr>
        <w:spacing w:after="0" w:line="243" w:lineRule="exact"/>
        <w:rPr>
          <w:sz w:val="20"/>
          <w:szCs w:val="20"/>
          <w:color w:val="auto"/>
        </w:rPr>
      </w:pPr>
    </w:p>
    <w:p>
      <w:pPr>
        <w:ind w:left="489" w:right="20" w:hanging="618"/>
        <w:spacing w:after="0" w:line="265" w:lineRule="auto"/>
        <w:tabs>
          <w:tab w:leader="none" w:pos="469"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Committee Responsibilities</w:t>
      </w:r>
      <w:r>
        <w:rPr>
          <w:rFonts w:ascii="Arial" w:cs="Arial" w:eastAsia="Arial" w:hAnsi="Arial"/>
          <w:sz w:val="17"/>
          <w:szCs w:val="17"/>
          <w:color w:val="auto"/>
        </w:rPr>
        <w:t>. The Committee shall (a) select the Employees who are to receive Awards under the Plan, (b) determine the type,</w:t>
      </w:r>
      <w:r>
        <w:rPr>
          <w:rFonts w:ascii="Arial" w:cs="Arial" w:eastAsia="Arial" w:hAnsi="Arial"/>
          <w:sz w:val="17"/>
          <w:szCs w:val="17"/>
          <w:u w:val="single" w:color="auto"/>
          <w:color w:val="auto"/>
        </w:rPr>
        <w:t xml:space="preserve"> </w:t>
      </w:r>
      <w:r>
        <w:rPr>
          <w:rFonts w:ascii="Arial" w:cs="Arial" w:eastAsia="Arial" w:hAnsi="Arial"/>
          <w:sz w:val="17"/>
          <w:szCs w:val="17"/>
          <w:color w:val="auto"/>
        </w:rPr>
        <w:t>number, vesting requirements and other 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194" w:lineRule="exact"/>
        <w:rPr>
          <w:sz w:val="20"/>
          <w:szCs w:val="20"/>
          <w:color w:val="auto"/>
        </w:rPr>
      </w:pPr>
    </w:p>
    <w:p>
      <w:pPr>
        <w:ind w:left="489" w:right="80" w:hanging="618"/>
        <w:spacing w:after="0" w:line="290" w:lineRule="auto"/>
        <w:tabs>
          <w:tab w:leader="none" w:pos="469"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u w:val="single" w:color="auto"/>
          <w:color w:val="auto"/>
        </w:rPr>
        <w:t>No Right to Participation</w:t>
      </w:r>
      <w:r>
        <w:rPr>
          <w:rFonts w:ascii="Arial" w:cs="Arial" w:eastAsia="Arial" w:hAnsi="Arial"/>
          <w:sz w:val="17"/>
          <w:szCs w:val="17"/>
          <w:color w:val="auto"/>
        </w:rPr>
        <w:t>. No person shall be entitled as of right to participate in the Plan, and decisions regarding participation shall be made</w:t>
      </w:r>
      <w:r>
        <w:rPr>
          <w:rFonts w:ascii="Arial" w:cs="Arial" w:eastAsia="Arial" w:hAnsi="Arial"/>
          <w:sz w:val="17"/>
          <w:szCs w:val="17"/>
          <w:u w:val="single" w:color="auto"/>
          <w:color w:val="auto"/>
        </w:rPr>
        <w:t xml:space="preserve"> </w:t>
      </w:r>
      <w:r>
        <w:rPr>
          <w:rFonts w:ascii="Arial" w:cs="Arial" w:eastAsia="Arial" w:hAnsi="Arial"/>
          <w:sz w:val="17"/>
          <w:szCs w:val="17"/>
          <w:color w:val="auto"/>
        </w:rPr>
        <w:t>by the Committee in its absolute discretion.</w:t>
      </w:r>
    </w:p>
    <w:p>
      <w:pPr>
        <w:spacing w:after="0" w:line="170" w:lineRule="exact"/>
        <w:rPr>
          <w:sz w:val="20"/>
          <w:szCs w:val="20"/>
          <w:color w:val="auto"/>
        </w:rPr>
      </w:pPr>
    </w:p>
    <w:p>
      <w:pPr>
        <w:ind w:left="329" w:hanging="329"/>
        <w:spacing w:after="0"/>
        <w:tabs>
          <w:tab w:leader="none" w:pos="329"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SHARES AVAILABLE FOR GRANTS</w:t>
      </w:r>
    </w:p>
    <w:p>
      <w:pPr>
        <w:spacing w:after="0" w:line="245" w:lineRule="exact"/>
        <w:rPr>
          <w:sz w:val="20"/>
          <w:szCs w:val="20"/>
          <w:color w:val="auto"/>
        </w:rPr>
      </w:pPr>
    </w:p>
    <w:p>
      <w:pPr>
        <w:ind w:left="489" w:right="100" w:hanging="618"/>
        <w:spacing w:after="0" w:line="260" w:lineRule="auto"/>
        <w:tabs>
          <w:tab w:leader="none" w:pos="469"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u w:val="single" w:color="auto"/>
          <w:color w:val="auto"/>
        </w:rPr>
        <w:t>Basic Limitation</w:t>
      </w:r>
      <w:r>
        <w:rPr>
          <w:rFonts w:ascii="Arial" w:cs="Arial" w:eastAsia="Arial" w:hAnsi="Arial"/>
          <w:sz w:val="17"/>
          <w:szCs w:val="17"/>
          <w:color w:val="auto"/>
        </w:rPr>
        <w:t>. Any Shares over which Options may be issued pursuant to the Plan shall be authorised but unissued shares. The total</w:t>
      </w:r>
      <w:r>
        <w:rPr>
          <w:rFonts w:ascii="Arial" w:cs="Arial" w:eastAsia="Arial" w:hAnsi="Arial"/>
          <w:sz w:val="17"/>
          <w:szCs w:val="17"/>
          <w:u w:val="single" w:color="auto"/>
          <w:color w:val="auto"/>
        </w:rPr>
        <w:t xml:space="preserve"> </w:t>
      </w:r>
      <w:r>
        <w:rPr>
          <w:rFonts w:ascii="Arial" w:cs="Arial" w:eastAsia="Arial" w:hAnsi="Arial"/>
          <w:sz w:val="17"/>
          <w:szCs w:val="17"/>
          <w:color w:val="auto"/>
        </w:rPr>
        <w:t>number of Shares that may be issued under the Plan shall not exceed 6,000,000, which maximum limit shall be reduced by any Shares issued or to be issued pursuant to options granted under the Consultants Plan (under which a limit of 1,000,000 Shares applies). The maximum number of Shares with respect to which Options may be granted under the Plan during any calendar year to any Employee shall be 400,000 Shares. The Company shall keep available sufficient authorised but unissued Shares to meet in full the exercise of all Options. The limitations of this Section 3.1 shall be subject to adjustment pursuant to Article 7.</w:t>
      </w:r>
    </w:p>
    <w:p>
      <w:pPr>
        <w:spacing w:after="0" w:line="199" w:lineRule="exact"/>
        <w:rPr>
          <w:sz w:val="20"/>
          <w:szCs w:val="20"/>
          <w:color w:val="auto"/>
        </w:rPr>
      </w:pPr>
    </w:p>
    <w:p>
      <w:pPr>
        <w:ind w:left="489" w:right="60" w:hanging="618"/>
        <w:spacing w:after="0" w:line="290" w:lineRule="auto"/>
        <w:tabs>
          <w:tab w:leader="none" w:pos="469"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u w:val="single" w:color="auto"/>
          <w:color w:val="auto"/>
        </w:rPr>
        <w:t>Additional Shares</w:t>
      </w:r>
      <w:r>
        <w:rPr>
          <w:rFonts w:ascii="Arial" w:cs="Arial" w:eastAsia="Arial" w:hAnsi="Arial"/>
          <w:sz w:val="17"/>
          <w:szCs w:val="17"/>
          <w:color w:val="auto"/>
        </w:rPr>
        <w:t>. If any Options are forfeited or if any Options terminate for any other reason before being exercised, then Shares subject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such Options shall again become available for Awards under the Plan.</w:t>
      </w:r>
    </w:p>
    <w:p>
      <w:pPr>
        <w:spacing w:after="0" w:line="170" w:lineRule="exact"/>
        <w:rPr>
          <w:sz w:val="20"/>
          <w:szCs w:val="20"/>
          <w:color w:val="auto"/>
        </w:rPr>
      </w:pPr>
    </w:p>
    <w:p>
      <w:pPr>
        <w:ind w:left="329" w:hanging="329"/>
        <w:spacing w:after="0"/>
        <w:tabs>
          <w:tab w:leader="none" w:pos="329"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ELIGIBILITY</w:t>
      </w:r>
    </w:p>
    <w:p>
      <w:pPr>
        <w:spacing w:after="0" w:line="245" w:lineRule="exact"/>
        <w:rPr>
          <w:sz w:val="20"/>
          <w:szCs w:val="20"/>
          <w:color w:val="auto"/>
        </w:rPr>
      </w:pPr>
    </w:p>
    <w:p>
      <w:pPr>
        <w:ind w:left="9"/>
        <w:spacing w:after="0"/>
        <w:tabs>
          <w:tab w:leader="none" w:pos="469"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u w:val="single" w:color="auto"/>
          <w:color w:val="auto"/>
        </w:rPr>
        <w:t>General Rules</w:t>
      </w:r>
      <w:r>
        <w:rPr>
          <w:rFonts w:ascii="Arial" w:cs="Arial" w:eastAsia="Arial" w:hAnsi="Arial"/>
          <w:sz w:val="17"/>
          <w:szCs w:val="17"/>
          <w:color w:val="auto"/>
        </w:rPr>
        <w:t>. Only Employees shall be eligible for designation as participants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9"/>
          </w:cols>
          <w:pgMar w:left="311" w:top="1440" w:right="339" w:bottom="1440" w:gutter="0" w:footer="0" w:header="0"/>
        </w:sectPr>
      </w:pPr>
    </w:p>
    <w:bookmarkStart w:id="57" w:name="page58"/>
    <w:bookmarkEnd w:id="57"/>
    <w:p>
      <w:pPr>
        <w:spacing w:after="0" w:line="370" w:lineRule="exact"/>
        <w:rPr>
          <w:sz w:val="20"/>
          <w:szCs w:val="20"/>
          <w:color w:val="auto"/>
        </w:rPr>
      </w:pPr>
    </w:p>
    <w:p>
      <w:pPr>
        <w:ind w:left="329" w:hanging="329"/>
        <w:spacing w:after="0"/>
        <w:tabs>
          <w:tab w:leader="none" w:pos="329"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OPTIONS</w:t>
      </w:r>
    </w:p>
    <w:p>
      <w:pPr>
        <w:spacing w:after="0" w:line="232" w:lineRule="exact"/>
        <w:rPr>
          <w:sz w:val="20"/>
          <w:szCs w:val="20"/>
          <w:color w:val="auto"/>
        </w:rPr>
      </w:pPr>
    </w:p>
    <w:p>
      <w:pPr>
        <w:ind w:left="489" w:hanging="618"/>
        <w:spacing w:after="0" w:line="265" w:lineRule="auto"/>
        <w:tabs>
          <w:tab w:leader="none" w:pos="469"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u w:val="single" w:color="auto"/>
          <w:color w:val="auto"/>
        </w:rPr>
        <w:t>Stock Option Agreement</w:t>
      </w:r>
      <w:r>
        <w:rPr>
          <w:rFonts w:ascii="Arial" w:cs="Arial" w:eastAsia="Arial" w:hAnsi="Arial"/>
          <w:sz w:val="17"/>
          <w:szCs w:val="17"/>
          <w:color w:val="auto"/>
        </w:rPr>
        <w:t>. Each grant of an Option under the Plan (unless the Committee determines otherwise in its absolute discretion)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be evidenced by a Stock Option Agreement between the Optionee and the Company. Such Option shall be subject to all applicable terms of the Plan and may be subject to any other terms that are not inconsistent with the Plan. The provisions of the various Stock Option Agreements entered into under the Plan need not be identical.</w:t>
      </w:r>
    </w:p>
    <w:p>
      <w:pPr>
        <w:spacing w:after="0" w:line="194" w:lineRule="exact"/>
        <w:rPr>
          <w:sz w:val="20"/>
          <w:szCs w:val="20"/>
          <w:color w:val="auto"/>
        </w:rPr>
      </w:pPr>
    </w:p>
    <w:p>
      <w:pPr>
        <w:ind w:left="489" w:hanging="618"/>
        <w:spacing w:after="0" w:line="257" w:lineRule="auto"/>
        <w:tabs>
          <w:tab w:leader="none" w:pos="469"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u w:val="single" w:color="auto"/>
          <w:color w:val="auto"/>
        </w:rPr>
        <w:t>Transfer of Awards</w:t>
      </w:r>
      <w:r>
        <w:rPr>
          <w:rFonts w:ascii="Arial" w:cs="Arial" w:eastAsia="Arial" w:hAnsi="Arial"/>
          <w:sz w:val="17"/>
          <w:szCs w:val="17"/>
          <w:color w:val="auto"/>
        </w:rPr>
        <w:t>. Options shall not be transferable, save that a) an Option Agreement may permit a transfer of the Option on death to an</w:t>
      </w:r>
      <w:r>
        <w:rPr>
          <w:rFonts w:ascii="Arial" w:cs="Arial" w:eastAsia="Arial" w:hAnsi="Arial"/>
          <w:sz w:val="17"/>
          <w:szCs w:val="17"/>
          <w:u w:val="single" w:color="auto"/>
          <w:color w:val="auto"/>
        </w:rPr>
        <w:t xml:space="preserve"> </w:t>
      </w:r>
      <w:r>
        <w:rPr>
          <w:rFonts w:ascii="Arial" w:cs="Arial" w:eastAsia="Arial" w:hAnsi="Arial"/>
          <w:sz w:val="17"/>
          <w:szCs w:val="17"/>
          <w:color w:val="auto"/>
        </w:rPr>
        <w:t>Optionee’s personal representatives, by will or the laws for intestate succession and b) the Committee may provide in an Option Agreement that an Optionee may transfer the Option to family members, or one or more trusts or other entities for the benefit of or owned by family members, according to such terms as the Committee may determine provided that the transferred Option shall continue to be subject to the same terms and conditions as were applicable to the Option immediately before the transfer, and provided further that, if such transfer is for value, the Optionee may only transfer the economic interest in the Option (and not the legal interest). The Committee shall determine who is a family member for the purposes of this Rule 5.2.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205" w:lineRule="exact"/>
        <w:rPr>
          <w:sz w:val="20"/>
          <w:szCs w:val="20"/>
          <w:color w:val="auto"/>
        </w:rPr>
      </w:pPr>
    </w:p>
    <w:p>
      <w:pPr>
        <w:ind w:left="489" w:right="180" w:hanging="618"/>
        <w:spacing w:after="0" w:line="262" w:lineRule="auto"/>
        <w:tabs>
          <w:tab w:leader="none" w:pos="469"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u w:val="single" w:color="auto"/>
          <w:color w:val="auto"/>
        </w:rPr>
        <w:t>Waiver of an Option and failure to complete Stock Option Agreement</w:t>
      </w:r>
      <w:r>
        <w:rPr>
          <w:rFonts w:ascii="Arial" w:cs="Arial" w:eastAsia="Arial" w:hAnsi="Arial"/>
          <w:sz w:val="17"/>
          <w:szCs w:val="17"/>
          <w:color w:val="auto"/>
        </w:rPr>
        <w:t>. An Optionee may by notice in writing given within 60 days of the Date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Grant of 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196" w:lineRule="exact"/>
        <w:rPr>
          <w:sz w:val="20"/>
          <w:szCs w:val="20"/>
          <w:color w:val="auto"/>
        </w:rPr>
      </w:pPr>
    </w:p>
    <w:p>
      <w:pPr>
        <w:ind w:left="489" w:right="160" w:hanging="618"/>
        <w:spacing w:after="0" w:line="290" w:lineRule="auto"/>
        <w:tabs>
          <w:tab w:leader="none" w:pos="469"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u w:val="single" w:color="auto"/>
          <w:color w:val="auto"/>
        </w:rPr>
        <w:t>Number of Shares</w:t>
      </w:r>
      <w:r>
        <w:rPr>
          <w:rFonts w:ascii="Arial" w:cs="Arial" w:eastAsia="Arial" w:hAnsi="Arial"/>
          <w:sz w:val="17"/>
          <w:szCs w:val="17"/>
          <w:color w:val="auto"/>
        </w:rPr>
        <w:t>. Each Stock Option Agreement shall specify the number of Shares over which the Option is granted and shall provide for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adjustment as provided in Article 7. An Optionee may elect, upon exercise of an Option, to acquire Ordinary Shares of the Company.</w:t>
      </w:r>
    </w:p>
    <w:p>
      <w:pPr>
        <w:spacing w:after="0" w:line="172" w:lineRule="exact"/>
        <w:rPr>
          <w:sz w:val="20"/>
          <w:szCs w:val="20"/>
          <w:color w:val="auto"/>
        </w:rPr>
      </w:pPr>
    </w:p>
    <w:p>
      <w:pPr>
        <w:ind w:left="489" w:right="100" w:hanging="618"/>
        <w:spacing w:after="0" w:line="290" w:lineRule="auto"/>
        <w:tabs>
          <w:tab w:leader="none" w:pos="469"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u w:val="single" w:color="auto"/>
          <w:color w:val="auto"/>
        </w:rPr>
        <w:t>Exercise Price</w:t>
      </w:r>
      <w:r>
        <w:rPr>
          <w:rFonts w:ascii="Arial" w:cs="Arial" w:eastAsia="Arial" w:hAnsi="Arial"/>
          <w:sz w:val="17"/>
          <w:szCs w:val="17"/>
          <w:color w:val="auto"/>
        </w:rPr>
        <w:t>. Each Stock Option Agreement shall specify the Exercise Price. The Exercise Price shall not be less than 100% of the Market</w:t>
      </w:r>
      <w:r>
        <w:rPr>
          <w:rFonts w:ascii="Arial" w:cs="Arial" w:eastAsia="Arial" w:hAnsi="Arial"/>
          <w:sz w:val="17"/>
          <w:szCs w:val="17"/>
          <w:u w:val="single" w:color="auto"/>
          <w:color w:val="auto"/>
        </w:rPr>
        <w:t xml:space="preserve"> </w:t>
      </w:r>
      <w:r>
        <w:rPr>
          <w:rFonts w:ascii="Arial" w:cs="Arial" w:eastAsia="Arial" w:hAnsi="Arial"/>
          <w:sz w:val="17"/>
          <w:szCs w:val="17"/>
          <w:color w:val="auto"/>
        </w:rPr>
        <w:t>Value of a Share on the Date of Grant.</w:t>
      </w:r>
    </w:p>
    <w:p>
      <w:pPr>
        <w:spacing w:after="0" w:line="172" w:lineRule="exact"/>
        <w:rPr>
          <w:sz w:val="20"/>
          <w:szCs w:val="20"/>
          <w:color w:val="auto"/>
        </w:rPr>
      </w:pPr>
    </w:p>
    <w:p>
      <w:pPr>
        <w:ind w:left="489" w:right="80" w:hanging="618"/>
        <w:spacing w:after="0" w:line="263" w:lineRule="auto"/>
        <w:tabs>
          <w:tab w:leader="none" w:pos="469"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u w:val="single" w:color="auto"/>
          <w:color w:val="auto"/>
        </w:rPr>
        <w:t>Exercisability and Term</w:t>
      </w:r>
      <w:r>
        <w:rPr>
          <w:rFonts w:ascii="Arial" w:cs="Arial" w:eastAsia="Arial" w:hAnsi="Arial"/>
          <w:sz w:val="17"/>
          <w:szCs w:val="17"/>
          <w:color w:val="auto"/>
        </w:rPr>
        <w:t>. Each Stock Option Agreement shall specify the date when all or any instalment of the Option may be exercised.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Option Agreement shall also specify the term of the Option; provided that the term of an Option shall in no event exceed 10 years from the date of grant. A Stock Option Agreement may provide for accelerated exercisability in the event of the Optionee’s death or disability or other events and may provide for expiration prior to the end of its term in the event of the termination of the Optionee’s service or otherwise.</w:t>
      </w:r>
    </w:p>
    <w:p>
      <w:pPr>
        <w:spacing w:after="0" w:line="200" w:lineRule="exact"/>
        <w:rPr>
          <w:sz w:val="20"/>
          <w:szCs w:val="20"/>
          <w:color w:val="auto"/>
        </w:rPr>
      </w:pPr>
    </w:p>
    <w:p>
      <w:pPr>
        <w:spacing w:after="0" w:line="207" w:lineRule="exact"/>
        <w:rPr>
          <w:sz w:val="20"/>
          <w:szCs w:val="20"/>
          <w:color w:val="auto"/>
        </w:rPr>
      </w:pPr>
    </w:p>
    <w:p>
      <w:pPr>
        <w:jc w:val="both"/>
        <w:ind w:left="489" w:right="200" w:hanging="618"/>
        <w:spacing w:after="0" w:line="271" w:lineRule="auto"/>
        <w:tabs>
          <w:tab w:leader="none" w:pos="469"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u w:val="single" w:color="auto"/>
          <w:color w:val="auto"/>
        </w:rPr>
        <w:t>Acceleration Upon Change in Control</w:t>
      </w:r>
      <w:r>
        <w:rPr>
          <w:rFonts w:ascii="Arial" w:cs="Arial" w:eastAsia="Arial" w:hAnsi="Arial"/>
          <w:sz w:val="17"/>
          <w:szCs w:val="17"/>
          <w:color w:val="auto"/>
        </w:rPr>
        <w:t>. The Committee may determine, at the time of granting an Option or thereafter, that such Option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become exercisable as to all or part of the Shares subject to such Option in the event that a Change in Control occurs with respect to the Company.</w:t>
      </w:r>
    </w:p>
    <w:p>
      <w:pPr>
        <w:spacing w:after="0" w:line="189" w:lineRule="exact"/>
        <w:rPr>
          <w:sz w:val="20"/>
          <w:szCs w:val="20"/>
          <w:color w:val="auto"/>
        </w:rPr>
      </w:pPr>
    </w:p>
    <w:p>
      <w:pPr>
        <w:jc w:val="both"/>
        <w:ind w:left="489" w:right="400" w:hanging="618"/>
        <w:spacing w:after="0" w:line="271" w:lineRule="auto"/>
        <w:tabs>
          <w:tab w:leader="none" w:pos="469"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u w:val="single" w:color="auto"/>
          <w:color w:val="auto"/>
        </w:rPr>
        <w:t>Modification or Assumption of Options</w:t>
      </w:r>
      <w:r>
        <w:rPr>
          <w:rFonts w:ascii="Arial" w:cs="Arial" w:eastAsia="Arial" w:hAnsi="Arial"/>
          <w:sz w:val="17"/>
          <w:szCs w:val="17"/>
          <w:color w:val="auto"/>
        </w:rPr>
        <w:t>. Within the limitations of the Plan, the Committee may modify, extend or assume (i.e., succeed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operation of contract to all rights and obligations under) outstanding Options or accept the cancellation of outstanding options (whether granted by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9"/>
          </w:cols>
          <w:pgMar w:left="311" w:top="1440" w:right="339" w:bottom="1440" w:gutter="0" w:footer="0" w:header="0"/>
        </w:sectPr>
      </w:pPr>
    </w:p>
    <w:bookmarkStart w:id="58" w:name="page59"/>
    <w:bookmarkEnd w:id="58"/>
    <w:p>
      <w:pPr>
        <w:spacing w:after="0" w:line="153" w:lineRule="exact"/>
        <w:rPr>
          <w:sz w:val="20"/>
          <w:szCs w:val="20"/>
          <w:color w:val="auto"/>
        </w:rPr>
      </w:pPr>
    </w:p>
    <w:p>
      <w:pPr>
        <w:ind w:left="629"/>
        <w:spacing w:after="0" w:line="259" w:lineRule="auto"/>
        <w:rPr>
          <w:sz w:val="20"/>
          <w:szCs w:val="20"/>
          <w:color w:val="auto"/>
        </w:rPr>
      </w:pPr>
      <w:r>
        <w:rPr>
          <w:rFonts w:ascii="Arial" w:cs="Arial" w:eastAsia="Arial" w:hAnsi="Arial"/>
          <w:sz w:val="17"/>
          <w:szCs w:val="17"/>
          <w:color w:val="auto"/>
        </w:rPr>
        <w:t>the Company or by another issuer) in return for the grant of new Options for the same or a different number of Shares and at the same or a different Exercise Price. Notwithstanding the foregoing, except as provided in the first sentence of Section 7.1 hereof, unless the approval of shareholders of the Company is obtained, Options issued under the Plan shall not be amended to lower their Exercise Price, Options issued under the Plan will not be exchanged for other Options with lower Exercise Prices, and no other action shall be taken with respect to Options that would be treated as a repricing under the rules of the principal stock exchange on which the Shares are listed. Any other provision of the Plan notwithstanding, no modification of an Option shall, without the consent of the Optionee, impair his or her rights or obligations under such Option.</w:t>
      </w:r>
    </w:p>
    <w:p>
      <w:pPr>
        <w:spacing w:after="0" w:line="199" w:lineRule="exact"/>
        <w:rPr>
          <w:sz w:val="20"/>
          <w:szCs w:val="20"/>
          <w:color w:val="auto"/>
        </w:rPr>
      </w:pPr>
    </w:p>
    <w:p>
      <w:pPr>
        <w:jc w:val="both"/>
        <w:ind w:left="489" w:right="200" w:hanging="618"/>
        <w:spacing w:after="0" w:line="271" w:lineRule="auto"/>
        <w:tabs>
          <w:tab w:leader="none" w:pos="469"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7"/>
          <w:szCs w:val="17"/>
          <w:u w:val="single" w:color="auto"/>
          <w:color w:val="auto"/>
        </w:rPr>
        <w:t>Liquidation</w:t>
      </w:r>
      <w:r>
        <w:rPr>
          <w:rFonts w:ascii="Arial" w:cs="Arial" w:eastAsia="Arial" w:hAnsi="Arial"/>
          <w:sz w:val="17"/>
          <w:szCs w:val="17"/>
          <w:color w:val="auto"/>
        </w:rPr>
        <w:t>. In the event of the liquidation, dissolution or other winding up of the Company, all Options shall cease to be exercisable (unless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Committee at its sole discretion shall determine otherwise). Optionees shall not be entitled to damages or other compensation of any kind.</w:t>
      </w:r>
    </w:p>
    <w:p>
      <w:pPr>
        <w:spacing w:after="0" w:line="187" w:lineRule="exact"/>
        <w:rPr>
          <w:sz w:val="20"/>
          <w:szCs w:val="20"/>
          <w:color w:val="auto"/>
        </w:rPr>
      </w:pPr>
    </w:p>
    <w:p>
      <w:pPr>
        <w:ind w:left="329" w:hanging="329"/>
        <w:spacing w:after="0"/>
        <w:tabs>
          <w:tab w:leader="none" w:pos="329"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PAYMENT FOR OPTION SHARES</w:t>
      </w:r>
    </w:p>
    <w:p>
      <w:pPr>
        <w:spacing w:after="0" w:line="245" w:lineRule="exact"/>
        <w:rPr>
          <w:sz w:val="20"/>
          <w:szCs w:val="20"/>
          <w:color w:val="auto"/>
        </w:rPr>
      </w:pPr>
    </w:p>
    <w:p>
      <w:pPr>
        <w:ind w:left="489" w:right="80" w:hanging="618"/>
        <w:spacing w:after="0" w:line="282" w:lineRule="auto"/>
        <w:tabs>
          <w:tab w:leader="none" w:pos="469"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u w:val="single" w:color="auto"/>
          <w:color w:val="auto"/>
        </w:rPr>
        <w:t>General Rule</w:t>
      </w:r>
      <w:r>
        <w:rPr>
          <w:rFonts w:ascii="Arial" w:cs="Arial" w:eastAsia="Arial" w:hAnsi="Arial"/>
          <w:sz w:val="17"/>
          <w:szCs w:val="17"/>
          <w:color w:val="auto"/>
        </w:rPr>
        <w:t>. The entire Exercise Price of Shares issued upon exercise of Options shall be payable in cash at the time when such Shares</w:t>
      </w:r>
      <w:r>
        <w:rPr>
          <w:rFonts w:ascii="Arial" w:cs="Arial" w:eastAsia="Arial" w:hAnsi="Arial"/>
          <w:sz w:val="17"/>
          <w:szCs w:val="17"/>
          <w:u w:val="single" w:color="auto"/>
          <w:color w:val="auto"/>
        </w:rPr>
        <w:t xml:space="preserve"> </w:t>
      </w:r>
      <w:r>
        <w:rPr>
          <w:rFonts w:ascii="Arial" w:cs="Arial" w:eastAsia="Arial" w:hAnsi="Arial"/>
          <w:sz w:val="17"/>
          <w:szCs w:val="17"/>
          <w:color w:val="auto"/>
        </w:rPr>
        <w:t>are acquired, except that the Stock Option Agreement may specify that payment may be made in any other form(s) described in this Article 6.</w:t>
      </w:r>
    </w:p>
    <w:p>
      <w:pPr>
        <w:spacing w:after="0" w:line="392" w:lineRule="exact"/>
        <w:rPr>
          <w:sz w:val="20"/>
          <w:szCs w:val="20"/>
          <w:color w:val="auto"/>
        </w:rPr>
      </w:pPr>
    </w:p>
    <w:p>
      <w:pPr>
        <w:ind w:left="489" w:right="200" w:hanging="618"/>
        <w:spacing w:after="0" w:line="271" w:lineRule="auto"/>
        <w:tabs>
          <w:tab w:leader="none" w:pos="469"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u w:val="single" w:color="auto"/>
          <w:color w:val="auto"/>
        </w:rPr>
        <w:t>Exercise/Sale</w:t>
      </w:r>
      <w:r>
        <w:rPr>
          <w:rFonts w:ascii="Arial" w:cs="Arial" w:eastAsia="Arial" w:hAnsi="Arial"/>
          <w:sz w:val="17"/>
          <w:szCs w:val="17"/>
          <w:color w:val="auto"/>
        </w:rPr>
        <w:t>. If permitted by the applicable Stock Option Agreement, payment may be made by delivery (on a form prescribed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Company) of an undertaking to pay constituted by an irrevocable direction to a securities broker approved by the Company to sell Shares and to deliver all or part of the sales proceeds to the Company in payment of all or part of the Exercise Price and any withholding taxes.</w:t>
      </w:r>
    </w:p>
    <w:p>
      <w:pPr>
        <w:spacing w:after="0" w:line="189" w:lineRule="exact"/>
        <w:rPr>
          <w:sz w:val="20"/>
          <w:szCs w:val="20"/>
          <w:color w:val="auto"/>
        </w:rPr>
      </w:pPr>
    </w:p>
    <w:p>
      <w:pPr>
        <w:ind w:left="489" w:right="220" w:hanging="618"/>
        <w:spacing w:after="0" w:line="290" w:lineRule="auto"/>
        <w:tabs>
          <w:tab w:leader="none" w:pos="469"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u w:val="single" w:color="auto"/>
          <w:color w:val="auto"/>
        </w:rPr>
        <w:t>Other forms of Payment</w:t>
      </w:r>
      <w:r>
        <w:rPr>
          <w:rFonts w:ascii="Arial" w:cs="Arial" w:eastAsia="Arial" w:hAnsi="Arial"/>
          <w:sz w:val="17"/>
          <w:szCs w:val="17"/>
          <w:color w:val="auto"/>
        </w:rPr>
        <w:t>. If permitted by the applicable Stock Option Agreement, payment may be made in any other form that is consistent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applicable laws, regulations and rules.</w:t>
      </w:r>
    </w:p>
    <w:p>
      <w:pPr>
        <w:spacing w:after="0" w:line="170" w:lineRule="exact"/>
        <w:rPr>
          <w:sz w:val="20"/>
          <w:szCs w:val="20"/>
          <w:color w:val="auto"/>
        </w:rPr>
      </w:pPr>
    </w:p>
    <w:p>
      <w:pPr>
        <w:ind w:left="329" w:hanging="329"/>
        <w:spacing w:after="0"/>
        <w:tabs>
          <w:tab w:leader="none" w:pos="329"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ADJUSTMENT OF SHARES</w:t>
      </w:r>
    </w:p>
    <w:p>
      <w:pPr>
        <w:spacing w:after="0" w:line="245" w:lineRule="exact"/>
        <w:rPr>
          <w:sz w:val="20"/>
          <w:szCs w:val="20"/>
          <w:color w:val="auto"/>
        </w:rPr>
      </w:pPr>
    </w:p>
    <w:p>
      <w:pPr>
        <w:ind w:left="489" w:right="60" w:hanging="618"/>
        <w:spacing w:after="0" w:line="256" w:lineRule="auto"/>
        <w:tabs>
          <w:tab w:leader="none" w:pos="469"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 subdivision of the Shares; a declaration of a dividend payable in Shares; a declaration of a dividend payable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under the Plan, the Committee shall make appropriate adjustments in one or more of (a) the number and kind of Shares available for future Awards under Article 3; (b) the definitions of Share and/or Ordinary Share; (c) the number and kind of Shares covered by each outstanding Option and (d) the Exercise Price under each outstanding Option (provided that the Exercise Price may not be reduced below the nominal value of a Share).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207" w:lineRule="exact"/>
        <w:rPr>
          <w:sz w:val="20"/>
          <w:szCs w:val="20"/>
          <w:color w:val="auto"/>
        </w:rPr>
      </w:pPr>
    </w:p>
    <w:p>
      <w:pPr>
        <w:ind w:left="489" w:right="40" w:hanging="618"/>
        <w:spacing w:after="0" w:line="262" w:lineRule="auto"/>
        <w:tabs>
          <w:tab w:leader="none" w:pos="469"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u w:val="single" w:color="auto"/>
          <w:color w:val="auto"/>
        </w:rPr>
        <w:t>Reorganisation</w:t>
      </w:r>
      <w:r>
        <w:rPr>
          <w:rFonts w:ascii="Arial" w:cs="Arial" w:eastAsia="Arial" w:hAnsi="Arial"/>
          <w:sz w:val="17"/>
          <w:szCs w:val="17"/>
          <w:color w:val="auto"/>
        </w:rPr>
        <w:t>. In the event that the Company is a party to a merger, takeover, Change in Control or other reorganization, outstanding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Options shall be subject to the agreement of merger or reorganization, the terms of the relevant scheme of arrangement or other applicable transaction agreement. Such agreement may provide, without limitation, for one or more of the following: (a) the continuation or assumption of outstanding Awards by the Company or the surviving company (the term “surviving company” for purposes of this Section 7.2 shall include reference to an acquiring company in a takeover situation) or its parent; (b) substitution by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9"/>
          </w:cols>
          <w:pgMar w:left="311" w:top="1440" w:right="339" w:bottom="1440" w:gutter="0" w:footer="0" w:header="0"/>
        </w:sectPr>
      </w:pPr>
    </w:p>
    <w:bookmarkStart w:id="59" w:name="page60"/>
    <w:bookmarkEnd w:id="59"/>
    <w:p>
      <w:pPr>
        <w:spacing w:after="0" w:line="153" w:lineRule="exact"/>
        <w:rPr>
          <w:sz w:val="20"/>
          <w:szCs w:val="20"/>
          <w:color w:val="auto"/>
        </w:rPr>
      </w:pPr>
    </w:p>
    <w:p>
      <w:pPr>
        <w:ind w:left="629" w:right="40"/>
        <w:spacing w:after="0" w:line="257" w:lineRule="auto"/>
        <w:rPr>
          <w:sz w:val="20"/>
          <w:szCs w:val="20"/>
          <w:color w:val="auto"/>
        </w:rPr>
      </w:pPr>
      <w:r>
        <w:rPr>
          <w:rFonts w:ascii="Arial" w:cs="Arial" w:eastAsia="Arial" w:hAnsi="Arial"/>
          <w:sz w:val="17"/>
          <w:szCs w:val="17"/>
          <w:color w:val="auto"/>
        </w:rPr>
        <w:t>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(c) cancellation of all or any portion of the outstanding Awards (and the expiration of the balance, as appropriate) in exchange for a cash payment of the excess, if any, of the Market Value at the date of cancellation of the Shares subject to such outstanding Awards or portion thereof being cancelled over the aggregate Exercise Price, with respect to such Awards or portion thereof being cancelled; or (d) the acceleration of the vesting and exercisability of all or a portion of such outstanding Awards (and the expiration of the balance, as appropriate) to take effect at such time before or after completion of the merger, takeover, Change in Control or other reorganization as the Committee shall in its absolute discretion determine, followed by the lapse of any such Awards not so exercised, all in any case without the Optionee’s consent. In the event that the relevant transaction agreement or document does not provide for any of the above, the Board has discretion to determine whether any one or more of (a) to (d) will apply to all or any portion of such outstanding Awards.</w:t>
      </w:r>
    </w:p>
    <w:p>
      <w:pPr>
        <w:spacing w:after="0" w:line="200" w:lineRule="exact"/>
        <w:rPr>
          <w:sz w:val="20"/>
          <w:szCs w:val="20"/>
          <w:color w:val="auto"/>
        </w:rPr>
      </w:pPr>
    </w:p>
    <w:p>
      <w:pPr>
        <w:spacing w:after="0" w:line="206" w:lineRule="exact"/>
        <w:rPr>
          <w:sz w:val="20"/>
          <w:szCs w:val="20"/>
          <w:color w:val="auto"/>
        </w:rPr>
      </w:pPr>
    </w:p>
    <w:p>
      <w:pPr>
        <w:ind w:left="329" w:hanging="329"/>
        <w:spacing w:after="0"/>
        <w:tabs>
          <w:tab w:leader="none" w:pos="32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LIMITATION ON RIGHTS</w:t>
      </w:r>
    </w:p>
    <w:p>
      <w:pPr>
        <w:spacing w:after="0" w:line="245" w:lineRule="exact"/>
        <w:rPr>
          <w:sz w:val="20"/>
          <w:szCs w:val="20"/>
          <w:color w:val="auto"/>
        </w:rPr>
      </w:pPr>
    </w:p>
    <w:p>
      <w:pPr>
        <w:ind w:left="489" w:right="100" w:hanging="618"/>
        <w:spacing w:after="0" w:line="259" w:lineRule="auto"/>
        <w:tabs>
          <w:tab w:leader="none" w:pos="469"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u w:val="single" w:color="auto"/>
          <w:color w:val="auto"/>
        </w:rPr>
        <w:t>Retention Rights and Cessation of Employment</w:t>
      </w:r>
      <w:r>
        <w:rPr>
          <w:rFonts w:ascii="Arial" w:cs="Arial" w:eastAsia="Arial" w:hAnsi="Arial"/>
          <w:sz w:val="17"/>
          <w:szCs w:val="17"/>
          <w:color w:val="auto"/>
        </w:rPr>
        <w:t>. Neither the Plan nor any Option granted under the Plan shall be deemed to give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individual a right to remain an employee or director of the Company or a Subsidiary. The Company and its Subsidiaries reserve the right to terminate the service of any employee or director at any time, with or without cause, subject to applicable laws, the Company’s Memorandum and Articles of Association and a written employment agreement (if any). Under no circumstances will any Optionee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199" w:lineRule="exact"/>
        <w:rPr>
          <w:sz w:val="20"/>
          <w:szCs w:val="20"/>
          <w:color w:val="auto"/>
        </w:rPr>
      </w:pPr>
    </w:p>
    <w:p>
      <w:pPr>
        <w:jc w:val="both"/>
        <w:ind w:left="489" w:right="300" w:hanging="618"/>
        <w:spacing w:after="0" w:line="265" w:lineRule="auto"/>
        <w:tabs>
          <w:tab w:leader="none" w:pos="469"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u w:val="single" w:color="auto"/>
          <w:color w:val="auto"/>
        </w:rPr>
        <w:t>Shareholders’ Rights</w:t>
      </w:r>
      <w:r>
        <w:rPr>
          <w:rFonts w:ascii="Arial" w:cs="Arial" w:eastAsia="Arial" w:hAnsi="Arial"/>
          <w:sz w:val="17"/>
          <w:szCs w:val="17"/>
          <w:color w:val="auto"/>
        </w:rPr>
        <w:t>. An Optionee shall have no dividend rights, voting rights or other rights as a shareholder with respect to any Shares</w:t>
      </w:r>
      <w:r>
        <w:rPr>
          <w:rFonts w:ascii="Arial" w:cs="Arial" w:eastAsia="Arial" w:hAnsi="Arial"/>
          <w:sz w:val="17"/>
          <w:szCs w:val="17"/>
          <w:u w:val="single" w:color="auto"/>
          <w:color w:val="auto"/>
        </w:rPr>
        <w:t xml:space="preserve"> </w:t>
      </w:r>
      <w:r>
        <w:rPr>
          <w:rFonts w:ascii="Arial" w:cs="Arial" w:eastAsia="Arial" w:hAnsi="Arial"/>
          <w:sz w:val="17"/>
          <w:szCs w:val="17"/>
          <w:color w:val="auto"/>
        </w:rPr>
        <w:t>covered by 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194" w:lineRule="exact"/>
        <w:rPr>
          <w:sz w:val="20"/>
          <w:szCs w:val="20"/>
          <w:color w:val="auto"/>
        </w:rPr>
      </w:pPr>
    </w:p>
    <w:p>
      <w:pPr>
        <w:ind w:left="489" w:right="180" w:hanging="618"/>
        <w:spacing w:after="0" w:line="262" w:lineRule="auto"/>
        <w:tabs>
          <w:tab w:leader="none" w:pos="469"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u w:val="single" w:color="auto"/>
          <w:color w:val="auto"/>
        </w:rPr>
        <w:t>Regulatory Requirements</w:t>
      </w:r>
      <w:r>
        <w:rPr>
          <w:rFonts w:ascii="Arial" w:cs="Arial" w:eastAsia="Arial" w:hAnsi="Arial"/>
          <w:sz w:val="17"/>
          <w:szCs w:val="17"/>
          <w:color w:val="auto"/>
        </w:rPr>
        <w:t>. Any other provision of the Plan notwithstanding, the obligation of the Company to issue Shares under the Plan</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be 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94" w:lineRule="exact"/>
        <w:rPr>
          <w:sz w:val="20"/>
          <w:szCs w:val="20"/>
          <w:color w:val="auto"/>
        </w:rPr>
      </w:pPr>
    </w:p>
    <w:p>
      <w:pPr>
        <w:ind w:left="329" w:hanging="329"/>
        <w:spacing w:after="0"/>
        <w:tabs>
          <w:tab w:leader="none" w:pos="329"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WITHHOLDING TAXES</w:t>
      </w:r>
    </w:p>
    <w:p>
      <w:pPr>
        <w:spacing w:after="0" w:line="245" w:lineRule="exact"/>
        <w:rPr>
          <w:sz w:val="20"/>
          <w:szCs w:val="20"/>
          <w:color w:val="auto"/>
        </w:rPr>
      </w:pPr>
    </w:p>
    <w:p>
      <w:pPr>
        <w:ind w:left="489" w:right="80" w:hanging="618"/>
        <w:spacing w:after="0" w:line="259" w:lineRule="auto"/>
        <w:tabs>
          <w:tab w:leader="none" w:pos="469"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u w:val="single" w:color="auto"/>
          <w:color w:val="auto"/>
        </w:rPr>
        <w:t>Withholding Tax</w:t>
      </w:r>
      <w:r>
        <w:rPr>
          <w:rFonts w:ascii="Arial" w:cs="Arial" w:eastAsia="Arial" w:hAnsi="Arial"/>
          <w:sz w:val="17"/>
          <w:szCs w:val="17"/>
          <w:color w:val="auto"/>
        </w:rPr>
        <w:t>. The Company or any Subsidiary is authorized to withhold from any Award granted, any payment relating to an Award under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Plan, including from a distribution of Shares, or any payroll or other payment to an Employee, amounts of withholding social insurance, levies and other taxes due in connection with any transaction involving an Award, and to take such other action as the Committee may deem advisable to enable the Company and Employee to satisfy obligations for the payment of withholding taxes and other tax obligations relating to any Award. This authority shall include authority to withhold or receive Shares or other property and to make cash payments in respect thereof in satisfaction of an Employee’s tax obligations; provided, however, that the amount of tax withholding to be satisfied by withholding Shares shall be limited to the minimum amount of taxes and any amount of social insurance and/or levies,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9"/>
          </w:cols>
          <w:pgMar w:left="311" w:top="1440" w:right="339" w:bottom="1440" w:gutter="0" w:footer="0" w:header="0"/>
        </w:sectPr>
      </w:pPr>
    </w:p>
    <w:bookmarkStart w:id="60" w:name="page61"/>
    <w:bookmarkEnd w:id="60"/>
    <w:p>
      <w:pPr>
        <w:spacing w:after="0" w:line="153" w:lineRule="exact"/>
        <w:rPr>
          <w:sz w:val="20"/>
          <w:szCs w:val="20"/>
          <w:color w:val="auto"/>
        </w:rPr>
      </w:pPr>
    </w:p>
    <w:p>
      <w:pPr>
        <w:ind w:left="629"/>
        <w:spacing w:after="0"/>
        <w:rPr>
          <w:sz w:val="20"/>
          <w:szCs w:val="20"/>
          <w:color w:val="auto"/>
        </w:rPr>
      </w:pPr>
      <w:r>
        <w:rPr>
          <w:rFonts w:ascii="Arial" w:cs="Arial" w:eastAsia="Arial" w:hAnsi="Arial"/>
          <w:sz w:val="17"/>
          <w:szCs w:val="17"/>
          <w:color w:val="auto"/>
        </w:rPr>
        <w:t>including employment taxes, required to be withheld under applicable Federal, state and local law.</w:t>
      </w:r>
    </w:p>
    <w:p>
      <w:pPr>
        <w:spacing w:after="0" w:line="243" w:lineRule="exact"/>
        <w:rPr>
          <w:sz w:val="20"/>
          <w:szCs w:val="20"/>
          <w:color w:val="auto"/>
        </w:rPr>
      </w:pPr>
    </w:p>
    <w:p>
      <w:pPr>
        <w:ind w:left="489" w:right="60" w:hanging="618"/>
        <w:spacing w:after="0" w:line="265" w:lineRule="auto"/>
        <w:tabs>
          <w:tab w:leader="none" w:pos="469"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u w:val="single" w:color="auto"/>
          <w:color w:val="auto"/>
        </w:rPr>
        <w:t>Section 409A</w:t>
      </w:r>
      <w:r>
        <w:rPr>
          <w:rFonts w:ascii="Arial" w:cs="Arial" w:eastAsia="Arial" w:hAnsi="Arial"/>
          <w:sz w:val="17"/>
          <w:szCs w:val="17"/>
          <w:color w:val="auto"/>
        </w:rPr>
        <w:t>. It is intended that the Plan and Awards issued thereunder will comply with Section 409A of the Code (and any regulations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200" w:lineRule="exact"/>
        <w:rPr>
          <w:sz w:val="20"/>
          <w:szCs w:val="20"/>
          <w:color w:val="auto"/>
        </w:rPr>
      </w:pPr>
    </w:p>
    <w:p>
      <w:pPr>
        <w:spacing w:after="0" w:line="224" w:lineRule="exact"/>
        <w:rPr>
          <w:sz w:val="20"/>
          <w:szCs w:val="20"/>
          <w:color w:val="auto"/>
        </w:rPr>
      </w:pPr>
    </w:p>
    <w:p>
      <w:pPr>
        <w:ind w:left="449" w:hanging="437"/>
        <w:spacing w:after="0"/>
        <w:tabs>
          <w:tab w:leader="none" w:pos="449"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FUTURE OF THE PLAN</w:t>
      </w:r>
    </w:p>
    <w:p>
      <w:pPr>
        <w:spacing w:after="0" w:line="245" w:lineRule="exact"/>
        <w:rPr>
          <w:sz w:val="20"/>
          <w:szCs w:val="20"/>
          <w:color w:val="auto"/>
        </w:rPr>
      </w:pPr>
    </w:p>
    <w:p>
      <w:pPr>
        <w:ind w:left="589" w:right="100" w:hanging="618"/>
        <w:spacing w:after="0" w:line="265" w:lineRule="auto"/>
        <w:tabs>
          <w:tab w:leader="none" w:pos="569"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u w:val="single" w:color="auto"/>
          <w:color w:val="auto"/>
        </w:rPr>
        <w:t>Term of the Plan</w:t>
      </w:r>
      <w:r>
        <w:rPr>
          <w:rFonts w:ascii="Arial" w:cs="Arial" w:eastAsia="Arial" w:hAnsi="Arial"/>
          <w:sz w:val="17"/>
          <w:szCs w:val="17"/>
          <w:color w:val="auto"/>
        </w:rPr>
        <w:t>. The Plan was originally effective upon its approval by the Company’s shareholders at an Annual General Meeting held on</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21 July 2008, was amended and restated pursuant to a resolution of Directors dated 14 February 2017 and was further amended pursuant to a resolution of Directors 20 October 2026. The Plan shall remain in effect until it is terminated under Section 10.2, except that no Option shall be granted after the 14 February 2037.</w:t>
      </w:r>
    </w:p>
    <w:p>
      <w:pPr>
        <w:spacing w:after="0" w:line="194" w:lineRule="exact"/>
        <w:rPr>
          <w:sz w:val="20"/>
          <w:szCs w:val="20"/>
          <w:color w:val="auto"/>
        </w:rPr>
      </w:pPr>
    </w:p>
    <w:p>
      <w:pPr>
        <w:ind w:left="589" w:right="140" w:hanging="618"/>
        <w:spacing w:after="0" w:line="259" w:lineRule="auto"/>
        <w:tabs>
          <w:tab w:leader="none" w:pos="569"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u w:val="single" w:color="auto"/>
          <w:color w:val="auto"/>
        </w:rPr>
        <w:t>Amendment or Termination</w:t>
      </w:r>
      <w:r>
        <w:rPr>
          <w:rFonts w:ascii="Arial" w:cs="Arial" w:eastAsia="Arial" w:hAnsi="Arial"/>
          <w:sz w:val="17"/>
          <w:szCs w:val="17"/>
          <w:color w:val="auto"/>
        </w:rPr>
        <w:t>. The Board may, at any time and for any reason, amend or terminate the Plan. An amendment of the Plan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be subject to the approval of the Company’s shareholders only to the extent required by applicable laws, regulations or rules. No Awards shall be granted under the Plan after the termination thereof. The termination of the Plan shall not affect any Option previously granted under the Plan. Notwithstanding such termination, the Company shall continue to act, administer and manage the Plan in accordance with its terms. Plan amendments may affect Options which have previously been granted under the Plan; provided, however, that no amendment to the Plan which would adversely affect the rights of an Optionee in respect of an Option previously granted to them shall apply to such existing Option without the consent of the Optionee.</w:t>
      </w:r>
    </w:p>
    <w:p>
      <w:pPr>
        <w:spacing w:after="0" w:line="197" w:lineRule="exact"/>
        <w:rPr>
          <w:sz w:val="20"/>
          <w:szCs w:val="20"/>
          <w:color w:val="auto"/>
        </w:rPr>
      </w:pPr>
    </w:p>
    <w:p>
      <w:pPr>
        <w:ind w:left="409" w:hanging="409"/>
        <w:spacing w:after="0"/>
        <w:tabs>
          <w:tab w:leader="none" w:pos="409"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FINANCIAL ASSISTANCE</w:t>
      </w:r>
    </w:p>
    <w:p>
      <w:pPr>
        <w:spacing w:after="0" w:line="245" w:lineRule="exact"/>
        <w:rPr>
          <w:sz w:val="20"/>
          <w:szCs w:val="20"/>
          <w:color w:val="auto"/>
        </w:rPr>
      </w:pPr>
    </w:p>
    <w:p>
      <w:pPr>
        <w:ind w:left="9" w:right="40"/>
        <w:spacing w:after="0" w:line="265" w:lineRule="auto"/>
        <w:rPr>
          <w:sz w:val="20"/>
          <w:szCs w:val="20"/>
          <w:color w:val="auto"/>
        </w:rPr>
      </w:pPr>
      <w:r>
        <w:rPr>
          <w:rFonts w:ascii="Arial" w:cs="Arial" w:eastAsia="Arial" w:hAnsi="Arial"/>
          <w:sz w:val="17"/>
          <w:szCs w:val="17"/>
          <w:color w:val="auto"/>
        </w:rPr>
        <w:t>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Optionees as it deems fit in order to assist such Optionees to acquire Shares on foot of Awards. Any loan or guarantee shall be on such terms as to repayment, interest or otherwise as the Board (or in the case of a Subsidiary as its board) may determine.</w:t>
      </w:r>
    </w:p>
    <w:p>
      <w:pPr>
        <w:spacing w:after="0" w:line="192" w:lineRule="exact"/>
        <w:rPr>
          <w:sz w:val="20"/>
          <w:szCs w:val="20"/>
          <w:color w:val="auto"/>
        </w:rPr>
      </w:pPr>
    </w:p>
    <w:p>
      <w:pPr>
        <w:ind w:left="429" w:hanging="429"/>
        <w:spacing w:after="0"/>
        <w:tabs>
          <w:tab w:leader="none" w:pos="429"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DEFINITIONS</w:t>
      </w:r>
    </w:p>
    <w:p>
      <w:pPr>
        <w:spacing w:after="0" w:line="243" w:lineRule="exact"/>
        <w:rPr>
          <w:sz w:val="20"/>
          <w:szCs w:val="20"/>
          <w:color w:val="auto"/>
        </w:rPr>
      </w:pPr>
    </w:p>
    <w:p>
      <w:pPr>
        <w:ind w:left="9"/>
        <w:spacing w:after="0"/>
        <w:tabs>
          <w:tab w:leader="none" w:pos="569"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b w:val="1"/>
          <w:bCs w:val="1"/>
          <w:color w:val="auto"/>
        </w:rPr>
        <w:t xml:space="preserve">Award </w:t>
      </w:r>
      <w:r>
        <w:rPr>
          <w:rFonts w:ascii="Arial" w:cs="Arial" w:eastAsia="Arial" w:hAnsi="Arial"/>
          <w:sz w:val="17"/>
          <w:szCs w:val="17"/>
          <w:color w:val="auto"/>
        </w:rPr>
        <w:t>means any grant of an Option under the Plan.</w:t>
      </w:r>
    </w:p>
    <w:p>
      <w:pPr>
        <w:spacing w:after="0" w:line="243" w:lineRule="exact"/>
        <w:rPr>
          <w:sz w:val="20"/>
          <w:szCs w:val="20"/>
          <w:color w:val="auto"/>
        </w:rPr>
      </w:pPr>
    </w:p>
    <w:p>
      <w:pPr>
        <w:ind w:left="9"/>
        <w:spacing w:after="0"/>
        <w:tabs>
          <w:tab w:leader="none" w:pos="569"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Company’s Board of Directors, as constituted from time to time.</w:t>
      </w:r>
    </w:p>
    <w:p>
      <w:pPr>
        <w:spacing w:after="0" w:line="243" w:lineRule="exact"/>
        <w:rPr>
          <w:sz w:val="20"/>
          <w:szCs w:val="20"/>
          <w:color w:val="auto"/>
        </w:rPr>
      </w:pPr>
    </w:p>
    <w:p>
      <w:pPr>
        <w:ind w:left="9"/>
        <w:spacing w:after="0"/>
        <w:tabs>
          <w:tab w:leader="none" w:pos="569"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means:</w:t>
      </w:r>
    </w:p>
    <w:p>
      <w:pPr>
        <w:spacing w:after="0" w:line="245" w:lineRule="exact"/>
        <w:rPr>
          <w:sz w:val="20"/>
          <w:szCs w:val="20"/>
          <w:color w:val="auto"/>
        </w:rPr>
      </w:pPr>
    </w:p>
    <w:p>
      <w:pPr>
        <w:ind w:left="1249" w:hanging="618"/>
        <w:spacing w:after="0" w:line="265" w:lineRule="auto"/>
        <w:tabs>
          <w:tab w:leader="none" w:pos="10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9"/>
          </w:cols>
          <w:pgMar w:left="311" w:top="1440" w:right="339" w:bottom="1440" w:gutter="0" w:footer="0" w:header="0"/>
        </w:sectPr>
      </w:pPr>
    </w:p>
    <w:bookmarkStart w:id="61" w:name="page62"/>
    <w:bookmarkEnd w:id="61"/>
    <w:p>
      <w:pPr>
        <w:spacing w:after="0" w:line="153" w:lineRule="exact"/>
        <w:rPr>
          <w:sz w:val="20"/>
          <w:szCs w:val="20"/>
          <w:color w:val="auto"/>
        </w:rPr>
      </w:pPr>
    </w:p>
    <w:p>
      <w:pPr>
        <w:ind w:left="1240" w:right="960"/>
        <w:spacing w:after="0" w:line="290" w:lineRule="auto"/>
        <w:rPr>
          <w:sz w:val="20"/>
          <w:szCs w:val="20"/>
          <w:color w:val="auto"/>
        </w:rPr>
      </w:pPr>
      <w:r>
        <w:rPr>
          <w:rFonts w:ascii="Arial" w:cs="Arial" w:eastAsia="Arial" w:hAnsi="Arial"/>
          <w:sz w:val="17"/>
          <w:szCs w:val="17"/>
          <w:color w:val="auto"/>
        </w:rPr>
        <w:t>owned by persons who were not shareholders of the Company immediately prior to such merger, consolidation or other reorganization;</w:t>
      </w:r>
    </w:p>
    <w:p>
      <w:pPr>
        <w:spacing w:after="0" w:line="172" w:lineRule="exact"/>
        <w:rPr>
          <w:sz w:val="20"/>
          <w:szCs w:val="20"/>
          <w:color w:val="auto"/>
        </w:rPr>
      </w:pPr>
    </w:p>
    <w:p>
      <w:pPr>
        <w:ind w:left="1020" w:hanging="398"/>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sale, transfer or other disposition of all or substantially all of the Company’s assets;</w:t>
      </w:r>
    </w:p>
    <w:p>
      <w:pPr>
        <w:spacing w:after="0" w:line="242" w:lineRule="exact"/>
        <w:rPr>
          <w:rFonts w:ascii="Arial" w:cs="Arial" w:eastAsia="Arial" w:hAnsi="Arial"/>
          <w:sz w:val="17"/>
          <w:szCs w:val="17"/>
          <w:color w:val="auto"/>
        </w:rPr>
      </w:pPr>
    </w:p>
    <w:p>
      <w:pPr>
        <w:ind w:left="1240" w:right="40" w:hanging="618"/>
        <w:spacing w:after="0" w:line="262" w:lineRule="auto"/>
        <w:tabs>
          <w:tab w:leader="none" w:pos="100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196" w:lineRule="exact"/>
        <w:rPr>
          <w:rFonts w:ascii="Arial" w:cs="Arial" w:eastAsia="Arial" w:hAnsi="Arial"/>
          <w:sz w:val="17"/>
          <w:szCs w:val="17"/>
          <w:color w:val="auto"/>
        </w:rPr>
      </w:pPr>
    </w:p>
    <w:p>
      <w:pPr>
        <w:ind w:left="1240" w:right="20" w:hanging="618"/>
        <w:spacing w:after="0" w:line="260" w:lineRule="auto"/>
        <w:tabs>
          <w:tab w:leader="none" w:pos="101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199" w:lineRule="exact"/>
        <w:rPr>
          <w:sz w:val="20"/>
          <w:szCs w:val="20"/>
          <w:color w:val="auto"/>
        </w:rPr>
      </w:pPr>
    </w:p>
    <w:p>
      <w:pPr>
        <w:ind w:left="620" w:right="220"/>
        <w:spacing w:after="0" w:line="290" w:lineRule="auto"/>
        <w:rPr>
          <w:sz w:val="20"/>
          <w:szCs w:val="20"/>
          <w:color w:val="auto"/>
        </w:rPr>
      </w:pPr>
      <w:r>
        <w:rPr>
          <w:rFonts w:ascii="Arial" w:cs="Arial" w:eastAsia="Arial" w:hAnsi="Arial"/>
          <w:sz w:val="17"/>
          <w:szCs w:val="17"/>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US Internal Revenue Code of 1986, as amended.</w:t>
      </w:r>
    </w:p>
    <w:p>
      <w:pPr>
        <w:spacing w:after="0" w:line="243" w:lineRule="exact"/>
        <w:rPr>
          <w:sz w:val="20"/>
          <w:szCs w:val="20"/>
          <w:color w:val="auto"/>
        </w:rPr>
      </w:pPr>
    </w:p>
    <w:p>
      <w:pPr>
        <w:ind w:left="580" w:right="780" w:hanging="618"/>
        <w:spacing w:after="0" w:line="292" w:lineRule="auto"/>
        <w:tabs>
          <w:tab w:leader="none" w:pos="56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b w:val="1"/>
          <w:bCs w:val="1"/>
          <w:color w:val="auto"/>
        </w:rPr>
        <w:t xml:space="preserve">Committee </w:t>
      </w:r>
      <w:r>
        <w:rPr>
          <w:rFonts w:ascii="Arial" w:cs="Arial" w:eastAsia="Arial" w:hAnsi="Arial"/>
          <w:sz w:val="17"/>
          <w:szCs w:val="17"/>
          <w:color w:val="auto"/>
        </w:rPr>
        <w:t>means the Compensation Committee of the Board or such other committee of the Board, as the Board may appoint to</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administer the Plan from time to time.</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ICON plc, an Irish corporation and its successor corporations.</w:t>
      </w:r>
    </w:p>
    <w:p>
      <w:pPr>
        <w:spacing w:after="0" w:line="243" w:lineRule="exact"/>
        <w:rPr>
          <w:sz w:val="20"/>
          <w:szCs w:val="20"/>
          <w:color w:val="auto"/>
        </w:rPr>
      </w:pPr>
    </w:p>
    <w:p>
      <w:pPr>
        <w:ind w:left="580" w:hanging="618"/>
        <w:spacing w:after="0" w:line="292" w:lineRule="auto"/>
        <w:tabs>
          <w:tab w:leader="none" w:pos="56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7"/>
          <w:szCs w:val="17"/>
          <w:b w:val="1"/>
          <w:bCs w:val="1"/>
          <w:color w:val="auto"/>
        </w:rPr>
        <w:t xml:space="preserve">Consultants Plan </w:t>
      </w:r>
      <w:r>
        <w:rPr>
          <w:rFonts w:ascii="Arial" w:cs="Arial" w:eastAsia="Arial" w:hAnsi="Arial"/>
          <w:sz w:val="17"/>
          <w:szCs w:val="17"/>
          <w:color w:val="auto"/>
        </w:rPr>
        <w:t>means the ICON plc Consultants Share Option Plan 2008 established pursuant to a resolution of shareholders passed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date as the resolution establishing this Plan.</w:t>
      </w:r>
    </w:p>
    <w:p>
      <w:pPr>
        <w:spacing w:after="0" w:line="169" w:lineRule="exact"/>
        <w:rPr>
          <w:sz w:val="20"/>
          <w:szCs w:val="20"/>
          <w:color w:val="auto"/>
        </w:rPr>
      </w:pPr>
    </w:p>
    <w:p>
      <w:pPr>
        <w:ind w:left="580" w:right="340" w:hanging="618"/>
        <w:spacing w:after="0" w:line="292" w:lineRule="auto"/>
        <w:tabs>
          <w:tab w:leader="none" w:pos="56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7"/>
          <w:szCs w:val="17"/>
          <w:b w:val="1"/>
          <w:bCs w:val="1"/>
          <w:color w:val="auto"/>
        </w:rPr>
        <w:t xml:space="preserve">Date of Grant </w:t>
      </w:r>
      <w:r>
        <w:rPr>
          <w:rFonts w:ascii="Arial" w:cs="Arial" w:eastAsia="Arial" w:hAnsi="Arial"/>
          <w:sz w:val="17"/>
          <w:szCs w:val="17"/>
          <w:color w:val="auto"/>
        </w:rPr>
        <w:t>means the date of the Committee resolution under which an Option is granted or as otherwise specified in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approving the Option Grant.</w:t>
      </w:r>
    </w:p>
    <w:p>
      <w:pPr>
        <w:spacing w:after="0" w:line="169" w:lineRule="exact"/>
        <w:rPr>
          <w:sz w:val="20"/>
          <w:szCs w:val="20"/>
          <w:color w:val="auto"/>
        </w:rPr>
      </w:pPr>
    </w:p>
    <w:p>
      <w:pPr>
        <w:ind w:left="580" w:right="460" w:hanging="618"/>
        <w:spacing w:after="0" w:line="292" w:lineRule="auto"/>
        <w:tabs>
          <w:tab w:leader="none" w:pos="56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7"/>
          <w:szCs w:val="17"/>
          <w:b w:val="1"/>
          <w:bCs w:val="1"/>
          <w:color w:val="auto"/>
        </w:rPr>
        <w:t xml:space="preserve">Employee </w:t>
      </w:r>
      <w:r>
        <w:rPr>
          <w:rFonts w:ascii="Arial" w:cs="Arial" w:eastAsia="Arial" w:hAnsi="Arial"/>
          <w:sz w:val="17"/>
          <w:szCs w:val="17"/>
          <w:color w:val="auto"/>
        </w:rPr>
        <w:t>means (a) an employee of the Company or of a Subsidiary, and (b) a director holding a salaried employment or office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Subsidiary.</w:t>
      </w:r>
    </w:p>
    <w:p>
      <w:pPr>
        <w:spacing w:after="0" w:line="16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12.10.</w:t>
      </w:r>
      <w:r>
        <w:rPr>
          <w:sz w:val="20"/>
          <w:szCs w:val="20"/>
          <w:color w:val="auto"/>
        </w:rPr>
        <w:tab/>
      </w:r>
      <w:r>
        <w:rPr>
          <w:rFonts w:ascii="Arial" w:cs="Arial" w:eastAsia="Arial" w:hAnsi="Arial"/>
          <w:sz w:val="17"/>
          <w:szCs w:val="17"/>
          <w:b w:val="1"/>
          <w:bCs w:val="1"/>
          <w:color w:val="auto"/>
        </w:rPr>
        <w:t xml:space="preserve">Exchange Act </w:t>
      </w:r>
      <w:r>
        <w:rPr>
          <w:rFonts w:ascii="Arial" w:cs="Arial" w:eastAsia="Arial" w:hAnsi="Arial"/>
          <w:sz w:val="17"/>
          <w:szCs w:val="17"/>
          <w:color w:val="auto"/>
        </w:rPr>
        <w:t>means the US Securities Exchange Act of 1934, as amended.</w:t>
      </w:r>
    </w:p>
    <w:p>
      <w:pPr>
        <w:spacing w:after="0" w:line="243" w:lineRule="exact"/>
        <w:rPr>
          <w:sz w:val="20"/>
          <w:szCs w:val="20"/>
          <w:color w:val="auto"/>
        </w:rPr>
      </w:pPr>
    </w:p>
    <w:p>
      <w:pPr>
        <w:ind w:left="620" w:right="160" w:hanging="618"/>
        <w:spacing w:after="0" w:line="292" w:lineRule="auto"/>
        <w:tabs>
          <w:tab w:leader="none" w:pos="600" w:val="left"/>
        </w:tabs>
        <w:rPr>
          <w:sz w:val="20"/>
          <w:szCs w:val="20"/>
          <w:color w:val="auto"/>
        </w:rPr>
      </w:pPr>
      <w:r>
        <w:rPr>
          <w:rFonts w:ascii="Arial" w:cs="Arial" w:eastAsia="Arial" w:hAnsi="Arial"/>
          <w:sz w:val="17"/>
          <w:szCs w:val="17"/>
          <w:color w:val="auto"/>
        </w:rPr>
        <w:t>12.11.</w:t>
      </w:r>
      <w:r>
        <w:rPr>
          <w:sz w:val="20"/>
          <w:szCs w:val="20"/>
          <w:color w:val="auto"/>
        </w:rPr>
        <w:tab/>
      </w: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means the amount for which one Share may be acquired upon exercise of an Option, as specified in the applicable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w:t>
      </w:r>
    </w:p>
    <w:p>
      <w:pPr>
        <w:spacing w:after="0" w:line="16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12.12.</w:t>
      </w:r>
      <w:r>
        <w:rPr>
          <w:sz w:val="20"/>
          <w:szCs w:val="20"/>
          <w:color w:val="auto"/>
        </w:rPr>
        <w:tab/>
      </w:r>
      <w:r>
        <w:rPr>
          <w:rFonts w:ascii="Arial" w:cs="Arial" w:eastAsia="Arial" w:hAnsi="Arial"/>
          <w:sz w:val="17"/>
          <w:szCs w:val="17"/>
          <w:b w:val="1"/>
          <w:bCs w:val="1"/>
          <w:color w:val="auto"/>
        </w:rPr>
        <w:t xml:space="preserve">Internal Revenue Service </w:t>
      </w:r>
      <w:r>
        <w:rPr>
          <w:rFonts w:ascii="Arial" w:cs="Arial" w:eastAsia="Arial" w:hAnsi="Arial"/>
          <w:sz w:val="17"/>
          <w:szCs w:val="17"/>
          <w:color w:val="auto"/>
        </w:rPr>
        <w:t>means the US Internal Revenue Service.</w:t>
      </w:r>
    </w:p>
    <w:p>
      <w:pPr>
        <w:spacing w:after="0" w:line="243" w:lineRule="exact"/>
        <w:rPr>
          <w:sz w:val="20"/>
          <w:szCs w:val="20"/>
          <w:color w:val="auto"/>
        </w:rPr>
      </w:pPr>
    </w:p>
    <w:p>
      <w:pPr>
        <w:ind w:left="620" w:right="60" w:hanging="618"/>
        <w:spacing w:after="0" w:line="292" w:lineRule="auto"/>
        <w:tabs>
          <w:tab w:leader="none" w:pos="600" w:val="left"/>
        </w:tabs>
        <w:rPr>
          <w:sz w:val="20"/>
          <w:szCs w:val="20"/>
          <w:color w:val="auto"/>
        </w:rPr>
      </w:pPr>
      <w:r>
        <w:rPr>
          <w:rFonts w:ascii="Arial" w:cs="Arial" w:eastAsia="Arial" w:hAnsi="Arial"/>
          <w:sz w:val="17"/>
          <w:szCs w:val="17"/>
          <w:color w:val="auto"/>
        </w:rPr>
        <w:t>12.13.</w:t>
      </w:r>
      <w:r>
        <w:rPr>
          <w:sz w:val="20"/>
          <w:szCs w:val="20"/>
          <w:color w:val="auto"/>
        </w:rPr>
        <w:tab/>
      </w:r>
      <w:r>
        <w:rPr>
          <w:rFonts w:ascii="Arial" w:cs="Arial" w:eastAsia="Arial" w:hAnsi="Arial"/>
          <w:sz w:val="17"/>
          <w:szCs w:val="17"/>
          <w:b w:val="1"/>
          <w:bCs w:val="1"/>
          <w:color w:val="auto"/>
        </w:rPr>
        <w:t xml:space="preserve">Market Value </w:t>
      </w:r>
      <w:r>
        <w:rPr>
          <w:rFonts w:ascii="Arial" w:cs="Arial" w:eastAsia="Arial" w:hAnsi="Arial"/>
          <w:sz w:val="17"/>
          <w:szCs w:val="17"/>
          <w:color w:val="auto"/>
        </w:rPr>
        <w:t>means the market price of Shares, determined by the Committee as follows: (i) if Shares are listed on a stock exchange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in question, then the Market Value shall be equal to the higher of par and the closing price reported for such date by the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3" w:lineRule="exact"/>
        <w:rPr>
          <w:sz w:val="20"/>
          <w:szCs w:val="20"/>
          <w:color w:val="auto"/>
        </w:rPr>
      </w:pPr>
    </w:p>
    <w:p>
      <w:pPr>
        <w:ind w:left="620"/>
        <w:spacing w:after="0" w:line="265" w:lineRule="auto"/>
        <w:rPr>
          <w:sz w:val="20"/>
          <w:szCs w:val="20"/>
          <w:color w:val="auto"/>
        </w:rPr>
      </w:pPr>
      <w:r>
        <w:rPr>
          <w:rFonts w:ascii="Arial" w:cs="Arial" w:eastAsia="Arial" w:hAnsi="Arial"/>
          <w:sz w:val="17"/>
          <w:szCs w:val="17"/>
          <w:color w:val="auto"/>
        </w:rPr>
        <w:t>composite-transactions report or, if the Shares were not traded on that day, the next preceding day that the Shares were traded; and (ii) if Shares are not traded on a stock exchange on the date in question, the Market Value shall be determined by the Committee in good faith on such basis as it deems appropriate. Whenever possible, the determination of Market Value by the Committee shall be based on the prices reported in The Wall Street Journal, Eastern Edition, USA. Such determination shall be conclusive and binding on all persons.</w:t>
      </w:r>
    </w:p>
    <w:p>
      <w:pPr>
        <w:spacing w:after="0" w:line="19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12.14.</w:t>
      </w:r>
      <w:r>
        <w:rPr>
          <w:sz w:val="20"/>
          <w:szCs w:val="20"/>
          <w:color w:val="auto"/>
        </w:rPr>
        <w:tab/>
      </w:r>
      <w:r>
        <w:rPr>
          <w:rFonts w:ascii="Arial" w:cs="Arial" w:eastAsia="Arial" w:hAnsi="Arial"/>
          <w:sz w:val="17"/>
          <w:szCs w:val="17"/>
          <w:b w:val="1"/>
          <w:bCs w:val="1"/>
          <w:color w:val="auto"/>
        </w:rPr>
        <w:t xml:space="preserve">NSO </w:t>
      </w:r>
      <w:r>
        <w:rPr>
          <w:rFonts w:ascii="Arial" w:cs="Arial" w:eastAsia="Arial" w:hAnsi="Arial"/>
          <w:sz w:val="17"/>
          <w:szCs w:val="17"/>
          <w:color w:val="auto"/>
        </w:rPr>
        <w:t>means an employee stock option not described in section 422 or 423 of the Code.</w:t>
      </w:r>
    </w:p>
    <w:p>
      <w:pPr>
        <w:spacing w:after="0" w:line="243" w:lineRule="exact"/>
        <w:rPr>
          <w:sz w:val="20"/>
          <w:szCs w:val="20"/>
          <w:color w:val="auto"/>
        </w:rPr>
      </w:pPr>
    </w:p>
    <w:p>
      <w:pPr>
        <w:ind w:left="620" w:right="460" w:hanging="618"/>
        <w:spacing w:after="0" w:line="292" w:lineRule="auto"/>
        <w:tabs>
          <w:tab w:leader="none" w:pos="600" w:val="left"/>
        </w:tabs>
        <w:rPr>
          <w:sz w:val="20"/>
          <w:szCs w:val="20"/>
          <w:color w:val="auto"/>
        </w:rPr>
      </w:pPr>
      <w:r>
        <w:rPr>
          <w:rFonts w:ascii="Arial" w:cs="Arial" w:eastAsia="Arial" w:hAnsi="Arial"/>
          <w:sz w:val="17"/>
          <w:szCs w:val="17"/>
          <w:color w:val="auto"/>
        </w:rPr>
        <w:t>12.15.</w:t>
      </w:r>
      <w:r>
        <w:rPr>
          <w:sz w:val="20"/>
          <w:szCs w:val="20"/>
          <w:color w:val="auto"/>
        </w:rPr>
        <w:tab/>
      </w:r>
      <w:r>
        <w:rPr>
          <w:rFonts w:ascii="Arial" w:cs="Arial" w:eastAsia="Arial" w:hAnsi="Arial"/>
          <w:sz w:val="17"/>
          <w:szCs w:val="17"/>
          <w:b w:val="1"/>
          <w:bCs w:val="1"/>
          <w:color w:val="auto"/>
        </w:rPr>
        <w:t xml:space="preserve">Option </w:t>
      </w:r>
      <w:r>
        <w:rPr>
          <w:rFonts w:ascii="Arial" w:cs="Arial" w:eastAsia="Arial" w:hAnsi="Arial"/>
          <w:sz w:val="17"/>
          <w:szCs w:val="17"/>
          <w:color w:val="auto"/>
        </w:rPr>
        <w:t>means a NSO granted under the Plan and entitling the holder to purchase by way of subscription (as such term is understood</w:t>
      </w:r>
      <w:r>
        <w:rPr>
          <w:rFonts w:ascii="Arial" w:cs="Arial" w:eastAsia="Arial" w:hAnsi="Arial"/>
          <w:sz w:val="17"/>
          <w:szCs w:val="17"/>
          <w:b w:val="1"/>
          <w:bCs w:val="1"/>
          <w:color w:val="auto"/>
        </w:rPr>
        <w:t xml:space="preserve"> </w:t>
      </w:r>
      <w:r>
        <w:rPr>
          <w:rFonts w:ascii="Arial" w:cs="Arial" w:eastAsia="Arial" w:hAnsi="Arial"/>
          <w:sz w:val="17"/>
          <w:szCs w:val="17"/>
          <w:color w:val="auto"/>
        </w:rPr>
        <w:t>under Irish law) Shares.</w:t>
      </w:r>
    </w:p>
    <w:p>
      <w:pPr>
        <w:spacing w:after="0" w:line="16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12.16.</w:t>
      </w:r>
      <w:r>
        <w:rPr>
          <w:sz w:val="20"/>
          <w:szCs w:val="20"/>
          <w:color w:val="auto"/>
        </w:rPr>
        <w:tab/>
      </w:r>
      <w:r>
        <w:rPr>
          <w:rFonts w:ascii="Arial" w:cs="Arial" w:eastAsia="Arial" w:hAnsi="Arial"/>
          <w:sz w:val="17"/>
          <w:szCs w:val="17"/>
          <w:b w:val="1"/>
          <w:bCs w:val="1"/>
          <w:color w:val="auto"/>
        </w:rPr>
        <w:t xml:space="preserve">Optionee </w:t>
      </w:r>
      <w:r>
        <w:rPr>
          <w:rFonts w:ascii="Arial" w:cs="Arial" w:eastAsia="Arial" w:hAnsi="Arial"/>
          <w:sz w:val="17"/>
          <w:szCs w:val="17"/>
          <w:color w:val="auto"/>
        </w:rPr>
        <w:t>means an individual or estate who holds an Option.</w:t>
      </w:r>
    </w:p>
    <w:p>
      <w:pPr>
        <w:spacing w:after="0" w:line="24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12.17.</w:t>
      </w:r>
      <w:r>
        <w:rPr>
          <w:sz w:val="20"/>
          <w:szCs w:val="20"/>
          <w:color w:val="auto"/>
        </w:rPr>
        <w:tab/>
      </w:r>
      <w:r>
        <w:rPr>
          <w:rFonts w:ascii="Arial" w:cs="Arial" w:eastAsia="Arial" w:hAnsi="Arial"/>
          <w:sz w:val="17"/>
          <w:szCs w:val="17"/>
          <w:b w:val="1"/>
          <w:bCs w:val="1"/>
          <w:color w:val="auto"/>
        </w:rPr>
        <w:t xml:space="preserve">Ordinary Share </w:t>
      </w:r>
      <w:r>
        <w:rPr>
          <w:rFonts w:ascii="Arial" w:cs="Arial" w:eastAsia="Arial" w:hAnsi="Arial"/>
          <w:sz w:val="17"/>
          <w:szCs w:val="17"/>
          <w:color w:val="auto"/>
        </w:rPr>
        <w:t>means one ordinary share in the capital of the Company.</w:t>
      </w:r>
    </w:p>
    <w:p>
      <w:pPr>
        <w:spacing w:after="0" w:line="24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12.18.</w:t>
      </w:r>
      <w:r>
        <w:rPr>
          <w:sz w:val="20"/>
          <w:szCs w:val="20"/>
          <w:color w:val="auto"/>
        </w:rPr>
        <w:tab/>
      </w:r>
      <w:r>
        <w:rPr>
          <w:rFonts w:ascii="Arial" w:cs="Arial" w:eastAsia="Arial" w:hAnsi="Arial"/>
          <w:sz w:val="17"/>
          <w:szCs w:val="17"/>
          <w:b w:val="1"/>
          <w:bCs w:val="1"/>
          <w:color w:val="auto"/>
        </w:rPr>
        <w:t xml:space="preserve">Plan </w:t>
      </w:r>
      <w:r>
        <w:rPr>
          <w:rFonts w:ascii="Arial" w:cs="Arial" w:eastAsia="Arial" w:hAnsi="Arial"/>
          <w:sz w:val="17"/>
          <w:szCs w:val="17"/>
          <w:color w:val="auto"/>
        </w:rPr>
        <w:t>means this ICON plc Employee Share Option Plan 2008, as it may be amended from time to time.</w:t>
      </w:r>
    </w:p>
    <w:p>
      <w:pPr>
        <w:spacing w:after="0" w:line="24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12.19.</w:t>
      </w:r>
      <w:r>
        <w:rPr>
          <w:sz w:val="20"/>
          <w:szCs w:val="20"/>
          <w:color w:val="auto"/>
        </w:rPr>
        <w:tab/>
      </w:r>
      <w:r>
        <w:rPr>
          <w:rFonts w:ascii="Arial" w:cs="Arial" w:eastAsia="Arial" w:hAnsi="Arial"/>
          <w:sz w:val="17"/>
          <w:szCs w:val="17"/>
          <w:b w:val="1"/>
          <w:bCs w:val="1"/>
          <w:color w:val="auto"/>
        </w:rPr>
        <w:t xml:space="preserve">Securities and Exchange Commission </w:t>
      </w:r>
      <w:r>
        <w:rPr>
          <w:rFonts w:ascii="Arial" w:cs="Arial" w:eastAsia="Arial" w:hAnsi="Arial"/>
          <w:sz w:val="17"/>
          <w:szCs w:val="17"/>
          <w:color w:val="auto"/>
        </w:rPr>
        <w:t>means the US Securities and Exchange Commission.</w:t>
      </w:r>
    </w:p>
    <w:p>
      <w:pPr>
        <w:spacing w:after="0" w:line="243" w:lineRule="exact"/>
        <w:rPr>
          <w:sz w:val="20"/>
          <w:szCs w:val="20"/>
          <w:color w:val="auto"/>
        </w:rPr>
      </w:pPr>
    </w:p>
    <w:p>
      <w:pPr>
        <w:ind w:left="620" w:right="140" w:hanging="618"/>
        <w:spacing w:after="0" w:line="292" w:lineRule="auto"/>
        <w:tabs>
          <w:tab w:leader="none" w:pos="600" w:val="left"/>
        </w:tabs>
        <w:rPr>
          <w:sz w:val="20"/>
          <w:szCs w:val="20"/>
          <w:color w:val="auto"/>
        </w:rPr>
      </w:pPr>
      <w:r>
        <w:rPr>
          <w:rFonts w:ascii="Arial" w:cs="Arial" w:eastAsia="Arial" w:hAnsi="Arial"/>
          <w:sz w:val="17"/>
          <w:szCs w:val="17"/>
          <w:color w:val="auto"/>
        </w:rPr>
        <w:t>12.20.</w:t>
      </w:r>
      <w:r>
        <w:rPr>
          <w:sz w:val="20"/>
          <w:szCs w:val="20"/>
          <w:color w:val="auto"/>
        </w:rPr>
        <w:tab/>
      </w:r>
      <w:r>
        <w:rPr>
          <w:rFonts w:ascii="Arial" w:cs="Arial" w:eastAsia="Arial" w:hAnsi="Arial"/>
          <w:sz w:val="17"/>
          <w:szCs w:val="17"/>
          <w:b w:val="1"/>
          <w:bCs w:val="1"/>
          <w:color w:val="auto"/>
        </w:rPr>
        <w:t xml:space="preserve">Share </w:t>
      </w:r>
      <w:r>
        <w:rPr>
          <w:rFonts w:ascii="Arial" w:cs="Arial" w:eastAsia="Arial" w:hAnsi="Arial"/>
          <w:sz w:val="17"/>
          <w:szCs w:val="17"/>
          <w:color w:val="auto"/>
        </w:rPr>
        <w:t>means either one Ordinary Share or one ordinary share in the capital of the Company as represented by one American Depository</w:t>
      </w:r>
      <w:r>
        <w:rPr>
          <w:rFonts w:ascii="Arial" w:cs="Arial" w:eastAsia="Arial" w:hAnsi="Arial"/>
          <w:sz w:val="17"/>
          <w:szCs w:val="17"/>
          <w:b w:val="1"/>
          <w:bCs w:val="1"/>
          <w:color w:val="auto"/>
        </w:rPr>
        <w:t xml:space="preserve"> </w:t>
      </w:r>
      <w:r>
        <w:rPr>
          <w:rFonts w:ascii="Arial" w:cs="Arial" w:eastAsia="Arial" w:hAnsi="Arial"/>
          <w:sz w:val="17"/>
          <w:szCs w:val="17"/>
          <w:color w:val="auto"/>
        </w:rPr>
        <w:t>share and as evidenced by an American Depository Receipt.</w:t>
      </w:r>
    </w:p>
    <w:p>
      <w:pPr>
        <w:spacing w:after="0" w:line="169" w:lineRule="exact"/>
        <w:rPr>
          <w:sz w:val="20"/>
          <w:szCs w:val="20"/>
          <w:color w:val="auto"/>
        </w:rPr>
      </w:pPr>
    </w:p>
    <w:p>
      <w:pPr>
        <w:ind w:left="620" w:right="500" w:hanging="618"/>
        <w:spacing w:after="0" w:line="292" w:lineRule="auto"/>
        <w:tabs>
          <w:tab w:leader="none" w:pos="600" w:val="left"/>
        </w:tabs>
        <w:rPr>
          <w:sz w:val="20"/>
          <w:szCs w:val="20"/>
          <w:color w:val="auto"/>
        </w:rPr>
      </w:pPr>
      <w:r>
        <w:rPr>
          <w:rFonts w:ascii="Arial" w:cs="Arial" w:eastAsia="Arial" w:hAnsi="Arial"/>
          <w:sz w:val="17"/>
          <w:szCs w:val="17"/>
          <w:color w:val="auto"/>
        </w:rPr>
        <w:t>12.21.</w:t>
      </w:r>
      <w:r>
        <w:rPr>
          <w:sz w:val="20"/>
          <w:szCs w:val="20"/>
          <w:color w:val="auto"/>
        </w:rPr>
        <w:tab/>
      </w:r>
      <w:r>
        <w:rPr>
          <w:rFonts w:ascii="Arial" w:cs="Arial" w:eastAsia="Arial" w:hAnsi="Arial"/>
          <w:sz w:val="17"/>
          <w:szCs w:val="17"/>
          <w:b w:val="1"/>
          <w:bCs w:val="1"/>
          <w:color w:val="auto"/>
        </w:rPr>
        <w:t xml:space="preserve">Stock Option Agreement </w:t>
      </w:r>
      <w:r>
        <w:rPr>
          <w:rFonts w:ascii="Arial" w:cs="Arial" w:eastAsia="Arial" w:hAnsi="Arial"/>
          <w:sz w:val="17"/>
          <w:szCs w:val="17"/>
          <w:color w:val="auto"/>
        </w:rPr>
        <w:t>means the agreement between the Company and an Optionee which contains the terms, conditions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restrictions pertaining to his or her Option and which shall be in such form as the Committee shall determine in its absolute discretion.</w:t>
      </w:r>
    </w:p>
    <w:p>
      <w:pPr>
        <w:spacing w:after="0" w:line="169" w:lineRule="exact"/>
        <w:rPr>
          <w:sz w:val="20"/>
          <w:szCs w:val="20"/>
          <w:color w:val="auto"/>
        </w:rPr>
      </w:pPr>
    </w:p>
    <w:p>
      <w:pPr>
        <w:ind w:left="620" w:right="40" w:hanging="618"/>
        <w:spacing w:after="0" w:line="272" w:lineRule="auto"/>
        <w:tabs>
          <w:tab w:leader="none" w:pos="600" w:val="left"/>
        </w:tabs>
        <w:rPr>
          <w:sz w:val="20"/>
          <w:szCs w:val="20"/>
          <w:color w:val="auto"/>
        </w:rPr>
      </w:pPr>
      <w:r>
        <w:rPr>
          <w:rFonts w:ascii="Arial" w:cs="Arial" w:eastAsia="Arial" w:hAnsi="Arial"/>
          <w:sz w:val="17"/>
          <w:szCs w:val="17"/>
          <w:color w:val="auto"/>
        </w:rPr>
        <w:t>12.22.</w:t>
      </w:r>
      <w:r>
        <w:rPr>
          <w:sz w:val="20"/>
          <w:szCs w:val="20"/>
          <w:color w:val="auto"/>
        </w:rPr>
        <w:tab/>
      </w:r>
      <w:r>
        <w:rPr>
          <w:rFonts w:ascii="Arial" w:cs="Arial" w:eastAsia="Arial" w:hAnsi="Arial"/>
          <w:sz w:val="17"/>
          <w:szCs w:val="17"/>
          <w:b w:val="1"/>
          <w:bCs w:val="1"/>
          <w:color w:val="auto"/>
        </w:rPr>
        <w:t xml:space="preserve">Subsidiary </w:t>
      </w:r>
      <w:r>
        <w:rPr>
          <w:rFonts w:ascii="Arial" w:cs="Arial" w:eastAsia="Arial" w:hAnsi="Arial"/>
          <w:sz w:val="17"/>
          <w:szCs w:val="17"/>
          <w:color w:val="auto"/>
        </w:rPr>
        <w:t>means any company, if the Company and / or one or more other Subsidiaries own not less than 50% of the total combined</w:t>
      </w:r>
      <w:r>
        <w:rPr>
          <w:rFonts w:ascii="Arial" w:cs="Arial" w:eastAsia="Arial" w:hAnsi="Arial"/>
          <w:sz w:val="17"/>
          <w:szCs w:val="17"/>
          <w:b w:val="1"/>
          <w:bCs w:val="1"/>
          <w:color w:val="auto"/>
        </w:rPr>
        <w:t xml:space="preserve"> </w:t>
      </w:r>
      <w:r>
        <w:rPr>
          <w:rFonts w:ascii="Arial" w:cs="Arial" w:eastAsia="Arial" w:hAnsi="Arial"/>
          <w:sz w:val="17"/>
          <w:szCs w:val="17"/>
          <w:color w:val="auto"/>
        </w:rPr>
        <w:t>voting power of all classes of outstanding stock (e.g., issued shares) of such company. A company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Roman"/>
      <w:start w:val="2"/>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lowerRoman"/>
      <w:start w:val="2"/>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9"/>
    </w:lvl>
  </w:abstractNum>
  <w:abstractNum w:abstractNumId="5">
    <w:nsid w:val="628C895D"/>
    <w:multiLevelType w:val="hybridMultilevel"/>
    <w:lvl w:ilvl="0">
      <w:lvlJc w:val="left"/>
      <w:lvlText w:val="%1."/>
      <w:numFmt w:val="decimal"/>
      <w:start w:val="1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2"/>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1."/>
      <w:numFmt w:val="decimal"/>
      <w:start w:val="4"/>
    </w:lvl>
  </w:abstractNum>
  <w:abstractNum w:abstractNumId="10">
    <w:nsid w:val="6763845E"/>
    <w:multiLevelType w:val="hybridMultilevel"/>
    <w:lvl w:ilvl="0">
      <w:lvlJc w:val="left"/>
      <w:lvlText w:val="%1."/>
      <w:numFmt w:val="decimal"/>
      <w:start w:val="5"/>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1."/>
      <w:numFmt w:val="decimal"/>
      <w:start w:val="7"/>
    </w:lvl>
  </w:abstractNum>
  <w:abstractNum w:abstractNumId="13">
    <w:nsid w:val="79838CB2"/>
    <w:multiLevelType w:val="hybridMultilevel"/>
    <w:lvl w:ilvl="0">
      <w:lvlJc w:val="left"/>
      <w:lvlText w:val="%1."/>
      <w:numFmt w:val="decimal"/>
      <w:start w:val="8"/>
    </w:lvl>
  </w:abstractNum>
  <w:abstractNum w:abstractNumId="14">
    <w:nsid w:val="4353D0CD"/>
    <w:multiLevelType w:val="hybridMultilevel"/>
    <w:lvl w:ilvl="0">
      <w:lvlJc w:val="left"/>
      <w:lvlText w:val="%1."/>
      <w:numFmt w:val="decimal"/>
      <w:start w:val="9"/>
    </w:lvl>
  </w:abstractNum>
  <w:abstractNum w:abstractNumId="15">
    <w:nsid w:val="B03E0C6"/>
    <w:multiLevelType w:val="hybridMultilevel"/>
    <w:lvl w:ilvl="0">
      <w:lvlJc w:val="left"/>
      <w:lvlText w:val="%1."/>
      <w:numFmt w:val="decimal"/>
      <w:start w:val="10"/>
    </w:lvl>
  </w:abstractNum>
  <w:abstractNum w:abstractNumId="16">
    <w:nsid w:val="189A769B"/>
    <w:multiLevelType w:val="hybridMultilevel"/>
    <w:lvl w:ilvl="0">
      <w:lvlJc w:val="left"/>
      <w:lvlText w:val="%1."/>
      <w:numFmt w:val="decimal"/>
      <w:start w:val="1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5"/>
    </w:lvl>
  </w:abstractNum>
  <w:abstractNum w:abstractNumId="20">
    <w:nsid w:val="836C40E"/>
    <w:multiLevelType w:val="hybridMultilevel"/>
    <w:lvl w:ilvl="0">
      <w:lvlJc w:val="left"/>
      <w:lvlText w:val="%1."/>
      <w:numFmt w:val="decimal"/>
      <w:start w:val="9"/>
    </w:lvl>
  </w:abstractNum>
  <w:abstractNum w:abstractNumId="21">
    <w:nsid w:val="2901D82"/>
    <w:multiLevelType w:val="hybridMultilevel"/>
    <w:lvl w:ilvl="0">
      <w:lvlJc w:val="left"/>
      <w:lvlText w:val="%1."/>
      <w:numFmt w:val="decimal"/>
      <w:start w:val="1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2"/>
    </w:lvl>
  </w:abstractNum>
  <w:abstractNum w:abstractNumId="24">
    <w:nsid w:val="1E7FF521"/>
    <w:multiLevelType w:val="hybridMultilevel"/>
    <w:lvl w:ilvl="0">
      <w:lvlJc w:val="left"/>
      <w:lvlText w:val="%1."/>
      <w:numFmt w:val="decimal"/>
      <w:start w:val="3"/>
    </w:lvl>
  </w:abstractNum>
  <w:abstractNum w:abstractNumId="25">
    <w:nsid w:val="7C3DBD3D"/>
    <w:multiLevelType w:val="hybridMultilevel"/>
    <w:lvl w:ilvl="0">
      <w:lvlJc w:val="left"/>
      <w:lvlText w:val="%1."/>
      <w:numFmt w:val="decimal"/>
      <w:start w:val="4"/>
    </w:lvl>
  </w:abstractNum>
  <w:abstractNum w:abstractNumId="26">
    <w:nsid w:val="737B8DDC"/>
    <w:multiLevelType w:val="hybridMultilevel"/>
    <w:lvl w:ilvl="0">
      <w:lvlJc w:val="left"/>
      <w:lvlText w:val="%1."/>
      <w:numFmt w:val="decimal"/>
      <w:start w:val="5"/>
    </w:lvl>
  </w:abstractNum>
  <w:abstractNum w:abstractNumId="27">
    <w:nsid w:val="6CEAF087"/>
    <w:multiLevelType w:val="hybridMultilevel"/>
    <w:lvl w:ilvl="0">
      <w:lvlJc w:val="left"/>
      <w:lvlText w:val="%1."/>
      <w:numFmt w:val="decimal"/>
      <w:start w:val="6"/>
    </w:lvl>
  </w:abstractNum>
  <w:abstractNum w:abstractNumId="28">
    <w:nsid w:val="22221A70"/>
    <w:multiLevelType w:val="hybridMultilevel"/>
    <w:lvl w:ilvl="0">
      <w:lvlJc w:val="left"/>
      <w:lvlText w:val="%1."/>
      <w:numFmt w:val="decimal"/>
      <w:start w:val="7"/>
    </w:lvl>
  </w:abstractNum>
  <w:abstractNum w:abstractNumId="29">
    <w:nsid w:val="4516DDE9"/>
    <w:multiLevelType w:val="hybridMultilevel"/>
    <w:lvl w:ilvl="0">
      <w:lvlJc w:val="left"/>
      <w:lvlText w:val="%1."/>
      <w:numFmt w:val="decimal"/>
      <w:start w:val="8"/>
    </w:lvl>
  </w:abstractNum>
  <w:abstractNum w:abstractNumId="30">
    <w:nsid w:val="3006C83E"/>
    <w:multiLevelType w:val="hybridMultilevel"/>
    <w:lvl w:ilvl="0">
      <w:lvlJc w:val="left"/>
      <w:lvlText w:val="%1."/>
      <w:numFmt w:val="decimal"/>
      <w:start w:val="9"/>
    </w:lvl>
  </w:abstractNum>
  <w:abstractNum w:abstractNumId="31">
    <w:nsid w:val="614FD4A1"/>
    <w:multiLevelType w:val="hybridMultilevel"/>
    <w:lvl w:ilvl="0">
      <w:lvlJc w:val="left"/>
      <w:lvlText w:val="%1."/>
      <w:numFmt w:val="decimal"/>
      <w:start w:val="10"/>
    </w:lvl>
  </w:abstractNum>
  <w:abstractNum w:abstractNumId="32">
    <w:nsid w:val="419AC241"/>
    <w:multiLevelType w:val="hybridMultilevel"/>
    <w:lvl w:ilvl="0">
      <w:lvlJc w:val="left"/>
      <w:lvlText w:val="%1."/>
      <w:numFmt w:val="decimal"/>
      <w:start w:val="11"/>
    </w:lvl>
  </w:abstractNum>
  <w:abstractNum w:abstractNumId="33">
    <w:nsid w:val="5577F8E1"/>
    <w:multiLevelType w:val="hybridMultilevel"/>
    <w:lvl w:ilvl="0">
      <w:lvlJc w:val="left"/>
      <w:lvlText w:val="%1."/>
      <w:numFmt w:val="decimal"/>
      <w:start w:val="12"/>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2026-10-27T16:14:15Z</dcterms:created>
  <dcterms:modified xsi:type="dcterms:W3CDTF">2026-10-27T16:14:15Z</dcterms:modified>
</cp:coreProperties>
</file>