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2015</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November 25, 2015 - ICON Announces the Appointment of Dr. Steve Cutler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560"/>
          </w:cols>
          <w:pgMar w:left="240" w:top="364" w:right="10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November 25, 2015</w:t>
            </w: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Brendan Brennan</w:t>
            </w:r>
          </w:p>
        </w:tc>
        <w:tc>
          <w:tcPr>
            <w:tcW w:w="2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Brendan Brennan</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the Appointment of Dr. Steve Cutler to Board of Directors</w:t>
      </w:r>
    </w:p>
    <w:p>
      <w:pPr>
        <w:spacing w:after="0" w:line="206"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DUBLIN--(BUSINESS WIRE)--November 25, 2015--</w:t>
      </w:r>
      <w:r>
        <w:rPr>
          <w:rFonts w:ascii="Arial" w:cs="Arial" w:eastAsia="Arial" w:hAnsi="Arial"/>
          <w:sz w:val="22"/>
          <w:szCs w:val="22"/>
          <w:b w:val="1"/>
          <w:bCs w:val="1"/>
          <w:color w:val="auto"/>
        </w:rPr>
        <w:t>ICON plc, (NASDAQ:ICLR)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the appointment of Dr. Steve Cutler to the ICON Board of Directors.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Dr. Cutler joined ICON in 2011 as Group President, ICON Clinical Research Services. Dr. Cutler successfully led this business to significant growth and, as a result, was promoted to Chief Operating Officer in January 2014. As Chief Operating Officer, Dr. Cutler has responsibility for all of ICON’s operational service areas, including clinical research, early phase, laboratories, DOCS resourcing and commercialisation and outcomes. Dr. Cutler’s operational leadership as Chief Operating Officer has helped ICON successfully deliver innovative and integrated services and solutions to customers.</w:t>
      </w:r>
    </w:p>
    <w:p>
      <w:pPr>
        <w:spacing w:after="0" w:line="148"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Prior to joining ICON, Dr. Cutler was Chief Executive Officer of Kendle. Prior to Kendle, Dr. Cutler held various senior roles in both Quintiles and Sandoz (now Novartis). Dr. Cutler holds a B.Sc. and a Ph.D from the University of Sydney and a Masters of Business Administration from the University of Birmingham (UK).</w:t>
      </w:r>
    </w:p>
    <w:p>
      <w:pPr>
        <w:spacing w:after="0" w:line="186"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i w:val="1"/>
          <w:iCs w:val="1"/>
          <w:color w:val="auto"/>
        </w:rPr>
        <w:t xml:space="preserve">“Since joining ICON in 2011, Dr. Cutler has made a significant contribution to ICON and our journey towards becoming the trusted partner in drug development,” </w:t>
      </w:r>
      <w:r>
        <w:rPr>
          <w:rFonts w:ascii="Arial" w:cs="Arial" w:eastAsia="Arial" w:hAnsi="Arial"/>
          <w:sz w:val="21"/>
          <w:szCs w:val="21"/>
          <w:color w:val="auto"/>
        </w:rPr>
        <w:t>commented Mr. Thomas Lynch, Chairman of ICON.</w:t>
      </w:r>
      <w:r>
        <w:rPr>
          <w:rFonts w:ascii="Arial" w:cs="Arial" w:eastAsia="Arial" w:hAnsi="Arial"/>
          <w:sz w:val="21"/>
          <w:szCs w:val="21"/>
          <w:i w:val="1"/>
          <w:iCs w:val="1"/>
          <w:color w:val="auto"/>
        </w:rPr>
        <w:t xml:space="preserve"> “I am delighted to now welcome Dr. Cutler to the ICON Board and I look forward to his continued success with and contribution to ICON.”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38 countries and has approximately 11,700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 –1-291-2000</w:t>
      </w:r>
    </w:p>
    <w:p>
      <w:pPr>
        <w:spacing w:after="0"/>
        <w:rPr>
          <w:sz w:val="20"/>
          <w:szCs w:val="20"/>
          <w:color w:val="auto"/>
        </w:rPr>
      </w:pPr>
      <w:r>
        <w:rPr>
          <w:rFonts w:ascii="Arial" w:cs="Arial" w:eastAsia="Arial" w:hAnsi="Arial"/>
          <w:sz w:val="22"/>
          <w:szCs w:val="22"/>
          <w:color w:val="auto"/>
        </w:rPr>
        <w:t>EVP Investor Relations and Corporate Development</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2019-12-07T04:18:42Z</dcterms:created>
  <dcterms:modified xsi:type="dcterms:W3CDTF">2019-12-07T04:18:42Z</dcterms:modified>
</cp:coreProperties>
</file>