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520"/>
        <w:spacing w:after="0"/>
        <w:rPr>
          <w:sz w:val="20"/>
          <w:szCs w:val="20"/>
          <w:color w:val="auto"/>
        </w:rPr>
      </w:pPr>
      <w:r>
        <w:rPr>
          <w:rFonts w:ascii="Arial" w:cs="Arial" w:eastAsia="Arial" w:hAnsi="Arial"/>
          <w:sz w:val="19"/>
          <w:szCs w:val="19"/>
          <w:color w:val="auto"/>
        </w:rPr>
        <w:t>Date: May 20, 2021</w:t>
      </w: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ICON plc emailed the following communication to its employees on May 20, 2021.</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Integration Newsletter Email Copy</w:t>
      </w:r>
    </w:p>
    <w:p>
      <w:pPr>
        <w:spacing w:after="0" w:line="14" w:lineRule="exact"/>
        <w:rPr>
          <w:sz w:val="24"/>
          <w:szCs w:val="24"/>
          <w:color w:val="auto"/>
        </w:rPr>
      </w:pPr>
    </w:p>
    <w:p>
      <w:pPr>
        <w:spacing w:after="0"/>
        <w:rPr>
          <w:sz w:val="20"/>
          <w:szCs w:val="20"/>
          <w:color w:val="auto"/>
        </w:rPr>
      </w:pPr>
      <w:r>
        <w:rPr>
          <w:rFonts w:ascii="Arial" w:cs="Arial" w:eastAsia="Arial" w:hAnsi="Arial"/>
          <w:sz w:val="22"/>
          <w:szCs w:val="22"/>
          <w:color w:val="auto"/>
        </w:rPr>
        <w:t>Subject: Integration Newsletter - May Edition</w:t>
      </w:r>
    </w:p>
    <w:p>
      <w:pPr>
        <w:spacing w:after="0" w:line="215" w:lineRule="exact"/>
        <w:rPr>
          <w:sz w:val="24"/>
          <w:szCs w:val="24"/>
          <w:color w:val="auto"/>
        </w:rPr>
      </w:pPr>
    </w:p>
    <w:p>
      <w:pPr>
        <w:ind w:left="20"/>
        <w:spacing w:after="0"/>
        <w:rPr>
          <w:sz w:val="20"/>
          <w:szCs w:val="20"/>
          <w:color w:val="auto"/>
        </w:rPr>
      </w:pPr>
      <w:r>
        <w:rPr>
          <w:rFonts w:ascii="Arial" w:cs="Arial" w:eastAsia="Arial" w:hAnsi="Arial"/>
          <w:sz w:val="22"/>
          <w:szCs w:val="22"/>
          <w:color w:val="555555"/>
        </w:rPr>
        <w:t>Dear Colleague,</w:t>
      </w:r>
    </w:p>
    <w:p>
      <w:pPr>
        <w:spacing w:after="0" w:line="233" w:lineRule="exact"/>
        <w:rPr>
          <w:sz w:val="24"/>
          <w:szCs w:val="24"/>
          <w:color w:val="auto"/>
        </w:rPr>
      </w:pPr>
    </w:p>
    <w:p>
      <w:pPr>
        <w:ind w:left="20" w:right="80"/>
        <w:spacing w:after="0" w:line="250" w:lineRule="auto"/>
        <w:rPr>
          <w:sz w:val="20"/>
          <w:szCs w:val="20"/>
          <w:color w:val="auto"/>
        </w:rPr>
      </w:pPr>
      <w:r>
        <w:rPr>
          <w:rFonts w:ascii="Arial" w:cs="Arial" w:eastAsia="Arial" w:hAnsi="Arial"/>
          <w:sz w:val="22"/>
          <w:szCs w:val="22"/>
          <w:color w:val="555555"/>
        </w:rPr>
        <w:t>In line with our commitment to keeping you regularly updated on news and developments regarding the integration of ICON and PRA, I'm pleased to share the first edition of our monthly Integration Newsletter.</w:t>
      </w:r>
    </w:p>
    <w:p>
      <w:pPr>
        <w:spacing w:after="0" w:line="196" w:lineRule="exact"/>
        <w:rPr>
          <w:sz w:val="24"/>
          <w:szCs w:val="24"/>
          <w:color w:val="auto"/>
        </w:rPr>
      </w:pPr>
    </w:p>
    <w:p>
      <w:pPr>
        <w:ind w:left="20"/>
        <w:spacing w:after="0"/>
        <w:rPr>
          <w:sz w:val="20"/>
          <w:szCs w:val="20"/>
          <w:color w:val="auto"/>
        </w:rPr>
      </w:pPr>
      <w:r>
        <w:rPr>
          <w:rFonts w:ascii="Arial" w:cs="Arial" w:eastAsia="Arial" w:hAnsi="Arial"/>
          <w:sz w:val="22"/>
          <w:szCs w:val="22"/>
          <w:b w:val="1"/>
          <w:bCs w:val="1"/>
          <w:color w:val="004750"/>
        </w:rPr>
        <w:t>In this month's edition, we feature:</w:t>
      </w:r>
    </w:p>
    <w:p>
      <w:pPr>
        <w:spacing w:after="0" w:line="242" w:lineRule="exact"/>
        <w:rPr>
          <w:sz w:val="24"/>
          <w:szCs w:val="24"/>
          <w:color w:val="auto"/>
        </w:rPr>
      </w:pPr>
    </w:p>
    <w:p>
      <w:pPr>
        <w:spacing w:after="0"/>
        <w:rPr>
          <w:sz w:val="24"/>
          <w:szCs w:val="24"/>
          <w:color w:val="auto"/>
        </w:rPr>
      </w:pPr>
      <w:r>
        <w:rPr>
          <w:rFonts w:ascii="Arial" w:cs="Arial" w:eastAsia="Arial" w:hAnsi="Arial"/>
          <w:sz w:val="18"/>
          <w:szCs w:val="18"/>
          <w:b w:val="1"/>
          <w:bCs w:val="1"/>
          <w:color w:val="128474"/>
        </w:rPr>
        <w:t>–</w:t>
      </w:r>
      <w:r>
        <w:rPr>
          <w:rFonts w:ascii="Arial" w:cs="Arial" w:eastAsia="Arial" w:hAnsi="Arial"/>
          <w:sz w:val="16"/>
          <w:szCs w:val="16"/>
          <w:color w:val="555555"/>
        </w:rPr>
        <w:t>The new leadership team of the combined organisation, including short biographies of each leader.</w:t>
      </w:r>
    </w:p>
    <w:p>
      <w:pPr>
        <w:spacing w:after="0" w:line="252" w:lineRule="exact"/>
        <w:rPr>
          <w:sz w:val="24"/>
          <w:szCs w:val="24"/>
          <w:color w:val="auto"/>
        </w:rPr>
      </w:pPr>
    </w:p>
    <w:p>
      <w:pPr>
        <w:spacing w:after="0"/>
        <w:rPr>
          <w:sz w:val="24"/>
          <w:szCs w:val="24"/>
          <w:color w:val="auto"/>
        </w:rPr>
      </w:pPr>
      <w:r>
        <w:rPr>
          <w:rFonts w:ascii="Arial" w:cs="Arial" w:eastAsia="Arial" w:hAnsi="Arial"/>
          <w:sz w:val="18"/>
          <w:szCs w:val="18"/>
          <w:b w:val="1"/>
          <w:bCs w:val="1"/>
          <w:color w:val="128474"/>
        </w:rPr>
        <w:t>–</w:t>
      </w:r>
      <w:r>
        <w:rPr>
          <w:rFonts w:ascii="Arial" w:cs="Arial" w:eastAsia="Arial" w:hAnsi="Arial"/>
          <w:sz w:val="16"/>
          <w:szCs w:val="16"/>
          <w:color w:val="555555"/>
        </w:rPr>
        <w:t>An overview of the Integration workstreams and the five key principles that are guiding our integration efforts.</w:t>
      </w:r>
    </w:p>
    <w:p>
      <w:pPr>
        <w:spacing w:after="0" w:line="252" w:lineRule="exact"/>
        <w:rPr>
          <w:sz w:val="24"/>
          <w:szCs w:val="24"/>
          <w:color w:val="auto"/>
        </w:rPr>
      </w:pPr>
    </w:p>
    <w:p>
      <w:pPr>
        <w:ind w:left="660" w:right="580" w:hanging="648"/>
        <w:spacing w:after="0" w:line="277" w:lineRule="auto"/>
        <w:rPr>
          <w:sz w:val="24"/>
          <w:szCs w:val="24"/>
          <w:color w:val="auto"/>
        </w:rPr>
      </w:pPr>
      <w:r>
        <w:rPr>
          <w:rFonts w:ascii="Arial" w:cs="Arial" w:eastAsia="Arial" w:hAnsi="Arial"/>
          <w:sz w:val="18"/>
          <w:szCs w:val="18"/>
          <w:b w:val="1"/>
          <w:bCs w:val="1"/>
          <w:color w:val="128474"/>
        </w:rPr>
        <w:t>–</w:t>
      </w:r>
      <w:r>
        <w:rPr>
          <w:rFonts w:ascii="Arial" w:cs="Arial" w:eastAsia="Arial" w:hAnsi="Arial"/>
          <w:sz w:val="18"/>
          <w:szCs w:val="18"/>
          <w:color w:val="555555"/>
        </w:rPr>
        <w:t>Some milestones and updates on decisions regarding compensation &amp; benefits, IT and work locations on Day One (the date the acquisition closes).</w:t>
      </w:r>
    </w:p>
    <w:p>
      <w:pPr>
        <w:spacing w:after="0" w:line="197" w:lineRule="exact"/>
        <w:rPr>
          <w:sz w:val="24"/>
          <w:szCs w:val="24"/>
          <w:color w:val="auto"/>
        </w:rPr>
      </w:pPr>
    </w:p>
    <w:p>
      <w:pPr>
        <w:ind w:left="660" w:right="200" w:hanging="648"/>
        <w:spacing w:after="0" w:line="277" w:lineRule="auto"/>
        <w:rPr>
          <w:sz w:val="24"/>
          <w:szCs w:val="24"/>
          <w:color w:val="auto"/>
        </w:rPr>
      </w:pPr>
      <w:r>
        <w:rPr>
          <w:rFonts w:ascii="Arial" w:cs="Arial" w:eastAsia="Arial" w:hAnsi="Arial"/>
          <w:sz w:val="18"/>
          <w:szCs w:val="18"/>
          <w:b w:val="1"/>
          <w:bCs w:val="1"/>
          <w:color w:val="128474"/>
        </w:rPr>
        <w:t>–</w:t>
      </w:r>
      <w:r>
        <w:rPr>
          <w:rFonts w:ascii="Arial" w:cs="Arial" w:eastAsia="Arial" w:hAnsi="Arial"/>
          <w:sz w:val="18"/>
          <w:szCs w:val="18"/>
          <w:color w:val="555555"/>
        </w:rPr>
        <w:t>A short, Pulse Check survey, where you can give us your thoughts on the combination of both companies, how we are managing the integration, and how we are communicating updates to you.</w:t>
      </w:r>
    </w:p>
    <w:p>
      <w:pPr>
        <w:spacing w:after="0" w:line="194" w:lineRule="exact"/>
        <w:rPr>
          <w:sz w:val="24"/>
          <w:szCs w:val="24"/>
          <w:color w:val="auto"/>
        </w:rPr>
      </w:pPr>
    </w:p>
    <w:p>
      <w:pPr>
        <w:ind w:left="20" w:right="300"/>
        <w:spacing w:after="0" w:line="250" w:lineRule="auto"/>
        <w:rPr>
          <w:sz w:val="20"/>
          <w:szCs w:val="20"/>
          <w:color w:val="auto"/>
        </w:rPr>
      </w:pPr>
      <w:r>
        <w:rPr>
          <w:rFonts w:ascii="Arial" w:cs="Arial" w:eastAsia="Arial" w:hAnsi="Arial"/>
          <w:sz w:val="22"/>
          <w:szCs w:val="22"/>
          <w:color w:val="555555"/>
        </w:rPr>
        <w:t xml:space="preserve">I hope you enjoy the newsletter and if you have any questions or topics that you would like us to address in future newsletters, please make sure to let us know by emailing </w:t>
      </w:r>
      <w:r>
        <w:rPr>
          <w:rFonts w:ascii="Arial" w:cs="Arial" w:eastAsia="Arial" w:hAnsi="Arial"/>
          <w:sz w:val="22"/>
          <w:szCs w:val="22"/>
          <w:color w:val="000000"/>
        </w:rPr>
        <w:t>Ask@iconplc.com</w:t>
      </w:r>
      <w:r>
        <w:rPr>
          <w:rFonts w:ascii="Arial" w:cs="Arial" w:eastAsia="Arial" w:hAnsi="Arial"/>
          <w:sz w:val="22"/>
          <w:szCs w:val="22"/>
          <w:color w:val="555555"/>
        </w:rPr>
        <w:t>.</w:t>
      </w:r>
    </w:p>
    <w:p>
      <w:pPr>
        <w:spacing w:after="0" w:line="202" w:lineRule="exact"/>
        <w:rPr>
          <w:sz w:val="24"/>
          <w:szCs w:val="24"/>
          <w:color w:val="auto"/>
        </w:rPr>
      </w:pPr>
    </w:p>
    <w:p>
      <w:pPr>
        <w:ind w:left="20"/>
        <w:spacing w:after="0"/>
        <w:rPr>
          <w:sz w:val="20"/>
          <w:szCs w:val="20"/>
          <w:color w:val="auto"/>
        </w:rPr>
      </w:pPr>
      <w:r>
        <w:rPr>
          <w:rFonts w:ascii="Arial" w:cs="Arial" w:eastAsia="Arial" w:hAnsi="Arial"/>
          <w:sz w:val="22"/>
          <w:szCs w:val="22"/>
          <w:color w:val="555555"/>
        </w:rPr>
        <w:t>With kind regards,</w:t>
      </w:r>
    </w:p>
    <w:p>
      <w:pPr>
        <w:spacing w:after="0" w:line="233" w:lineRule="exact"/>
        <w:rPr>
          <w:sz w:val="24"/>
          <w:szCs w:val="24"/>
          <w:color w:val="auto"/>
        </w:rPr>
      </w:pPr>
    </w:p>
    <w:p>
      <w:pPr>
        <w:ind w:left="20"/>
        <w:spacing w:after="0"/>
        <w:rPr>
          <w:sz w:val="20"/>
          <w:szCs w:val="20"/>
          <w:color w:val="auto"/>
        </w:rPr>
      </w:pPr>
      <w:r>
        <w:rPr>
          <w:rFonts w:ascii="Arial" w:cs="Arial" w:eastAsia="Arial" w:hAnsi="Arial"/>
          <w:sz w:val="22"/>
          <w:szCs w:val="22"/>
          <w:color w:val="555555"/>
        </w:rPr>
        <w:t>Simon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161290</wp:posOffset>
            </wp:positionV>
            <wp:extent cx="1174115" cy="1174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115"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555555"/>
        </w:rPr>
        <w:t>Simon Holmes</w:t>
      </w:r>
    </w:p>
    <w:p>
      <w:pPr>
        <w:spacing w:after="0" w:line="225"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555555"/>
        </w:rPr>
        <w:t>EVP Corporate Development and ICON Integration Lead</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Integration Newsletter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12039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039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Integration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i w:val="1"/>
          <w:iCs w:val="1"/>
          <w:color w:val="auto"/>
        </w:rPr>
        <w:t>20 May, 2021</w:t>
      </w:r>
    </w:p>
    <w:p>
      <w:pPr>
        <w:spacing w:after="0" w:line="24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128474"/>
        </w:rPr>
        <w:t>Welcome to the first Integration Newsletter!</w:t>
      </w:r>
    </w:p>
    <w:p>
      <w:pPr>
        <w:spacing w:after="0" w:line="25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In line with our commitment to keeping you regularly updated on news and developments regarding the integration of ICON and PRA, we will be distributing a monthly newsletter.</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Our integration planning is well underway and several workstreams are working diligently on plans to ensure the smooth integration of both companies. We have been very impressed by the collaboration demonstrated by employees from both organisations who are leading these workstreams, and we look forward to keeping you updated on their progress over the months ahead.</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As we move toward acquisition close, which we currently estimate to be in July, our main focus is on ensuring business continuity and no disruption to customer studies. We also recognise that employees have a number of questions about the impact of the integration on them personally, so we will share as much information as possible as we move through integration. In this first newsletter, we have included updates from the HR, IT and Facilities workstreams that address the top employee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275590</wp:posOffset>
            </wp:positionV>
            <wp:extent cx="5306060" cy="882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6060" cy="882650"/>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128474"/>
        </w:rPr>
        <w:t>New Combined Organisation Leadership Team</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Last week, ICON CEO Steve Cutler announced the new leadership team for the combined organisation, which takes effect at the acquisition close. This team includes leaders from the legacy ICON and PRA organisations and is united by shared values, dedication to serving our customers, and the development of our greatest strength –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447040</wp:posOffset>
            </wp:positionV>
            <wp:extent cx="5074920" cy="386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74920"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 xml:space="preserve">To help you get to know your new leadership team, we have created short bios for each leader, which ICON team members can access here. </w:t>
      </w:r>
      <w:r>
        <w:rPr>
          <w:rFonts w:ascii="Arial" w:cs="Arial" w:eastAsia="Arial" w:hAnsi="Arial"/>
          <w:sz w:val="22"/>
          <w:szCs w:val="22"/>
          <w:u w:val="single" w:color="auto"/>
          <w:color w:val="128474"/>
        </w:rPr>
        <w:t>PRA team members can access the bios via InsidePRA here.</w:t>
      </w:r>
    </w:p>
    <w:p>
      <w:pPr>
        <w:spacing w:after="0" w:line="200" w:lineRule="exact"/>
        <w:rPr>
          <w:sz w:val="20"/>
          <w:szCs w:val="20"/>
          <w:color w:val="auto"/>
        </w:rPr>
      </w:pPr>
    </w:p>
    <w:p>
      <w:pPr>
        <w:spacing w:after="0" w:line="245" w:lineRule="exact"/>
        <w:rPr>
          <w:sz w:val="20"/>
          <w:szCs w:val="20"/>
          <w:color w:val="auto"/>
        </w:rPr>
      </w:pPr>
    </w:p>
    <w:p>
      <w:pPr>
        <w:jc w:val="both"/>
        <w:ind w:left="3360" w:right="280"/>
        <w:spacing w:after="0"/>
        <w:rPr>
          <w:sz w:val="20"/>
          <w:szCs w:val="20"/>
          <w:color w:val="auto"/>
        </w:rPr>
      </w:pPr>
      <w:r>
        <w:rPr>
          <w:rFonts w:ascii="Arial" w:cs="Arial" w:eastAsia="Arial" w:hAnsi="Arial"/>
          <w:sz w:val="22"/>
          <w:szCs w:val="22"/>
          <w:color w:val="auto"/>
        </w:rPr>
        <w:t>Earlier this week, Steve shared a video where he discussed the team he has assembled, how they will work together upon closing, and when we can expect to see some of the integration plans coming into effect, post-close.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-467360</wp:posOffset>
            </wp:positionV>
            <wp:extent cx="1457325"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8058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View the Q&amp;A video via the links below:</w:t>
      </w:r>
    </w:p>
    <w:p>
      <w:pPr>
        <w:spacing w:after="0" w:line="200" w:lineRule="exact"/>
        <w:rPr>
          <w:sz w:val="20"/>
          <w:szCs w:val="20"/>
          <w:color w:val="auto"/>
        </w:rPr>
      </w:pPr>
    </w:p>
    <w:p>
      <w:pPr>
        <w:spacing w:after="0" w:line="276"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128474"/>
        </w:rPr>
        <w:t>ICON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-142875</wp:posOffset>
            </wp:positionV>
            <wp:extent cx="37719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190" cy="394335"/>
                    </a:xfrm>
                    <a:prstGeom prst="rect">
                      <a:avLst/>
                    </a:prstGeom>
                    <a:noFill/>
                  </pic:spPr>
                </pic:pic>
              </a:graphicData>
            </a:graphic>
          </wp:anchor>
        </w:drawing>
      </w:r>
    </w:p>
    <w:p>
      <w:pPr>
        <w:spacing w:after="0" w:line="186"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22"/>
          <w:szCs w:val="22"/>
          <w:color w:val="FFFFFF"/>
        </w:rPr>
      </w:pPr>
      <w:r>
        <w:rPr>
          <w:rFonts w:ascii="Arial" w:cs="Arial" w:eastAsia="Arial" w:hAnsi="Arial"/>
          <w:sz w:val="22"/>
          <w:szCs w:val="22"/>
          <w:b w:val="1"/>
          <w:bCs w:val="1"/>
          <w:color w:val="128474"/>
        </w:rPr>
        <w:t>PRA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8" w:right="45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128474"/>
        </w:rPr>
        <w:t>Our Integration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4980305" cy="3703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80305"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128474"/>
        </w:rPr>
        <w:t>In conversation with Simon Holmes and Harris Koffer</w:t>
      </w:r>
    </w:p>
    <w:p>
      <w:pPr>
        <w:spacing w:after="0" w:line="254"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IMO leaders, Simon Holmes and Harris Koffer, shared their thoughts on several questions submitted by employees. Here’s what they had to say: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8"/>
                <w:szCs w:val="18"/>
                <w:color w:val="FFFFFF"/>
              </w:rPr>
              <w:t>•</w:t>
            </w:r>
          </w:p>
        </w:tc>
        <w:tc>
          <w:tcPr>
            <w:tcW w:w="3740" w:type="dxa"/>
            <w:vAlign w:val="bottom"/>
          </w:tcPr>
          <w:p>
            <w:pPr>
              <w:ind w:left="500"/>
              <w:spacing w:after="0"/>
              <w:rPr>
                <w:sz w:val="20"/>
                <w:szCs w:val="20"/>
                <w:color w:val="auto"/>
              </w:rPr>
            </w:pPr>
            <w:r>
              <w:rPr>
                <w:rFonts w:ascii="Arial" w:cs="Arial" w:eastAsia="Arial" w:hAnsi="Arial"/>
                <w:sz w:val="18"/>
                <w:szCs w:val="18"/>
                <w:b w:val="1"/>
                <w:bCs w:val="1"/>
                <w:color w:val="E11B79"/>
              </w:rPr>
              <w:t>Integration Approach</w:t>
            </w:r>
          </w:p>
        </w:tc>
        <w:tc>
          <w:tcPr>
            <w:tcW w:w="1460" w:type="dxa"/>
            <w:vAlign w:val="bottom"/>
          </w:tcPr>
          <w:p>
            <w:pPr>
              <w:ind w:left="1140"/>
              <w:spacing w:after="0"/>
              <w:rPr>
                <w:sz w:val="20"/>
                <w:szCs w:val="20"/>
                <w:color w:val="auto"/>
              </w:rPr>
            </w:pPr>
            <w:r>
              <w:rPr>
                <w:rFonts w:ascii="Arial" w:cs="Arial" w:eastAsia="Arial" w:hAnsi="Arial"/>
                <w:sz w:val="18"/>
                <w:szCs w:val="18"/>
                <w:color w:val="FFFFFF"/>
              </w:rPr>
              <w:t>•</w:t>
            </w:r>
          </w:p>
        </w:tc>
        <w:tc>
          <w:tcPr>
            <w:tcW w:w="820" w:type="dxa"/>
            <w:vAlign w:val="bottom"/>
          </w:tcPr>
          <w:p>
            <w:pPr>
              <w:ind w:left="240"/>
              <w:spacing w:after="0"/>
              <w:rPr>
                <w:sz w:val="20"/>
                <w:szCs w:val="20"/>
                <w:color w:val="auto"/>
              </w:rPr>
            </w:pPr>
            <w:r>
              <w:rPr>
                <w:rFonts w:ascii="Arial" w:cs="Arial" w:eastAsia="Arial" w:hAnsi="Arial"/>
                <w:sz w:val="18"/>
                <w:szCs w:val="18"/>
                <w:color w:val="FFFFFF"/>
              </w:rPr>
              <w:t>•</w:t>
            </w:r>
          </w:p>
        </w:tc>
        <w:tc>
          <w:tcPr>
            <w:tcW w:w="4660" w:type="dxa"/>
            <w:vAlign w:val="bottom"/>
          </w:tcPr>
          <w:p>
            <w:pPr>
              <w:ind w:left="520"/>
              <w:spacing w:after="0"/>
              <w:rPr>
                <w:sz w:val="20"/>
                <w:szCs w:val="20"/>
                <w:color w:val="auto"/>
              </w:rPr>
            </w:pPr>
            <w:r>
              <w:rPr>
                <w:rFonts w:ascii="Arial" w:cs="Arial" w:eastAsia="Arial" w:hAnsi="Arial"/>
                <w:sz w:val="18"/>
                <w:szCs w:val="18"/>
                <w:b w:val="1"/>
                <w:bCs w:val="1"/>
                <w:color w:val="E11B79"/>
              </w:rPr>
              <w:t>What’s Not Going to Change on Day One</w:t>
            </w:r>
          </w:p>
        </w:tc>
      </w:tr>
      <w:tr>
        <w:trPr>
          <w:trHeight w:val="230"/>
        </w:trPr>
        <w:tc>
          <w:tcPr>
            <w:tcW w:w="560" w:type="dxa"/>
            <w:vAlign w:val="bottom"/>
          </w:tcPr>
          <w:p>
            <w:pPr>
              <w:spacing w:after="0"/>
              <w:rPr>
                <w:sz w:val="20"/>
                <w:szCs w:val="20"/>
                <w:color w:val="auto"/>
              </w:rPr>
            </w:pPr>
          </w:p>
        </w:tc>
        <w:tc>
          <w:tcPr>
            <w:tcW w:w="3740" w:type="dxa"/>
            <w:vAlign w:val="bottom"/>
          </w:tcPr>
          <w:p>
            <w:pPr>
              <w:ind w:left="500"/>
              <w:spacing w:after="0"/>
              <w:rPr>
                <w:sz w:val="20"/>
                <w:szCs w:val="20"/>
                <w:color w:val="auto"/>
              </w:rPr>
            </w:pPr>
            <w:r>
              <w:rPr>
                <w:rFonts w:ascii="Arial" w:cs="Arial" w:eastAsia="Arial" w:hAnsi="Arial"/>
                <w:sz w:val="18"/>
                <w:szCs w:val="18"/>
                <w:color w:val="128474"/>
              </w:rPr>
              <w:t>PRA – LINK | ICON - LINK</w:t>
            </w:r>
          </w:p>
        </w:tc>
        <w:tc>
          <w:tcPr>
            <w:tcW w:w="1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60" w:type="dxa"/>
            <w:vAlign w:val="bottom"/>
          </w:tcPr>
          <w:p>
            <w:pPr>
              <w:ind w:left="520"/>
              <w:spacing w:after="0"/>
              <w:rPr>
                <w:sz w:val="20"/>
                <w:szCs w:val="20"/>
                <w:color w:val="auto"/>
              </w:rPr>
            </w:pPr>
            <w:r>
              <w:rPr>
                <w:rFonts w:ascii="Arial" w:cs="Arial" w:eastAsia="Arial" w:hAnsi="Arial"/>
                <w:sz w:val="18"/>
                <w:szCs w:val="18"/>
                <w:color w:val="128474"/>
              </w:rPr>
              <w:t>PRA – LINK | ICON - LINK</w:t>
            </w:r>
          </w:p>
        </w:tc>
      </w:tr>
      <w:tr>
        <w:trPr>
          <w:trHeight w:val="850"/>
        </w:trPr>
        <w:tc>
          <w:tcPr>
            <w:tcW w:w="560" w:type="dxa"/>
            <w:vAlign w:val="bottom"/>
          </w:tcPr>
          <w:p>
            <w:pPr>
              <w:spacing w:after="0"/>
              <w:rPr>
                <w:sz w:val="20"/>
                <w:szCs w:val="20"/>
                <w:color w:val="auto"/>
              </w:rPr>
            </w:pPr>
            <w:r>
              <w:rPr>
                <w:rFonts w:ascii="Arial" w:cs="Arial" w:eastAsia="Arial" w:hAnsi="Arial"/>
                <w:sz w:val="18"/>
                <w:szCs w:val="18"/>
                <w:color w:val="FFFFFF"/>
              </w:rPr>
              <w:t>•</w:t>
            </w:r>
          </w:p>
        </w:tc>
        <w:tc>
          <w:tcPr>
            <w:tcW w:w="3740" w:type="dxa"/>
            <w:vAlign w:val="bottom"/>
          </w:tcPr>
          <w:p>
            <w:pPr>
              <w:ind w:left="500"/>
              <w:spacing w:after="0"/>
              <w:rPr>
                <w:sz w:val="20"/>
                <w:szCs w:val="20"/>
                <w:color w:val="auto"/>
              </w:rPr>
            </w:pPr>
            <w:r>
              <w:rPr>
                <w:rFonts w:ascii="Arial" w:cs="Arial" w:eastAsia="Arial" w:hAnsi="Arial"/>
                <w:sz w:val="18"/>
                <w:szCs w:val="18"/>
                <w:b w:val="1"/>
                <w:bCs w:val="1"/>
                <w:color w:val="E11B79"/>
              </w:rPr>
              <w:t>Assessing our Culture</w:t>
            </w:r>
          </w:p>
        </w:tc>
        <w:tc>
          <w:tcPr>
            <w:tcW w:w="1460" w:type="dxa"/>
            <w:vAlign w:val="bottom"/>
          </w:tcPr>
          <w:p>
            <w:pPr>
              <w:ind w:left="1140"/>
              <w:spacing w:after="0"/>
              <w:rPr>
                <w:sz w:val="20"/>
                <w:szCs w:val="20"/>
                <w:color w:val="auto"/>
              </w:rPr>
            </w:pPr>
            <w:r>
              <w:rPr>
                <w:rFonts w:ascii="Arial" w:cs="Arial" w:eastAsia="Arial" w:hAnsi="Arial"/>
                <w:sz w:val="18"/>
                <w:szCs w:val="18"/>
                <w:color w:val="FFFFFF"/>
              </w:rPr>
              <w:t>•</w:t>
            </w:r>
          </w:p>
        </w:tc>
        <w:tc>
          <w:tcPr>
            <w:tcW w:w="820" w:type="dxa"/>
            <w:vAlign w:val="bottom"/>
          </w:tcPr>
          <w:p>
            <w:pPr>
              <w:ind w:left="240"/>
              <w:spacing w:after="0"/>
              <w:rPr>
                <w:sz w:val="20"/>
                <w:szCs w:val="20"/>
                <w:color w:val="auto"/>
              </w:rPr>
            </w:pPr>
            <w:r>
              <w:rPr>
                <w:rFonts w:ascii="Arial" w:cs="Arial" w:eastAsia="Arial" w:hAnsi="Arial"/>
                <w:sz w:val="18"/>
                <w:szCs w:val="18"/>
                <w:color w:val="FFFFFF"/>
              </w:rPr>
              <w:t>•</w:t>
            </w:r>
          </w:p>
        </w:tc>
        <w:tc>
          <w:tcPr>
            <w:tcW w:w="4660" w:type="dxa"/>
            <w:vAlign w:val="bottom"/>
          </w:tcPr>
          <w:p>
            <w:pPr>
              <w:ind w:left="520"/>
              <w:spacing w:after="0"/>
              <w:rPr>
                <w:sz w:val="20"/>
                <w:szCs w:val="20"/>
                <w:color w:val="auto"/>
              </w:rPr>
            </w:pPr>
            <w:r>
              <w:rPr>
                <w:rFonts w:ascii="Arial" w:cs="Arial" w:eastAsia="Arial" w:hAnsi="Arial"/>
                <w:sz w:val="18"/>
                <w:szCs w:val="18"/>
                <w:b w:val="1"/>
                <w:bCs w:val="1"/>
                <w:color w:val="E11B79"/>
              </w:rPr>
              <w:t>Driving Innovation</w:t>
            </w:r>
          </w:p>
        </w:tc>
      </w:tr>
      <w:tr>
        <w:trPr>
          <w:trHeight w:val="230"/>
        </w:trPr>
        <w:tc>
          <w:tcPr>
            <w:tcW w:w="560" w:type="dxa"/>
            <w:vAlign w:val="bottom"/>
          </w:tcPr>
          <w:p>
            <w:pPr>
              <w:spacing w:after="0"/>
              <w:rPr>
                <w:sz w:val="20"/>
                <w:szCs w:val="20"/>
                <w:color w:val="auto"/>
              </w:rPr>
            </w:pPr>
          </w:p>
        </w:tc>
        <w:tc>
          <w:tcPr>
            <w:tcW w:w="3740" w:type="dxa"/>
            <w:vAlign w:val="bottom"/>
          </w:tcPr>
          <w:p>
            <w:pPr>
              <w:ind w:left="500"/>
              <w:spacing w:after="0"/>
              <w:rPr>
                <w:sz w:val="20"/>
                <w:szCs w:val="20"/>
                <w:color w:val="auto"/>
              </w:rPr>
            </w:pPr>
            <w:r>
              <w:rPr>
                <w:rFonts w:ascii="Arial" w:cs="Arial" w:eastAsia="Arial" w:hAnsi="Arial"/>
                <w:sz w:val="18"/>
                <w:szCs w:val="18"/>
                <w:color w:val="128474"/>
              </w:rPr>
              <w:t>PRA – LINK | ICON - LINK</w:t>
            </w:r>
          </w:p>
        </w:tc>
        <w:tc>
          <w:tcPr>
            <w:tcW w:w="1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60" w:type="dxa"/>
            <w:vAlign w:val="bottom"/>
          </w:tcPr>
          <w:p>
            <w:pPr>
              <w:ind w:left="520"/>
              <w:spacing w:after="0"/>
              <w:rPr>
                <w:sz w:val="20"/>
                <w:szCs w:val="20"/>
                <w:color w:val="auto"/>
              </w:rPr>
            </w:pPr>
            <w:r>
              <w:rPr>
                <w:rFonts w:ascii="Arial" w:cs="Arial" w:eastAsia="Arial" w:hAnsi="Arial"/>
                <w:sz w:val="18"/>
                <w:szCs w:val="18"/>
                <w:color w:val="128474"/>
              </w:rPr>
              <w:t>PRA – LINK | ICON - LINK</w:t>
            </w:r>
          </w:p>
        </w:tc>
      </w:tr>
      <w:tr>
        <w:trPr>
          <w:trHeight w:val="1019"/>
        </w:trPr>
        <w:tc>
          <w:tcPr>
            <w:tcW w:w="5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-1482090</wp:posOffset>
            </wp:positionV>
            <wp:extent cx="402590" cy="334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2590" cy="33401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-1482090</wp:posOffset>
            </wp:positionV>
            <wp:extent cx="41148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40259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2590" cy="18859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-796290</wp:posOffset>
            </wp:positionV>
            <wp:extent cx="41148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3771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128474"/>
        </w:rPr>
        <w:t>How We Are Progressing with Integration Planning</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Integration Workstreams are guiding our planning efforts across both PRA and ICON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5829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29300"/>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Below is an overview of some milestones and updates on decisions that have been made, as we plan for Day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7706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70699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6" w:name="page7"/>
    <w:bookmarkEnd w:id="6"/>
    <w:p>
      <w:pPr>
        <w:spacing w:after="0"/>
        <w:rPr>
          <w:sz w:val="20"/>
          <w:szCs w:val="20"/>
          <w:color w:val="auto"/>
        </w:rPr>
      </w:pPr>
      <w:r>
        <w:rPr>
          <w:rFonts w:ascii="Arial" w:cs="Arial" w:eastAsia="Arial" w:hAnsi="Arial"/>
          <w:sz w:val="29"/>
          <w:szCs w:val="29"/>
          <w:b w:val="1"/>
          <w:bCs w:val="1"/>
          <w:color w:val="128474"/>
        </w:rPr>
        <w:t>Share Your Opinion</w:t>
      </w:r>
    </w:p>
    <w:p>
      <w:pPr>
        <w:sectPr>
          <w:pgSz w:w="11900" w:h="16838" w:orient="portrait"/>
          <w:cols w:equalWidth="0" w:num="1">
            <w:col w:w="11200"/>
          </w:cols>
          <w:pgMar w:left="320" w:top="9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color w:val="FFFFFF"/>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480"/>
        <w:spacing w:after="0"/>
        <w:rPr>
          <w:sz w:val="20"/>
          <w:szCs w:val="20"/>
          <w:color w:val="auto"/>
        </w:rPr>
      </w:pPr>
      <w:r>
        <w:rPr>
          <w:rFonts w:ascii="Arial" w:cs="Arial" w:eastAsia="Arial" w:hAnsi="Arial"/>
          <w:sz w:val="25"/>
          <w:szCs w:val="25"/>
          <w:color w:val="FFFFFF"/>
        </w:rPr>
        <w:t>•</w:t>
      </w:r>
    </w:p>
    <w:p>
      <w:pPr>
        <w:spacing w:after="0" w:line="200" w:lineRule="exact"/>
        <w:rPr>
          <w:sz w:val="20"/>
          <w:szCs w:val="20"/>
          <w:color w:val="auto"/>
        </w:rPr>
      </w:pPr>
    </w:p>
    <w:p>
      <w:pPr>
        <w:sectPr>
          <w:pgSz w:w="11900" w:h="16838" w:orient="portrait"/>
          <w:cols w:equalWidth="0" w:num="2">
            <w:col w:w="4900" w:space="720"/>
            <w:col w:w="5580"/>
          </w:cols>
          <w:pgMar w:left="320" w:top="98" w:right="3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E11B79"/>
        </w:rPr>
        <w:t>Assessment of our Culture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E11B79"/>
        </w:rPr>
        <w:t>Pulse Check</w:t>
      </w:r>
    </w:p>
    <w:p>
      <w:pPr>
        <w:spacing w:after="0" w:line="200" w:lineRule="exact"/>
        <w:rPr>
          <w:sz w:val="20"/>
          <w:szCs w:val="20"/>
          <w:color w:val="auto"/>
        </w:rPr>
      </w:pPr>
    </w:p>
    <w:p>
      <w:pPr>
        <w:sectPr>
          <w:pgSz w:w="11900" w:h="16838" w:orient="portrait"/>
          <w:cols w:equalWidth="0" w:num="2">
            <w:col w:w="4900" w:space="720"/>
            <w:col w:w="5580"/>
          </w:cols>
          <w:pgMar w:left="320" w:top="98" w:right="379" w:bottom="1440" w:gutter="0" w:footer="0" w:header="0"/>
          <w:type w:val="continuous"/>
        </w:sectPr>
      </w:pPr>
    </w:p>
    <w:p>
      <w:pPr>
        <w:spacing w:after="0" w:line="62" w:lineRule="exact"/>
        <w:rPr>
          <w:sz w:val="20"/>
          <w:szCs w:val="20"/>
          <w:color w:val="auto"/>
        </w:rPr>
      </w:pPr>
    </w:p>
    <w:p>
      <w:pPr>
        <w:ind w:right="160"/>
        <w:spacing w:after="0" w:line="278" w:lineRule="auto"/>
        <w:rPr>
          <w:sz w:val="20"/>
          <w:szCs w:val="20"/>
          <w:color w:val="auto"/>
        </w:rPr>
      </w:pPr>
      <w:r>
        <w:rPr>
          <w:rFonts w:ascii="Arial" w:cs="Arial" w:eastAsia="Arial" w:hAnsi="Arial"/>
          <w:sz w:val="19"/>
          <w:szCs w:val="19"/>
          <w:color w:val="auto"/>
        </w:rPr>
        <w:t>ICON and PRA employees will be asked to complete a Culture In each newsletter, we will include a quick survey to enable us Survey that will help us understand the similarities and to gauge your thoughts on the combination of both companies, differences between the two organisations. The information you how we are managing the integration, and how we are</w:t>
      </w:r>
    </w:p>
    <w:p>
      <w:pPr>
        <w:sectPr>
          <w:pgSz w:w="11900" w:h="16838" w:orient="portrait"/>
          <w:cols w:equalWidth="0" w:num="1">
            <w:col w:w="11200"/>
          </w:cols>
          <w:pgMar w:left="320" w:top="98" w:right="37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provide will be used to understand the sources of strength of our communicating updates to you. Please share your feedback with</w:t>
      </w:r>
    </w:p>
    <w:tbl>
      <w:tblPr>
        <w:tblLayout w:type="fixed"/>
        <w:tblInd w:w="0" w:type="dxa"/>
        <w:tblCellMar>
          <w:top w:w="0" w:type="dxa"/>
          <w:left w:w="0" w:type="dxa"/>
          <w:bottom w:w="0" w:type="dxa"/>
          <w:right w:w="0" w:type="dxa"/>
        </w:tblCellMar>
      </w:tblPr>
      <w:tr>
        <w:trPr>
          <w:trHeight w:val="236"/>
        </w:trPr>
        <w:tc>
          <w:tcPr>
            <w:tcW w:w="5560" w:type="dxa"/>
            <w:vAlign w:val="bottom"/>
          </w:tcPr>
          <w:p>
            <w:pPr>
              <w:spacing w:after="0" w:line="236" w:lineRule="exact"/>
              <w:rPr>
                <w:sz w:val="20"/>
                <w:szCs w:val="20"/>
                <w:color w:val="auto"/>
              </w:rPr>
            </w:pPr>
            <w:r>
              <w:rPr>
                <w:rFonts w:ascii="Arial" w:cs="Arial" w:eastAsia="Arial" w:hAnsi="Arial"/>
                <w:sz w:val="22"/>
                <w:szCs w:val="22"/>
                <w:color w:val="auto"/>
                <w:w w:val="92"/>
              </w:rPr>
              <w:t>current cultures, will allow us to create a common language to</w:t>
            </w:r>
          </w:p>
        </w:tc>
        <w:tc>
          <w:tcPr>
            <w:tcW w:w="5640" w:type="dxa"/>
            <w:vAlign w:val="bottom"/>
          </w:tcPr>
          <w:p>
            <w:pPr>
              <w:ind w:left="60"/>
              <w:spacing w:after="0" w:line="236" w:lineRule="exact"/>
              <w:rPr>
                <w:sz w:val="20"/>
                <w:szCs w:val="20"/>
                <w:color w:val="auto"/>
              </w:rPr>
            </w:pPr>
            <w:r>
              <w:rPr>
                <w:rFonts w:ascii="Arial" w:cs="Arial" w:eastAsia="Arial" w:hAnsi="Arial"/>
                <w:sz w:val="22"/>
                <w:szCs w:val="22"/>
                <w:color w:val="auto"/>
                <w:w w:val="89"/>
              </w:rPr>
              <w:t>the Communications Team by completing this month’s 2-minute</w:t>
            </w:r>
          </w:p>
        </w:tc>
        <w:tc>
          <w:tcPr>
            <w:tcW w:w="0" w:type="dxa"/>
            <w:vAlign w:val="bottom"/>
          </w:tcPr>
          <w:p>
            <w:pPr>
              <w:spacing w:after="0"/>
              <w:rPr>
                <w:sz w:val="1"/>
                <w:szCs w:val="1"/>
                <w:color w:val="auto"/>
              </w:rPr>
            </w:pP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w w:val="98"/>
              </w:rPr>
              <w:t>articulate our culture, and ultimately will help us define the</w:t>
            </w:r>
          </w:p>
        </w:tc>
        <w:tc>
          <w:tcPr>
            <w:tcW w:w="5640" w:type="dxa"/>
            <w:vAlign w:val="bottom"/>
          </w:tcPr>
          <w:p>
            <w:pPr>
              <w:ind w:left="60"/>
              <w:spacing w:after="0" w:line="243" w:lineRule="exact"/>
              <w:rPr>
                <w:sz w:val="20"/>
                <w:szCs w:val="20"/>
                <w:color w:val="auto"/>
              </w:rPr>
            </w:pPr>
            <w:r>
              <w:rPr>
                <w:rFonts w:ascii="Arial" w:cs="Arial" w:eastAsia="Arial" w:hAnsi="Arial"/>
                <w:sz w:val="22"/>
                <w:szCs w:val="22"/>
                <w:color w:val="auto"/>
                <w:w w:val="97"/>
              </w:rPr>
              <w:t>survey via Survey Monkey. Your responses are completely</w:t>
            </w:r>
          </w:p>
        </w:tc>
        <w:tc>
          <w:tcPr>
            <w:tcW w:w="0" w:type="dxa"/>
            <w:vAlign w:val="bottom"/>
          </w:tcPr>
          <w:p>
            <w:pPr>
              <w:spacing w:after="0"/>
              <w:rPr>
                <w:sz w:val="1"/>
                <w:szCs w:val="1"/>
                <w:color w:val="auto"/>
              </w:rPr>
            </w:pPr>
          </w:p>
        </w:tc>
      </w:tr>
      <w:tr>
        <w:trPr>
          <w:trHeight w:val="243"/>
        </w:trPr>
        <w:tc>
          <w:tcPr>
            <w:tcW w:w="5560" w:type="dxa"/>
            <w:vAlign w:val="bottom"/>
          </w:tcPr>
          <w:p>
            <w:pPr>
              <w:spacing w:after="0" w:line="243" w:lineRule="exact"/>
              <w:rPr>
                <w:sz w:val="20"/>
                <w:szCs w:val="20"/>
                <w:color w:val="auto"/>
              </w:rPr>
            </w:pPr>
            <w:r>
              <w:rPr>
                <w:rFonts w:ascii="Arial" w:cs="Arial" w:eastAsia="Arial" w:hAnsi="Arial"/>
                <w:sz w:val="22"/>
                <w:szCs w:val="22"/>
                <w:color w:val="auto"/>
                <w:w w:val="91"/>
              </w:rPr>
              <w:t>behaviors that will help grow our combined organisation. More</w:t>
            </w:r>
          </w:p>
        </w:tc>
        <w:tc>
          <w:tcPr>
            <w:tcW w:w="5640" w:type="dxa"/>
            <w:vAlign w:val="bottom"/>
          </w:tcPr>
          <w:p>
            <w:pPr>
              <w:ind w:left="60"/>
              <w:spacing w:after="0" w:line="243" w:lineRule="exact"/>
              <w:rPr>
                <w:sz w:val="20"/>
                <w:szCs w:val="20"/>
                <w:color w:val="auto"/>
              </w:rPr>
            </w:pPr>
            <w:r>
              <w:rPr>
                <w:rFonts w:ascii="Arial" w:cs="Arial" w:eastAsia="Arial" w:hAnsi="Arial"/>
                <w:sz w:val="22"/>
                <w:szCs w:val="22"/>
                <w:color w:val="auto"/>
              </w:rPr>
              <w:t>anonymous.</w:t>
            </w:r>
          </w:p>
        </w:tc>
        <w:tc>
          <w:tcPr>
            <w:tcW w:w="0" w:type="dxa"/>
            <w:vAlign w:val="bottom"/>
          </w:tcPr>
          <w:p>
            <w:pPr>
              <w:spacing w:after="0"/>
              <w:rPr>
                <w:sz w:val="1"/>
                <w:szCs w:val="1"/>
                <w:color w:val="auto"/>
              </w:rPr>
            </w:pPr>
          </w:p>
        </w:tc>
      </w:tr>
      <w:tr>
        <w:trPr>
          <w:trHeight w:val="274"/>
        </w:trPr>
        <w:tc>
          <w:tcPr>
            <w:tcW w:w="5560" w:type="dxa"/>
            <w:vAlign w:val="bottom"/>
          </w:tcPr>
          <w:p>
            <w:pPr>
              <w:spacing w:after="0"/>
              <w:rPr>
                <w:sz w:val="20"/>
                <w:szCs w:val="20"/>
                <w:color w:val="auto"/>
              </w:rPr>
            </w:pPr>
            <w:r>
              <w:rPr>
                <w:rFonts w:ascii="Arial" w:cs="Arial" w:eastAsia="Arial" w:hAnsi="Arial"/>
                <w:sz w:val="22"/>
                <w:szCs w:val="22"/>
                <w:color w:val="auto"/>
                <w:w w:val="96"/>
              </w:rPr>
              <w:t>information will be communicated as we roll out the survey.</w:t>
            </w:r>
          </w:p>
        </w:tc>
        <w:tc>
          <w:tcPr>
            <w:tcW w:w="5640" w:type="dxa"/>
            <w:vAlign w:val="bottom"/>
            <w:vMerge w:val="restart"/>
          </w:tcPr>
          <w:p>
            <w:pPr>
              <w:ind w:left="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color w:val="128474"/>
              </w:rPr>
              <w:t>Click here</w:t>
            </w:r>
            <w:r>
              <w:rPr>
                <w:rFonts w:ascii="Arial" w:cs="Arial" w:eastAsia="Arial" w:hAnsi="Arial"/>
                <w:sz w:val="22"/>
                <w:szCs w:val="22"/>
                <w:b w:val="1"/>
                <w:bCs w:val="1"/>
                <w:color w:val="auto"/>
              </w:rPr>
              <w:t xml:space="preserve"> to take this month’s Pulse Check Survey.</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attention and support as we continue integration planning and look toward Day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929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29130"/>
                    </a:xfrm>
                    <a:prstGeom prst="rect">
                      <a:avLst/>
                    </a:prstGeom>
                    <a:noFill/>
                  </pic:spPr>
                </pic:pic>
              </a:graphicData>
            </a:graphic>
          </wp:anchor>
        </w:drawing>
      </w:r>
    </w:p>
    <w:p>
      <w:pPr>
        <w:sectPr>
          <w:pgSz w:w="11900" w:h="16838" w:orient="portrait"/>
          <w:cols w:equalWidth="0" w:num="1">
            <w:col w:w="11200"/>
          </w:cols>
          <w:pgMar w:left="320" w:top="98" w:right="3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9"/>
          <w:szCs w:val="19"/>
          <w:b w:val="1"/>
          <w:bCs w:val="1"/>
          <w:color w:val="auto"/>
        </w:rPr>
        <w:t>Leadership Bios linked and referenced in the Integration Newsletter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394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94335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789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Transcript of video clips that were included in the Integration Newsletter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Holmes, Integration Lead, ICON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Harris Kofler, Integration Lead,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5915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915025"/>
                    </a:xfrm>
                    <a:prstGeom prst="rect">
                      <a:avLst/>
                    </a:prstGeom>
                    <a:noFill/>
                  </pic:spPr>
                </pic:pic>
              </a:graphicData>
            </a:graphic>
          </wp:anchor>
        </w:drawing>
      </w:r>
    </w:p>
    <w:p>
      <w:pPr>
        <w:spacing w:after="0" w:line="266" w:lineRule="exact"/>
        <w:rPr>
          <w:sz w:val="20"/>
          <w:szCs w:val="20"/>
          <w:color w:val="auto"/>
        </w:rPr>
      </w:pPr>
    </w:p>
    <w:p>
      <w:pPr>
        <w:ind w:left="660" w:hanging="585"/>
        <w:spacing w:after="0"/>
        <w:tabs>
          <w:tab w:leader="none" w:pos="660" w:val="left"/>
        </w:tabs>
        <w:numPr>
          <w:ilvl w:val="0"/>
          <w:numId w:val="3"/>
        </w:numPr>
        <w:rPr>
          <w:rFonts w:ascii="Arial" w:cs="Arial" w:eastAsia="Arial" w:hAnsi="Arial"/>
          <w:sz w:val="18"/>
          <w:szCs w:val="18"/>
          <w:color w:val="FFFFFF"/>
        </w:rPr>
      </w:pPr>
      <w:r>
        <w:rPr>
          <w:rFonts w:ascii="Arial" w:cs="Arial" w:eastAsia="Arial" w:hAnsi="Arial"/>
          <w:sz w:val="18"/>
          <w:szCs w:val="18"/>
          <w:b w:val="1"/>
          <w:bCs w:val="1"/>
          <w:color w:val="FFFFFF"/>
        </w:rPr>
        <w:t>Our Overall Approach to Integration</w:t>
      </w:r>
    </w:p>
    <w:p>
      <w:pPr>
        <w:spacing w:after="0" w:line="333" w:lineRule="exact"/>
        <w:rPr>
          <w:rFonts w:ascii="Arial" w:cs="Arial" w:eastAsia="Arial" w:hAnsi="Arial"/>
          <w:sz w:val="18"/>
          <w:szCs w:val="18"/>
          <w:color w:val="FFFFFF"/>
        </w:rPr>
      </w:pPr>
    </w:p>
    <w:p>
      <w:pPr>
        <w:ind w:left="660" w:right="60"/>
        <w:spacing w:after="0" w:line="271" w:lineRule="auto"/>
        <w:rPr>
          <w:rFonts w:ascii="Arial" w:cs="Arial" w:eastAsia="Arial" w:hAnsi="Arial"/>
          <w:sz w:val="18"/>
          <w:szCs w:val="18"/>
          <w:color w:val="FFFFFF"/>
        </w:rPr>
      </w:pPr>
      <w:r>
        <w:rPr>
          <w:rFonts w:ascii="Arial" w:cs="Arial" w:eastAsia="Arial" w:hAnsi="Arial"/>
          <w:sz w:val="17"/>
          <w:szCs w:val="17"/>
          <w:b w:val="1"/>
          <w:bCs w:val="1"/>
          <w:color w:val="auto"/>
        </w:rPr>
        <w:t xml:space="preserve">Simon Holmes: </w:t>
      </w:r>
      <w:r>
        <w:rPr>
          <w:rFonts w:ascii="Arial" w:cs="Arial" w:eastAsia="Arial" w:hAnsi="Arial"/>
          <w:sz w:val="17"/>
          <w:szCs w:val="17"/>
          <w:color w:val="auto"/>
        </w:rPr>
        <w:t>This is a big, large complex task for everybody, and I say everybody because it has got to be a collective team effort. I am</w:t>
      </w:r>
      <w:r>
        <w:rPr>
          <w:rFonts w:ascii="Arial" w:cs="Arial" w:eastAsia="Arial" w:hAnsi="Arial"/>
          <w:sz w:val="17"/>
          <w:szCs w:val="17"/>
          <w:b w:val="1"/>
          <w:bCs w:val="1"/>
          <w:color w:val="auto"/>
        </w:rPr>
        <w:t xml:space="preserve"> </w:t>
      </w:r>
      <w:r>
        <w:rPr>
          <w:rFonts w:ascii="Arial" w:cs="Arial" w:eastAsia="Arial" w:hAnsi="Arial"/>
          <w:sz w:val="17"/>
          <w:szCs w:val="17"/>
          <w:color w:val="auto"/>
        </w:rPr>
        <w:t>involved around orchestration, making sure as a collective we are hitting the key tasks we need to hit and helping to resolve issues when they need to be resolved, helping to bring our organisational knowledge to the integration in order to find the quickest and smoothest way to get decisions made. It is a marathon and not a sprint and it is about focusing our time on key issues, for example, at the moment we have 50 or 60 days to close the transaction so we need to get people thinking about Day One and what happens on Day One. As we move towards Day One, we will start thinking beyond the horizon into the next 30 days, 100 days and beyond. Our role is to put up some structure behind that, a lot of work streams whether they be functional, operational, and making sure we have the right folks on those teams. They are the experts, the people who really know what needs to happen in those functions. Our role is to help them, be supportive to them and help them make decisions when decisions need to be made.</w:t>
      </w:r>
    </w:p>
    <w:p>
      <w:pPr>
        <w:spacing w:after="0" w:line="173" w:lineRule="exact"/>
        <w:rPr>
          <w:rFonts w:ascii="Arial" w:cs="Arial" w:eastAsia="Arial" w:hAnsi="Arial"/>
          <w:sz w:val="18"/>
          <w:szCs w:val="18"/>
          <w:color w:val="FFFFFF"/>
        </w:rPr>
      </w:pPr>
    </w:p>
    <w:p>
      <w:pPr>
        <w:ind w:left="660"/>
        <w:spacing w:after="0" w:line="289" w:lineRule="auto"/>
        <w:rPr>
          <w:rFonts w:ascii="Arial" w:cs="Arial" w:eastAsia="Arial" w:hAnsi="Arial"/>
          <w:sz w:val="18"/>
          <w:szCs w:val="18"/>
          <w:color w:val="FFFFFF"/>
        </w:rPr>
      </w:pPr>
      <w:r>
        <w:rPr>
          <w:rFonts w:ascii="Arial" w:cs="Arial" w:eastAsia="Arial" w:hAnsi="Arial"/>
          <w:sz w:val="16"/>
          <w:szCs w:val="16"/>
          <w:b w:val="1"/>
          <w:bCs w:val="1"/>
          <w:color w:val="auto"/>
        </w:rPr>
        <w:t xml:space="preserve">Harris Kofler: </w:t>
      </w:r>
      <w:r>
        <w:rPr>
          <w:rFonts w:ascii="Arial" w:cs="Arial" w:eastAsia="Arial" w:hAnsi="Arial"/>
          <w:sz w:val="16"/>
          <w:szCs w:val="16"/>
          <w:color w:val="auto"/>
        </w:rPr>
        <w:t>I just want to echo what Simon said, I said on a committee meeting yesterday that I couldn’t have picked a better partner in</w:t>
      </w:r>
      <w:r>
        <w:rPr>
          <w:rFonts w:ascii="Arial" w:cs="Arial" w:eastAsia="Arial" w:hAnsi="Arial"/>
          <w:sz w:val="16"/>
          <w:szCs w:val="16"/>
          <w:b w:val="1"/>
          <w:bCs w:val="1"/>
          <w:color w:val="auto"/>
        </w:rPr>
        <w:t xml:space="preserve"> </w:t>
      </w:r>
      <w:r>
        <w:rPr>
          <w:rFonts w:ascii="Arial" w:cs="Arial" w:eastAsia="Arial" w:hAnsi="Arial"/>
          <w:sz w:val="16"/>
          <w:szCs w:val="16"/>
          <w:color w:val="auto"/>
        </w:rPr>
        <w:t>Simon. We work really well together. I do want to highlight the fact that integration is a very complex process particularly for organisations of our size and there is a lot of work to be done before we close. I would also say that it won’t be perfect, there will be bumps along the road for sure, but we are trying to be flexible, facile and course correct as we move through the process. But we are meeting frequently and doing our best to communicate to the rest of the organisation how we are doing on an ongoing basis. I know a few of you aren’t part of workstreams yet or else your workstreams haven’t kicked off, we will talk about that obviously but some streams we will be dealing with later than others. We are waiting on Steve Cutler to finalise the organisational design, but we all remain focused on the same important key principles; continuing to execute for our clients, being ready for day 1. To quote Gene Kranz from Apollo 13, ‘failure is not an option’ for us, we need to meet the goals that have been set for us and we need to make sure we are leveraging the best of both companies. As you have heard Steve say, we need to make it happen.</w:t>
      </w:r>
    </w:p>
    <w:p>
      <w:pPr>
        <w:spacing w:after="0" w:line="274" w:lineRule="exact"/>
        <w:rPr>
          <w:rFonts w:ascii="Arial" w:cs="Arial" w:eastAsia="Arial" w:hAnsi="Arial"/>
          <w:sz w:val="18"/>
          <w:szCs w:val="18"/>
          <w:color w:val="FFFFFF"/>
        </w:rPr>
      </w:pPr>
    </w:p>
    <w:p>
      <w:pPr>
        <w:ind w:left="660" w:hanging="585"/>
        <w:spacing w:after="0"/>
        <w:tabs>
          <w:tab w:leader="none" w:pos="660" w:val="left"/>
        </w:tabs>
        <w:numPr>
          <w:ilvl w:val="0"/>
          <w:numId w:val="3"/>
        </w:numPr>
        <w:rPr>
          <w:rFonts w:ascii="Arial" w:cs="Arial" w:eastAsia="Arial" w:hAnsi="Arial"/>
          <w:sz w:val="18"/>
          <w:szCs w:val="18"/>
          <w:color w:val="FFFFFF"/>
        </w:rPr>
      </w:pPr>
      <w:r>
        <w:rPr>
          <w:rFonts w:ascii="Arial" w:cs="Arial" w:eastAsia="Arial" w:hAnsi="Arial"/>
          <w:sz w:val="18"/>
          <w:szCs w:val="18"/>
          <w:b w:val="1"/>
          <w:bCs w:val="1"/>
          <w:color w:val="FFFFFF"/>
        </w:rPr>
        <w:t>Assessing our culture.</w:t>
      </w:r>
    </w:p>
    <w:p>
      <w:pPr>
        <w:spacing w:after="0" w:line="333" w:lineRule="exact"/>
        <w:rPr>
          <w:rFonts w:ascii="Arial" w:cs="Arial" w:eastAsia="Arial" w:hAnsi="Arial"/>
          <w:sz w:val="18"/>
          <w:szCs w:val="18"/>
          <w:color w:val="FFFFFF"/>
        </w:rPr>
      </w:pPr>
    </w:p>
    <w:p>
      <w:pPr>
        <w:ind w:left="660" w:right="20"/>
        <w:spacing w:after="0" w:line="268" w:lineRule="auto"/>
        <w:rPr>
          <w:rFonts w:ascii="Arial" w:cs="Arial" w:eastAsia="Arial" w:hAnsi="Arial"/>
          <w:sz w:val="18"/>
          <w:szCs w:val="18"/>
          <w:color w:val="FFFFFF"/>
        </w:rPr>
      </w:pPr>
      <w:r>
        <w:rPr>
          <w:rFonts w:ascii="Arial" w:cs="Arial" w:eastAsia="Arial" w:hAnsi="Arial"/>
          <w:sz w:val="17"/>
          <w:szCs w:val="17"/>
          <w:b w:val="1"/>
          <w:bCs w:val="1"/>
          <w:color w:val="auto"/>
        </w:rPr>
        <w:t xml:space="preserve">Simon Holmes: </w:t>
      </w:r>
      <w:r>
        <w:rPr>
          <w:rFonts w:ascii="Arial" w:cs="Arial" w:eastAsia="Arial" w:hAnsi="Arial"/>
          <w:sz w:val="17"/>
          <w:szCs w:val="17"/>
          <w:color w:val="auto"/>
        </w:rPr>
        <w:t>We are a people business, so culture is at the heart of what we do, and I think it is important to recognise that culture is not static.</w:t>
      </w:r>
      <w:r>
        <w:rPr>
          <w:rFonts w:ascii="Arial" w:cs="Arial" w:eastAsia="Arial" w:hAnsi="Arial"/>
          <w:sz w:val="17"/>
          <w:szCs w:val="17"/>
          <w:b w:val="1"/>
          <w:bCs w:val="1"/>
          <w:color w:val="auto"/>
        </w:rPr>
        <w:t xml:space="preserve"> </w:t>
      </w:r>
      <w:r>
        <w:rPr>
          <w:rFonts w:ascii="Arial" w:cs="Arial" w:eastAsia="Arial" w:hAnsi="Arial"/>
          <w:sz w:val="17"/>
          <w:szCs w:val="17"/>
          <w:color w:val="auto"/>
        </w:rPr>
        <w:t>In the time I have been here, both ICON and PRA have evolved from small to medium to large companies, so clearly in that time our cultures have evolved. We have made many acquisitions and as you make acquisitions, they bring something new to the organisation. It is true to say that in this particular transaction between two large organisations, what will come out at the end will be a hybrid culture of both companies and we have to think about that. It is not one company imposing their culture on another, it is about how we blend them together. At the same time while we are all united by some common values and when I have worked with the PRA people I have met, collaboration and sharing the same passion for what we do in common, but I am sure there are also a lot of things that we do differently. How things happen in one organisation will be different to how it happens in another. I think job number one is to understand that and to note those differences and see where they manifest themselves from. One of things that will be important to the combined organisation is a process of listening and understanding as we come together and find out more on a detailed, functional level. There is going to be some activity going on to know what you are part of and others such as Laurie, Joe and Tina will be looking at listening to the combined organisation about what is important to them through surveys, focus groups and lots of other activities. Through that listening from the bottom up and thinking about the differences at an operational and at a functional level, we will chart a way to bring the best of the both from a cultural perspective and then at some point that will come down onto a piece of paper about cultural values. To me it is more than words on paper, it is about behaviours and what we expect, how the leaders act and how we reward people for those behaviours. That is how we will be framing the culture moving forwards. I see a lot of optimism from that because all I have seen so far is a good commonality about how we think about things and even though there may be differences in terms of details when you get below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21" w:name="page22"/>
    <w:bookmarkEnd w:id="21"/>
    <w:p>
      <w:pPr>
        <w:ind w:left="585" w:hanging="585"/>
        <w:spacing w:after="0"/>
        <w:tabs>
          <w:tab w:leader="none" w:pos="585" w:val="left"/>
        </w:tabs>
        <w:numPr>
          <w:ilvl w:val="0"/>
          <w:numId w:val="4"/>
        </w:numPr>
        <w:rPr>
          <w:rFonts w:ascii="Arial" w:cs="Arial" w:eastAsia="Arial" w:hAnsi="Arial"/>
          <w:sz w:val="18"/>
          <w:szCs w:val="18"/>
          <w:color w:val="FFFFFF"/>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640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640705"/>
                    </a:xfrm>
                    <a:prstGeom prst="rect">
                      <a:avLst/>
                    </a:prstGeom>
                    <a:noFill/>
                  </pic:spPr>
                </pic:pic>
              </a:graphicData>
            </a:graphic>
          </wp:anchor>
        </w:drawing>
        <w:t>What’s not going to change on Day One.</w:t>
      </w:r>
    </w:p>
    <w:p>
      <w:pPr>
        <w:spacing w:after="0" w:line="333" w:lineRule="exact"/>
        <w:rPr>
          <w:rFonts w:ascii="Arial" w:cs="Arial" w:eastAsia="Arial" w:hAnsi="Arial"/>
          <w:sz w:val="18"/>
          <w:szCs w:val="18"/>
          <w:color w:val="FFFFFF"/>
        </w:rPr>
      </w:pPr>
    </w:p>
    <w:p>
      <w:pPr>
        <w:ind w:left="585" w:right="40"/>
        <w:spacing w:after="0" w:line="287" w:lineRule="auto"/>
        <w:rPr>
          <w:rFonts w:ascii="Arial" w:cs="Arial" w:eastAsia="Arial" w:hAnsi="Arial"/>
          <w:sz w:val="18"/>
          <w:szCs w:val="18"/>
          <w:color w:val="FFFFFF"/>
        </w:rPr>
      </w:pPr>
      <w:r>
        <w:rPr>
          <w:rFonts w:ascii="Arial" w:cs="Arial" w:eastAsia="Arial" w:hAnsi="Arial"/>
          <w:sz w:val="16"/>
          <w:szCs w:val="16"/>
          <w:b w:val="1"/>
          <w:bCs w:val="1"/>
          <w:color w:val="auto"/>
        </w:rPr>
        <w:t xml:space="preserve">Simon Holmes: </w:t>
      </w:r>
      <w:r>
        <w:rPr>
          <w:rFonts w:ascii="Arial" w:cs="Arial" w:eastAsia="Arial" w:hAnsi="Arial"/>
          <w:sz w:val="16"/>
          <w:szCs w:val="16"/>
          <w:color w:val="auto"/>
        </w:rPr>
        <w:t>As you can imagine, there is a fair amount of parallel running for the two organisations so things like employee T&amp;C’s, key</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etc, they are not going to change on day 1. For the operational groups, operational processes as we evolve in the future, we will have to look at how our systems infrastructure will be. Tom and James have done a huge amount of work on mapping systems, we are not going to be changing those systems in 50 days frankly. So clearly, we will be running on the same systems and processes. Going back to what Harris said about guiding principles, customers come first and business continuity all of that applies - keep doing what we are doing in many of the same ways. Once we get past Day One and leaders come together then we can start thinking about how does that combined organisation start to evolve in the future. We still have to bring in systems and processes, road maps etc., but very clearly, I think the message is loud and clear that in the majority of cases things will continue to run as they do today. Albeit there will be some areas where we will look to see how we can glue the organisation together a bit more coherently. Things like communications, having a common platform to post communications on Day One and also very importantly from a customer perspective how do we triage opportunities so not to confuse customers so they know the right people to contact from a sales perspective and an operational perspective. I would say the majority of things on day 1 are going to be the same, particularly for employees, they will be worried about terms and conditions and benefits which won’t be changing on Day One.</w:t>
      </w:r>
    </w:p>
    <w:p>
      <w:pPr>
        <w:spacing w:after="0" w:line="200" w:lineRule="exact"/>
        <w:rPr>
          <w:rFonts w:ascii="Arial" w:cs="Arial" w:eastAsia="Arial" w:hAnsi="Arial"/>
          <w:sz w:val="18"/>
          <w:szCs w:val="18"/>
          <w:color w:val="FFFFFF"/>
        </w:rPr>
      </w:pPr>
    </w:p>
    <w:p>
      <w:pPr>
        <w:spacing w:after="0" w:line="291" w:lineRule="exact"/>
        <w:rPr>
          <w:rFonts w:ascii="Arial" w:cs="Arial" w:eastAsia="Arial" w:hAnsi="Arial"/>
          <w:sz w:val="18"/>
          <w:szCs w:val="18"/>
          <w:color w:val="FFFFFF"/>
        </w:rPr>
      </w:pPr>
    </w:p>
    <w:p>
      <w:pPr>
        <w:ind w:left="585" w:hanging="585"/>
        <w:spacing w:after="0"/>
        <w:tabs>
          <w:tab w:leader="none" w:pos="585" w:val="left"/>
        </w:tabs>
        <w:numPr>
          <w:ilvl w:val="0"/>
          <w:numId w:val="4"/>
        </w:numPr>
        <w:rPr>
          <w:rFonts w:ascii="Arial" w:cs="Arial" w:eastAsia="Arial" w:hAnsi="Arial"/>
          <w:sz w:val="18"/>
          <w:szCs w:val="18"/>
          <w:color w:val="FFFFFF"/>
        </w:rPr>
      </w:pPr>
      <w:r>
        <w:rPr>
          <w:rFonts w:ascii="Arial" w:cs="Arial" w:eastAsia="Arial" w:hAnsi="Arial"/>
          <w:sz w:val="18"/>
          <w:szCs w:val="18"/>
          <w:b w:val="1"/>
          <w:bCs w:val="1"/>
          <w:color w:val="FFFFFF"/>
        </w:rPr>
        <w:t>Driving Innovation.</w:t>
      </w:r>
    </w:p>
    <w:p>
      <w:pPr>
        <w:spacing w:after="0" w:line="333" w:lineRule="exact"/>
        <w:rPr>
          <w:rFonts w:ascii="Arial" w:cs="Arial" w:eastAsia="Arial" w:hAnsi="Arial"/>
          <w:sz w:val="18"/>
          <w:szCs w:val="18"/>
          <w:color w:val="FFFFFF"/>
        </w:rPr>
      </w:pPr>
    </w:p>
    <w:p>
      <w:pPr>
        <w:ind w:left="585"/>
        <w:spacing w:after="0" w:line="286" w:lineRule="auto"/>
        <w:rPr>
          <w:rFonts w:ascii="Arial" w:cs="Arial" w:eastAsia="Arial" w:hAnsi="Arial"/>
          <w:sz w:val="18"/>
          <w:szCs w:val="18"/>
          <w:color w:val="FFFFFF"/>
        </w:rPr>
      </w:pPr>
      <w:r>
        <w:rPr>
          <w:rFonts w:ascii="Arial" w:cs="Arial" w:eastAsia="Arial" w:hAnsi="Arial"/>
          <w:sz w:val="16"/>
          <w:szCs w:val="16"/>
          <w:b w:val="1"/>
          <w:bCs w:val="1"/>
          <w:color w:val="auto"/>
        </w:rPr>
        <w:t xml:space="preserve">Harris Kolfer: </w:t>
      </w:r>
      <w:r>
        <w:rPr>
          <w:rFonts w:ascii="Arial" w:cs="Arial" w:eastAsia="Arial" w:hAnsi="Arial"/>
          <w:sz w:val="16"/>
          <w:szCs w:val="16"/>
          <w:color w:val="auto"/>
        </w:rPr>
        <w:t>I would start by saying the current clinical development paradigm is not sustainable. The process from bringing a product from</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through to marketing is a far too risky, in fact 1 in 10 products that make it into clinical development phase one actually make it onto the market. It takes far too long to bring cures to patients, and it is far too costly. When began my career in clinical research, it took 12 to 16 years to bring a product through from discovery to marketing and today it still takes the same amount of time. This is not sustainable, and it is hard to believe that we haven’t discovered some efficiencies during that process. We are seeing some of the changes now, being able to bring a vaccine to market in record time is an example of what the industry can do with proper investment focus and making processes more efficient. When we think about that we need to position ourselves to lead the market in bringing breakthrough products to people faster, better and more efficiently than the competition. That means we need to find every ounce of innovation existing in our companies, the best technology, the best processes, the best talent and create something better than what our competition can create. And we need to do this while our industry is evolving, the pandemic has clearly hastened the evolution towards decentralised trials, mobile health technologies and wearables to provide real time access to biometric data, the use of medicine direct to patient paradigms which bring the trial and investigator to the patient, improving access to patients and addressing the key impediments to trial success. We know that trials generally fail because we can’t get enough patients quick enough which is why they are not done on time and that they are so expensive. We need to solve that particularly problem and be ready for that. It is our collective belief of the Executive team that ICON and PRA are best positioned to exploit the changes that are happening within our industry through our existing tools, capabilities, expertise and geographic scale that we have as a combined company.</w:t>
      </w:r>
    </w:p>
    <w:p>
      <w:pPr>
        <w:spacing w:after="0" w:line="383" w:lineRule="exact"/>
        <w:rPr>
          <w:rFonts w:ascii="Arial" w:cs="Arial" w:eastAsia="Arial" w:hAnsi="Arial"/>
          <w:sz w:val="18"/>
          <w:szCs w:val="18"/>
          <w:color w:val="FFFFFF"/>
        </w:rPr>
      </w:pPr>
    </w:p>
    <w:p>
      <w:pPr>
        <w:ind w:left="585"/>
        <w:spacing w:after="0" w:line="261" w:lineRule="auto"/>
        <w:rPr>
          <w:rFonts w:ascii="Arial" w:cs="Arial" w:eastAsia="Arial" w:hAnsi="Arial"/>
          <w:sz w:val="18"/>
          <w:szCs w:val="18"/>
          <w:color w:val="FFFFFF"/>
        </w:rPr>
      </w:pPr>
      <w:r>
        <w:rPr>
          <w:rFonts w:ascii="Arial" w:cs="Arial" w:eastAsia="Arial" w:hAnsi="Arial"/>
          <w:sz w:val="18"/>
          <w:szCs w:val="18"/>
          <w:b w:val="1"/>
          <w:bCs w:val="1"/>
          <w:color w:val="auto"/>
        </w:rPr>
        <w:t xml:space="preserve">Simon Holmes: </w:t>
      </w:r>
      <w:r>
        <w:rPr>
          <w:rFonts w:ascii="Arial" w:cs="Arial" w:eastAsia="Arial" w:hAnsi="Arial"/>
          <w:sz w:val="18"/>
          <w:szCs w:val="18"/>
          <w:color w:val="auto"/>
        </w:rPr>
        <w:t>I was involved with some early discussions with Harris and the team, clearly if all we do is put our two organisations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say we are close to number one and continue doing things the way we are, we will fail. If you want to lead it is not about being the biggest in size, it is about showing leadership and helping to move this industry forward. We have to drive the agenda for areas such as hybrid trials, DCT trials with economies of scale, we should have more scope then to drive things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142875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5"/>
          </w:cols>
          <w:pgMar w:left="395" w:top="189" w:right="41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w:t>
      </w:r>
      <w:r>
        <w:rPr>
          <w:rFonts w:ascii="Arial" w:cs="Arial" w:eastAsia="Arial" w:hAnsi="Arial"/>
          <w:sz w:val="19"/>
          <w:szCs w:val="19"/>
          <w:u w:val="single" w:color="auto"/>
          <w:color w:val="auto"/>
        </w:rPr>
        <w:t>ICON</w:t>
      </w:r>
      <w:r>
        <w:rPr>
          <w:rFonts w:ascii="Arial" w:cs="Arial" w:eastAsia="Arial" w:hAnsi="Arial"/>
          <w:sz w:val="19"/>
          <w:szCs w:val="19"/>
          <w:color w:val="auto"/>
        </w:rPr>
        <w:t>”) and PRA Health Sciences, Inc., a Delaware corporation (“</w:t>
      </w:r>
      <w:r>
        <w:rPr>
          <w:rFonts w:ascii="Arial" w:cs="Arial" w:eastAsia="Arial" w:hAnsi="Arial"/>
          <w:sz w:val="19"/>
          <w:szCs w:val="19"/>
          <w:u w:val="single" w:color="auto"/>
          <w:color w:val="auto"/>
        </w:rPr>
        <w:t>PRA</w:t>
      </w:r>
      <w:r>
        <w:rPr>
          <w:rFonts w:ascii="Arial" w:cs="Arial" w:eastAsia="Arial" w:hAnsi="Arial"/>
          <w:sz w:val="19"/>
          <w:szCs w:val="19"/>
          <w:color w:val="auto"/>
        </w:rPr>
        <w:t>”),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 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200" w:lineRule="exact"/>
        <w:rPr>
          <w:sz w:val="20"/>
          <w:szCs w:val="20"/>
          <w:color w:val="auto"/>
        </w:rPr>
      </w:pPr>
    </w:p>
    <w:p>
      <w:pPr>
        <w:spacing w:after="0" w:line="244"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endash "/>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Q"/>
      <w:numFmt w:val="bullet"/>
      <w:start w:val="1"/>
    </w:lvl>
  </w:abstractNum>
  <w:abstractNum w:abstractNumId="3">
    <w:nsid w:val="625558EC"/>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2021-05-20T15:49:31Z</dcterms:created>
  <dcterms:modified xsi:type="dcterms:W3CDTF">2021-05-20T15:49:31Z</dcterms:modified>
</cp:coreProperties>
</file>