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FORM 6-K</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Rule 13a-16 under</w:t>
      </w: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For the month ended </w:t>
      </w:r>
      <w:r>
        <w:rPr>
          <w:rFonts w:ascii="Arial" w:cs="Arial" w:eastAsia="Arial" w:hAnsi="Arial"/>
          <w:sz w:val="18"/>
          <w:szCs w:val="18"/>
          <w:color w:val="auto"/>
        </w:rPr>
        <w:t>May, 2018</w:t>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ICON plc</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(R</w:t>
      </w:r>
      <w:r>
        <w:rPr>
          <w:rFonts w:ascii="Arial" w:cs="Arial" w:eastAsia="Arial" w:hAnsi="Arial"/>
          <w:sz w:val="18"/>
          <w:szCs w:val="18"/>
          <w:color w:val="auto"/>
        </w:rPr>
        <w:t>egistrant's name)</w:t>
      </w:r>
    </w:p>
    <w:p>
      <w:pPr>
        <w:spacing w:after="0" w:line="200" w:lineRule="exact"/>
        <w:rPr>
          <w:sz w:val="24"/>
          <w:szCs w:val="24"/>
          <w:color w:val="auto"/>
        </w:rPr>
      </w:pPr>
    </w:p>
    <w:p>
      <w:pPr>
        <w:spacing w:after="0" w:line="2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Brendan Brennan, CFO</w:t>
      </w:r>
    </w:p>
    <w:p>
      <w:pPr>
        <w:jc w:val="center"/>
        <w:ind w:right="-1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119"/>
        <w:spacing w:after="0" w:line="230" w:lineRule="auto"/>
        <w:rPr>
          <w:sz w:val="20"/>
          <w:szCs w:val="20"/>
          <w:color w:val="auto"/>
        </w:rPr>
      </w:pPr>
      <w:r>
        <w:rPr>
          <w:rFonts w:ascii="Arial" w:cs="Arial" w:eastAsia="Arial" w:hAnsi="Arial"/>
          <w:sz w:val="22"/>
          <w:szCs w:val="22"/>
          <w:color w:val="auto"/>
        </w:rPr>
        <w:t>Brendan.Brennan@iconplc.com</w:t>
      </w:r>
    </w:p>
    <w:p>
      <w:pPr>
        <w:jc w:val="center"/>
        <w:ind w:right="-119"/>
        <w:spacing w:after="0" w:line="231" w:lineRule="auto"/>
        <w:rPr>
          <w:sz w:val="20"/>
          <w:szCs w:val="20"/>
          <w:color w:val="auto"/>
        </w:rPr>
      </w:pPr>
      <w:r>
        <w:rPr>
          <w:rFonts w:ascii="Arial" w:cs="Arial" w:eastAsia="Arial" w:hAnsi="Arial"/>
          <w:sz w:val="22"/>
          <w:szCs w:val="22"/>
          <w:color w:val="auto"/>
        </w:rPr>
        <w:t>00-353-1-291-2000</w:t>
      </w:r>
    </w:p>
    <w:p>
      <w:pPr>
        <w:spacing w:after="0" w:line="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22"/>
          <w:szCs w:val="22"/>
          <w:color w:val="auto"/>
        </w:rPr>
        <w:t>Indicate by check mark whether the registrant files or will file annual reports under cover Form 20-F or Form 40-F.</w:t>
      </w:r>
    </w:p>
    <w:p>
      <w:pPr>
        <w:spacing w:after="0" w:line="200" w:lineRule="exact"/>
        <w:rPr>
          <w:sz w:val="24"/>
          <w:szCs w:val="24"/>
          <w:color w:val="auto"/>
        </w:rPr>
      </w:pPr>
    </w:p>
    <w:p>
      <w:pPr>
        <w:ind w:left="4080"/>
        <w:spacing w:after="0"/>
        <w:tabs>
          <w:tab w:leader="none" w:pos="706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u w:val="single" w:color="auto"/>
          <w:color w:val="auto"/>
        </w:rPr>
        <w:t>X</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color w:val="auto"/>
        </w:rPr>
        <w:t>_</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101(b)(1):</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101(b)(7):</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ind w:right="160"/>
        <w:spacing w:after="0" w:line="274" w:lineRule="auto"/>
        <w:rPr>
          <w:sz w:val="20"/>
          <w:szCs w:val="20"/>
          <w:color w:val="auto"/>
        </w:rPr>
      </w:pPr>
      <w:r>
        <w:rPr>
          <w:rFonts w:ascii="Arial" w:cs="Arial" w:eastAsia="Arial" w:hAnsi="Arial"/>
          <w:sz w:val="21"/>
          <w:szCs w:val="21"/>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45" w:lineRule="exact"/>
        <w:rPr>
          <w:sz w:val="24"/>
          <w:szCs w:val="24"/>
          <w:color w:val="auto"/>
        </w:rPr>
      </w:pPr>
    </w:p>
    <w:p>
      <w:pPr>
        <w:ind w:left="4080"/>
        <w:spacing w:after="0"/>
        <w:tabs>
          <w:tab w:leader="none" w:pos="702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color w:val="auto"/>
        </w:rPr>
        <w:t>_</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ectPr>
          <w:pgSz w:w="11900" w:h="16838" w:orient="portrait"/>
          <w:cols w:equalWidth="0" w:num="1">
            <w:col w:w="11300"/>
          </w:cols>
          <w:pgMar w:left="240" w:top="468" w:right="359" w:bottom="1440" w:gutter="0" w:footer="0" w:header="0"/>
        </w:sectPr>
      </w:pPr>
    </w:p>
    <w:p>
      <w:pPr>
        <w:spacing w:after="0" w:line="200" w:lineRule="exact"/>
        <w:rPr>
          <w:sz w:val="24"/>
          <w:szCs w:val="24"/>
          <w:color w:val="auto"/>
        </w:rPr>
      </w:pPr>
    </w:p>
    <w:p>
      <w:pPr>
        <w:spacing w:after="0" w:line="249" w:lineRule="exact"/>
        <w:rPr>
          <w:sz w:val="24"/>
          <w:szCs w:val="24"/>
          <w:color w:val="auto"/>
        </w:rPr>
      </w:pPr>
    </w:p>
    <w:p>
      <w:pPr>
        <w:spacing w:after="0"/>
        <w:tabs>
          <w:tab w:leader="none" w:pos="10180" w:val="left"/>
        </w:tabs>
        <w:rPr>
          <w:sz w:val="20"/>
          <w:szCs w:val="20"/>
          <w:color w:val="auto"/>
        </w:rPr>
      </w:pPr>
      <w:r>
        <w:rPr>
          <w:rFonts w:ascii="Arial" w:cs="Arial" w:eastAsia="Arial" w:hAnsi="Arial"/>
          <w:sz w:val="21"/>
          <w:szCs w:val="21"/>
          <w:color w:val="auto"/>
        </w:rPr>
        <w:t>If "Yes" is marked, indicate below the file number assigned to the registrant in connection with Rule 12g3-2(b):82</w:t>
      </w:r>
      <w:r>
        <w:rPr>
          <w:sz w:val="20"/>
          <w:szCs w:val="20"/>
          <w:color w:val="auto"/>
        </w:rPr>
        <w:tab/>
      </w:r>
      <w:r>
        <w:rPr>
          <w:rFonts w:ascii="Arial" w:cs="Arial" w:eastAsia="Arial" w:hAnsi="Arial"/>
          <w:sz w:val="19"/>
          <w:szCs w:val="19"/>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297180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468" w:right="359" w:bottom="1440" w:gutter="0" w:footer="0" w:header="0"/>
          <w:type w:val="continuous"/>
        </w:sectPr>
      </w:pPr>
    </w:p>
    <w:bookmarkStart w:id="1" w:name="page2"/>
    <w:bookmarkEnd w:id="1"/>
    <w:p>
      <w:pPr>
        <w:ind w:left="5100"/>
        <w:spacing w:after="0"/>
        <w:rPr>
          <w:sz w:val="20"/>
          <w:szCs w:val="20"/>
          <w:color w:val="auto"/>
        </w:rPr>
      </w:pPr>
      <w:r>
        <w:rPr>
          <w:rFonts w:ascii="Arial" w:cs="Arial" w:eastAsia="Arial" w:hAnsi="Arial"/>
          <w:sz w:val="18"/>
          <w:szCs w:val="18"/>
          <w:b w:val="1"/>
          <w:bCs w:val="1"/>
          <w:u w:val="single" w:color="auto"/>
          <w:color w:val="auto"/>
        </w:rPr>
        <w:t>EXHIBIT LIST</w:t>
      </w:r>
    </w:p>
    <w:p>
      <w:pPr>
        <w:spacing w:after="0" w:line="2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7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Press Release issued May 2, 2018 - ICON Reports First Quarter 2018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219"/>
          </w:cols>
          <w:pgMar w:left="240" w:top="364" w:right="1440"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2"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6860"/>
        <w:spacing w:after="0"/>
        <w:rPr>
          <w:sz w:val="20"/>
          <w:szCs w:val="20"/>
          <w:color w:val="auto"/>
        </w:rPr>
      </w:pPr>
      <w:r>
        <w:rPr>
          <w:rFonts w:ascii="Arial" w:cs="Arial" w:eastAsia="Arial" w:hAnsi="Arial"/>
          <w:sz w:val="18"/>
          <w:szCs w:val="18"/>
          <w:u w:val="single" w:color="auto"/>
          <w:color w:val="auto"/>
        </w:rPr>
        <w:t>/s/ Brendan Brennan</w:t>
      </w:r>
    </w:p>
    <w:p>
      <w:pPr>
        <w:spacing w:after="0" w:line="36" w:lineRule="exact"/>
        <w:rPr>
          <w:sz w:val="20"/>
          <w:szCs w:val="20"/>
          <w:color w:val="auto"/>
        </w:rPr>
      </w:pPr>
    </w:p>
    <w:p>
      <w:pPr>
        <w:ind w:left="580" w:right="2700" w:hanging="6846"/>
        <w:spacing w:after="0" w:line="274" w:lineRule="auto"/>
        <w:tabs>
          <w:tab w:leader="none" w:pos="560" w:val="left"/>
        </w:tabs>
        <w:rPr>
          <w:sz w:val="20"/>
          <w:szCs w:val="20"/>
          <w:color w:val="auto"/>
        </w:rPr>
      </w:pPr>
      <w:r>
        <w:rPr>
          <w:rFonts w:ascii="Arial" w:cs="Arial" w:eastAsia="Arial" w:hAnsi="Arial"/>
          <w:sz w:val="18"/>
          <w:szCs w:val="18"/>
          <w:color w:val="auto"/>
        </w:rPr>
        <w:t>Date:</w:t>
        <w:tab/>
        <w:t>May 3, 2018 Brendan Brennan Chief Financial Officer</w:t>
      </w:r>
    </w:p>
    <w:p>
      <w:pPr>
        <w:sectPr>
          <w:pgSz w:w="11900" w:h="16838" w:orient="portrait"/>
          <w:cols w:equalWidth="0" w:num="1">
            <w:col w:w="11240"/>
          </w:cols>
          <w:pgMar w:left="240" w:top="364"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Reports First Quarter 2018 Results</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Highlights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Excluding the impact of ASC 606, net business wins in the quarter were $590 million; a book to bill of 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-87630</wp:posOffset>
            </wp:positionV>
            <wp:extent cx="68580" cy="685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17"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Excluding the impact of ASC 606, closing backlog of $5,053 million, an increase of 17.2%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right="740"/>
        <w:spacing w:after="0" w:line="256" w:lineRule="auto"/>
        <w:rPr>
          <w:sz w:val="20"/>
          <w:szCs w:val="20"/>
          <w:color w:val="auto"/>
        </w:rPr>
      </w:pPr>
      <w:r>
        <w:rPr>
          <w:rFonts w:ascii="Arial" w:cs="Arial" w:eastAsia="Arial" w:hAnsi="Arial"/>
          <w:sz w:val="22"/>
          <w:szCs w:val="22"/>
          <w:b w:val="1"/>
          <w:bCs w:val="1"/>
          <w:color w:val="auto"/>
        </w:rPr>
        <w:t>Quarter 1 reported revenue of $620.1 million. Excluding the impact of ASC 606, quarter 1 revenue was $462.6 million, representing a 7.1% increase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62" w:lineRule="exact"/>
        <w:rPr>
          <w:sz w:val="20"/>
          <w:szCs w:val="20"/>
          <w:color w:val="auto"/>
        </w:rPr>
      </w:pPr>
    </w:p>
    <w:p>
      <w:pPr>
        <w:ind w:left="540" w:right="260"/>
        <w:spacing w:after="0" w:line="256" w:lineRule="auto"/>
        <w:rPr>
          <w:sz w:val="20"/>
          <w:szCs w:val="20"/>
          <w:color w:val="auto"/>
        </w:rPr>
      </w:pPr>
      <w:r>
        <w:rPr>
          <w:rFonts w:ascii="Arial" w:cs="Arial" w:eastAsia="Arial" w:hAnsi="Arial"/>
          <w:sz w:val="22"/>
          <w:szCs w:val="22"/>
          <w:b w:val="1"/>
          <w:bCs w:val="1"/>
          <w:color w:val="auto"/>
        </w:rPr>
        <w:t>Reported income from operations was $91.7 million, or 14.8% of revenue. Excluding the impact of ASC 606 income from operations was $92.8 million or 20.1% of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62" w:lineRule="exact"/>
        <w:rPr>
          <w:sz w:val="20"/>
          <w:szCs w:val="20"/>
          <w:color w:val="auto"/>
        </w:rPr>
      </w:pPr>
    </w:p>
    <w:p>
      <w:pPr>
        <w:ind w:left="540" w:right="720"/>
        <w:spacing w:after="0" w:line="256" w:lineRule="auto"/>
        <w:rPr>
          <w:sz w:val="20"/>
          <w:szCs w:val="20"/>
          <w:color w:val="auto"/>
        </w:rPr>
      </w:pPr>
      <w:r>
        <w:rPr>
          <w:rFonts w:ascii="Arial" w:cs="Arial" w:eastAsia="Arial" w:hAnsi="Arial"/>
          <w:sz w:val="22"/>
          <w:szCs w:val="22"/>
          <w:b w:val="1"/>
          <w:bCs w:val="1"/>
          <w:color w:val="auto"/>
        </w:rPr>
        <w:t>Reported earnings per share of $1.42. Excluding the impact of ASC 606, earnings per share of $1.44, an 11.6% increase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62" w:lineRule="exact"/>
        <w:rPr>
          <w:sz w:val="20"/>
          <w:szCs w:val="20"/>
          <w:color w:val="auto"/>
        </w:rPr>
      </w:pPr>
    </w:p>
    <w:p>
      <w:pPr>
        <w:ind w:left="540" w:right="680"/>
        <w:spacing w:after="0" w:line="256" w:lineRule="auto"/>
        <w:rPr>
          <w:sz w:val="20"/>
          <w:szCs w:val="20"/>
          <w:color w:val="auto"/>
        </w:rPr>
      </w:pPr>
      <w:r>
        <w:rPr>
          <w:rFonts w:ascii="Arial" w:cs="Arial" w:eastAsia="Arial" w:hAnsi="Arial"/>
          <w:sz w:val="22"/>
          <w:szCs w:val="22"/>
          <w:b w:val="1"/>
          <w:bCs w:val="1"/>
          <w:color w:val="auto"/>
        </w:rPr>
        <w:t>Earnings guidance increased by $0.02 to reflect quarter 1 share repurchases to $5.91 - $6.11. Revenue guidance reconfirmed in the range of $2,520 - $2,640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43" w:lineRule="exact"/>
        <w:rPr>
          <w:sz w:val="20"/>
          <w:szCs w:val="20"/>
          <w:color w:val="auto"/>
        </w:rPr>
      </w:pPr>
    </w:p>
    <w:p>
      <w:pPr>
        <w:jc w:val="both"/>
        <w:ind w:right="360"/>
        <w:spacing w:after="0" w:line="243" w:lineRule="auto"/>
        <w:rPr>
          <w:sz w:val="20"/>
          <w:szCs w:val="20"/>
          <w:color w:val="auto"/>
        </w:rPr>
      </w:pPr>
      <w:r>
        <w:rPr>
          <w:rFonts w:ascii="Arial" w:cs="Arial" w:eastAsia="Arial" w:hAnsi="Arial"/>
          <w:sz w:val="22"/>
          <w:szCs w:val="22"/>
          <w:color w:val="auto"/>
        </w:rPr>
        <w:t>DUBLIN--(BUSINESS WIRE)--May 2, 2018--</w:t>
      </w:r>
      <w:r>
        <w:rPr>
          <w:rFonts w:ascii="Arial" w:cs="Arial" w:eastAsia="Arial" w:hAnsi="Arial"/>
          <w:sz w:val="22"/>
          <w:szCs w:val="22"/>
          <w:b w:val="1"/>
          <w:bCs w:val="1"/>
          <w:color w:val="auto"/>
        </w:rPr>
        <w:t>ICON plc (NASDAQ: ICLR),</w:t>
      </w:r>
      <w:r>
        <w:rPr>
          <w:rFonts w:ascii="Arial" w:cs="Arial" w:eastAsia="Arial" w:hAnsi="Arial"/>
          <w:sz w:val="22"/>
          <w:szCs w:val="22"/>
          <w:color w:val="auto"/>
        </w:rPr>
        <w:t xml:space="preserve"> a global provider of drug development solutions and services to the pharmaceutical, biotechnology and medical device industries, today reported its financial results for the first quarter ended March 31, 2018.</w:t>
      </w:r>
    </w:p>
    <w:p>
      <w:pPr>
        <w:spacing w:after="0" w:line="183"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 xml:space="preserve">CEO Dr. Steve Cutler commented, </w:t>
      </w:r>
      <w:r>
        <w:rPr>
          <w:rFonts w:ascii="Arial" w:cs="Arial" w:eastAsia="Arial" w:hAnsi="Arial"/>
          <w:sz w:val="19"/>
          <w:szCs w:val="19"/>
          <w:i w:val="1"/>
          <w:iCs w:val="1"/>
          <w:color w:val="auto"/>
        </w:rPr>
        <w:t>“I am very pleased with the solid start we have made to 2018. The strong market demand for all</w:t>
      </w:r>
      <w:r>
        <w:rPr>
          <w:rFonts w:ascii="Arial" w:cs="Arial" w:eastAsia="Arial" w:hAnsi="Arial"/>
          <w:sz w:val="19"/>
          <w:szCs w:val="19"/>
          <w:color w:val="auto"/>
        </w:rPr>
        <w:t xml:space="preserve"> </w:t>
      </w:r>
      <w:r>
        <w:rPr>
          <w:rFonts w:ascii="Arial" w:cs="Arial" w:eastAsia="Arial" w:hAnsi="Arial"/>
          <w:sz w:val="19"/>
          <w:szCs w:val="19"/>
          <w:i w:val="1"/>
          <w:iCs w:val="1"/>
          <w:color w:val="auto"/>
        </w:rPr>
        <w:t>CRO services seen throughout 2017 has continued into this year. During the first quarter we were awarded net business wins of $590 million, a book to bill of 1.28. Revenue grew by over 7% year on year and, along with the continued leverage of our best in industry support departments, we delivered further value to our shareholders with earnings per share increasing by 11.6% to $1.44. During the quarter we completed a further $38 million of our share repurchase program and as a result we are increasing our earnings guidance by $0.02 to $5.91 - $6.11, and reconfirming our revenue in the range of $2,520 - $2,640 million.”</w:t>
      </w:r>
    </w:p>
    <w:p>
      <w:pPr>
        <w:spacing w:after="0" w:line="14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First Quarter 2018 Results</w:t>
      </w:r>
    </w:p>
    <w:p>
      <w:pPr>
        <w:spacing w:after="0" w:line="212" w:lineRule="exact"/>
        <w:rPr>
          <w:sz w:val="20"/>
          <w:szCs w:val="20"/>
          <w:color w:val="auto"/>
        </w:rPr>
      </w:pPr>
    </w:p>
    <w:p>
      <w:pPr>
        <w:spacing w:after="0"/>
        <w:rPr>
          <w:sz w:val="20"/>
          <w:szCs w:val="20"/>
          <w:color w:val="auto"/>
        </w:rPr>
      </w:pPr>
      <w:r>
        <w:rPr>
          <w:rFonts w:ascii="Arial" w:cs="Arial" w:eastAsia="Arial" w:hAnsi="Arial"/>
          <w:sz w:val="19"/>
          <w:szCs w:val="19"/>
          <w:color w:val="auto"/>
        </w:rPr>
        <w:t>Excluding the impact of ASC 606, gross business wins in the first quarter were $703 million and cancellations were $113 million.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This resulted in net business wins of $590 million, a book to bill of 1.28.</w:t>
      </w:r>
    </w:p>
    <w:p>
      <w:pPr>
        <w:spacing w:after="0" w:line="188" w:lineRule="exact"/>
        <w:rPr>
          <w:sz w:val="20"/>
          <w:szCs w:val="20"/>
          <w:color w:val="auto"/>
        </w:rPr>
      </w:pPr>
    </w:p>
    <w:p>
      <w:pPr>
        <w:ind w:right="620"/>
        <w:spacing w:after="0" w:line="251" w:lineRule="auto"/>
        <w:rPr>
          <w:sz w:val="20"/>
          <w:szCs w:val="20"/>
          <w:color w:val="auto"/>
        </w:rPr>
      </w:pPr>
      <w:r>
        <w:rPr>
          <w:rFonts w:ascii="Arial" w:cs="Arial" w:eastAsia="Arial" w:hAnsi="Arial"/>
          <w:sz w:val="22"/>
          <w:szCs w:val="22"/>
          <w:color w:val="auto"/>
        </w:rPr>
        <w:t>Reported revenue for quarter 1 was $620.1 million. Excluding the impact of ASC 606, quarter 1 revenue increased to $462.6 million from $432.0 million in the same quarter last year, an increase of 7.1%.</w:t>
      </w:r>
    </w:p>
    <w:p>
      <w:pPr>
        <w:spacing w:after="0" w:line="173" w:lineRule="exact"/>
        <w:rPr>
          <w:sz w:val="20"/>
          <w:szCs w:val="20"/>
          <w:color w:val="auto"/>
        </w:rPr>
      </w:pPr>
    </w:p>
    <w:p>
      <w:pPr>
        <w:ind w:right="160"/>
        <w:spacing w:after="0"/>
        <w:rPr>
          <w:sz w:val="20"/>
          <w:szCs w:val="20"/>
          <w:color w:val="auto"/>
        </w:rPr>
      </w:pPr>
      <w:r>
        <w:rPr>
          <w:rFonts w:ascii="Arial" w:cs="Arial" w:eastAsia="Arial" w:hAnsi="Arial"/>
          <w:sz w:val="22"/>
          <w:szCs w:val="22"/>
          <w:color w:val="auto"/>
        </w:rPr>
        <w:t>Income from operations in the quarter was $91.7 million or 14.8% of revenue. Excluding the impact of ASC 606, income from operations increased by 8.3% to $92.8 million, or 20.1% of revenue, compared to $85.7 million or 19.8% for the same quarter last year.</w:t>
      </w:r>
    </w:p>
    <w:p>
      <w:pPr>
        <w:spacing w:after="0" w:line="186" w:lineRule="exact"/>
        <w:rPr>
          <w:sz w:val="20"/>
          <w:szCs w:val="20"/>
          <w:color w:val="auto"/>
        </w:rPr>
      </w:pPr>
    </w:p>
    <w:p>
      <w:pPr>
        <w:ind w:right="780"/>
        <w:spacing w:after="0" w:line="274" w:lineRule="auto"/>
        <w:rPr>
          <w:sz w:val="20"/>
          <w:szCs w:val="20"/>
          <w:color w:val="auto"/>
        </w:rPr>
      </w:pPr>
      <w:r>
        <w:rPr>
          <w:rFonts w:ascii="Arial" w:cs="Arial" w:eastAsia="Arial" w:hAnsi="Arial"/>
          <w:sz w:val="21"/>
          <w:szCs w:val="21"/>
          <w:color w:val="auto"/>
        </w:rPr>
        <w:t>Reported net income for the quarter was $78.1 million or 12.6% of revenue. Excluding the impact of ASC 606, net income increased by 10.7% to $79.0 million, compared with $71.4 million in the same quarter last year.</w:t>
      </w:r>
    </w:p>
    <w:p>
      <w:pPr>
        <w:spacing w:after="0" w:line="151" w:lineRule="exact"/>
        <w:rPr>
          <w:sz w:val="20"/>
          <w:szCs w:val="20"/>
          <w:color w:val="auto"/>
        </w:rPr>
      </w:pPr>
    </w:p>
    <w:p>
      <w:pPr>
        <w:ind w:right="580"/>
        <w:spacing w:after="0" w:line="274" w:lineRule="auto"/>
        <w:rPr>
          <w:sz w:val="20"/>
          <w:szCs w:val="20"/>
          <w:color w:val="auto"/>
        </w:rPr>
      </w:pPr>
      <w:r>
        <w:rPr>
          <w:rFonts w:ascii="Arial" w:cs="Arial" w:eastAsia="Arial" w:hAnsi="Arial"/>
          <w:sz w:val="21"/>
          <w:szCs w:val="21"/>
          <w:color w:val="auto"/>
        </w:rPr>
        <w:t>Reported earnings per share on a diluted basis was $1.42. Excluding the impact of ASC 606, diluted earnings per share in the quarter increased by 11.6% to $1.44, compared to $1.29 per share for the same quarter last year.</w:t>
      </w:r>
    </w:p>
    <w:p>
      <w:pPr>
        <w:spacing w:after="0" w:line="151"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We continued our share repurchase program in the quarter, buying $38.2 million worth of stock at an average price of $110.71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111125</wp:posOffset>
            </wp:positionV>
            <wp:extent cx="7272020" cy="596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jc w:val="both"/>
        <w:ind w:right="80"/>
        <w:spacing w:after="0" w:line="274" w:lineRule="auto"/>
        <w:rPr>
          <w:sz w:val="20"/>
          <w:szCs w:val="20"/>
          <w:color w:val="auto"/>
        </w:rPr>
      </w:pPr>
      <w:r>
        <w:rPr>
          <w:rFonts w:ascii="Arial" w:cs="Arial" w:eastAsia="Arial" w:hAnsi="Arial"/>
          <w:sz w:val="21"/>
          <w:szCs w:val="21"/>
          <w:color w:val="auto"/>
        </w:rPr>
        <w:t>Days sales outstanding, comprising accounts receivable and unbilled revenue less payments on account, were 51 days at March 31, 2018, compared with 49 days at the end of December 2017 and 47 days at the end of March 2017.</w:t>
      </w:r>
    </w:p>
    <w:p>
      <w:pPr>
        <w:spacing w:after="0" w:line="151" w:lineRule="exact"/>
        <w:rPr>
          <w:sz w:val="20"/>
          <w:szCs w:val="20"/>
          <w:color w:val="auto"/>
        </w:rPr>
      </w:pPr>
    </w:p>
    <w:p>
      <w:pPr>
        <w:jc w:val="both"/>
        <w:ind w:right="60"/>
        <w:spacing w:after="0"/>
        <w:rPr>
          <w:sz w:val="20"/>
          <w:szCs w:val="20"/>
          <w:color w:val="auto"/>
        </w:rPr>
      </w:pPr>
      <w:r>
        <w:rPr>
          <w:rFonts w:ascii="Arial" w:cs="Arial" w:eastAsia="Arial" w:hAnsi="Arial"/>
          <w:sz w:val="22"/>
          <w:szCs w:val="22"/>
          <w:color w:val="auto"/>
        </w:rPr>
        <w:t>Cash generated from operating activities for the quarter was $40.5 million. Capital expenditure for the quarter was $8.3 million. As a result, at March 31, 2018, the company had net cash of $4.6 million, compared to net cash of $11.6 million at December 31, 2017 and net debt of $29.6 million at the end of March 2017.</w:t>
      </w:r>
    </w:p>
    <w:p>
      <w:pPr>
        <w:spacing w:after="0" w:line="186" w:lineRule="exact"/>
        <w:rPr>
          <w:sz w:val="20"/>
          <w:szCs w:val="20"/>
          <w:color w:val="auto"/>
        </w:rPr>
      </w:pPr>
    </w:p>
    <w:p>
      <w:pPr>
        <w:ind w:right="300"/>
        <w:spacing w:after="0" w:line="235" w:lineRule="auto"/>
        <w:rPr>
          <w:sz w:val="20"/>
          <w:szCs w:val="20"/>
          <w:color w:val="auto"/>
        </w:rPr>
      </w:pPr>
      <w:r>
        <w:rPr>
          <w:rFonts w:ascii="Arial" w:cs="Arial" w:eastAsia="Arial" w:hAnsi="Arial"/>
          <w:sz w:val="22"/>
          <w:szCs w:val="22"/>
          <w:color w:val="auto"/>
        </w:rPr>
        <w:t>The new revenue recognition standard (ASU No. 2014-09) ‘Revenue from Contracts with Customers’) is effective for ICON plc from January 1, 2018. ICON has elected to adopt the new standard under the cumulative effect transition method. Under this transition method, the new standard is applied from January 1, 2018 without restatement of comparative period amounts. The cumulative effect of initially applying the new standard is reflected as an adjustment to opening equity at the date of application. Results for the three months ended March 2017 are therefore presented under the previous revenue recognition accounting principles.</w:t>
      </w:r>
    </w:p>
    <w:p>
      <w:pPr>
        <w:spacing w:after="0" w:line="188" w:lineRule="exact"/>
        <w:rPr>
          <w:sz w:val="20"/>
          <w:szCs w:val="20"/>
          <w:color w:val="auto"/>
        </w:rPr>
      </w:pPr>
    </w:p>
    <w:p>
      <w:pPr>
        <w:jc w:val="both"/>
        <w:ind w:right="360"/>
        <w:spacing w:after="0" w:line="287" w:lineRule="auto"/>
        <w:rPr>
          <w:sz w:val="20"/>
          <w:szCs w:val="20"/>
          <w:color w:val="auto"/>
        </w:rPr>
      </w:pPr>
      <w:r>
        <w:rPr>
          <w:rFonts w:ascii="Arial" w:cs="Arial" w:eastAsia="Arial" w:hAnsi="Arial"/>
          <w:sz w:val="19"/>
          <w:szCs w:val="19"/>
          <w:color w:val="auto"/>
        </w:rPr>
        <w:t>In addition to the financial measures prepared in accordance with generally accepted accounting principles (GAAP), this press release contains certain non-GAAP financial measures, including non-GAAP operating and net income and non-GAAP diluted earnings per share. While non-GAAP financial measures are not superior to or a substitute for the comparable GAAP measures, ICON believes certain non-GAAP information is useful to investors for historical comparison purposes.</w:t>
      </w:r>
    </w:p>
    <w:p>
      <w:pPr>
        <w:spacing w:after="0" w:line="143" w:lineRule="exact"/>
        <w:rPr>
          <w:sz w:val="20"/>
          <w:szCs w:val="20"/>
          <w:color w:val="auto"/>
        </w:rPr>
      </w:pPr>
    </w:p>
    <w:p>
      <w:pPr>
        <w:ind w:right="140"/>
        <w:spacing w:after="0" w:line="252" w:lineRule="auto"/>
        <w:rPr>
          <w:sz w:val="20"/>
          <w:szCs w:val="20"/>
          <w:color w:val="auto"/>
        </w:rPr>
      </w:pPr>
      <w:r>
        <w:rPr>
          <w:rFonts w:ascii="Arial" w:cs="Arial" w:eastAsia="Arial" w:hAnsi="Arial"/>
          <w:sz w:val="21"/>
          <w:szCs w:val="21"/>
          <w:color w:val="auto"/>
        </w:rPr>
        <w:t xml:space="preserve">ICON will hold its first quarter conference call tomorrow, May 3, 2018 at 09:00 EDT [14:00 Ireland &amp; UK]. This call and linked slide presentation can be accessed live from our website at </w:t>
      </w:r>
      <w:r>
        <w:rPr>
          <w:rFonts w:ascii="Arial" w:cs="Arial" w:eastAsia="Arial" w:hAnsi="Arial"/>
          <w:sz w:val="21"/>
          <w:szCs w:val="21"/>
          <w:u w:val="single" w:color="auto"/>
          <w:color w:val="auto"/>
        </w:rPr>
        <w:t>http://investor.iconplc.com</w:t>
      </w:r>
      <w:r>
        <w:rPr>
          <w:rFonts w:ascii="Arial" w:cs="Arial" w:eastAsia="Arial" w:hAnsi="Arial"/>
          <w:sz w:val="21"/>
          <w:szCs w:val="21"/>
          <w:color w:val="auto"/>
        </w:rPr>
        <w:t>. A recording will also be available on the website for 90 days following the call. In addition, a calendar of company events, including upcoming conference presentations, is available on our website, under “Investors”. This calendar will be updated regularly.</w:t>
      </w:r>
    </w:p>
    <w:p>
      <w:pPr>
        <w:spacing w:after="0" w:line="174" w:lineRule="exact"/>
        <w:rPr>
          <w:sz w:val="20"/>
          <w:szCs w:val="20"/>
          <w:color w:val="auto"/>
        </w:rPr>
      </w:pPr>
    </w:p>
    <w:p>
      <w:pPr>
        <w:spacing w:after="0" w:line="271" w:lineRule="auto"/>
        <w:rPr>
          <w:sz w:val="20"/>
          <w:szCs w:val="20"/>
          <w:color w:val="auto"/>
        </w:rPr>
      </w:pPr>
      <w:r>
        <w:rPr>
          <w:rFonts w:ascii="Arial" w:cs="Arial" w:eastAsia="Arial" w:hAnsi="Arial"/>
          <w:sz w:val="19"/>
          <w:szCs w:val="19"/>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u w:val="single" w:color="auto"/>
          <w:color w:val="auto"/>
        </w:rPr>
        <w:t>http://www.sec.gov</w:t>
      </w:r>
      <w:r>
        <w:rPr>
          <w:rFonts w:ascii="Arial" w:cs="Arial" w:eastAsia="Arial" w:hAnsi="Arial"/>
          <w:sz w:val="19"/>
          <w:szCs w:val="19"/>
          <w:color w:val="auto"/>
        </w:rPr>
        <w:t>.</w:t>
      </w:r>
    </w:p>
    <w:p>
      <w:pPr>
        <w:spacing w:after="0" w:line="165" w:lineRule="exact"/>
        <w:rPr>
          <w:sz w:val="20"/>
          <w:szCs w:val="20"/>
          <w:color w:val="auto"/>
        </w:rPr>
      </w:pPr>
    </w:p>
    <w:p>
      <w:pPr>
        <w:ind w:right="60"/>
        <w:spacing w:after="0" w:line="236" w:lineRule="auto"/>
        <w:rPr>
          <w:sz w:val="20"/>
          <w:szCs w:val="20"/>
          <w:color w:val="auto"/>
        </w:rPr>
      </w:pPr>
      <w:r>
        <w:rPr>
          <w:rFonts w:ascii="Arial" w:cs="Arial" w:eastAsia="Arial" w:hAnsi="Arial"/>
          <w:sz w:val="22"/>
          <w:szCs w:val="22"/>
          <w:color w:val="auto"/>
        </w:rPr>
        <w:t xml:space="preserve">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currently, operates from 98 locations in 38 countries and has approximately 13,380 employees. Further information is available at </w:t>
      </w:r>
      <w:r>
        <w:rPr>
          <w:rFonts w:ascii="Arial" w:cs="Arial" w:eastAsia="Arial" w:hAnsi="Arial"/>
          <w:sz w:val="22"/>
          <w:szCs w:val="22"/>
          <w:u w:val="single" w:color="auto"/>
          <w:color w:val="auto"/>
        </w:rPr>
        <w:t>www.iconplc.com</w:t>
      </w:r>
      <w:r>
        <w:rPr>
          <w:rFonts w:ascii="Arial" w:cs="Arial" w:eastAsia="Arial" w:hAnsi="Arial"/>
          <w:sz w:val="22"/>
          <w:szCs w:val="22"/>
          <w:color w:val="auto"/>
        </w:rPr>
        <w:t>.</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Source: ICON plc</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135890</wp:posOffset>
            </wp:positionV>
            <wp:extent cx="7272020" cy="596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5" w:name="page6"/>
    <w:bookmarkEnd w:id="5"/>
    <w:p>
      <w:pPr>
        <w:jc w:val="center"/>
        <w:ind w:right="40"/>
        <w:spacing w:after="0"/>
        <w:rPr>
          <w:sz w:val="20"/>
          <w:szCs w:val="20"/>
          <w:color w:val="auto"/>
        </w:rPr>
      </w:pPr>
      <w:r>
        <w:rPr>
          <w:rFonts w:ascii="Arial" w:cs="Arial" w:eastAsia="Arial" w:hAnsi="Arial"/>
          <w:sz w:val="22"/>
          <w:szCs w:val="22"/>
          <w:b w:val="1"/>
          <w:bCs w:val="1"/>
          <w:color w:val="auto"/>
        </w:rPr>
        <w:t>ICON plc</w:t>
      </w:r>
    </w:p>
    <w:p>
      <w:pPr>
        <w:spacing w:after="0" w:line="5"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Condensed Consolidated Statements of Operations</w:t>
      </w:r>
    </w:p>
    <w:p>
      <w:pPr>
        <w:jc w:val="center"/>
        <w:ind w:right="40"/>
        <w:spacing w:after="0" w:line="230" w:lineRule="auto"/>
        <w:rPr>
          <w:sz w:val="20"/>
          <w:szCs w:val="20"/>
          <w:color w:val="auto"/>
        </w:rPr>
      </w:pPr>
      <w:r>
        <w:rPr>
          <w:rFonts w:ascii="Arial" w:cs="Arial" w:eastAsia="Arial" w:hAnsi="Arial"/>
          <w:sz w:val="22"/>
          <w:szCs w:val="22"/>
          <w:b w:val="1"/>
          <w:bCs w:val="1"/>
          <w:color w:val="auto"/>
        </w:rPr>
        <w:t>Three Months ended March 31, 2018 and March 31, 2017</w:t>
      </w:r>
    </w:p>
    <w:p>
      <w:pPr>
        <w:jc w:val="center"/>
        <w:ind w:right="40"/>
        <w:spacing w:after="0" w:line="231" w:lineRule="auto"/>
        <w:rPr>
          <w:sz w:val="20"/>
          <w:szCs w:val="20"/>
          <w:color w:val="auto"/>
        </w:rPr>
      </w:pPr>
      <w:r>
        <w:rPr>
          <w:rFonts w:ascii="Arial" w:cs="Arial" w:eastAsia="Arial" w:hAnsi="Arial"/>
          <w:sz w:val="22"/>
          <w:szCs w:val="22"/>
          <w:b w:val="1"/>
          <w:bCs w:val="1"/>
          <w:color w:val="auto"/>
        </w:rPr>
        <w:t>(Dollars, in thousands, except share and per share data)</w:t>
      </w:r>
    </w:p>
    <w:p>
      <w:pPr>
        <w:jc w:val="center"/>
        <w:spacing w:after="0"/>
        <w:rPr>
          <w:sz w:val="20"/>
          <w:szCs w:val="20"/>
          <w:color w:val="auto"/>
        </w:rPr>
      </w:pPr>
      <w:r>
        <w:rPr>
          <w:rFonts w:ascii="Arial" w:cs="Arial" w:eastAsia="Arial" w:hAnsi="Arial"/>
          <w:sz w:val="22"/>
          <w:szCs w:val="22"/>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5860" w:type="dxa"/>
            <w:vAlign w:val="bottom"/>
          </w:tcPr>
          <w:p>
            <w:pPr>
              <w:spacing w:after="0"/>
              <w:rPr>
                <w:sz w:val="15"/>
                <w:szCs w:val="15"/>
                <w:color w:val="auto"/>
              </w:rPr>
            </w:pPr>
          </w:p>
        </w:tc>
        <w:tc>
          <w:tcPr>
            <w:tcW w:w="25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380" w:type="dxa"/>
            <w:vAlign w:val="bottom"/>
            <w:gridSpan w:val="8"/>
          </w:tcPr>
          <w:p>
            <w:pPr>
              <w:ind w:left="60"/>
              <w:spacing w:after="0"/>
              <w:rPr>
                <w:sz w:val="20"/>
                <w:szCs w:val="20"/>
                <w:color w:val="auto"/>
              </w:rPr>
            </w:pPr>
            <w:r>
              <w:rPr>
                <w:rFonts w:ascii="Arial" w:cs="Arial" w:eastAsia="Arial" w:hAnsi="Arial"/>
                <w:sz w:val="14"/>
                <w:szCs w:val="14"/>
                <w:b w:val="1"/>
                <w:bCs w:val="1"/>
                <w:color w:val="auto"/>
              </w:rPr>
              <w:t>Three Months Ended</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5860" w:type="dxa"/>
            <w:vAlign w:val="bottom"/>
          </w:tcPr>
          <w:p>
            <w:pPr>
              <w:spacing w:after="0"/>
              <w:rPr>
                <w:sz w:val="13"/>
                <w:szCs w:val="13"/>
                <w:color w:val="auto"/>
              </w:rPr>
            </w:pPr>
          </w:p>
        </w:tc>
        <w:tc>
          <w:tcPr>
            <w:tcW w:w="3740" w:type="dxa"/>
            <w:vAlign w:val="bottom"/>
            <w:gridSpan w:val="7"/>
          </w:tcPr>
          <w:p>
            <w:pPr>
              <w:jc w:val="center"/>
              <w:ind w:left="1748"/>
              <w:spacing w:after="0" w:line="158" w:lineRule="exact"/>
              <w:rPr>
                <w:sz w:val="20"/>
                <w:szCs w:val="20"/>
                <w:color w:val="auto"/>
              </w:rPr>
            </w:pPr>
            <w:r>
              <w:rPr>
                <w:rFonts w:ascii="Arial" w:cs="Arial" w:eastAsia="Arial" w:hAnsi="Arial"/>
                <w:sz w:val="14"/>
                <w:szCs w:val="14"/>
                <w:b w:val="1"/>
                <w:bCs w:val="1"/>
                <w:color w:val="auto"/>
                <w:w w:val="96"/>
              </w:rPr>
              <w:t>March</w:t>
            </w:r>
          </w:p>
        </w:tc>
        <w:tc>
          <w:tcPr>
            <w:tcW w:w="1660" w:type="dxa"/>
            <w:vAlign w:val="bottom"/>
            <w:gridSpan w:val="7"/>
          </w:tcPr>
          <w:p>
            <w:pPr>
              <w:ind w:left="720"/>
              <w:spacing w:after="0" w:line="158" w:lineRule="exact"/>
              <w:rPr>
                <w:sz w:val="20"/>
                <w:szCs w:val="20"/>
                <w:color w:val="auto"/>
              </w:rPr>
            </w:pPr>
            <w:r>
              <w:rPr>
                <w:rFonts w:ascii="Arial" w:cs="Arial" w:eastAsia="Arial" w:hAnsi="Arial"/>
                <w:sz w:val="14"/>
                <w:szCs w:val="14"/>
                <w:b w:val="1"/>
                <w:bCs w:val="1"/>
                <w:color w:val="auto"/>
              </w:rPr>
              <w:t>March</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586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20" w:type="dxa"/>
            <w:vAlign w:val="bottom"/>
            <w:tcBorders>
              <w:top w:val="single" w:sz="8" w:color="auto"/>
            </w:tcBorders>
            <w:gridSpan w:val="2"/>
          </w:tcPr>
          <w:p>
            <w:pPr>
              <w:spacing w:after="0"/>
              <w:rPr>
                <w:sz w:val="11"/>
                <w:szCs w:val="11"/>
                <w:color w:val="auto"/>
              </w:rPr>
            </w:pPr>
          </w:p>
        </w:tc>
        <w:tc>
          <w:tcPr>
            <w:tcW w:w="180" w:type="dxa"/>
            <w:vAlign w:val="bottom"/>
            <w:tcBorders>
              <w:top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81"/>
              </w:rPr>
              <w:t>31,</w:t>
            </w:r>
          </w:p>
        </w:tc>
        <w:tc>
          <w:tcPr>
            <w:tcW w:w="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Borders>
              <w:top w:val="single" w:sz="8" w:color="auto"/>
            </w:tcBorders>
            <w:gridSpan w:val="2"/>
          </w:tcPr>
          <w:p>
            <w:pPr>
              <w:spacing w:after="0"/>
              <w:rPr>
                <w:sz w:val="11"/>
                <w:szCs w:val="11"/>
                <w:color w:val="auto"/>
              </w:rPr>
            </w:pPr>
          </w:p>
        </w:tc>
        <w:tc>
          <w:tcPr>
            <w:tcW w:w="240" w:type="dxa"/>
            <w:vAlign w:val="bottom"/>
            <w:tcBorders>
              <w:top w:val="single" w:sz="8" w:color="auto"/>
            </w:tcBorders>
            <w:gridSpan w:val="2"/>
          </w:tcPr>
          <w:p>
            <w:pPr>
              <w:jc w:val="center"/>
              <w:ind w:right="60"/>
              <w:spacing w:after="0" w:line="129" w:lineRule="exact"/>
              <w:rPr>
                <w:sz w:val="20"/>
                <w:szCs w:val="20"/>
                <w:color w:val="auto"/>
              </w:rPr>
            </w:pPr>
            <w:r>
              <w:rPr>
                <w:rFonts w:ascii="Arial" w:cs="Arial" w:eastAsia="Arial" w:hAnsi="Arial"/>
                <w:sz w:val="14"/>
                <w:szCs w:val="14"/>
                <w:b w:val="1"/>
                <w:bCs w:val="1"/>
                <w:color w:val="auto"/>
                <w:w w:val="92"/>
              </w:rPr>
              <w:t>31,</w:t>
            </w:r>
          </w:p>
        </w:tc>
        <w:tc>
          <w:tcPr>
            <w:tcW w:w="80" w:type="dxa"/>
            <w:vAlign w:val="bottom"/>
            <w:tcBorders>
              <w:top w:val="single" w:sz="8" w:color="auto"/>
            </w:tcBorders>
          </w:tcPr>
          <w:p>
            <w:pPr>
              <w:spacing w:after="0"/>
              <w:rPr>
                <w:sz w:val="11"/>
                <w:szCs w:val="11"/>
                <w:color w:val="auto"/>
              </w:rPr>
            </w:pPr>
          </w:p>
        </w:tc>
        <w:tc>
          <w:tcPr>
            <w:tcW w:w="5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5860" w:type="dxa"/>
            <w:vAlign w:val="bottom"/>
          </w:tcPr>
          <w:p>
            <w:pPr>
              <w:spacing w:after="0" w:line="20" w:lineRule="exact"/>
              <w:rPr>
                <w:sz w:val="1"/>
                <w:szCs w:val="1"/>
                <w:color w:val="auto"/>
              </w:rPr>
            </w:pPr>
          </w:p>
        </w:tc>
        <w:tc>
          <w:tcPr>
            <w:tcW w:w="26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5860" w:type="dxa"/>
            <w:vAlign w:val="bottom"/>
            <w:vMerge w:val="restart"/>
          </w:tcPr>
          <w:p>
            <w:pPr>
              <w:spacing w:after="0"/>
              <w:rPr>
                <w:sz w:val="20"/>
                <w:szCs w:val="20"/>
                <w:color w:val="auto"/>
              </w:rPr>
            </w:pPr>
            <w:r>
              <w:rPr>
                <w:rFonts w:ascii="Arial" w:cs="Arial" w:eastAsia="Arial" w:hAnsi="Arial"/>
                <w:sz w:val="14"/>
                <w:szCs w:val="14"/>
                <w:b w:val="1"/>
                <w:bCs w:val="1"/>
                <w:color w:val="auto"/>
              </w:rPr>
              <w:t>Revenue:</w:t>
            </w:r>
          </w:p>
        </w:tc>
        <w:tc>
          <w:tcPr>
            <w:tcW w:w="2940" w:type="dxa"/>
            <w:vAlign w:val="bottom"/>
            <w:gridSpan w:val="5"/>
          </w:tcPr>
          <w:p>
            <w:pPr>
              <w:jc w:val="center"/>
              <w:ind w:left="2588"/>
              <w:spacing w:after="0" w:line="155" w:lineRule="exact"/>
              <w:rPr>
                <w:sz w:val="20"/>
                <w:szCs w:val="20"/>
                <w:color w:val="auto"/>
              </w:rPr>
            </w:pPr>
            <w:r>
              <w:rPr>
                <w:rFonts w:ascii="Arial" w:cs="Arial" w:eastAsia="Arial" w:hAnsi="Arial"/>
                <w:sz w:val="14"/>
                <w:szCs w:val="14"/>
                <w:b w:val="1"/>
                <w:bCs w:val="1"/>
                <w:color w:val="auto"/>
                <w:w w:val="89"/>
              </w:rPr>
              <w:t>2018</w:t>
            </w:r>
          </w:p>
        </w:tc>
        <w:tc>
          <w:tcPr>
            <w:tcW w:w="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80" w:type="dxa"/>
            <w:vAlign w:val="bottom"/>
            <w:gridSpan w:val="5"/>
          </w:tcPr>
          <w:p>
            <w:pPr>
              <w:jc w:val="center"/>
              <w:ind w:left="728"/>
              <w:spacing w:after="0" w:line="155" w:lineRule="exact"/>
              <w:rPr>
                <w:sz w:val="20"/>
                <w:szCs w:val="20"/>
                <w:color w:val="auto"/>
              </w:rPr>
            </w:pPr>
            <w:r>
              <w:rPr>
                <w:rFonts w:ascii="Arial" w:cs="Arial" w:eastAsia="Arial" w:hAnsi="Arial"/>
                <w:sz w:val="14"/>
                <w:szCs w:val="14"/>
                <w:b w:val="1"/>
                <w:bCs w:val="1"/>
                <w:color w:val="auto"/>
                <w:w w:val="89"/>
              </w:rPr>
              <w:t>2017</w:t>
            </w: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7"/>
        </w:trPr>
        <w:tc>
          <w:tcPr>
            <w:tcW w:w="5860" w:type="dxa"/>
            <w:vAlign w:val="bottom"/>
            <w:vMerge w:val="continue"/>
          </w:tcPr>
          <w:p>
            <w:pPr>
              <w:spacing w:after="0"/>
              <w:rPr>
                <w:sz w:val="15"/>
                <w:szCs w:val="15"/>
                <w:color w:val="auto"/>
              </w:rPr>
            </w:pPr>
          </w:p>
        </w:tc>
        <w:tc>
          <w:tcPr>
            <w:tcW w:w="25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860" w:type="dxa"/>
            <w:vAlign w:val="bottom"/>
          </w:tcPr>
          <w:p>
            <w:pPr>
              <w:ind w:left="160"/>
              <w:spacing w:after="0"/>
              <w:rPr>
                <w:sz w:val="20"/>
                <w:szCs w:val="20"/>
                <w:color w:val="auto"/>
              </w:rPr>
            </w:pPr>
            <w:r>
              <w:rPr>
                <w:rFonts w:ascii="Arial" w:cs="Arial" w:eastAsia="Arial" w:hAnsi="Arial"/>
                <w:sz w:val="14"/>
                <w:szCs w:val="14"/>
                <w:color w:val="auto"/>
              </w:rPr>
              <w:t>Revenue</w:t>
            </w:r>
          </w:p>
        </w:tc>
        <w:tc>
          <w:tcPr>
            <w:tcW w:w="3740" w:type="dxa"/>
            <w:vAlign w:val="bottom"/>
            <w:gridSpan w:val="7"/>
          </w:tcPr>
          <w:p>
            <w:pPr>
              <w:jc w:val="center"/>
              <w:ind w:left="1808"/>
              <w:spacing w:after="0"/>
              <w:rPr>
                <w:sz w:val="20"/>
                <w:szCs w:val="20"/>
                <w:color w:val="auto"/>
              </w:rPr>
            </w:pPr>
            <w:r>
              <w:rPr>
                <w:rFonts w:ascii="Arial" w:cs="Arial" w:eastAsia="Arial" w:hAnsi="Arial"/>
                <w:sz w:val="14"/>
                <w:szCs w:val="14"/>
                <w:color w:val="auto"/>
                <w:w w:val="90"/>
              </w:rPr>
              <w:t>620,125</w:t>
            </w:r>
          </w:p>
        </w:tc>
        <w:tc>
          <w:tcPr>
            <w:tcW w:w="1660" w:type="dxa"/>
            <w:vAlign w:val="bottom"/>
            <w:gridSpan w:val="7"/>
          </w:tcPr>
          <w:p>
            <w:pPr>
              <w:jc w:val="center"/>
              <w:ind w:left="148"/>
              <w:spacing w:after="0"/>
              <w:rPr>
                <w:sz w:val="20"/>
                <w:szCs w:val="20"/>
                <w:color w:val="auto"/>
              </w:rPr>
            </w:pPr>
            <w:r>
              <w:rPr>
                <w:rFonts w:ascii="Arial" w:cs="Arial" w:eastAsia="Arial" w:hAnsi="Arial"/>
                <w:sz w:val="14"/>
                <w:szCs w:val="14"/>
                <w:color w:val="auto"/>
                <w:w w:val="94"/>
              </w:rPr>
              <w:t>578,066</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586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Reimbursable expenses</w:t>
            </w:r>
          </w:p>
        </w:tc>
        <w:tc>
          <w:tcPr>
            <w:tcW w:w="2880" w:type="dxa"/>
            <w:vAlign w:val="bottom"/>
            <w:tcBorders>
              <w:bottom w:val="single" w:sz="8" w:color="auto"/>
            </w:tcBorders>
            <w:gridSpan w:val="4"/>
          </w:tcPr>
          <w:p>
            <w:pPr>
              <w:jc w:val="center"/>
              <w:ind w:left="2648"/>
              <w:spacing w:after="0"/>
              <w:rPr>
                <w:sz w:val="20"/>
                <w:szCs w:val="20"/>
                <w:color w:val="auto"/>
              </w:rPr>
            </w:pPr>
            <w:r>
              <w:rPr>
                <w:rFonts w:ascii="Arial" w:cs="Arial" w:eastAsia="Arial" w:hAnsi="Arial"/>
                <w:sz w:val="14"/>
                <w:szCs w:val="14"/>
                <w:color w:val="auto"/>
                <w:w w:val="84"/>
              </w:rPr>
              <w:t>-</w:t>
            </w:r>
          </w:p>
        </w:tc>
        <w:tc>
          <w:tcPr>
            <w:tcW w:w="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166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3"/>
              </w:rPr>
              <w:t>(146,112)</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6"/>
        </w:trPr>
        <w:tc>
          <w:tcPr>
            <w:tcW w:w="586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60" w:type="dxa"/>
            <w:vAlign w:val="bottom"/>
            <w:gridSpan w:val="7"/>
          </w:tcPr>
          <w:p>
            <w:pPr>
              <w:jc w:val="center"/>
              <w:ind w:left="148"/>
              <w:spacing w:after="0"/>
              <w:rPr>
                <w:sz w:val="20"/>
                <w:szCs w:val="20"/>
                <w:color w:val="auto"/>
              </w:rPr>
            </w:pPr>
            <w:r>
              <w:rPr>
                <w:rFonts w:ascii="Arial" w:cs="Arial" w:eastAsia="Arial" w:hAnsi="Arial"/>
                <w:sz w:val="14"/>
                <w:szCs w:val="14"/>
                <w:color w:val="auto"/>
                <w:w w:val="94"/>
              </w:rPr>
              <w:t>431,954</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5860" w:type="dxa"/>
            <w:vAlign w:val="bottom"/>
          </w:tcPr>
          <w:p>
            <w:pPr>
              <w:spacing w:after="0"/>
              <w:rPr>
                <w:sz w:val="20"/>
                <w:szCs w:val="20"/>
                <w:color w:val="auto"/>
              </w:rPr>
            </w:pPr>
            <w:r>
              <w:rPr>
                <w:rFonts w:ascii="Arial" w:cs="Arial" w:eastAsia="Arial" w:hAnsi="Arial"/>
                <w:sz w:val="14"/>
                <w:szCs w:val="14"/>
                <w:b w:val="1"/>
                <w:bCs w:val="1"/>
                <w:color w:val="auto"/>
              </w:rPr>
              <w:t>Costs and expenses:</w:t>
            </w:r>
          </w:p>
        </w:tc>
        <w:tc>
          <w:tcPr>
            <w:tcW w:w="2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5860" w:type="dxa"/>
            <w:vAlign w:val="bottom"/>
          </w:tcPr>
          <w:p>
            <w:pPr>
              <w:ind w:left="160"/>
              <w:spacing w:after="0"/>
              <w:rPr>
                <w:sz w:val="20"/>
                <w:szCs w:val="20"/>
                <w:color w:val="auto"/>
              </w:rPr>
            </w:pPr>
            <w:r>
              <w:rPr>
                <w:rFonts w:ascii="Arial" w:cs="Arial" w:eastAsia="Arial" w:hAnsi="Arial"/>
                <w:sz w:val="14"/>
                <w:szCs w:val="14"/>
                <w:color w:val="auto"/>
              </w:rPr>
              <w:t>Direct costs</w:t>
            </w:r>
          </w:p>
        </w:tc>
        <w:tc>
          <w:tcPr>
            <w:tcW w:w="25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860" w:type="dxa"/>
            <w:vAlign w:val="bottom"/>
          </w:tcPr>
          <w:p>
            <w:pPr>
              <w:ind w:left="280"/>
              <w:spacing w:after="0"/>
              <w:rPr>
                <w:sz w:val="20"/>
                <w:szCs w:val="20"/>
                <w:color w:val="auto"/>
              </w:rPr>
            </w:pPr>
            <w:r>
              <w:rPr>
                <w:rFonts w:ascii="Arial" w:cs="Arial" w:eastAsia="Arial" w:hAnsi="Arial"/>
                <w:sz w:val="14"/>
                <w:szCs w:val="14"/>
                <w:color w:val="auto"/>
              </w:rPr>
              <w:t>- Reimbursable expenses</w:t>
            </w:r>
          </w:p>
        </w:tc>
        <w:tc>
          <w:tcPr>
            <w:tcW w:w="3740" w:type="dxa"/>
            <w:vAlign w:val="bottom"/>
            <w:gridSpan w:val="7"/>
          </w:tcPr>
          <w:p>
            <w:pPr>
              <w:jc w:val="center"/>
              <w:ind w:left="1788"/>
              <w:spacing w:after="0"/>
              <w:rPr>
                <w:sz w:val="20"/>
                <w:szCs w:val="20"/>
                <w:color w:val="auto"/>
              </w:rPr>
            </w:pPr>
            <w:r>
              <w:rPr>
                <w:rFonts w:ascii="Arial" w:cs="Arial" w:eastAsia="Arial" w:hAnsi="Arial"/>
                <w:sz w:val="14"/>
                <w:szCs w:val="14"/>
                <w:color w:val="auto"/>
                <w:w w:val="93"/>
              </w:rPr>
              <w:t>(158,753)</w:t>
            </w:r>
          </w:p>
        </w:tc>
        <w:tc>
          <w:tcPr>
            <w:tcW w:w="1020" w:type="dxa"/>
            <w:vAlign w:val="bottom"/>
            <w:gridSpan w:val="4"/>
          </w:tcPr>
          <w:p>
            <w:pPr>
              <w:jc w:val="center"/>
              <w:ind w:left="788"/>
              <w:spacing w:after="0"/>
              <w:rPr>
                <w:sz w:val="20"/>
                <w:szCs w:val="20"/>
                <w:color w:val="auto"/>
              </w:rPr>
            </w:pPr>
            <w:r>
              <w:rPr>
                <w:rFonts w:ascii="Arial" w:cs="Arial" w:eastAsia="Arial" w:hAnsi="Arial"/>
                <w:sz w:val="14"/>
                <w:szCs w:val="14"/>
                <w:color w:val="auto"/>
                <w:w w:val="84"/>
              </w:rPr>
              <w:t>-</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860" w:type="dxa"/>
            <w:vAlign w:val="bottom"/>
          </w:tcPr>
          <w:p>
            <w:pPr>
              <w:ind w:left="280"/>
              <w:spacing w:after="0"/>
              <w:rPr>
                <w:sz w:val="20"/>
                <w:szCs w:val="20"/>
                <w:color w:val="auto"/>
              </w:rPr>
            </w:pPr>
            <w:r>
              <w:rPr>
                <w:rFonts w:ascii="Arial" w:cs="Arial" w:eastAsia="Arial" w:hAnsi="Arial"/>
                <w:sz w:val="14"/>
                <w:szCs w:val="14"/>
                <w:color w:val="auto"/>
              </w:rPr>
              <w:t>- Other direct costs</w:t>
            </w:r>
          </w:p>
        </w:tc>
        <w:tc>
          <w:tcPr>
            <w:tcW w:w="3740" w:type="dxa"/>
            <w:vAlign w:val="bottom"/>
            <w:gridSpan w:val="7"/>
          </w:tcPr>
          <w:p>
            <w:pPr>
              <w:jc w:val="center"/>
              <w:ind w:left="1788"/>
              <w:spacing w:after="0"/>
              <w:rPr>
                <w:sz w:val="20"/>
                <w:szCs w:val="20"/>
                <w:color w:val="auto"/>
              </w:rPr>
            </w:pPr>
            <w:r>
              <w:rPr>
                <w:rFonts w:ascii="Arial" w:cs="Arial" w:eastAsia="Arial" w:hAnsi="Arial"/>
                <w:sz w:val="14"/>
                <w:szCs w:val="14"/>
                <w:color w:val="auto"/>
                <w:w w:val="93"/>
              </w:rPr>
              <w:t>(271,839)</w:t>
            </w:r>
          </w:p>
        </w:tc>
        <w:tc>
          <w:tcPr>
            <w:tcW w:w="1660" w:type="dxa"/>
            <w:vAlign w:val="bottom"/>
            <w:gridSpan w:val="7"/>
          </w:tcPr>
          <w:p>
            <w:pPr>
              <w:jc w:val="center"/>
              <w:ind w:left="148"/>
              <w:spacing w:after="0"/>
              <w:rPr>
                <w:sz w:val="20"/>
                <w:szCs w:val="20"/>
                <w:color w:val="auto"/>
              </w:rPr>
            </w:pPr>
            <w:r>
              <w:rPr>
                <w:rFonts w:ascii="Arial" w:cs="Arial" w:eastAsia="Arial" w:hAnsi="Arial"/>
                <w:sz w:val="14"/>
                <w:szCs w:val="14"/>
                <w:color w:val="auto"/>
                <w:w w:val="93"/>
              </w:rPr>
              <w:t>(250,459)</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860" w:type="dxa"/>
            <w:vAlign w:val="bottom"/>
          </w:tcPr>
          <w:p>
            <w:pPr>
              <w:spacing w:after="0"/>
              <w:rPr>
                <w:sz w:val="20"/>
                <w:szCs w:val="20"/>
                <w:color w:val="auto"/>
              </w:rPr>
            </w:pPr>
            <w:r>
              <w:rPr>
                <w:rFonts w:ascii="Arial" w:cs="Arial" w:eastAsia="Arial" w:hAnsi="Arial"/>
                <w:sz w:val="14"/>
                <w:szCs w:val="14"/>
                <w:color w:val="auto"/>
              </w:rPr>
              <w:t>Selling, general and administrative expense</w:t>
            </w:r>
          </w:p>
        </w:tc>
        <w:tc>
          <w:tcPr>
            <w:tcW w:w="3740" w:type="dxa"/>
            <w:vAlign w:val="bottom"/>
            <w:gridSpan w:val="7"/>
          </w:tcPr>
          <w:p>
            <w:pPr>
              <w:jc w:val="center"/>
              <w:ind w:left="1808"/>
              <w:spacing w:after="0"/>
              <w:rPr>
                <w:sz w:val="20"/>
                <w:szCs w:val="20"/>
                <w:color w:val="auto"/>
              </w:rPr>
            </w:pPr>
            <w:r>
              <w:rPr>
                <w:rFonts w:ascii="Arial" w:cs="Arial" w:eastAsia="Arial" w:hAnsi="Arial"/>
                <w:sz w:val="14"/>
                <w:szCs w:val="14"/>
                <w:color w:val="auto"/>
                <w:w w:val="95"/>
              </w:rPr>
              <w:t>(80,915)</w:t>
            </w:r>
          </w:p>
        </w:tc>
        <w:tc>
          <w:tcPr>
            <w:tcW w:w="1660" w:type="dxa"/>
            <w:vAlign w:val="bottom"/>
            <w:gridSpan w:val="7"/>
          </w:tcPr>
          <w:p>
            <w:pPr>
              <w:jc w:val="center"/>
              <w:ind w:left="148"/>
              <w:spacing w:after="0"/>
              <w:rPr>
                <w:sz w:val="20"/>
                <w:szCs w:val="20"/>
                <w:color w:val="auto"/>
              </w:rPr>
            </w:pPr>
            <w:r>
              <w:rPr>
                <w:rFonts w:ascii="Arial" w:cs="Arial" w:eastAsia="Arial" w:hAnsi="Arial"/>
                <w:sz w:val="14"/>
                <w:szCs w:val="14"/>
                <w:color w:val="auto"/>
                <w:w w:val="91"/>
              </w:rPr>
              <w:t>(81,389)</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58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Depreciation and amortization</w:t>
            </w:r>
          </w:p>
        </w:tc>
        <w:tc>
          <w:tcPr>
            <w:tcW w:w="3740" w:type="dxa"/>
            <w:vAlign w:val="bottom"/>
            <w:tcBorders>
              <w:bottom w:val="single" w:sz="8" w:color="auto"/>
            </w:tcBorders>
            <w:gridSpan w:val="7"/>
          </w:tcPr>
          <w:p>
            <w:pPr>
              <w:jc w:val="center"/>
              <w:ind w:left="1808"/>
              <w:spacing w:after="0"/>
              <w:rPr>
                <w:sz w:val="20"/>
                <w:szCs w:val="20"/>
                <w:color w:val="auto"/>
              </w:rPr>
            </w:pPr>
            <w:r>
              <w:rPr>
                <w:rFonts w:ascii="Arial" w:cs="Arial" w:eastAsia="Arial" w:hAnsi="Arial"/>
                <w:sz w:val="14"/>
                <w:szCs w:val="14"/>
                <w:color w:val="auto"/>
                <w:w w:val="95"/>
              </w:rPr>
              <w:t>(16,898)</w:t>
            </w:r>
          </w:p>
        </w:tc>
        <w:tc>
          <w:tcPr>
            <w:tcW w:w="166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(14,448)</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5"/>
        </w:trPr>
        <w:tc>
          <w:tcPr>
            <w:tcW w:w="58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Total costs and expenses</w:t>
            </w:r>
          </w:p>
        </w:tc>
        <w:tc>
          <w:tcPr>
            <w:tcW w:w="3740" w:type="dxa"/>
            <w:vAlign w:val="bottom"/>
            <w:tcBorders>
              <w:bottom w:val="single" w:sz="8" w:color="auto"/>
            </w:tcBorders>
            <w:gridSpan w:val="7"/>
          </w:tcPr>
          <w:p>
            <w:pPr>
              <w:jc w:val="center"/>
              <w:ind w:left="1788"/>
              <w:spacing w:after="0"/>
              <w:rPr>
                <w:sz w:val="20"/>
                <w:szCs w:val="20"/>
                <w:color w:val="auto"/>
              </w:rPr>
            </w:pPr>
            <w:r>
              <w:rPr>
                <w:rFonts w:ascii="Arial" w:cs="Arial" w:eastAsia="Arial" w:hAnsi="Arial"/>
                <w:sz w:val="14"/>
                <w:szCs w:val="14"/>
                <w:color w:val="auto"/>
                <w:w w:val="93"/>
              </w:rPr>
              <w:t>(528,405)</w:t>
            </w:r>
          </w:p>
        </w:tc>
        <w:tc>
          <w:tcPr>
            <w:tcW w:w="166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3"/>
              </w:rPr>
              <w:t>(346,296)</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5860" w:type="dxa"/>
            <w:vAlign w:val="bottom"/>
          </w:tcPr>
          <w:p>
            <w:pPr>
              <w:spacing w:after="0"/>
              <w:rPr>
                <w:sz w:val="20"/>
                <w:szCs w:val="20"/>
                <w:color w:val="auto"/>
              </w:rPr>
            </w:pPr>
            <w:r>
              <w:rPr>
                <w:rFonts w:ascii="Arial" w:cs="Arial" w:eastAsia="Arial" w:hAnsi="Arial"/>
                <w:sz w:val="14"/>
                <w:szCs w:val="14"/>
                <w:b w:val="1"/>
                <w:bCs w:val="1"/>
                <w:color w:val="auto"/>
              </w:rPr>
              <w:t>Income from operations</w:t>
            </w:r>
          </w:p>
        </w:tc>
        <w:tc>
          <w:tcPr>
            <w:tcW w:w="3020" w:type="dxa"/>
            <w:vAlign w:val="bottom"/>
            <w:gridSpan w:val="6"/>
          </w:tcPr>
          <w:p>
            <w:pPr>
              <w:jc w:val="center"/>
              <w:ind w:left="2508"/>
              <w:spacing w:after="0"/>
              <w:rPr>
                <w:sz w:val="20"/>
                <w:szCs w:val="20"/>
                <w:color w:val="auto"/>
              </w:rPr>
            </w:pPr>
            <w:r>
              <w:rPr>
                <w:rFonts w:ascii="Arial" w:cs="Arial" w:eastAsia="Arial" w:hAnsi="Arial"/>
                <w:sz w:val="14"/>
                <w:szCs w:val="14"/>
                <w:color w:val="auto"/>
                <w:w w:val="93"/>
              </w:rPr>
              <w:t>91,720</w:t>
            </w:r>
          </w:p>
        </w:tc>
        <w:tc>
          <w:tcPr>
            <w:tcW w:w="720" w:type="dxa"/>
            <w:vAlign w:val="bottom"/>
          </w:tcPr>
          <w:p>
            <w:pPr>
              <w:spacing w:after="0"/>
              <w:rPr>
                <w:sz w:val="24"/>
                <w:szCs w:val="24"/>
                <w:color w:val="auto"/>
              </w:rPr>
            </w:pPr>
          </w:p>
        </w:tc>
        <w:tc>
          <w:tcPr>
            <w:tcW w:w="1160" w:type="dxa"/>
            <w:vAlign w:val="bottom"/>
            <w:gridSpan w:val="6"/>
          </w:tcPr>
          <w:p>
            <w:pPr>
              <w:jc w:val="center"/>
              <w:ind w:left="648"/>
              <w:spacing w:after="0"/>
              <w:rPr>
                <w:sz w:val="20"/>
                <w:szCs w:val="20"/>
                <w:color w:val="auto"/>
              </w:rPr>
            </w:pPr>
            <w:r>
              <w:rPr>
                <w:rFonts w:ascii="Arial" w:cs="Arial" w:eastAsia="Arial" w:hAnsi="Arial"/>
                <w:sz w:val="14"/>
                <w:szCs w:val="14"/>
                <w:color w:val="auto"/>
                <w:w w:val="93"/>
              </w:rPr>
              <w:t>85,658</w:t>
            </w: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58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Net interest expense</w:t>
            </w:r>
          </w:p>
        </w:tc>
        <w:tc>
          <w:tcPr>
            <w:tcW w:w="3020" w:type="dxa"/>
            <w:vAlign w:val="bottom"/>
            <w:tcBorders>
              <w:bottom w:val="single" w:sz="8" w:color="auto"/>
            </w:tcBorders>
            <w:gridSpan w:val="6"/>
          </w:tcPr>
          <w:p>
            <w:pPr>
              <w:jc w:val="center"/>
              <w:ind w:left="2528"/>
              <w:spacing w:after="0"/>
              <w:rPr>
                <w:sz w:val="20"/>
                <w:szCs w:val="20"/>
                <w:color w:val="auto"/>
              </w:rPr>
            </w:pPr>
            <w:r>
              <w:rPr>
                <w:rFonts w:ascii="Arial" w:cs="Arial" w:eastAsia="Arial" w:hAnsi="Arial"/>
                <w:sz w:val="14"/>
                <w:szCs w:val="14"/>
                <w:color w:val="auto"/>
                <w:w w:val="94"/>
              </w:rPr>
              <w:t>(2,972)</w:t>
            </w:r>
          </w:p>
        </w:tc>
        <w:tc>
          <w:tcPr>
            <w:tcW w:w="7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gridSpan w:val="6"/>
          </w:tcPr>
          <w:p>
            <w:pPr>
              <w:jc w:val="center"/>
              <w:ind w:left="668"/>
              <w:spacing w:after="0"/>
              <w:rPr>
                <w:sz w:val="20"/>
                <w:szCs w:val="20"/>
                <w:color w:val="auto"/>
              </w:rPr>
            </w:pPr>
            <w:r>
              <w:rPr>
                <w:rFonts w:ascii="Arial" w:cs="Arial" w:eastAsia="Arial" w:hAnsi="Arial"/>
                <w:sz w:val="14"/>
                <w:szCs w:val="14"/>
                <w:color w:val="auto"/>
                <w:w w:val="94"/>
              </w:rPr>
              <w:t>(2,624)</w:t>
            </w:r>
          </w:p>
        </w:tc>
        <w:tc>
          <w:tcPr>
            <w:tcW w:w="5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5860" w:type="dxa"/>
            <w:vAlign w:val="bottom"/>
          </w:tcPr>
          <w:p>
            <w:pPr>
              <w:spacing w:after="0"/>
              <w:rPr>
                <w:sz w:val="20"/>
                <w:szCs w:val="20"/>
                <w:color w:val="auto"/>
              </w:rPr>
            </w:pPr>
            <w:r>
              <w:rPr>
                <w:rFonts w:ascii="Arial" w:cs="Arial" w:eastAsia="Arial" w:hAnsi="Arial"/>
                <w:sz w:val="14"/>
                <w:szCs w:val="14"/>
                <w:b w:val="1"/>
                <w:bCs w:val="1"/>
                <w:color w:val="auto"/>
              </w:rPr>
              <w:t>Income before provision for income taxes</w:t>
            </w:r>
          </w:p>
        </w:tc>
        <w:tc>
          <w:tcPr>
            <w:tcW w:w="3020" w:type="dxa"/>
            <w:vAlign w:val="bottom"/>
            <w:gridSpan w:val="6"/>
          </w:tcPr>
          <w:p>
            <w:pPr>
              <w:jc w:val="center"/>
              <w:ind w:left="2508"/>
              <w:spacing w:after="0"/>
              <w:rPr>
                <w:sz w:val="20"/>
                <w:szCs w:val="20"/>
                <w:color w:val="auto"/>
              </w:rPr>
            </w:pPr>
            <w:r>
              <w:rPr>
                <w:rFonts w:ascii="Arial" w:cs="Arial" w:eastAsia="Arial" w:hAnsi="Arial"/>
                <w:sz w:val="14"/>
                <w:szCs w:val="14"/>
                <w:color w:val="auto"/>
                <w:w w:val="93"/>
              </w:rPr>
              <w:t>88,748</w:t>
            </w:r>
          </w:p>
        </w:tc>
        <w:tc>
          <w:tcPr>
            <w:tcW w:w="720" w:type="dxa"/>
            <w:vAlign w:val="bottom"/>
          </w:tcPr>
          <w:p>
            <w:pPr>
              <w:spacing w:after="0"/>
              <w:rPr>
                <w:sz w:val="24"/>
                <w:szCs w:val="24"/>
                <w:color w:val="auto"/>
              </w:rPr>
            </w:pPr>
          </w:p>
        </w:tc>
        <w:tc>
          <w:tcPr>
            <w:tcW w:w="1160" w:type="dxa"/>
            <w:vAlign w:val="bottom"/>
            <w:gridSpan w:val="6"/>
          </w:tcPr>
          <w:p>
            <w:pPr>
              <w:jc w:val="center"/>
              <w:ind w:left="648"/>
              <w:spacing w:after="0"/>
              <w:rPr>
                <w:sz w:val="20"/>
                <w:szCs w:val="20"/>
                <w:color w:val="auto"/>
              </w:rPr>
            </w:pPr>
            <w:r>
              <w:rPr>
                <w:rFonts w:ascii="Arial" w:cs="Arial" w:eastAsia="Arial" w:hAnsi="Arial"/>
                <w:sz w:val="14"/>
                <w:szCs w:val="14"/>
                <w:color w:val="auto"/>
                <w:w w:val="93"/>
              </w:rPr>
              <w:t>83,034</w:t>
            </w: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58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Provision for income taxes</w:t>
            </w:r>
          </w:p>
        </w:tc>
        <w:tc>
          <w:tcPr>
            <w:tcW w:w="3740" w:type="dxa"/>
            <w:vAlign w:val="bottom"/>
            <w:tcBorders>
              <w:bottom w:val="single" w:sz="8" w:color="auto"/>
            </w:tcBorders>
            <w:gridSpan w:val="7"/>
          </w:tcPr>
          <w:p>
            <w:pPr>
              <w:jc w:val="center"/>
              <w:ind w:left="1808"/>
              <w:spacing w:after="0"/>
              <w:rPr>
                <w:sz w:val="20"/>
                <w:szCs w:val="20"/>
                <w:color w:val="auto"/>
              </w:rPr>
            </w:pPr>
            <w:r>
              <w:rPr>
                <w:rFonts w:ascii="Arial" w:cs="Arial" w:eastAsia="Arial" w:hAnsi="Arial"/>
                <w:sz w:val="14"/>
                <w:szCs w:val="14"/>
                <w:color w:val="auto"/>
                <w:w w:val="95"/>
              </w:rPr>
              <w:t>(10,650)</w:t>
            </w:r>
          </w:p>
        </w:tc>
        <w:tc>
          <w:tcPr>
            <w:tcW w:w="166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(11,625)</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58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Net income</w:t>
            </w:r>
          </w:p>
        </w:tc>
        <w:tc>
          <w:tcPr>
            <w:tcW w:w="3020" w:type="dxa"/>
            <w:vAlign w:val="bottom"/>
            <w:tcBorders>
              <w:bottom w:val="single" w:sz="8" w:color="auto"/>
            </w:tcBorders>
            <w:gridSpan w:val="6"/>
          </w:tcPr>
          <w:p>
            <w:pPr>
              <w:jc w:val="center"/>
              <w:ind w:left="2508"/>
              <w:spacing w:after="0"/>
              <w:rPr>
                <w:sz w:val="20"/>
                <w:szCs w:val="20"/>
                <w:color w:val="auto"/>
              </w:rPr>
            </w:pPr>
            <w:r>
              <w:rPr>
                <w:rFonts w:ascii="Arial" w:cs="Arial" w:eastAsia="Arial" w:hAnsi="Arial"/>
                <w:sz w:val="14"/>
                <w:szCs w:val="14"/>
                <w:color w:val="auto"/>
                <w:w w:val="93"/>
              </w:rPr>
              <w:t>78,098</w:t>
            </w:r>
          </w:p>
        </w:tc>
        <w:tc>
          <w:tcPr>
            <w:tcW w:w="7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3"/>
              </w:rPr>
              <w:t>71,409</w:t>
            </w:r>
          </w:p>
        </w:tc>
        <w:tc>
          <w:tcPr>
            <w:tcW w:w="5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5860" w:type="dxa"/>
            <w:vAlign w:val="bottom"/>
          </w:tcPr>
          <w:p>
            <w:pPr>
              <w:spacing w:after="0"/>
              <w:rPr>
                <w:sz w:val="20"/>
                <w:szCs w:val="20"/>
                <w:color w:val="auto"/>
              </w:rPr>
            </w:pPr>
            <w:r>
              <w:rPr>
                <w:rFonts w:ascii="Arial" w:cs="Arial" w:eastAsia="Arial" w:hAnsi="Arial"/>
                <w:sz w:val="14"/>
                <w:szCs w:val="14"/>
                <w:color w:val="auto"/>
              </w:rPr>
              <w:t>Net income per Ordinary Share:</w:t>
            </w:r>
          </w:p>
        </w:tc>
        <w:tc>
          <w:tcPr>
            <w:tcW w:w="2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58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3020" w:type="dxa"/>
            <w:vAlign w:val="bottom"/>
            <w:tcBorders>
              <w:bottom w:val="single" w:sz="8" w:color="auto"/>
            </w:tcBorders>
            <w:gridSpan w:val="6"/>
          </w:tcPr>
          <w:p>
            <w:pPr>
              <w:jc w:val="center"/>
              <w:ind w:left="2508"/>
              <w:spacing w:after="0"/>
              <w:rPr>
                <w:sz w:val="20"/>
                <w:szCs w:val="20"/>
                <w:color w:val="auto"/>
              </w:rPr>
            </w:pPr>
            <w:r>
              <w:rPr>
                <w:rFonts w:ascii="Arial" w:cs="Arial" w:eastAsia="Arial" w:hAnsi="Arial"/>
                <w:sz w:val="14"/>
                <w:szCs w:val="14"/>
                <w:color w:val="auto"/>
                <w:w w:val="91"/>
              </w:rPr>
              <w:t>$1.45</w:t>
            </w:r>
          </w:p>
        </w:tc>
        <w:tc>
          <w:tcPr>
            <w:tcW w:w="7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1"/>
              </w:rPr>
              <w:t>$1.31</w:t>
            </w:r>
          </w:p>
        </w:tc>
        <w:tc>
          <w:tcPr>
            <w:tcW w:w="5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58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Diluted</w:t>
            </w:r>
          </w:p>
        </w:tc>
        <w:tc>
          <w:tcPr>
            <w:tcW w:w="3020" w:type="dxa"/>
            <w:vAlign w:val="bottom"/>
            <w:tcBorders>
              <w:bottom w:val="single" w:sz="8" w:color="auto"/>
            </w:tcBorders>
            <w:gridSpan w:val="6"/>
          </w:tcPr>
          <w:p>
            <w:pPr>
              <w:jc w:val="center"/>
              <w:ind w:left="2508"/>
              <w:spacing w:after="0"/>
              <w:rPr>
                <w:sz w:val="20"/>
                <w:szCs w:val="20"/>
                <w:color w:val="auto"/>
              </w:rPr>
            </w:pPr>
            <w:r>
              <w:rPr>
                <w:rFonts w:ascii="Arial" w:cs="Arial" w:eastAsia="Arial" w:hAnsi="Arial"/>
                <w:sz w:val="14"/>
                <w:szCs w:val="14"/>
                <w:color w:val="auto"/>
                <w:w w:val="91"/>
              </w:rPr>
              <w:t>$1.42</w:t>
            </w:r>
          </w:p>
        </w:tc>
        <w:tc>
          <w:tcPr>
            <w:tcW w:w="7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1"/>
              </w:rPr>
              <w:t>$1.29</w:t>
            </w:r>
          </w:p>
        </w:tc>
        <w:tc>
          <w:tcPr>
            <w:tcW w:w="5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5860" w:type="dxa"/>
            <w:vAlign w:val="bottom"/>
          </w:tcPr>
          <w:p>
            <w:pPr>
              <w:spacing w:after="0"/>
              <w:rPr>
                <w:sz w:val="20"/>
                <w:szCs w:val="20"/>
                <w:color w:val="auto"/>
              </w:rPr>
            </w:pPr>
            <w:r>
              <w:rPr>
                <w:rFonts w:ascii="Arial" w:cs="Arial" w:eastAsia="Arial" w:hAnsi="Arial"/>
                <w:sz w:val="14"/>
                <w:szCs w:val="14"/>
                <w:color w:val="auto"/>
              </w:rPr>
              <w:t>Weighted average number of Ordinary Shares outstanding:</w:t>
            </w:r>
          </w:p>
        </w:tc>
        <w:tc>
          <w:tcPr>
            <w:tcW w:w="2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58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3740" w:type="dxa"/>
            <w:vAlign w:val="bottom"/>
            <w:tcBorders>
              <w:bottom w:val="single" w:sz="8" w:color="auto"/>
            </w:tcBorders>
            <w:gridSpan w:val="7"/>
          </w:tcPr>
          <w:p>
            <w:pPr>
              <w:jc w:val="center"/>
              <w:ind w:left="1788"/>
              <w:spacing w:after="0"/>
              <w:rPr>
                <w:sz w:val="20"/>
                <w:szCs w:val="20"/>
                <w:color w:val="auto"/>
              </w:rPr>
            </w:pPr>
            <w:r>
              <w:rPr>
                <w:rFonts w:ascii="Arial" w:cs="Arial" w:eastAsia="Arial" w:hAnsi="Arial"/>
                <w:sz w:val="14"/>
                <w:szCs w:val="14"/>
                <w:color w:val="auto"/>
                <w:w w:val="91"/>
              </w:rPr>
              <w:t>53,925,560</w:t>
            </w:r>
          </w:p>
        </w:tc>
        <w:tc>
          <w:tcPr>
            <w:tcW w:w="166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54,372,931</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58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Diluted</w:t>
            </w:r>
          </w:p>
        </w:tc>
        <w:tc>
          <w:tcPr>
            <w:tcW w:w="3740" w:type="dxa"/>
            <w:vAlign w:val="bottom"/>
            <w:tcBorders>
              <w:bottom w:val="single" w:sz="8" w:color="auto"/>
            </w:tcBorders>
            <w:gridSpan w:val="7"/>
          </w:tcPr>
          <w:p>
            <w:pPr>
              <w:jc w:val="center"/>
              <w:ind w:left="1788"/>
              <w:spacing w:after="0"/>
              <w:rPr>
                <w:sz w:val="20"/>
                <w:szCs w:val="20"/>
                <w:color w:val="auto"/>
              </w:rPr>
            </w:pPr>
            <w:r>
              <w:rPr>
                <w:rFonts w:ascii="Arial" w:cs="Arial" w:eastAsia="Arial" w:hAnsi="Arial"/>
                <w:sz w:val="14"/>
                <w:szCs w:val="14"/>
                <w:color w:val="auto"/>
                <w:w w:val="91"/>
              </w:rPr>
              <w:t>54,985,790</w:t>
            </w:r>
          </w:p>
        </w:tc>
        <w:tc>
          <w:tcPr>
            <w:tcW w:w="166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55,371,826</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5860" w:type="dxa"/>
            <w:vAlign w:val="bottom"/>
            <w:tcBorders>
              <w:bottom w:val="single" w:sz="8" w:color="9A9A9A"/>
            </w:tcBorders>
          </w:tcPr>
          <w:p>
            <w:pPr>
              <w:spacing w:after="0"/>
              <w:rPr>
                <w:sz w:val="11"/>
                <w:szCs w:val="11"/>
                <w:color w:val="auto"/>
              </w:rPr>
            </w:pPr>
          </w:p>
        </w:tc>
        <w:tc>
          <w:tcPr>
            <w:tcW w:w="258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40" w:type="dxa"/>
            <w:vAlign w:val="bottom"/>
            <w:tcBorders>
              <w:bottom w:val="single" w:sz="8" w:color="9A9A9A"/>
            </w:tcBorders>
          </w:tcPr>
          <w:p>
            <w:pPr>
              <w:spacing w:after="0"/>
              <w:rPr>
                <w:sz w:val="11"/>
                <w:szCs w:val="11"/>
                <w:color w:val="auto"/>
              </w:rPr>
            </w:pPr>
          </w:p>
        </w:tc>
        <w:tc>
          <w:tcPr>
            <w:tcW w:w="18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40" w:type="dxa"/>
            <w:vAlign w:val="bottom"/>
            <w:tcBorders>
              <w:bottom w:val="single" w:sz="8" w:color="9A9A9A"/>
            </w:tcBorders>
          </w:tcPr>
          <w:p>
            <w:pPr>
              <w:spacing w:after="0"/>
              <w:rPr>
                <w:sz w:val="11"/>
                <w:szCs w:val="11"/>
                <w:color w:val="auto"/>
              </w:rPr>
            </w:pPr>
          </w:p>
        </w:tc>
        <w:tc>
          <w:tcPr>
            <w:tcW w:w="18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500" w:type="dxa"/>
            <w:vAlign w:val="bottom"/>
            <w:tcBorders>
              <w:bottom w:val="single" w:sz="8" w:color="9A9A9A"/>
            </w:tcBorders>
          </w:tcPr>
          <w:p>
            <w:pPr>
              <w:spacing w:after="0"/>
              <w:rPr>
                <w:sz w:val="11"/>
                <w:szCs w:val="11"/>
                <w:color w:val="auto"/>
              </w:rPr>
            </w:pPr>
          </w:p>
        </w:tc>
        <w:tc>
          <w:tcPr>
            <w:tcW w:w="160" w:type="dxa"/>
            <w:vAlign w:val="bottom"/>
            <w:tcBorders>
              <w:bottom w:val="single" w:sz="8" w:color="9A9A9A"/>
            </w:tcBorders>
          </w:tcPr>
          <w:p>
            <w:pPr>
              <w:spacing w:after="0"/>
              <w:rPr>
                <w:sz w:val="11"/>
                <w:szCs w:val="11"/>
                <w:color w:val="auto"/>
              </w:rPr>
            </w:pPr>
          </w:p>
        </w:tc>
        <w:tc>
          <w:tcPr>
            <w:tcW w:w="0" w:type="dxa"/>
            <w:vAlign w:val="bottom"/>
          </w:tcPr>
          <w:p>
            <w:pPr>
              <w:spacing w:after="0"/>
              <w:rPr>
                <w:sz w:val="1"/>
                <w:szCs w:val="1"/>
                <w:color w:val="auto"/>
              </w:rPr>
            </w:pPr>
          </w:p>
        </w:tc>
      </w:tr>
      <w:tr>
        <w:trPr>
          <w:trHeight w:val="21"/>
        </w:trPr>
        <w:tc>
          <w:tcPr>
            <w:tcW w:w="5860" w:type="dxa"/>
            <w:vAlign w:val="bottom"/>
            <w:tcBorders>
              <w:bottom w:val="single" w:sz="8" w:color="EEEEEE"/>
            </w:tcBorders>
          </w:tcPr>
          <w:p>
            <w:pPr>
              <w:spacing w:after="0" w:line="20" w:lineRule="exact"/>
              <w:rPr>
                <w:sz w:val="1"/>
                <w:szCs w:val="1"/>
                <w:color w:val="auto"/>
              </w:rPr>
            </w:pPr>
          </w:p>
        </w:tc>
        <w:tc>
          <w:tcPr>
            <w:tcW w:w="258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720" w:type="dxa"/>
            <w:vAlign w:val="bottom"/>
            <w:tcBorders>
              <w:bottom w:val="single" w:sz="8" w:color="EEEEEE"/>
            </w:tcBorders>
          </w:tcPr>
          <w:p>
            <w:pPr>
              <w:spacing w:after="0" w:line="20" w:lineRule="exact"/>
              <w:rPr>
                <w:sz w:val="1"/>
                <w:szCs w:val="1"/>
                <w:color w:val="auto"/>
              </w:rPr>
            </w:pPr>
          </w:p>
        </w:tc>
        <w:tc>
          <w:tcPr>
            <w:tcW w:w="72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50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6" w:name="page7"/>
    <w:bookmarkEnd w:id="6"/>
    <w:p>
      <w:pPr>
        <w:jc w:val="center"/>
        <w:ind w:right="40"/>
        <w:spacing w:after="0"/>
        <w:rPr>
          <w:sz w:val="20"/>
          <w:szCs w:val="20"/>
          <w:color w:val="auto"/>
        </w:rPr>
      </w:pPr>
      <w:r>
        <w:rPr>
          <w:rFonts w:ascii="Arial" w:cs="Arial" w:eastAsia="Arial" w:hAnsi="Arial"/>
          <w:sz w:val="22"/>
          <w:szCs w:val="22"/>
          <w:b w:val="1"/>
          <w:bCs w:val="1"/>
          <w:color w:val="auto"/>
        </w:rPr>
        <w:t>ICON plc</w:t>
      </w:r>
    </w:p>
    <w:p>
      <w:pPr>
        <w:spacing w:after="0" w:line="5"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Impact of the adoption of ASC 606 on revenue</w:t>
      </w:r>
    </w:p>
    <w:p>
      <w:pPr>
        <w:jc w:val="center"/>
        <w:ind w:right="40"/>
        <w:spacing w:after="0" w:line="230" w:lineRule="auto"/>
        <w:rPr>
          <w:sz w:val="20"/>
          <w:szCs w:val="20"/>
          <w:color w:val="auto"/>
        </w:rPr>
      </w:pPr>
      <w:r>
        <w:rPr>
          <w:rFonts w:ascii="Arial" w:cs="Arial" w:eastAsia="Arial" w:hAnsi="Arial"/>
          <w:sz w:val="22"/>
          <w:szCs w:val="22"/>
          <w:b w:val="1"/>
          <w:bCs w:val="1"/>
          <w:color w:val="auto"/>
        </w:rPr>
        <w:t>Three Months ended March 31, 2018 and March 31, 2017</w:t>
      </w:r>
    </w:p>
    <w:p>
      <w:pPr>
        <w:ind w:left="4640"/>
        <w:spacing w:after="0" w:line="231" w:lineRule="auto"/>
        <w:rPr>
          <w:sz w:val="20"/>
          <w:szCs w:val="20"/>
          <w:color w:val="auto"/>
        </w:rPr>
      </w:pPr>
      <w:r>
        <w:rPr>
          <w:rFonts w:ascii="Arial" w:cs="Arial" w:eastAsia="Arial" w:hAnsi="Arial"/>
          <w:sz w:val="22"/>
          <w:szCs w:val="22"/>
          <w:b w:val="1"/>
          <w:bCs w:val="1"/>
          <w:color w:val="auto"/>
        </w:rPr>
        <w:t>(Dollars, in thousands)</w:t>
      </w:r>
    </w:p>
    <w:p>
      <w:pPr>
        <w:ind w:left="5160"/>
        <w:spacing w:after="0"/>
        <w:rPr>
          <w:sz w:val="20"/>
          <w:szCs w:val="20"/>
          <w:color w:val="auto"/>
        </w:rPr>
      </w:pPr>
      <w:r>
        <w:rPr>
          <w:rFonts w:ascii="Arial" w:cs="Arial" w:eastAsia="Arial" w:hAnsi="Arial"/>
          <w:sz w:val="22"/>
          <w:szCs w:val="22"/>
          <w:b w:val="1"/>
          <w:bCs w:val="1"/>
          <w:color w:val="auto"/>
        </w:rPr>
        <w:t>(Unaudited)</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2240" w:type="dxa"/>
            <w:vAlign w:val="bottom"/>
          </w:tcPr>
          <w:p>
            <w:pPr>
              <w:jc w:val="center"/>
              <w:ind w:left="108"/>
              <w:spacing w:after="0"/>
              <w:rPr>
                <w:sz w:val="20"/>
                <w:szCs w:val="20"/>
                <w:color w:val="auto"/>
              </w:rPr>
            </w:pPr>
            <w:r>
              <w:rPr>
                <w:rFonts w:ascii="Arial" w:cs="Arial" w:eastAsia="Arial" w:hAnsi="Arial"/>
                <w:sz w:val="14"/>
                <w:szCs w:val="14"/>
                <w:b w:val="1"/>
                <w:bCs w:val="1"/>
                <w:color w:val="auto"/>
                <w:w w:val="94"/>
              </w:rPr>
              <w:t>Three Months,</w:t>
            </w: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2660" w:type="dxa"/>
            <w:vAlign w:val="bottom"/>
            <w:vMerge w:val="restart"/>
          </w:tcPr>
          <w:p>
            <w:pPr>
              <w:ind w:left="280"/>
              <w:spacing w:after="0"/>
              <w:rPr>
                <w:sz w:val="20"/>
                <w:szCs w:val="20"/>
                <w:color w:val="auto"/>
              </w:rPr>
            </w:pPr>
            <w:r>
              <w:rPr>
                <w:rFonts w:ascii="Arial" w:cs="Arial" w:eastAsia="Arial" w:hAnsi="Arial"/>
                <w:sz w:val="14"/>
                <w:szCs w:val="14"/>
                <w:b w:val="1"/>
                <w:bCs w:val="1"/>
                <w:color w:val="auto"/>
                <w:w w:val="97"/>
              </w:rPr>
              <w:t>Three Months Ended March 31, 2018</w:t>
            </w:r>
          </w:p>
        </w:tc>
        <w:tc>
          <w:tcPr>
            <w:tcW w:w="1780" w:type="dxa"/>
            <w:vAlign w:val="bottom"/>
          </w:tcPr>
          <w:p>
            <w:pPr>
              <w:spacing w:after="0"/>
              <w:rPr>
                <w:sz w:val="12"/>
                <w:szCs w:val="12"/>
                <w:color w:val="auto"/>
              </w:rPr>
            </w:pPr>
          </w:p>
        </w:tc>
        <w:tc>
          <w:tcPr>
            <w:tcW w:w="2240" w:type="dxa"/>
            <w:vAlign w:val="bottom"/>
          </w:tcPr>
          <w:p>
            <w:pPr>
              <w:jc w:val="center"/>
              <w:ind w:left="108"/>
              <w:spacing w:after="0" w:line="149" w:lineRule="exact"/>
              <w:rPr>
                <w:sz w:val="20"/>
                <w:szCs w:val="20"/>
                <w:color w:val="auto"/>
              </w:rPr>
            </w:pPr>
            <w:r>
              <w:rPr>
                <w:rFonts w:ascii="Arial" w:cs="Arial" w:eastAsia="Arial" w:hAnsi="Arial"/>
                <w:sz w:val="14"/>
                <w:szCs w:val="14"/>
                <w:b w:val="1"/>
                <w:bCs w:val="1"/>
                <w:color w:val="auto"/>
                <w:w w:val="95"/>
              </w:rPr>
              <w:t>Ended March 31,</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300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2660" w:type="dxa"/>
            <w:vAlign w:val="bottom"/>
            <w:vMerge w:val="continue"/>
          </w:tcPr>
          <w:p>
            <w:pPr>
              <w:spacing w:after="0"/>
              <w:rPr>
                <w:sz w:val="16"/>
                <w:szCs w:val="16"/>
                <w:color w:val="auto"/>
              </w:rPr>
            </w:pPr>
          </w:p>
        </w:tc>
        <w:tc>
          <w:tcPr>
            <w:tcW w:w="1780" w:type="dxa"/>
            <w:vAlign w:val="bottom"/>
            <w:vMerge w:val="restart"/>
          </w:tcPr>
          <w:p>
            <w:pPr>
              <w:jc w:val="center"/>
              <w:ind w:right="528"/>
              <w:spacing w:after="0"/>
              <w:rPr>
                <w:sz w:val="20"/>
                <w:szCs w:val="20"/>
                <w:color w:val="auto"/>
              </w:rPr>
            </w:pPr>
            <w:r>
              <w:rPr>
                <w:rFonts w:ascii="Arial" w:cs="Arial" w:eastAsia="Arial" w:hAnsi="Arial"/>
                <w:sz w:val="14"/>
                <w:szCs w:val="14"/>
                <w:b w:val="1"/>
                <w:bCs w:val="1"/>
                <w:color w:val="auto"/>
                <w:w w:val="92"/>
              </w:rPr>
              <w:t>Balances without</w:t>
            </w:r>
          </w:p>
        </w:tc>
        <w:tc>
          <w:tcPr>
            <w:tcW w:w="2240" w:type="dxa"/>
            <w:vAlign w:val="bottom"/>
          </w:tcPr>
          <w:p>
            <w:pPr>
              <w:jc w:val="center"/>
              <w:ind w:left="148"/>
              <w:spacing w:after="0"/>
              <w:rPr>
                <w:sz w:val="20"/>
                <w:szCs w:val="20"/>
                <w:color w:val="auto"/>
              </w:rPr>
            </w:pPr>
            <w:r>
              <w:rPr>
                <w:rFonts w:ascii="Arial" w:cs="Arial" w:eastAsia="Arial" w:hAnsi="Arial"/>
                <w:sz w:val="14"/>
                <w:szCs w:val="14"/>
                <w:b w:val="1"/>
                <w:bCs w:val="1"/>
                <w:color w:val="auto"/>
                <w:w w:val="96"/>
              </w:rPr>
              <w:t>2017</w:t>
            </w:r>
          </w:p>
        </w:tc>
        <w:tc>
          <w:tcPr>
            <w:tcW w:w="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300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2660" w:type="dxa"/>
            <w:vAlign w:val="bottom"/>
            <w:vMerge w:val="restart"/>
          </w:tcPr>
          <w:p>
            <w:pPr>
              <w:jc w:val="center"/>
              <w:ind w:right="328"/>
              <w:spacing w:after="0"/>
              <w:rPr>
                <w:sz w:val="20"/>
                <w:szCs w:val="20"/>
                <w:color w:val="auto"/>
              </w:rPr>
            </w:pPr>
            <w:r>
              <w:rPr>
                <w:rFonts w:ascii="Arial" w:cs="Arial" w:eastAsia="Arial" w:hAnsi="Arial"/>
                <w:sz w:val="14"/>
                <w:szCs w:val="14"/>
                <w:b w:val="1"/>
                <w:bCs w:val="1"/>
                <w:color w:val="auto"/>
                <w:w w:val="94"/>
              </w:rPr>
              <w:t>ASC 606</w:t>
            </w:r>
          </w:p>
        </w:tc>
        <w:tc>
          <w:tcPr>
            <w:tcW w:w="1780" w:type="dxa"/>
            <w:vAlign w:val="bottom"/>
            <w:vMerge w:val="continue"/>
          </w:tcPr>
          <w:p>
            <w:pPr>
              <w:spacing w:after="0"/>
              <w:rPr>
                <w:sz w:val="11"/>
                <w:szCs w:val="11"/>
                <w:color w:val="auto"/>
              </w:rPr>
            </w:pPr>
          </w:p>
        </w:tc>
        <w:tc>
          <w:tcPr>
            <w:tcW w:w="2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000" w:type="dxa"/>
            <w:vAlign w:val="bottom"/>
          </w:tcPr>
          <w:p>
            <w:pPr>
              <w:spacing w:after="0"/>
              <w:rPr>
                <w:sz w:val="12"/>
                <w:szCs w:val="12"/>
                <w:color w:val="auto"/>
              </w:rPr>
            </w:pPr>
          </w:p>
        </w:tc>
        <w:tc>
          <w:tcPr>
            <w:tcW w:w="14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As Reported</w:t>
            </w:r>
          </w:p>
        </w:tc>
        <w:tc>
          <w:tcPr>
            <w:tcW w:w="2660" w:type="dxa"/>
            <w:vAlign w:val="bottom"/>
            <w:vMerge w:val="continue"/>
          </w:tcPr>
          <w:p>
            <w:pPr>
              <w:spacing w:after="0"/>
              <w:rPr>
                <w:sz w:val="12"/>
                <w:szCs w:val="12"/>
                <w:color w:val="auto"/>
              </w:rPr>
            </w:pPr>
          </w:p>
        </w:tc>
        <w:tc>
          <w:tcPr>
            <w:tcW w:w="1780" w:type="dxa"/>
            <w:vAlign w:val="bottom"/>
          </w:tcPr>
          <w:p>
            <w:pPr>
              <w:jc w:val="center"/>
              <w:ind w:right="528"/>
              <w:spacing w:after="0" w:line="149" w:lineRule="exact"/>
              <w:rPr>
                <w:sz w:val="20"/>
                <w:szCs w:val="20"/>
                <w:color w:val="auto"/>
              </w:rPr>
            </w:pPr>
            <w:r>
              <w:rPr>
                <w:rFonts w:ascii="Arial" w:cs="Arial" w:eastAsia="Arial" w:hAnsi="Arial"/>
                <w:sz w:val="14"/>
                <w:szCs w:val="14"/>
                <w:b w:val="1"/>
                <w:bCs w:val="1"/>
                <w:color w:val="auto"/>
                <w:w w:val="92"/>
              </w:rPr>
              <w:t>adoption of ASC</w:t>
            </w:r>
          </w:p>
        </w:tc>
        <w:tc>
          <w:tcPr>
            <w:tcW w:w="2240" w:type="dxa"/>
            <w:vAlign w:val="bottom"/>
            <w:vMerge w:val="restart"/>
          </w:tcPr>
          <w:p>
            <w:pPr>
              <w:jc w:val="center"/>
              <w:ind w:left="148"/>
              <w:spacing w:after="0"/>
              <w:rPr>
                <w:sz w:val="20"/>
                <w:szCs w:val="20"/>
                <w:color w:val="auto"/>
              </w:rPr>
            </w:pPr>
            <w:r>
              <w:rPr>
                <w:rFonts w:ascii="Arial" w:cs="Arial" w:eastAsia="Arial" w:hAnsi="Arial"/>
                <w:sz w:val="14"/>
                <w:szCs w:val="14"/>
                <w:b w:val="1"/>
                <w:bCs w:val="1"/>
                <w:color w:val="auto"/>
                <w:w w:val="93"/>
              </w:rPr>
              <w:t>As Reported</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3000" w:type="dxa"/>
            <w:vAlign w:val="bottom"/>
          </w:tcPr>
          <w:p>
            <w:pPr>
              <w:spacing w:after="0"/>
              <w:rPr>
                <w:sz w:val="16"/>
                <w:szCs w:val="16"/>
                <w:color w:val="auto"/>
              </w:rPr>
            </w:pPr>
          </w:p>
        </w:tc>
        <w:tc>
          <w:tcPr>
            <w:tcW w:w="1420" w:type="dxa"/>
            <w:vAlign w:val="bottom"/>
            <w:tcBorders>
              <w:bottom w:val="single" w:sz="8" w:color="auto"/>
            </w:tcBorders>
            <w:vMerge w:val="continue"/>
          </w:tcPr>
          <w:p>
            <w:pPr>
              <w:spacing w:after="0"/>
              <w:rPr>
                <w:sz w:val="16"/>
                <w:szCs w:val="16"/>
                <w:color w:val="auto"/>
              </w:rPr>
            </w:pPr>
          </w:p>
        </w:tc>
        <w:tc>
          <w:tcPr>
            <w:tcW w:w="2660" w:type="dxa"/>
            <w:vAlign w:val="bottom"/>
            <w:tcBorders>
              <w:bottom w:val="single" w:sz="8" w:color="auto"/>
            </w:tcBorders>
          </w:tcPr>
          <w:p>
            <w:pPr>
              <w:jc w:val="center"/>
              <w:ind w:right="288"/>
              <w:spacing w:after="0"/>
              <w:rPr>
                <w:sz w:val="20"/>
                <w:szCs w:val="20"/>
                <w:color w:val="auto"/>
              </w:rPr>
            </w:pPr>
            <w:r>
              <w:rPr>
                <w:rFonts w:ascii="Arial" w:cs="Arial" w:eastAsia="Arial" w:hAnsi="Arial"/>
                <w:sz w:val="14"/>
                <w:szCs w:val="14"/>
                <w:b w:val="1"/>
                <w:bCs w:val="1"/>
                <w:color w:val="auto"/>
                <w:w w:val="91"/>
              </w:rPr>
              <w:t>Adjustments</w:t>
            </w:r>
          </w:p>
        </w:tc>
        <w:tc>
          <w:tcPr>
            <w:tcW w:w="1780" w:type="dxa"/>
            <w:vAlign w:val="bottom"/>
            <w:tcBorders>
              <w:bottom w:val="single" w:sz="8" w:color="auto"/>
            </w:tcBorders>
          </w:tcPr>
          <w:p>
            <w:pPr>
              <w:jc w:val="center"/>
              <w:ind w:right="488"/>
              <w:spacing w:after="0"/>
              <w:rPr>
                <w:sz w:val="20"/>
                <w:szCs w:val="20"/>
                <w:color w:val="auto"/>
              </w:rPr>
            </w:pPr>
            <w:r>
              <w:rPr>
                <w:rFonts w:ascii="Arial" w:cs="Arial" w:eastAsia="Arial" w:hAnsi="Arial"/>
                <w:sz w:val="14"/>
                <w:szCs w:val="14"/>
                <w:b w:val="1"/>
                <w:bCs w:val="1"/>
                <w:color w:val="auto"/>
                <w:w w:val="94"/>
              </w:rPr>
              <w:t>606</w:t>
            </w:r>
          </w:p>
        </w:tc>
        <w:tc>
          <w:tcPr>
            <w:tcW w:w="2240" w:type="dxa"/>
            <w:vAlign w:val="bottom"/>
            <w:tcBorders>
              <w:bottom w:val="single" w:sz="8" w:color="auto"/>
            </w:tcBorders>
            <w:vMerge w:val="continue"/>
          </w:tcPr>
          <w:p>
            <w:pPr>
              <w:spacing w:after="0"/>
              <w:rPr>
                <w:sz w:val="16"/>
                <w:szCs w:val="16"/>
                <w:color w:val="auto"/>
              </w:rPr>
            </w:pPr>
          </w:p>
        </w:tc>
        <w:tc>
          <w:tcPr>
            <w:tcW w:w="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4"/>
        </w:trPr>
        <w:tc>
          <w:tcPr>
            <w:tcW w:w="3000" w:type="dxa"/>
            <w:vAlign w:val="bottom"/>
          </w:tcPr>
          <w:p>
            <w:pPr>
              <w:jc w:val="right"/>
              <w:ind w:right="2348"/>
              <w:spacing w:after="0"/>
              <w:rPr>
                <w:sz w:val="20"/>
                <w:szCs w:val="20"/>
                <w:color w:val="auto"/>
              </w:rPr>
            </w:pPr>
            <w:r>
              <w:rPr>
                <w:rFonts w:ascii="Arial" w:cs="Arial" w:eastAsia="Arial" w:hAnsi="Arial"/>
                <w:sz w:val="14"/>
                <w:szCs w:val="14"/>
                <w:b w:val="1"/>
                <w:bCs w:val="1"/>
                <w:color w:val="auto"/>
                <w:w w:val="88"/>
              </w:rPr>
              <w:t>Revenue:</w:t>
            </w:r>
          </w:p>
        </w:tc>
        <w:tc>
          <w:tcPr>
            <w:tcW w:w="142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3000" w:type="dxa"/>
            <w:vAlign w:val="bottom"/>
          </w:tcPr>
          <w:p>
            <w:pPr>
              <w:jc w:val="right"/>
              <w:ind w:right="2348"/>
              <w:spacing w:after="0"/>
              <w:rPr>
                <w:sz w:val="20"/>
                <w:szCs w:val="20"/>
                <w:color w:val="auto"/>
              </w:rPr>
            </w:pPr>
            <w:r>
              <w:rPr>
                <w:rFonts w:ascii="Arial" w:cs="Arial" w:eastAsia="Arial" w:hAnsi="Arial"/>
                <w:sz w:val="14"/>
                <w:szCs w:val="14"/>
                <w:color w:val="auto"/>
                <w:w w:val="99"/>
              </w:rPr>
              <w:t>Revenue</w:t>
            </w:r>
          </w:p>
        </w:tc>
        <w:tc>
          <w:tcPr>
            <w:tcW w:w="1420" w:type="dxa"/>
            <w:vAlign w:val="bottom"/>
          </w:tcPr>
          <w:p>
            <w:pPr>
              <w:jc w:val="center"/>
              <w:spacing w:after="0"/>
              <w:rPr>
                <w:sz w:val="20"/>
                <w:szCs w:val="20"/>
                <w:color w:val="auto"/>
              </w:rPr>
            </w:pPr>
            <w:r>
              <w:rPr>
                <w:rFonts w:ascii="Arial" w:cs="Arial" w:eastAsia="Arial" w:hAnsi="Arial"/>
                <w:sz w:val="14"/>
                <w:szCs w:val="14"/>
                <w:color w:val="auto"/>
                <w:w w:val="90"/>
              </w:rPr>
              <w:t>620,125</w:t>
            </w:r>
          </w:p>
        </w:tc>
        <w:tc>
          <w:tcPr>
            <w:tcW w:w="2660" w:type="dxa"/>
            <w:vAlign w:val="bottom"/>
          </w:tcPr>
          <w:p>
            <w:pPr>
              <w:jc w:val="center"/>
              <w:ind w:right="268"/>
              <w:spacing w:after="0"/>
              <w:rPr>
                <w:sz w:val="20"/>
                <w:szCs w:val="20"/>
                <w:color w:val="auto"/>
              </w:rPr>
            </w:pPr>
            <w:r>
              <w:rPr>
                <w:rFonts w:ascii="Arial" w:cs="Arial" w:eastAsia="Arial" w:hAnsi="Arial"/>
                <w:sz w:val="14"/>
                <w:szCs w:val="14"/>
                <w:color w:val="auto"/>
                <w:w w:val="91"/>
              </w:rPr>
              <w:t>1,231</w:t>
            </w:r>
          </w:p>
        </w:tc>
        <w:tc>
          <w:tcPr>
            <w:tcW w:w="1780" w:type="dxa"/>
            <w:vAlign w:val="bottom"/>
          </w:tcPr>
          <w:p>
            <w:pPr>
              <w:jc w:val="right"/>
              <w:ind w:right="868"/>
              <w:spacing w:after="0"/>
              <w:rPr>
                <w:sz w:val="20"/>
                <w:szCs w:val="20"/>
                <w:color w:val="auto"/>
              </w:rPr>
            </w:pPr>
            <w:r>
              <w:rPr>
                <w:rFonts w:ascii="Arial" w:cs="Arial" w:eastAsia="Arial" w:hAnsi="Arial"/>
                <w:sz w:val="14"/>
                <w:szCs w:val="14"/>
                <w:color w:val="auto"/>
              </w:rPr>
              <w:t>621,356</w:t>
            </w:r>
          </w:p>
        </w:tc>
        <w:tc>
          <w:tcPr>
            <w:tcW w:w="2240" w:type="dxa"/>
            <w:vAlign w:val="bottom"/>
          </w:tcPr>
          <w:p>
            <w:pPr>
              <w:jc w:val="center"/>
              <w:ind w:left="148"/>
              <w:spacing w:after="0"/>
              <w:rPr>
                <w:sz w:val="20"/>
                <w:szCs w:val="20"/>
                <w:color w:val="auto"/>
              </w:rPr>
            </w:pPr>
            <w:r>
              <w:rPr>
                <w:rFonts w:ascii="Arial" w:cs="Arial" w:eastAsia="Arial" w:hAnsi="Arial"/>
                <w:sz w:val="14"/>
                <w:szCs w:val="14"/>
                <w:color w:val="auto"/>
                <w:w w:val="90"/>
              </w:rPr>
              <w:t>578,066</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3000" w:type="dxa"/>
            <w:vAlign w:val="bottom"/>
            <w:tcBorders>
              <w:bottom w:val="single" w:sz="8" w:color="auto"/>
            </w:tcBorders>
          </w:tcPr>
          <w:p>
            <w:pPr>
              <w:jc w:val="right"/>
              <w:ind w:right="1488"/>
              <w:spacing w:after="0"/>
              <w:rPr>
                <w:sz w:val="20"/>
                <w:szCs w:val="20"/>
                <w:color w:val="auto"/>
              </w:rPr>
            </w:pPr>
            <w:r>
              <w:rPr>
                <w:rFonts w:ascii="Arial" w:cs="Arial" w:eastAsia="Arial" w:hAnsi="Arial"/>
                <w:sz w:val="14"/>
                <w:szCs w:val="14"/>
                <w:color w:val="auto"/>
                <w:w w:val="94"/>
              </w:rPr>
              <w:t>Reimbursable expenses</w:t>
            </w:r>
          </w:p>
        </w:tc>
        <w:tc>
          <w:tcPr>
            <w:tcW w:w="1420" w:type="dxa"/>
            <w:vAlign w:val="bottom"/>
            <w:tcBorders>
              <w:bottom w:val="single" w:sz="8" w:color="auto"/>
            </w:tcBorders>
          </w:tcPr>
          <w:p>
            <w:pPr>
              <w:spacing w:after="0"/>
              <w:rPr>
                <w:sz w:val="15"/>
                <w:szCs w:val="15"/>
                <w:color w:val="auto"/>
              </w:rPr>
            </w:pPr>
          </w:p>
        </w:tc>
        <w:tc>
          <w:tcPr>
            <w:tcW w:w="2660" w:type="dxa"/>
            <w:vAlign w:val="bottom"/>
            <w:tcBorders>
              <w:bottom w:val="single" w:sz="8" w:color="auto"/>
            </w:tcBorders>
          </w:tcPr>
          <w:p>
            <w:pPr>
              <w:jc w:val="center"/>
              <w:ind w:right="268"/>
              <w:spacing w:after="0"/>
              <w:rPr>
                <w:sz w:val="20"/>
                <w:szCs w:val="20"/>
                <w:color w:val="auto"/>
              </w:rPr>
            </w:pPr>
            <w:r>
              <w:rPr>
                <w:rFonts w:ascii="Arial" w:cs="Arial" w:eastAsia="Arial" w:hAnsi="Arial"/>
                <w:sz w:val="14"/>
                <w:szCs w:val="14"/>
                <w:color w:val="auto"/>
                <w:w w:val="93"/>
              </w:rPr>
              <w:t>(158,753)</w:t>
            </w:r>
          </w:p>
        </w:tc>
        <w:tc>
          <w:tcPr>
            <w:tcW w:w="1780" w:type="dxa"/>
            <w:vAlign w:val="bottom"/>
            <w:tcBorders>
              <w:bottom w:val="single" w:sz="8" w:color="auto"/>
            </w:tcBorders>
          </w:tcPr>
          <w:p>
            <w:pPr>
              <w:jc w:val="right"/>
              <w:ind w:right="808"/>
              <w:spacing w:after="0"/>
              <w:rPr>
                <w:sz w:val="20"/>
                <w:szCs w:val="20"/>
                <w:color w:val="auto"/>
              </w:rPr>
            </w:pPr>
            <w:r>
              <w:rPr>
                <w:rFonts w:ascii="Arial" w:cs="Arial" w:eastAsia="Arial" w:hAnsi="Arial"/>
                <w:sz w:val="14"/>
                <w:szCs w:val="14"/>
                <w:color w:val="auto"/>
              </w:rPr>
              <w:t>(158,753)</w:t>
            </w:r>
          </w:p>
        </w:tc>
        <w:tc>
          <w:tcPr>
            <w:tcW w:w="2240" w:type="dxa"/>
            <w:vAlign w:val="bottom"/>
            <w:tcBorders>
              <w:bottom w:val="single" w:sz="8" w:color="auto"/>
            </w:tcBorders>
          </w:tcPr>
          <w:p>
            <w:pPr>
              <w:jc w:val="center"/>
              <w:ind w:left="148"/>
              <w:spacing w:after="0"/>
              <w:rPr>
                <w:sz w:val="20"/>
                <w:szCs w:val="20"/>
                <w:color w:val="auto"/>
              </w:rPr>
            </w:pPr>
            <w:r>
              <w:rPr>
                <w:rFonts w:ascii="Arial" w:cs="Arial" w:eastAsia="Arial" w:hAnsi="Arial"/>
                <w:sz w:val="14"/>
                <w:szCs w:val="14"/>
                <w:color w:val="auto"/>
                <w:w w:val="90"/>
              </w:rPr>
              <w:t>(146,112)</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3000" w:type="dxa"/>
            <w:vAlign w:val="bottom"/>
          </w:tcPr>
          <w:p>
            <w:pPr>
              <w:spacing w:after="0"/>
              <w:rPr>
                <w:sz w:val="14"/>
                <w:szCs w:val="14"/>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620,125</w:t>
            </w:r>
          </w:p>
        </w:tc>
        <w:tc>
          <w:tcPr>
            <w:tcW w:w="2660" w:type="dxa"/>
            <w:vAlign w:val="bottom"/>
            <w:tcBorders>
              <w:bottom w:val="single" w:sz="8" w:color="auto"/>
            </w:tcBorders>
          </w:tcPr>
          <w:p>
            <w:pPr>
              <w:jc w:val="center"/>
              <w:ind w:right="268"/>
              <w:spacing w:after="0"/>
              <w:rPr>
                <w:sz w:val="20"/>
                <w:szCs w:val="20"/>
                <w:color w:val="auto"/>
              </w:rPr>
            </w:pPr>
            <w:r>
              <w:rPr>
                <w:rFonts w:ascii="Arial" w:cs="Arial" w:eastAsia="Arial" w:hAnsi="Arial"/>
                <w:sz w:val="14"/>
                <w:szCs w:val="14"/>
                <w:b w:val="1"/>
                <w:bCs w:val="1"/>
                <w:color w:val="auto"/>
                <w:w w:val="93"/>
              </w:rPr>
              <w:t>(157,522)</w:t>
            </w:r>
          </w:p>
        </w:tc>
        <w:tc>
          <w:tcPr>
            <w:tcW w:w="1780" w:type="dxa"/>
            <w:vAlign w:val="bottom"/>
            <w:tcBorders>
              <w:bottom w:val="single" w:sz="8" w:color="auto"/>
            </w:tcBorders>
          </w:tcPr>
          <w:p>
            <w:pPr>
              <w:jc w:val="right"/>
              <w:ind w:right="868"/>
              <w:spacing w:after="0"/>
              <w:rPr>
                <w:sz w:val="20"/>
                <w:szCs w:val="20"/>
                <w:color w:val="auto"/>
              </w:rPr>
            </w:pPr>
            <w:r>
              <w:rPr>
                <w:rFonts w:ascii="Arial" w:cs="Arial" w:eastAsia="Arial" w:hAnsi="Arial"/>
                <w:sz w:val="14"/>
                <w:szCs w:val="14"/>
                <w:b w:val="1"/>
                <w:bCs w:val="1"/>
                <w:color w:val="auto"/>
              </w:rPr>
              <w:t>462,603</w:t>
            </w:r>
          </w:p>
        </w:tc>
        <w:tc>
          <w:tcPr>
            <w:tcW w:w="2240" w:type="dxa"/>
            <w:vAlign w:val="bottom"/>
            <w:tcBorders>
              <w:bottom w:val="single" w:sz="8" w:color="auto"/>
            </w:tcBorders>
          </w:tcPr>
          <w:p>
            <w:pPr>
              <w:jc w:val="center"/>
              <w:ind w:left="148"/>
              <w:spacing w:after="0"/>
              <w:rPr>
                <w:sz w:val="20"/>
                <w:szCs w:val="20"/>
                <w:color w:val="auto"/>
              </w:rPr>
            </w:pPr>
            <w:r>
              <w:rPr>
                <w:rFonts w:ascii="Arial" w:cs="Arial" w:eastAsia="Arial" w:hAnsi="Arial"/>
                <w:sz w:val="14"/>
                <w:szCs w:val="14"/>
                <w:b w:val="1"/>
                <w:bCs w:val="1"/>
                <w:color w:val="auto"/>
                <w:w w:val="90"/>
              </w:rPr>
              <w:t>431,954</w:t>
            </w: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66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22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3000" w:type="dxa"/>
            <w:vAlign w:val="bottom"/>
            <w:tcBorders>
              <w:bottom w:val="single" w:sz="8" w:color="9A9A9A"/>
            </w:tcBorders>
          </w:tcPr>
          <w:p>
            <w:pPr>
              <w:spacing w:after="0"/>
              <w:rPr>
                <w:sz w:val="10"/>
                <w:szCs w:val="10"/>
                <w:color w:val="auto"/>
              </w:rPr>
            </w:pPr>
          </w:p>
        </w:tc>
        <w:tc>
          <w:tcPr>
            <w:tcW w:w="1420" w:type="dxa"/>
            <w:vAlign w:val="bottom"/>
            <w:tcBorders>
              <w:bottom w:val="single" w:sz="8" w:color="9A9A9A"/>
            </w:tcBorders>
          </w:tcPr>
          <w:p>
            <w:pPr>
              <w:spacing w:after="0"/>
              <w:rPr>
                <w:sz w:val="10"/>
                <w:szCs w:val="10"/>
                <w:color w:val="auto"/>
              </w:rPr>
            </w:pPr>
          </w:p>
        </w:tc>
        <w:tc>
          <w:tcPr>
            <w:tcW w:w="2660" w:type="dxa"/>
            <w:vAlign w:val="bottom"/>
            <w:tcBorders>
              <w:bottom w:val="single" w:sz="8" w:color="9A9A9A"/>
            </w:tcBorders>
          </w:tcPr>
          <w:p>
            <w:pPr>
              <w:spacing w:after="0"/>
              <w:rPr>
                <w:sz w:val="10"/>
                <w:szCs w:val="10"/>
                <w:color w:val="auto"/>
              </w:rPr>
            </w:pPr>
          </w:p>
        </w:tc>
        <w:tc>
          <w:tcPr>
            <w:tcW w:w="1780" w:type="dxa"/>
            <w:vAlign w:val="bottom"/>
            <w:tcBorders>
              <w:bottom w:val="single" w:sz="8" w:color="9A9A9A"/>
            </w:tcBorders>
          </w:tcPr>
          <w:p>
            <w:pPr>
              <w:spacing w:after="0"/>
              <w:rPr>
                <w:sz w:val="10"/>
                <w:szCs w:val="10"/>
                <w:color w:val="auto"/>
              </w:rPr>
            </w:pPr>
          </w:p>
        </w:tc>
        <w:tc>
          <w:tcPr>
            <w:tcW w:w="224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3000" w:type="dxa"/>
            <w:vAlign w:val="bottom"/>
            <w:tcBorders>
              <w:bottom w:val="single" w:sz="8" w:color="EEEEEE"/>
            </w:tcBorders>
          </w:tcPr>
          <w:p>
            <w:pPr>
              <w:spacing w:after="0" w:line="20" w:lineRule="exact"/>
              <w:rPr>
                <w:sz w:val="1"/>
                <w:szCs w:val="1"/>
                <w:color w:val="auto"/>
              </w:rPr>
            </w:pPr>
          </w:p>
        </w:tc>
        <w:tc>
          <w:tcPr>
            <w:tcW w:w="1420" w:type="dxa"/>
            <w:vAlign w:val="bottom"/>
            <w:tcBorders>
              <w:bottom w:val="single" w:sz="8" w:color="EEEEEE"/>
            </w:tcBorders>
          </w:tcPr>
          <w:p>
            <w:pPr>
              <w:spacing w:after="0" w:line="20" w:lineRule="exact"/>
              <w:rPr>
                <w:sz w:val="1"/>
                <w:szCs w:val="1"/>
                <w:color w:val="auto"/>
              </w:rPr>
            </w:pPr>
          </w:p>
        </w:tc>
        <w:tc>
          <w:tcPr>
            <w:tcW w:w="2660" w:type="dxa"/>
            <w:vAlign w:val="bottom"/>
            <w:tcBorders>
              <w:bottom w:val="single" w:sz="8" w:color="EEEEEE"/>
            </w:tcBorders>
          </w:tcPr>
          <w:p>
            <w:pPr>
              <w:spacing w:after="0" w:line="20" w:lineRule="exact"/>
              <w:rPr>
                <w:sz w:val="1"/>
                <w:szCs w:val="1"/>
                <w:color w:val="auto"/>
              </w:rPr>
            </w:pPr>
          </w:p>
        </w:tc>
        <w:tc>
          <w:tcPr>
            <w:tcW w:w="1780" w:type="dxa"/>
            <w:vAlign w:val="bottom"/>
            <w:tcBorders>
              <w:bottom w:val="single" w:sz="8" w:color="EEEEEE"/>
            </w:tcBorders>
          </w:tcPr>
          <w:p>
            <w:pPr>
              <w:spacing w:after="0" w:line="20" w:lineRule="exact"/>
              <w:rPr>
                <w:sz w:val="1"/>
                <w:szCs w:val="1"/>
                <w:color w:val="auto"/>
              </w:rPr>
            </w:pPr>
          </w:p>
        </w:tc>
        <w:tc>
          <w:tcPr>
            <w:tcW w:w="224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7" w:name="page8"/>
    <w:bookmarkEnd w:id="7"/>
    <w:p>
      <w:pPr>
        <w:jc w:val="center"/>
        <w:ind w:right="-1160"/>
        <w:spacing w:after="0"/>
        <w:rPr>
          <w:sz w:val="20"/>
          <w:szCs w:val="20"/>
          <w:color w:val="auto"/>
        </w:rPr>
      </w:pPr>
      <w:r>
        <w:rPr>
          <w:rFonts w:ascii="Arial" w:cs="Arial" w:eastAsia="Arial" w:hAnsi="Arial"/>
          <w:sz w:val="22"/>
          <w:szCs w:val="22"/>
          <w:b w:val="1"/>
          <w:bCs w:val="1"/>
          <w:color w:val="auto"/>
        </w:rPr>
        <w:t>ICON plc</w:t>
      </w:r>
    </w:p>
    <w:p>
      <w:pPr>
        <w:spacing w:after="0" w:line="5" w:lineRule="exact"/>
        <w:rPr>
          <w:sz w:val="20"/>
          <w:szCs w:val="20"/>
          <w:color w:val="auto"/>
        </w:rPr>
      </w:pPr>
    </w:p>
    <w:p>
      <w:pPr>
        <w:jc w:val="center"/>
        <w:ind w:right="-1160"/>
        <w:spacing w:after="0"/>
        <w:rPr>
          <w:sz w:val="20"/>
          <w:szCs w:val="20"/>
          <w:color w:val="auto"/>
        </w:rPr>
      </w:pPr>
      <w:r>
        <w:rPr>
          <w:rFonts w:ascii="Arial" w:cs="Arial" w:eastAsia="Arial" w:hAnsi="Arial"/>
          <w:sz w:val="22"/>
          <w:szCs w:val="22"/>
          <w:b w:val="1"/>
          <w:bCs w:val="1"/>
          <w:color w:val="auto"/>
        </w:rPr>
        <w:t>Summary Balance Sheet Data</w:t>
      </w:r>
    </w:p>
    <w:p>
      <w:pPr>
        <w:jc w:val="center"/>
        <w:ind w:right="-1160"/>
        <w:spacing w:after="0" w:line="230" w:lineRule="auto"/>
        <w:rPr>
          <w:sz w:val="20"/>
          <w:szCs w:val="20"/>
          <w:color w:val="auto"/>
        </w:rPr>
      </w:pPr>
      <w:r>
        <w:rPr>
          <w:rFonts w:ascii="Arial" w:cs="Arial" w:eastAsia="Arial" w:hAnsi="Arial"/>
          <w:sz w:val="22"/>
          <w:szCs w:val="22"/>
          <w:b w:val="1"/>
          <w:bCs w:val="1"/>
          <w:color w:val="auto"/>
        </w:rPr>
        <w:t>March 31, 2018 and December 31, 2017</w:t>
      </w:r>
    </w:p>
    <w:p>
      <w:pPr>
        <w:spacing w:after="0" w:line="1" w:lineRule="exact"/>
        <w:rPr>
          <w:sz w:val="20"/>
          <w:szCs w:val="20"/>
          <w:color w:val="auto"/>
        </w:rPr>
      </w:pPr>
    </w:p>
    <w:p>
      <w:pPr>
        <w:jc w:val="center"/>
        <w:ind w:right="-1200"/>
        <w:spacing w:after="0"/>
        <w:rPr>
          <w:sz w:val="20"/>
          <w:szCs w:val="20"/>
          <w:color w:val="auto"/>
        </w:rPr>
      </w:pPr>
      <w:r>
        <w:rPr>
          <w:rFonts w:ascii="Arial" w:cs="Arial" w:eastAsia="Arial" w:hAnsi="Arial"/>
          <w:sz w:val="22"/>
          <w:szCs w:val="22"/>
          <w:b w:val="1"/>
          <w:bCs w:val="1"/>
          <w:color w:val="auto"/>
        </w:rPr>
        <w:t>(Dollars, in thousands)</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4180" w:type="dxa"/>
            <w:vAlign w:val="bottom"/>
          </w:tcPr>
          <w:p>
            <w:pPr>
              <w:spacing w:after="0"/>
              <w:rPr>
                <w:sz w:val="15"/>
                <w:szCs w:val="15"/>
                <w:color w:val="auto"/>
              </w:rPr>
            </w:pPr>
          </w:p>
        </w:tc>
        <w:tc>
          <w:tcPr>
            <w:tcW w:w="4040" w:type="dxa"/>
            <w:vAlign w:val="bottom"/>
          </w:tcPr>
          <w:p>
            <w:pPr>
              <w:jc w:val="center"/>
              <w:ind w:left="1188"/>
              <w:spacing w:after="0"/>
              <w:rPr>
                <w:sz w:val="20"/>
                <w:szCs w:val="20"/>
                <w:color w:val="auto"/>
              </w:rPr>
            </w:pPr>
            <w:r>
              <w:rPr>
                <w:rFonts w:ascii="Arial" w:cs="Arial" w:eastAsia="Arial" w:hAnsi="Arial"/>
                <w:sz w:val="14"/>
                <w:szCs w:val="14"/>
                <w:b w:val="1"/>
                <w:bCs w:val="1"/>
                <w:color w:val="auto"/>
                <w:w w:val="95"/>
              </w:rPr>
              <w:t>March 31,</w:t>
            </w:r>
          </w:p>
        </w:tc>
        <w:tc>
          <w:tcPr>
            <w:tcW w:w="1860" w:type="dxa"/>
            <w:vAlign w:val="bottom"/>
          </w:tcPr>
          <w:p>
            <w:pPr>
              <w:jc w:val="center"/>
              <w:ind w:left="948"/>
              <w:spacing w:after="0"/>
              <w:rPr>
                <w:sz w:val="20"/>
                <w:szCs w:val="20"/>
                <w:color w:val="auto"/>
              </w:rPr>
            </w:pPr>
            <w:r>
              <w:rPr>
                <w:rFonts w:ascii="Arial" w:cs="Arial" w:eastAsia="Arial" w:hAnsi="Arial"/>
                <w:sz w:val="14"/>
                <w:szCs w:val="14"/>
                <w:b w:val="1"/>
                <w:bCs w:val="1"/>
                <w:color w:val="auto"/>
                <w:w w:val="92"/>
              </w:rPr>
              <w:t>December 31,</w:t>
            </w:r>
          </w:p>
        </w:tc>
      </w:tr>
      <w:tr>
        <w:trPr>
          <w:trHeight w:val="176"/>
        </w:trPr>
        <w:tc>
          <w:tcPr>
            <w:tcW w:w="4180" w:type="dxa"/>
            <w:vAlign w:val="bottom"/>
          </w:tcPr>
          <w:p>
            <w:pPr>
              <w:spacing w:after="0"/>
              <w:rPr>
                <w:sz w:val="15"/>
                <w:szCs w:val="15"/>
                <w:color w:val="auto"/>
              </w:rPr>
            </w:pPr>
          </w:p>
        </w:tc>
        <w:tc>
          <w:tcPr>
            <w:tcW w:w="4040" w:type="dxa"/>
            <w:vAlign w:val="bottom"/>
          </w:tcPr>
          <w:p>
            <w:pPr>
              <w:jc w:val="center"/>
              <w:ind w:left="1208"/>
              <w:spacing w:after="0"/>
              <w:rPr>
                <w:sz w:val="20"/>
                <w:szCs w:val="20"/>
                <w:color w:val="auto"/>
              </w:rPr>
            </w:pPr>
            <w:r>
              <w:rPr>
                <w:rFonts w:ascii="Arial" w:cs="Arial" w:eastAsia="Arial" w:hAnsi="Arial"/>
                <w:sz w:val="14"/>
                <w:szCs w:val="14"/>
                <w:b w:val="1"/>
                <w:bCs w:val="1"/>
                <w:color w:val="auto"/>
                <w:w w:val="89"/>
              </w:rPr>
              <w:t>2018</w:t>
            </w:r>
          </w:p>
        </w:tc>
        <w:tc>
          <w:tcPr>
            <w:tcW w:w="1860" w:type="dxa"/>
            <w:vAlign w:val="bottom"/>
          </w:tcPr>
          <w:p>
            <w:pPr>
              <w:jc w:val="center"/>
              <w:ind w:left="928"/>
              <w:spacing w:after="0"/>
              <w:rPr>
                <w:sz w:val="20"/>
                <w:szCs w:val="20"/>
                <w:color w:val="auto"/>
              </w:rPr>
            </w:pPr>
            <w:r>
              <w:rPr>
                <w:rFonts w:ascii="Arial" w:cs="Arial" w:eastAsia="Arial" w:hAnsi="Arial"/>
                <w:sz w:val="14"/>
                <w:szCs w:val="14"/>
                <w:b w:val="1"/>
                <w:bCs w:val="1"/>
                <w:color w:val="auto"/>
                <w:w w:val="96"/>
              </w:rPr>
              <w:t>2017</w:t>
            </w:r>
          </w:p>
        </w:tc>
      </w:tr>
      <w:tr>
        <w:trPr>
          <w:trHeight w:val="186"/>
        </w:trPr>
        <w:tc>
          <w:tcPr>
            <w:tcW w:w="4180" w:type="dxa"/>
            <w:vAlign w:val="bottom"/>
          </w:tcPr>
          <w:p>
            <w:pPr>
              <w:spacing w:after="0"/>
              <w:rPr>
                <w:sz w:val="16"/>
                <w:szCs w:val="16"/>
                <w:color w:val="auto"/>
              </w:rPr>
            </w:pPr>
          </w:p>
        </w:tc>
        <w:tc>
          <w:tcPr>
            <w:tcW w:w="4040" w:type="dxa"/>
            <w:vAlign w:val="bottom"/>
          </w:tcPr>
          <w:p>
            <w:pPr>
              <w:jc w:val="center"/>
              <w:ind w:left="1188"/>
              <w:spacing w:after="0"/>
              <w:rPr>
                <w:sz w:val="20"/>
                <w:szCs w:val="20"/>
                <w:color w:val="auto"/>
              </w:rPr>
            </w:pPr>
            <w:r>
              <w:rPr>
                <w:rFonts w:ascii="Arial" w:cs="Arial" w:eastAsia="Arial" w:hAnsi="Arial"/>
                <w:sz w:val="14"/>
                <w:szCs w:val="14"/>
                <w:b w:val="1"/>
                <w:bCs w:val="1"/>
                <w:color w:val="auto"/>
                <w:w w:val="95"/>
              </w:rPr>
              <w:t>(Unaudited)</w:t>
            </w:r>
          </w:p>
        </w:tc>
        <w:tc>
          <w:tcPr>
            <w:tcW w:w="1860" w:type="dxa"/>
            <w:vAlign w:val="bottom"/>
          </w:tcPr>
          <w:p>
            <w:pPr>
              <w:jc w:val="center"/>
              <w:ind w:left="908"/>
              <w:spacing w:after="0"/>
              <w:rPr>
                <w:sz w:val="20"/>
                <w:szCs w:val="20"/>
                <w:color w:val="auto"/>
              </w:rPr>
            </w:pPr>
            <w:r>
              <w:rPr>
                <w:rFonts w:ascii="Arial" w:cs="Arial" w:eastAsia="Arial" w:hAnsi="Arial"/>
                <w:sz w:val="14"/>
                <w:szCs w:val="14"/>
                <w:b w:val="1"/>
                <w:bCs w:val="1"/>
                <w:color w:val="auto"/>
                <w:w w:val="97"/>
              </w:rPr>
              <w:t>(Audited)</w:t>
            </w:r>
          </w:p>
        </w:tc>
      </w:tr>
      <w:tr>
        <w:trPr>
          <w:trHeight w:val="520"/>
        </w:trPr>
        <w:tc>
          <w:tcPr>
            <w:tcW w:w="4180" w:type="dxa"/>
            <w:vAlign w:val="bottom"/>
          </w:tcPr>
          <w:p>
            <w:pPr>
              <w:spacing w:after="0"/>
              <w:rPr>
                <w:sz w:val="20"/>
                <w:szCs w:val="20"/>
                <w:color w:val="auto"/>
              </w:rPr>
            </w:pPr>
            <w:r>
              <w:rPr>
                <w:rFonts w:ascii="Arial" w:cs="Arial" w:eastAsia="Arial" w:hAnsi="Arial"/>
                <w:sz w:val="14"/>
                <w:szCs w:val="14"/>
                <w:color w:val="auto"/>
              </w:rPr>
              <w:t>Cash and short-term investments</w:t>
            </w:r>
          </w:p>
        </w:tc>
        <w:tc>
          <w:tcPr>
            <w:tcW w:w="4040" w:type="dxa"/>
            <w:vAlign w:val="bottom"/>
          </w:tcPr>
          <w:p>
            <w:pPr>
              <w:jc w:val="center"/>
              <w:ind w:left="1188"/>
              <w:spacing w:after="0"/>
              <w:rPr>
                <w:sz w:val="20"/>
                <w:szCs w:val="20"/>
                <w:color w:val="auto"/>
              </w:rPr>
            </w:pPr>
            <w:r>
              <w:rPr>
                <w:rFonts w:ascii="Arial" w:cs="Arial" w:eastAsia="Arial" w:hAnsi="Arial"/>
                <w:sz w:val="14"/>
                <w:szCs w:val="14"/>
                <w:color w:val="auto"/>
                <w:w w:val="90"/>
              </w:rPr>
              <w:t>353,542</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90"/>
              </w:rPr>
              <w:t>360,448</w:t>
            </w:r>
          </w:p>
        </w:tc>
      </w:tr>
      <w:tr>
        <w:trPr>
          <w:trHeight w:val="176"/>
        </w:trPr>
        <w:tc>
          <w:tcPr>
            <w:tcW w:w="4180" w:type="dxa"/>
            <w:vAlign w:val="bottom"/>
          </w:tcPr>
          <w:p>
            <w:pPr>
              <w:spacing w:after="0"/>
              <w:rPr>
                <w:sz w:val="20"/>
                <w:szCs w:val="20"/>
                <w:color w:val="auto"/>
              </w:rPr>
            </w:pPr>
            <w:r>
              <w:rPr>
                <w:rFonts w:ascii="Arial" w:cs="Arial" w:eastAsia="Arial" w:hAnsi="Arial"/>
                <w:sz w:val="14"/>
                <w:szCs w:val="14"/>
                <w:color w:val="auto"/>
              </w:rPr>
              <w:t>Debt</w:t>
            </w:r>
          </w:p>
        </w:tc>
        <w:tc>
          <w:tcPr>
            <w:tcW w:w="4040" w:type="dxa"/>
            <w:vAlign w:val="bottom"/>
          </w:tcPr>
          <w:p>
            <w:pPr>
              <w:jc w:val="center"/>
              <w:ind w:left="1208"/>
              <w:spacing w:after="0"/>
              <w:rPr>
                <w:sz w:val="20"/>
                <w:szCs w:val="20"/>
                <w:color w:val="auto"/>
              </w:rPr>
            </w:pPr>
            <w:r>
              <w:rPr>
                <w:rFonts w:ascii="Arial" w:cs="Arial" w:eastAsia="Arial" w:hAnsi="Arial"/>
                <w:sz w:val="14"/>
                <w:szCs w:val="14"/>
                <w:color w:val="auto"/>
                <w:w w:val="93"/>
              </w:rPr>
              <w:t>(348,980)</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96"/>
              </w:rPr>
              <w:t>(348,888)</w:t>
            </w:r>
          </w:p>
        </w:tc>
      </w:tr>
      <w:tr>
        <w:trPr>
          <w:trHeight w:val="182"/>
        </w:trPr>
        <w:tc>
          <w:tcPr>
            <w:tcW w:w="4180" w:type="dxa"/>
            <w:vAlign w:val="bottom"/>
          </w:tcPr>
          <w:p>
            <w:pPr>
              <w:spacing w:after="0"/>
              <w:rPr>
                <w:sz w:val="20"/>
                <w:szCs w:val="20"/>
                <w:color w:val="auto"/>
              </w:rPr>
            </w:pPr>
            <w:r>
              <w:rPr>
                <w:rFonts w:ascii="Arial" w:cs="Arial" w:eastAsia="Arial" w:hAnsi="Arial"/>
                <w:sz w:val="14"/>
                <w:szCs w:val="14"/>
                <w:color w:val="auto"/>
              </w:rPr>
              <w:t>Net (debt)/cash</w:t>
            </w:r>
          </w:p>
        </w:tc>
        <w:tc>
          <w:tcPr>
            <w:tcW w:w="4040" w:type="dxa"/>
            <w:vAlign w:val="bottom"/>
          </w:tcPr>
          <w:p>
            <w:pPr>
              <w:jc w:val="center"/>
              <w:ind w:left="1208"/>
              <w:spacing w:after="0"/>
              <w:rPr>
                <w:sz w:val="20"/>
                <w:szCs w:val="20"/>
                <w:color w:val="auto"/>
              </w:rPr>
            </w:pPr>
            <w:r>
              <w:rPr>
                <w:rFonts w:ascii="Arial" w:cs="Arial" w:eastAsia="Arial" w:hAnsi="Arial"/>
                <w:sz w:val="14"/>
                <w:szCs w:val="14"/>
                <w:color w:val="auto"/>
                <w:w w:val="91"/>
              </w:rPr>
              <w:t>4,562</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88"/>
              </w:rPr>
              <w:t>11,560</w:t>
            </w:r>
          </w:p>
        </w:tc>
      </w:tr>
      <w:tr>
        <w:trPr>
          <w:trHeight w:val="344"/>
        </w:trPr>
        <w:tc>
          <w:tcPr>
            <w:tcW w:w="4180" w:type="dxa"/>
            <w:vAlign w:val="bottom"/>
          </w:tcPr>
          <w:p>
            <w:pPr>
              <w:spacing w:after="0"/>
              <w:rPr>
                <w:sz w:val="20"/>
                <w:szCs w:val="20"/>
                <w:color w:val="auto"/>
              </w:rPr>
            </w:pPr>
            <w:r>
              <w:rPr>
                <w:rFonts w:ascii="Arial" w:cs="Arial" w:eastAsia="Arial" w:hAnsi="Arial"/>
                <w:sz w:val="14"/>
                <w:szCs w:val="14"/>
                <w:color w:val="auto"/>
              </w:rPr>
              <w:t>Accounts receivable</w:t>
            </w:r>
          </w:p>
        </w:tc>
        <w:tc>
          <w:tcPr>
            <w:tcW w:w="4040" w:type="dxa"/>
            <w:vAlign w:val="bottom"/>
          </w:tcPr>
          <w:p>
            <w:pPr>
              <w:jc w:val="center"/>
              <w:ind w:left="1188"/>
              <w:spacing w:after="0"/>
              <w:rPr>
                <w:sz w:val="20"/>
                <w:szCs w:val="20"/>
                <w:color w:val="auto"/>
              </w:rPr>
            </w:pPr>
            <w:r>
              <w:rPr>
                <w:rFonts w:ascii="Arial" w:cs="Arial" w:eastAsia="Arial" w:hAnsi="Arial"/>
                <w:sz w:val="14"/>
                <w:szCs w:val="14"/>
                <w:color w:val="auto"/>
                <w:w w:val="90"/>
              </w:rPr>
              <w:t>393,940</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90"/>
              </w:rPr>
              <w:t>379,501</w:t>
            </w:r>
          </w:p>
        </w:tc>
      </w:tr>
      <w:tr>
        <w:trPr>
          <w:trHeight w:val="176"/>
        </w:trPr>
        <w:tc>
          <w:tcPr>
            <w:tcW w:w="4180" w:type="dxa"/>
            <w:vAlign w:val="bottom"/>
          </w:tcPr>
          <w:p>
            <w:pPr>
              <w:spacing w:after="0"/>
              <w:rPr>
                <w:sz w:val="20"/>
                <w:szCs w:val="20"/>
                <w:color w:val="auto"/>
              </w:rPr>
            </w:pPr>
            <w:r>
              <w:rPr>
                <w:rFonts w:ascii="Arial" w:cs="Arial" w:eastAsia="Arial" w:hAnsi="Arial"/>
                <w:sz w:val="14"/>
                <w:szCs w:val="14"/>
                <w:color w:val="auto"/>
              </w:rPr>
              <w:t>Unbilled revenue</w:t>
            </w:r>
          </w:p>
        </w:tc>
        <w:tc>
          <w:tcPr>
            <w:tcW w:w="4040" w:type="dxa"/>
            <w:vAlign w:val="bottom"/>
          </w:tcPr>
          <w:p>
            <w:pPr>
              <w:jc w:val="center"/>
              <w:ind w:left="1188"/>
              <w:spacing w:after="0"/>
              <w:rPr>
                <w:sz w:val="20"/>
                <w:szCs w:val="20"/>
                <w:color w:val="auto"/>
              </w:rPr>
            </w:pPr>
            <w:r>
              <w:rPr>
                <w:rFonts w:ascii="Arial" w:cs="Arial" w:eastAsia="Arial" w:hAnsi="Arial"/>
                <w:sz w:val="14"/>
                <w:szCs w:val="14"/>
                <w:color w:val="auto"/>
                <w:w w:val="90"/>
              </w:rPr>
              <w:t>292,688</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90"/>
              </w:rPr>
              <w:t>268,509</w:t>
            </w:r>
          </w:p>
        </w:tc>
      </w:tr>
      <w:tr>
        <w:trPr>
          <w:trHeight w:val="176"/>
        </w:trPr>
        <w:tc>
          <w:tcPr>
            <w:tcW w:w="4180" w:type="dxa"/>
            <w:vAlign w:val="bottom"/>
          </w:tcPr>
          <w:p>
            <w:pPr>
              <w:spacing w:after="0"/>
              <w:rPr>
                <w:sz w:val="20"/>
                <w:szCs w:val="20"/>
                <w:color w:val="auto"/>
              </w:rPr>
            </w:pPr>
            <w:r>
              <w:rPr>
                <w:rFonts w:ascii="Arial" w:cs="Arial" w:eastAsia="Arial" w:hAnsi="Arial"/>
                <w:sz w:val="14"/>
                <w:szCs w:val="14"/>
                <w:color w:val="auto"/>
              </w:rPr>
              <w:t>Payments on account</w:t>
            </w:r>
          </w:p>
        </w:tc>
        <w:tc>
          <w:tcPr>
            <w:tcW w:w="4040" w:type="dxa"/>
            <w:vAlign w:val="bottom"/>
          </w:tcPr>
          <w:p>
            <w:pPr>
              <w:jc w:val="center"/>
              <w:ind w:left="1208"/>
              <w:spacing w:after="0"/>
              <w:rPr>
                <w:sz w:val="20"/>
                <w:szCs w:val="20"/>
                <w:color w:val="auto"/>
              </w:rPr>
            </w:pPr>
            <w:r>
              <w:rPr>
                <w:rFonts w:ascii="Arial" w:cs="Arial" w:eastAsia="Arial" w:hAnsi="Arial"/>
                <w:sz w:val="14"/>
                <w:szCs w:val="14"/>
                <w:color w:val="auto"/>
                <w:w w:val="93"/>
              </w:rPr>
              <w:t>(332,353)</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96"/>
              </w:rPr>
              <w:t>(298,992)</w:t>
            </w:r>
          </w:p>
        </w:tc>
      </w:tr>
      <w:tr>
        <w:trPr>
          <w:trHeight w:val="182"/>
        </w:trPr>
        <w:tc>
          <w:tcPr>
            <w:tcW w:w="4180" w:type="dxa"/>
            <w:vAlign w:val="bottom"/>
          </w:tcPr>
          <w:p>
            <w:pPr>
              <w:spacing w:after="0"/>
              <w:rPr>
                <w:sz w:val="20"/>
                <w:szCs w:val="20"/>
                <w:color w:val="auto"/>
              </w:rPr>
            </w:pPr>
            <w:r>
              <w:rPr>
                <w:rFonts w:ascii="Arial" w:cs="Arial" w:eastAsia="Arial" w:hAnsi="Arial"/>
                <w:sz w:val="14"/>
                <w:szCs w:val="14"/>
                <w:color w:val="auto"/>
              </w:rPr>
              <w:t>Total</w:t>
            </w:r>
          </w:p>
        </w:tc>
        <w:tc>
          <w:tcPr>
            <w:tcW w:w="4040" w:type="dxa"/>
            <w:vAlign w:val="bottom"/>
          </w:tcPr>
          <w:p>
            <w:pPr>
              <w:jc w:val="center"/>
              <w:ind w:left="1188"/>
              <w:spacing w:after="0"/>
              <w:rPr>
                <w:sz w:val="20"/>
                <w:szCs w:val="20"/>
                <w:color w:val="auto"/>
              </w:rPr>
            </w:pPr>
            <w:r>
              <w:rPr>
                <w:rFonts w:ascii="Arial" w:cs="Arial" w:eastAsia="Arial" w:hAnsi="Arial"/>
                <w:sz w:val="14"/>
                <w:szCs w:val="14"/>
                <w:color w:val="auto"/>
                <w:w w:val="90"/>
              </w:rPr>
              <w:t>354,275</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90"/>
              </w:rPr>
              <w:t>349,018</w:t>
            </w:r>
          </w:p>
        </w:tc>
      </w:tr>
      <w:tr>
        <w:trPr>
          <w:trHeight w:val="351"/>
        </w:trPr>
        <w:tc>
          <w:tcPr>
            <w:tcW w:w="4180" w:type="dxa"/>
            <w:vAlign w:val="bottom"/>
          </w:tcPr>
          <w:p>
            <w:pPr>
              <w:spacing w:after="0"/>
              <w:rPr>
                <w:sz w:val="20"/>
                <w:szCs w:val="20"/>
                <w:color w:val="auto"/>
              </w:rPr>
            </w:pPr>
            <w:r>
              <w:rPr>
                <w:rFonts w:ascii="Arial" w:cs="Arial" w:eastAsia="Arial" w:hAnsi="Arial"/>
                <w:sz w:val="14"/>
                <w:szCs w:val="14"/>
                <w:color w:val="auto"/>
              </w:rPr>
              <w:t>Working Capital</w:t>
            </w:r>
          </w:p>
        </w:tc>
        <w:tc>
          <w:tcPr>
            <w:tcW w:w="4040" w:type="dxa"/>
            <w:vAlign w:val="bottom"/>
          </w:tcPr>
          <w:p>
            <w:pPr>
              <w:jc w:val="center"/>
              <w:ind w:left="1188"/>
              <w:spacing w:after="0"/>
              <w:rPr>
                <w:sz w:val="20"/>
                <w:szCs w:val="20"/>
                <w:color w:val="auto"/>
              </w:rPr>
            </w:pPr>
            <w:r>
              <w:rPr>
                <w:rFonts w:ascii="Arial" w:cs="Arial" w:eastAsia="Arial" w:hAnsi="Arial"/>
                <w:sz w:val="14"/>
                <w:szCs w:val="14"/>
                <w:color w:val="auto"/>
                <w:w w:val="90"/>
              </w:rPr>
              <w:t>535,340</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90"/>
              </w:rPr>
              <w:t>534,960</w:t>
            </w:r>
          </w:p>
        </w:tc>
      </w:tr>
      <w:tr>
        <w:trPr>
          <w:trHeight w:val="351"/>
        </w:trPr>
        <w:tc>
          <w:tcPr>
            <w:tcW w:w="4180" w:type="dxa"/>
            <w:vAlign w:val="bottom"/>
          </w:tcPr>
          <w:p>
            <w:pPr>
              <w:spacing w:after="0"/>
              <w:rPr>
                <w:sz w:val="20"/>
                <w:szCs w:val="20"/>
                <w:color w:val="auto"/>
              </w:rPr>
            </w:pPr>
            <w:r>
              <w:rPr>
                <w:rFonts w:ascii="Arial" w:cs="Arial" w:eastAsia="Arial" w:hAnsi="Arial"/>
                <w:sz w:val="14"/>
                <w:szCs w:val="14"/>
                <w:color w:val="auto"/>
              </w:rPr>
              <w:t>Total Assets</w:t>
            </w:r>
          </w:p>
        </w:tc>
        <w:tc>
          <w:tcPr>
            <w:tcW w:w="4040" w:type="dxa"/>
            <w:vAlign w:val="bottom"/>
          </w:tcPr>
          <w:p>
            <w:pPr>
              <w:jc w:val="center"/>
              <w:ind w:left="1188"/>
              <w:spacing w:after="0"/>
              <w:rPr>
                <w:sz w:val="20"/>
                <w:szCs w:val="20"/>
                <w:color w:val="auto"/>
              </w:rPr>
            </w:pPr>
            <w:r>
              <w:rPr>
                <w:rFonts w:ascii="Arial" w:cs="Arial" w:eastAsia="Arial" w:hAnsi="Arial"/>
                <w:sz w:val="14"/>
                <w:szCs w:val="14"/>
                <w:color w:val="auto"/>
                <w:w w:val="93"/>
              </w:rPr>
              <w:t>2,219,445</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93"/>
              </w:rPr>
              <w:t>2,146,618</w:t>
            </w:r>
          </w:p>
        </w:tc>
      </w:tr>
      <w:tr>
        <w:trPr>
          <w:trHeight w:val="351"/>
        </w:trPr>
        <w:tc>
          <w:tcPr>
            <w:tcW w:w="4180" w:type="dxa"/>
            <w:vAlign w:val="bottom"/>
          </w:tcPr>
          <w:p>
            <w:pPr>
              <w:spacing w:after="0"/>
              <w:rPr>
                <w:sz w:val="20"/>
                <w:szCs w:val="20"/>
                <w:color w:val="auto"/>
              </w:rPr>
            </w:pPr>
            <w:r>
              <w:rPr>
                <w:rFonts w:ascii="Arial" w:cs="Arial" w:eastAsia="Arial" w:hAnsi="Arial"/>
                <w:sz w:val="14"/>
                <w:szCs w:val="14"/>
                <w:color w:val="auto"/>
              </w:rPr>
              <w:t>Shareholder's Equity</w:t>
            </w:r>
          </w:p>
        </w:tc>
        <w:tc>
          <w:tcPr>
            <w:tcW w:w="4040" w:type="dxa"/>
            <w:vAlign w:val="bottom"/>
          </w:tcPr>
          <w:p>
            <w:pPr>
              <w:jc w:val="center"/>
              <w:ind w:left="1188"/>
              <w:spacing w:after="0"/>
              <w:rPr>
                <w:sz w:val="20"/>
                <w:szCs w:val="20"/>
                <w:color w:val="auto"/>
              </w:rPr>
            </w:pPr>
            <w:r>
              <w:rPr>
                <w:rFonts w:ascii="Arial" w:cs="Arial" w:eastAsia="Arial" w:hAnsi="Arial"/>
                <w:sz w:val="14"/>
                <w:szCs w:val="14"/>
                <w:color w:val="auto"/>
                <w:w w:val="93"/>
              </w:rPr>
              <w:t>1,204,995</w:t>
            </w:r>
          </w:p>
        </w:tc>
        <w:tc>
          <w:tcPr>
            <w:tcW w:w="1860" w:type="dxa"/>
            <w:vAlign w:val="bottom"/>
          </w:tcPr>
          <w:p>
            <w:pPr>
              <w:jc w:val="center"/>
              <w:ind w:left="928"/>
              <w:spacing w:after="0"/>
              <w:rPr>
                <w:sz w:val="20"/>
                <w:szCs w:val="20"/>
                <w:color w:val="auto"/>
              </w:rPr>
            </w:pPr>
            <w:r>
              <w:rPr>
                <w:rFonts w:ascii="Arial" w:cs="Arial" w:eastAsia="Arial" w:hAnsi="Arial"/>
                <w:sz w:val="14"/>
                <w:szCs w:val="14"/>
                <w:color w:val="auto"/>
                <w:w w:val="93"/>
              </w:rPr>
              <w:t>1,191,000</w:t>
            </w:r>
          </w:p>
        </w:tc>
      </w:tr>
    </w:tbl>
    <w:p>
      <w:pPr>
        <w:spacing w:after="0" w:line="193" w:lineRule="exact"/>
        <w:rPr>
          <w:sz w:val="20"/>
          <w:szCs w:val="20"/>
          <w:color w:val="auto"/>
        </w:rPr>
      </w:pPr>
    </w:p>
    <w:p>
      <w:pPr>
        <w:spacing w:after="0"/>
        <w:rPr>
          <w:sz w:val="20"/>
          <w:szCs w:val="20"/>
          <w:color w:val="auto"/>
        </w:rPr>
      </w:pPr>
      <w:r>
        <w:rPr>
          <w:rFonts w:ascii="Arial" w:cs="Arial" w:eastAsia="Arial" w:hAnsi="Arial"/>
          <w:sz w:val="22"/>
          <w:szCs w:val="22"/>
          <w:color w:val="auto"/>
        </w:rPr>
        <w:t>ICON plc</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b w:val="1"/>
          <w:bCs w:val="1"/>
          <w:color w:val="auto"/>
        </w:rPr>
        <w:t>ICON</w:t>
      </w:r>
    </w:p>
    <w:p>
      <w:pPr>
        <w:spacing w:after="0" w:line="230" w:lineRule="auto"/>
        <w:rPr>
          <w:sz w:val="20"/>
          <w:szCs w:val="20"/>
          <w:color w:val="auto"/>
        </w:rPr>
      </w:pPr>
      <w:r>
        <w:rPr>
          <w:rFonts w:ascii="Arial" w:cs="Arial" w:eastAsia="Arial" w:hAnsi="Arial"/>
          <w:sz w:val="22"/>
          <w:szCs w:val="22"/>
          <w:color w:val="auto"/>
        </w:rPr>
        <w:t>Investor Relations</w:t>
      </w:r>
    </w:p>
    <w:p>
      <w:pPr>
        <w:spacing w:after="0" w:line="231" w:lineRule="auto"/>
        <w:rPr>
          <w:sz w:val="20"/>
          <w:szCs w:val="20"/>
          <w:color w:val="auto"/>
        </w:rPr>
      </w:pPr>
      <w:r>
        <w:rPr>
          <w:rFonts w:ascii="Arial" w:cs="Arial" w:eastAsia="Arial" w:hAnsi="Arial"/>
          <w:sz w:val="22"/>
          <w:szCs w:val="22"/>
          <w:color w:val="auto"/>
        </w:rPr>
        <w:t>1-888-381-7923</w:t>
      </w:r>
    </w:p>
    <w:p>
      <w:pPr>
        <w:spacing w:after="0" w:line="231" w:lineRule="auto"/>
        <w:rPr>
          <w:sz w:val="20"/>
          <w:szCs w:val="20"/>
          <w:color w:val="auto"/>
        </w:rPr>
      </w:pPr>
      <w:r>
        <w:rPr>
          <w:rFonts w:ascii="Arial" w:cs="Arial" w:eastAsia="Arial" w:hAnsi="Arial"/>
          <w:sz w:val="22"/>
          <w:szCs w:val="22"/>
          <w:color w:val="auto"/>
        </w:rPr>
        <w:t>or</w:t>
      </w:r>
    </w:p>
    <w:p>
      <w:pPr>
        <w:spacing w:after="0" w:line="230" w:lineRule="auto"/>
        <w:rPr>
          <w:sz w:val="20"/>
          <w:szCs w:val="20"/>
          <w:color w:val="auto"/>
        </w:rPr>
      </w:pPr>
      <w:r>
        <w:rPr>
          <w:rFonts w:ascii="Arial" w:cs="Arial" w:eastAsia="Arial" w:hAnsi="Arial"/>
          <w:sz w:val="22"/>
          <w:szCs w:val="22"/>
          <w:color w:val="auto"/>
        </w:rPr>
        <w:t>Brendan Brennan</w:t>
      </w:r>
    </w:p>
    <w:p>
      <w:pPr>
        <w:spacing w:after="0" w:line="231" w:lineRule="auto"/>
        <w:rPr>
          <w:sz w:val="20"/>
          <w:szCs w:val="20"/>
          <w:color w:val="auto"/>
        </w:rPr>
      </w:pPr>
      <w:r>
        <w:rPr>
          <w:rFonts w:ascii="Arial" w:cs="Arial" w:eastAsia="Arial" w:hAnsi="Arial"/>
          <w:sz w:val="22"/>
          <w:szCs w:val="22"/>
          <w:color w:val="auto"/>
        </w:rPr>
        <w:t>Chief Financial Officer</w:t>
      </w:r>
    </w:p>
    <w:p>
      <w:pPr>
        <w:spacing w:after="0" w:line="1" w:lineRule="exact"/>
        <w:rPr>
          <w:sz w:val="20"/>
          <w:szCs w:val="20"/>
          <w:color w:val="auto"/>
        </w:rPr>
      </w:pPr>
    </w:p>
    <w:p>
      <w:pPr>
        <w:ind w:right="8539" w:firstLine="8"/>
        <w:spacing w:after="0" w:line="230" w:lineRule="auto"/>
        <w:tabs>
          <w:tab w:leader="none" w:pos="176" w:val="left"/>
        </w:tabs>
        <w:numPr>
          <w:ilvl w:val="0"/>
          <w:numId w:val="1"/>
        </w:numPr>
        <w:rPr>
          <w:rFonts w:ascii="Arial" w:cs="Arial" w:eastAsia="Arial" w:hAnsi="Arial"/>
          <w:sz w:val="22"/>
          <w:szCs w:val="22"/>
          <w:color w:val="auto"/>
        </w:rPr>
      </w:pPr>
      <w:r>
        <w:rPr>
          <w:rFonts w:ascii="Arial" w:cs="Arial" w:eastAsia="Arial" w:hAnsi="Arial"/>
          <w:sz w:val="22"/>
          <w:szCs w:val="22"/>
          <w:color w:val="auto"/>
        </w:rPr>
        <w:t>353 –1-291-2000 or</w:t>
      </w:r>
    </w:p>
    <w:p>
      <w:pPr>
        <w:spacing w:after="0" w:line="1" w:lineRule="exact"/>
        <w:rPr>
          <w:rFonts w:ascii="Arial" w:cs="Arial" w:eastAsia="Arial" w:hAnsi="Arial"/>
          <w:sz w:val="22"/>
          <w:szCs w:val="22"/>
          <w:color w:val="auto"/>
        </w:rPr>
      </w:pPr>
    </w:p>
    <w:p>
      <w:pPr>
        <w:spacing w:after="0" w:line="230" w:lineRule="auto"/>
        <w:rPr>
          <w:rFonts w:ascii="Arial" w:cs="Arial" w:eastAsia="Arial" w:hAnsi="Arial"/>
          <w:sz w:val="22"/>
          <w:szCs w:val="22"/>
          <w:color w:val="auto"/>
        </w:rPr>
      </w:pPr>
      <w:r>
        <w:rPr>
          <w:rFonts w:ascii="Arial" w:cs="Arial" w:eastAsia="Arial" w:hAnsi="Arial"/>
          <w:sz w:val="22"/>
          <w:szCs w:val="22"/>
          <w:color w:val="auto"/>
        </w:rPr>
        <w:t>Jonathan Curtain</w:t>
      </w:r>
    </w:p>
    <w:p>
      <w:pPr>
        <w:ind w:right="5299"/>
        <w:spacing w:after="0" w:line="230" w:lineRule="auto"/>
        <w:rPr>
          <w:rFonts w:ascii="Arial" w:cs="Arial" w:eastAsia="Arial" w:hAnsi="Arial"/>
          <w:sz w:val="22"/>
          <w:szCs w:val="22"/>
          <w:color w:val="auto"/>
        </w:rPr>
      </w:pPr>
      <w:r>
        <w:rPr>
          <w:rFonts w:ascii="Arial" w:cs="Arial" w:eastAsia="Arial" w:hAnsi="Arial"/>
          <w:sz w:val="22"/>
          <w:szCs w:val="22"/>
          <w:color w:val="auto"/>
        </w:rPr>
        <w:t>Vice President Corporate Finance and Investor Relations +1 215 616 3000</w:t>
      </w:r>
    </w:p>
    <w:p>
      <w:pPr>
        <w:spacing w:after="0" w:line="1" w:lineRule="exact"/>
        <w:rPr>
          <w:rFonts w:ascii="Arial" w:cs="Arial" w:eastAsia="Arial" w:hAnsi="Arial"/>
          <w:sz w:val="22"/>
          <w:szCs w:val="22"/>
          <w:color w:val="auto"/>
        </w:rPr>
      </w:pPr>
    </w:p>
    <w:p>
      <w:pPr>
        <w:spacing w:after="0"/>
        <w:rPr>
          <w:rFonts w:ascii="Arial" w:cs="Arial" w:eastAsia="Arial" w:hAnsi="Arial"/>
          <w:sz w:val="22"/>
          <w:szCs w:val="22"/>
          <w:color w:val="auto"/>
        </w:rPr>
      </w:pPr>
      <w:r>
        <w:rPr>
          <w:rFonts w:ascii="Arial" w:cs="Arial" w:eastAsia="Arial" w:hAnsi="Arial"/>
          <w:sz w:val="22"/>
          <w:szCs w:val="22"/>
          <w:u w:val="single" w:color="auto"/>
          <w:color w:val="auto"/>
        </w:rPr>
        <w:t>http://www.iconplc.com</w:t>
      </w:r>
    </w:p>
    <w:sectPr>
      <w:pgSz w:w="11900" w:h="16838" w:orient="portrait"/>
      <w:cols w:equalWidth="0" w:num="1">
        <w:col w:w="10219"/>
      </w:cols>
      <w:pgMar w:left="240" w:top="11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2019-12-06T12:07:01Z</dcterms:created>
  <dcterms:modified xsi:type="dcterms:W3CDTF">2019-12-06T12:07:01Z</dcterms:modified>
</cp:coreProperties>
</file>